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52976" w14:textId="77777777" w:rsidR="00CB5276" w:rsidRPr="009F227C" w:rsidRDefault="00D323BF" w:rsidP="00D323BF">
      <w:pPr>
        <w:pStyle w:val="OrderHeading"/>
      </w:pPr>
      <w:r w:rsidRPr="009F227C">
        <w:t>BEFORE THE FLORIDA PUBLIC SERVICE COMMISSION</w:t>
      </w:r>
    </w:p>
    <w:p w14:paraId="290455BB" w14:textId="77777777" w:rsidR="00D323BF" w:rsidRPr="009F227C" w:rsidRDefault="00D323BF" w:rsidP="00D323BF">
      <w:pPr>
        <w:pStyle w:val="OrderBody"/>
      </w:pPr>
    </w:p>
    <w:p w14:paraId="2659B3D0" w14:textId="77777777" w:rsidR="00D323BF" w:rsidRPr="009F227C" w:rsidRDefault="00D323BF" w:rsidP="00D323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23BF" w:rsidRPr="009F227C" w14:paraId="277D9D7F" w14:textId="77777777" w:rsidTr="001A0819">
        <w:trPr>
          <w:trHeight w:val="828"/>
        </w:trPr>
        <w:tc>
          <w:tcPr>
            <w:tcW w:w="4788" w:type="dxa"/>
            <w:tcBorders>
              <w:bottom w:val="single" w:sz="8" w:space="0" w:color="auto"/>
              <w:right w:val="double" w:sz="6" w:space="0" w:color="auto"/>
            </w:tcBorders>
            <w:shd w:val="clear" w:color="auto" w:fill="auto"/>
          </w:tcPr>
          <w:p w14:paraId="5A53F3F9" w14:textId="77777777" w:rsidR="00D323BF" w:rsidRPr="009F227C" w:rsidRDefault="00D323BF" w:rsidP="001A0819">
            <w:pPr>
              <w:pStyle w:val="OrderBody"/>
              <w:tabs>
                <w:tab w:val="center" w:pos="4320"/>
                <w:tab w:val="right" w:pos="8640"/>
              </w:tabs>
              <w:jc w:val="left"/>
            </w:pPr>
            <w:r w:rsidRPr="009F227C">
              <w:t xml:space="preserve">In re: </w:t>
            </w:r>
            <w:bookmarkStart w:id="0" w:name="SSInRe"/>
            <w:bookmarkEnd w:id="0"/>
            <w:r w:rsidRPr="009F227C">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61C38740" w14:textId="77777777" w:rsidR="00D323BF" w:rsidRPr="009F227C" w:rsidRDefault="00D323BF" w:rsidP="00D323BF">
            <w:pPr>
              <w:pStyle w:val="OrderBody"/>
            </w:pPr>
            <w:r w:rsidRPr="009F227C">
              <w:t xml:space="preserve">DOCKET NO. </w:t>
            </w:r>
            <w:bookmarkStart w:id="1" w:name="SSDocketNo"/>
            <w:bookmarkEnd w:id="1"/>
            <w:r w:rsidRPr="009F227C">
              <w:t>20240068-WS</w:t>
            </w:r>
          </w:p>
          <w:p w14:paraId="25287C64" w14:textId="215A52BC" w:rsidR="00D323BF" w:rsidRPr="009F227C" w:rsidRDefault="00D323BF" w:rsidP="001A0819">
            <w:pPr>
              <w:pStyle w:val="OrderBody"/>
              <w:tabs>
                <w:tab w:val="center" w:pos="4320"/>
                <w:tab w:val="right" w:pos="8640"/>
              </w:tabs>
              <w:jc w:val="left"/>
            </w:pPr>
            <w:r w:rsidRPr="009F227C">
              <w:t xml:space="preserve">ORDER NO. </w:t>
            </w:r>
            <w:bookmarkStart w:id="2" w:name="OrderNo0196"/>
            <w:r w:rsidR="00157E6F">
              <w:t>PSC-2025-0196-FOF-WS</w:t>
            </w:r>
            <w:bookmarkEnd w:id="2"/>
          </w:p>
          <w:p w14:paraId="1D38CF83" w14:textId="0841925F" w:rsidR="00D323BF" w:rsidRPr="009F227C" w:rsidRDefault="00D323BF" w:rsidP="001A0819">
            <w:pPr>
              <w:pStyle w:val="OrderBody"/>
              <w:tabs>
                <w:tab w:val="center" w:pos="4320"/>
                <w:tab w:val="right" w:pos="8640"/>
              </w:tabs>
              <w:jc w:val="left"/>
            </w:pPr>
            <w:r w:rsidRPr="009F227C">
              <w:t xml:space="preserve">ISSUED: </w:t>
            </w:r>
            <w:r w:rsidR="00157E6F">
              <w:t>June 6, 2025</w:t>
            </w:r>
          </w:p>
        </w:tc>
      </w:tr>
    </w:tbl>
    <w:p w14:paraId="190FE0DD" w14:textId="77777777" w:rsidR="00D323BF" w:rsidRPr="009F227C" w:rsidRDefault="00D323BF" w:rsidP="00D323BF"/>
    <w:p w14:paraId="11323BF4" w14:textId="77777777" w:rsidR="00D323BF" w:rsidRPr="009F227C" w:rsidRDefault="00D323BF" w:rsidP="00D323BF"/>
    <w:p w14:paraId="4F32C5EC" w14:textId="77777777" w:rsidR="00D323BF" w:rsidRPr="009F227C" w:rsidRDefault="00D323BF" w:rsidP="00B67A43">
      <w:pPr>
        <w:ind w:firstLine="720"/>
        <w:jc w:val="both"/>
      </w:pPr>
      <w:bookmarkStart w:id="3" w:name="Commissioners"/>
      <w:bookmarkEnd w:id="3"/>
      <w:r w:rsidRPr="009F227C">
        <w:t>The following Commissioners participated in the disposition of this matter:</w:t>
      </w:r>
    </w:p>
    <w:p w14:paraId="69DFD71B" w14:textId="77777777" w:rsidR="00D323BF" w:rsidRPr="009F227C" w:rsidRDefault="00D323BF" w:rsidP="00B67A43"/>
    <w:p w14:paraId="4B4C27FC" w14:textId="77777777" w:rsidR="00D323BF" w:rsidRPr="009F227C" w:rsidRDefault="00D323BF" w:rsidP="00477699">
      <w:pPr>
        <w:jc w:val="center"/>
      </w:pPr>
      <w:r w:rsidRPr="009F227C">
        <w:t>MIKE LA ROSA, Chairman</w:t>
      </w:r>
    </w:p>
    <w:p w14:paraId="43A6CE15" w14:textId="77777777" w:rsidR="00D323BF" w:rsidRPr="009F227C" w:rsidRDefault="00D323BF" w:rsidP="00B67A43">
      <w:pPr>
        <w:jc w:val="center"/>
      </w:pPr>
      <w:r w:rsidRPr="009F227C">
        <w:t>ART GRAHAM</w:t>
      </w:r>
    </w:p>
    <w:p w14:paraId="713CC5CE" w14:textId="77777777" w:rsidR="00D323BF" w:rsidRPr="009F227C" w:rsidRDefault="00D323BF" w:rsidP="00B67A43">
      <w:pPr>
        <w:jc w:val="center"/>
      </w:pPr>
      <w:r w:rsidRPr="009F227C">
        <w:t>GARY F. CLARK</w:t>
      </w:r>
    </w:p>
    <w:p w14:paraId="437D694B" w14:textId="77777777" w:rsidR="00D323BF" w:rsidRPr="009F227C" w:rsidRDefault="00D323BF" w:rsidP="00B67A43">
      <w:pPr>
        <w:jc w:val="center"/>
      </w:pPr>
      <w:r w:rsidRPr="009F227C">
        <w:t>ANDREW GILES FAY</w:t>
      </w:r>
    </w:p>
    <w:p w14:paraId="3D3D4D05" w14:textId="77777777" w:rsidR="00D323BF" w:rsidRPr="009F227C" w:rsidRDefault="00D323BF" w:rsidP="00B67A43">
      <w:pPr>
        <w:jc w:val="center"/>
      </w:pPr>
      <w:r w:rsidRPr="009F227C">
        <w:rPr>
          <w:lang w:val="en"/>
        </w:rPr>
        <w:t>GABRIELLA PASSIDOMO SMITH</w:t>
      </w:r>
    </w:p>
    <w:p w14:paraId="73C08C6F" w14:textId="77777777" w:rsidR="00D323BF" w:rsidRPr="009F227C" w:rsidRDefault="00D323BF" w:rsidP="00B67A43"/>
    <w:p w14:paraId="3CD87370" w14:textId="77777777" w:rsidR="00CB5276" w:rsidRPr="009F227C" w:rsidRDefault="00CB5276">
      <w:pPr>
        <w:pStyle w:val="OrderBody"/>
      </w:pPr>
    </w:p>
    <w:p w14:paraId="56D165EE" w14:textId="77777777" w:rsidR="00D323BF" w:rsidRPr="009F227C" w:rsidRDefault="009006DF" w:rsidP="00D323BF">
      <w:pPr>
        <w:pStyle w:val="CenterUnderline"/>
      </w:pPr>
      <w:bookmarkStart w:id="4" w:name="OrderTitle"/>
      <w:r w:rsidRPr="009F227C">
        <w:t>FINAL ORDER GRANTING IN PART AND DENYING IN PART SUNSHINE WATER SERVICES COMPANY PETITION FOR RATE INCREASE</w:t>
      </w:r>
      <w:r w:rsidR="00D323BF" w:rsidRPr="009F227C">
        <w:t xml:space="preserve"> </w:t>
      </w:r>
      <w:bookmarkEnd w:id="4"/>
    </w:p>
    <w:p w14:paraId="3A4037EC" w14:textId="77777777" w:rsidR="00D323BF" w:rsidRPr="009F227C" w:rsidRDefault="00D323BF" w:rsidP="00D323BF">
      <w:pPr>
        <w:pStyle w:val="CenterUnderline"/>
      </w:pPr>
    </w:p>
    <w:p w14:paraId="4CAE381E" w14:textId="570AE459" w:rsidR="00D323BF" w:rsidRPr="009F227C" w:rsidRDefault="00B004E7" w:rsidP="00D323BF">
      <w:pPr>
        <w:pStyle w:val="OrderBody"/>
      </w:pPr>
      <w:r>
        <w:t>APPEARANCES</w:t>
      </w:r>
      <w:r w:rsidR="00D323BF" w:rsidRPr="009F227C">
        <w:t>:</w:t>
      </w:r>
    </w:p>
    <w:p w14:paraId="52ABB981" w14:textId="77777777" w:rsidR="00240DCF" w:rsidRPr="009F227C" w:rsidRDefault="00240DCF" w:rsidP="00D323BF">
      <w:pPr>
        <w:pStyle w:val="OrderBody"/>
      </w:pPr>
    </w:p>
    <w:p w14:paraId="20F86534" w14:textId="77777777" w:rsidR="00240DCF" w:rsidRPr="009F227C" w:rsidRDefault="00240DCF" w:rsidP="00240DCF">
      <w:pPr>
        <w:ind w:left="1440"/>
        <w:jc w:val="both"/>
      </w:pPr>
      <w:r w:rsidRPr="009F227C">
        <w:t>MARTIN S. FRIEDMAN, ESQUIRE, DEAN MEAD, 420 South Orange Avenue, Suite 700, Orlando, FL 32801</w:t>
      </w:r>
    </w:p>
    <w:p w14:paraId="744F3F79" w14:textId="77777777" w:rsidR="00240DCF" w:rsidRPr="009F227C" w:rsidRDefault="00240DCF" w:rsidP="00240DCF">
      <w:pPr>
        <w:ind w:left="1440"/>
        <w:jc w:val="both"/>
      </w:pPr>
      <w:r w:rsidRPr="009F227C">
        <w:t>JOHN L. WHARTON, ESQUIRE, DEAN, MEAD &amp; DUNBAR, 106 East College Avenue, Suite 1200, Tallahassee, Florida 32301</w:t>
      </w:r>
    </w:p>
    <w:p w14:paraId="1F42FF04" w14:textId="77777777" w:rsidR="00240DCF" w:rsidRPr="009F227C" w:rsidRDefault="00240DCF" w:rsidP="00240DCF">
      <w:pPr>
        <w:ind w:left="1440"/>
        <w:jc w:val="both"/>
        <w:rPr>
          <w:u w:val="single"/>
        </w:rPr>
      </w:pPr>
      <w:r w:rsidRPr="009F227C">
        <w:rPr>
          <w:u w:val="single"/>
        </w:rPr>
        <w:t>On behalf of Sunshine Water Services Company</w:t>
      </w:r>
      <w:r w:rsidRPr="009F227C">
        <w:t>.</w:t>
      </w:r>
      <w:r w:rsidRPr="009F227C">
        <w:rPr>
          <w:u w:val="single"/>
        </w:rPr>
        <w:t xml:space="preserve"> </w:t>
      </w:r>
    </w:p>
    <w:p w14:paraId="683E123E" w14:textId="77777777" w:rsidR="00240DCF" w:rsidRPr="009F227C" w:rsidRDefault="00240DCF" w:rsidP="00240DCF">
      <w:pPr>
        <w:jc w:val="both"/>
      </w:pPr>
    </w:p>
    <w:p w14:paraId="304ED3E7" w14:textId="77777777" w:rsidR="00240DCF" w:rsidRPr="009F227C" w:rsidRDefault="00240DCF" w:rsidP="00240DCF">
      <w:pPr>
        <w:ind w:left="1440"/>
        <w:jc w:val="both"/>
      </w:pPr>
      <w:r w:rsidRPr="009F227C">
        <w:t>WALT TRIERWEILER, CHARLES J. REHWINKEL, OCTAVIO SIMOES-PONCE, AUSTIN WATROUS, ESQUIRES, Office of Public Counsel, c/o The Florida Legislature, 111 West Madison Street, Room 812, Tallahassee, Florida 32399-1400</w:t>
      </w:r>
    </w:p>
    <w:p w14:paraId="5B2416AA" w14:textId="77777777" w:rsidR="00240DCF" w:rsidRPr="009F227C" w:rsidRDefault="00240DCF" w:rsidP="00240DCF">
      <w:pPr>
        <w:ind w:left="1440"/>
        <w:jc w:val="both"/>
      </w:pPr>
      <w:r w:rsidRPr="009F227C">
        <w:rPr>
          <w:u w:val="single"/>
        </w:rPr>
        <w:t>On behalf of the Citizens of the State of Florida (OPC)</w:t>
      </w:r>
      <w:r w:rsidRPr="009F227C">
        <w:t>.</w:t>
      </w:r>
    </w:p>
    <w:p w14:paraId="1286581E" w14:textId="77777777" w:rsidR="00240DCF" w:rsidRPr="009F227C" w:rsidRDefault="00240DCF" w:rsidP="00240DCF">
      <w:pPr>
        <w:ind w:left="1440"/>
        <w:jc w:val="both"/>
      </w:pPr>
    </w:p>
    <w:p w14:paraId="46EF4101" w14:textId="77777777" w:rsidR="00240DCF" w:rsidRPr="009F227C" w:rsidRDefault="00240DCF" w:rsidP="00240DCF">
      <w:pPr>
        <w:ind w:left="1440"/>
        <w:jc w:val="both"/>
      </w:pPr>
      <w:r w:rsidRPr="009F227C">
        <w:t>RYAN SANDY and SAAD FAROOQI, ESQUIRES, Florida Public Service Commission, 2540 Shumard Oak Boulevard, Tallahassee, Florida 32399-0850</w:t>
      </w:r>
    </w:p>
    <w:p w14:paraId="639D8F7D" w14:textId="77777777" w:rsidR="00240DCF" w:rsidRPr="009F227C" w:rsidRDefault="00240DCF" w:rsidP="00240DCF">
      <w:pPr>
        <w:ind w:left="720" w:firstLine="720"/>
        <w:jc w:val="both"/>
      </w:pPr>
      <w:r w:rsidRPr="009F227C">
        <w:rPr>
          <w:u w:val="single"/>
        </w:rPr>
        <w:t>On behalf of the Florida Public Service Commission (</w:t>
      </w:r>
      <w:r w:rsidR="001D3577" w:rsidRPr="009F227C">
        <w:rPr>
          <w:u w:val="single"/>
        </w:rPr>
        <w:t>Our staff</w:t>
      </w:r>
      <w:r w:rsidRPr="009F227C">
        <w:rPr>
          <w:u w:val="single"/>
        </w:rPr>
        <w:t>)</w:t>
      </w:r>
      <w:r w:rsidRPr="009F227C">
        <w:t>.</w:t>
      </w:r>
    </w:p>
    <w:p w14:paraId="2E969D3B" w14:textId="77777777" w:rsidR="00240DCF" w:rsidRPr="009F227C" w:rsidRDefault="00240DCF" w:rsidP="00240DCF">
      <w:pPr>
        <w:jc w:val="both"/>
      </w:pPr>
    </w:p>
    <w:p w14:paraId="631AACB5" w14:textId="77777777" w:rsidR="00240DCF" w:rsidRPr="009F227C" w:rsidRDefault="00240DCF" w:rsidP="00240DCF">
      <w:pPr>
        <w:ind w:left="1440"/>
        <w:jc w:val="both"/>
      </w:pPr>
      <w:r w:rsidRPr="009F227C">
        <w:t>MARY ANNE HELTON, ESQUIRE, Deputy General Counsel, Florida Public Service Commission, 2540 Shumard Oak Boulevard, Tallahassee, Florida 32399-0850</w:t>
      </w:r>
    </w:p>
    <w:p w14:paraId="11609883" w14:textId="77777777" w:rsidR="00240DCF" w:rsidRPr="009F227C" w:rsidRDefault="00240DCF" w:rsidP="00240DCF">
      <w:pPr>
        <w:ind w:left="720" w:firstLine="720"/>
        <w:jc w:val="both"/>
      </w:pPr>
      <w:r w:rsidRPr="009F227C">
        <w:rPr>
          <w:u w:val="single"/>
        </w:rPr>
        <w:t>Advisor to the Florida Public Service Commission</w:t>
      </w:r>
      <w:r w:rsidRPr="009F227C">
        <w:t>.</w:t>
      </w:r>
    </w:p>
    <w:p w14:paraId="41C79DA0" w14:textId="77777777" w:rsidR="00240DCF" w:rsidRPr="009F227C" w:rsidRDefault="00240DCF" w:rsidP="00240DCF">
      <w:pPr>
        <w:jc w:val="center"/>
        <w:rPr>
          <w:b/>
          <w:bCs/>
          <w:u w:val="single"/>
        </w:rPr>
      </w:pPr>
    </w:p>
    <w:p w14:paraId="21F6DA45" w14:textId="77777777" w:rsidR="00240DCF" w:rsidRPr="009F227C" w:rsidRDefault="00240DCF" w:rsidP="00240DCF">
      <w:pPr>
        <w:ind w:left="1440"/>
        <w:jc w:val="both"/>
      </w:pPr>
      <w:r w:rsidRPr="009F227C">
        <w:lastRenderedPageBreak/>
        <w:t>KEITH C. HETRICK, ESQUIRE, General Counsel, Florida Public Service Commission, 2540 Shumard Oak Boulevard, Tallahassee, Florida 32399-0850</w:t>
      </w:r>
    </w:p>
    <w:p w14:paraId="16204610" w14:textId="77777777" w:rsidR="00240DCF" w:rsidRPr="009F227C" w:rsidRDefault="00240DCF" w:rsidP="00240DCF">
      <w:pPr>
        <w:ind w:left="720" w:firstLine="720"/>
        <w:jc w:val="both"/>
      </w:pPr>
      <w:r w:rsidRPr="009F227C">
        <w:rPr>
          <w:u w:val="single"/>
        </w:rPr>
        <w:t>Florida Public Service Commission General Counsel</w:t>
      </w:r>
      <w:r w:rsidRPr="009F227C">
        <w:t>.</w:t>
      </w:r>
    </w:p>
    <w:p w14:paraId="6F2C81BE" w14:textId="77777777" w:rsidR="00240DCF" w:rsidRPr="009F227C" w:rsidRDefault="00240DCF" w:rsidP="00D323BF">
      <w:pPr>
        <w:pStyle w:val="OrderBody"/>
      </w:pPr>
    </w:p>
    <w:p w14:paraId="197A3D21" w14:textId="77777777" w:rsidR="00D323BF" w:rsidRPr="009F227C" w:rsidRDefault="00D323BF" w:rsidP="00D323BF">
      <w:pPr>
        <w:pStyle w:val="OrderBody"/>
      </w:pPr>
    </w:p>
    <w:p w14:paraId="0187CC12" w14:textId="77777777" w:rsidR="00D323BF" w:rsidRPr="009F227C" w:rsidRDefault="00D323BF" w:rsidP="00D323BF">
      <w:pPr>
        <w:pStyle w:val="OrderBody"/>
        <w:jc w:val="center"/>
        <w:rPr>
          <w:b/>
        </w:rPr>
      </w:pPr>
      <w:bookmarkStart w:id="5" w:name="OrderText"/>
      <w:bookmarkEnd w:id="5"/>
      <w:r w:rsidRPr="009F227C">
        <w:rPr>
          <w:b/>
        </w:rPr>
        <w:t>Table of Contents</w:t>
      </w:r>
    </w:p>
    <w:p w14:paraId="51AC810A" w14:textId="77777777" w:rsidR="00D323BF" w:rsidRPr="009F227C" w:rsidRDefault="00D323BF" w:rsidP="00D323BF">
      <w:pPr>
        <w:pStyle w:val="OrderBody"/>
        <w:jc w:val="center"/>
      </w:pPr>
    </w:p>
    <w:p w14:paraId="07895A3F" w14:textId="77777777" w:rsidR="00C6598C" w:rsidRPr="009F227C" w:rsidRDefault="00D323BF" w:rsidP="00D323BF">
      <w:pPr>
        <w:pStyle w:val="OrderBody"/>
        <w:tabs>
          <w:tab w:val="left" w:pos="720"/>
          <w:tab w:val="right" w:pos="9360"/>
        </w:tabs>
        <w:rPr>
          <w:b/>
        </w:rPr>
      </w:pPr>
      <w:r w:rsidRPr="009F227C">
        <w:rPr>
          <w:b/>
        </w:rPr>
        <w:t>Issue</w:t>
      </w:r>
      <w:r w:rsidRPr="009F227C">
        <w:rPr>
          <w:b/>
        </w:rPr>
        <w:tab/>
        <w:t>Description</w:t>
      </w:r>
    </w:p>
    <w:sdt>
      <w:sdtPr>
        <w:rPr>
          <w:rFonts w:ascii="Times New Roman" w:eastAsia="Times New Roman" w:hAnsi="Times New Roman" w:cs="Times New Roman"/>
          <w:color w:val="auto"/>
          <w:sz w:val="24"/>
          <w:szCs w:val="24"/>
        </w:rPr>
        <w:id w:val="-940757973"/>
        <w:docPartObj>
          <w:docPartGallery w:val="Table of Contents"/>
          <w:docPartUnique/>
        </w:docPartObj>
      </w:sdtPr>
      <w:sdtEndPr>
        <w:rPr>
          <w:b/>
          <w:bCs/>
          <w:noProof/>
        </w:rPr>
      </w:sdtEndPr>
      <w:sdtContent>
        <w:p w14:paraId="70BC5850" w14:textId="357B3300" w:rsidR="00F57636" w:rsidRPr="00F57636" w:rsidRDefault="00F57636">
          <w:pPr>
            <w:pStyle w:val="TOCHeading"/>
            <w:rPr>
              <w:color w:val="auto"/>
            </w:rPr>
          </w:pPr>
        </w:p>
        <w:p w14:paraId="13C756DC" w14:textId="0E4F9632" w:rsidR="00F57636" w:rsidRDefault="00F5763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"1-2" \u </w:instrText>
          </w:r>
          <w:r>
            <w:fldChar w:fldCharType="separate"/>
          </w:r>
          <w:r w:rsidRPr="0073286A">
            <w:rPr>
              <w:b/>
              <w:bCs/>
              <w:noProof/>
              <w:kern w:val="32"/>
            </w:rPr>
            <w:t>ACRONYM TABLE</w:t>
          </w:r>
          <w:r>
            <w:rPr>
              <w:noProof/>
            </w:rPr>
            <w:tab/>
          </w:r>
          <w:r>
            <w:rPr>
              <w:noProof/>
            </w:rPr>
            <w:fldChar w:fldCharType="begin"/>
          </w:r>
          <w:r>
            <w:rPr>
              <w:noProof/>
            </w:rPr>
            <w:instrText xml:space="preserve"> PAGEREF _Toc199321434 \h </w:instrText>
          </w:r>
          <w:r>
            <w:rPr>
              <w:noProof/>
            </w:rPr>
          </w:r>
          <w:r>
            <w:rPr>
              <w:noProof/>
            </w:rPr>
            <w:fldChar w:fldCharType="separate"/>
          </w:r>
          <w:r w:rsidR="00157E6F">
            <w:rPr>
              <w:noProof/>
            </w:rPr>
            <w:t>4</w:t>
          </w:r>
          <w:r>
            <w:rPr>
              <w:noProof/>
            </w:rPr>
            <w:fldChar w:fldCharType="end"/>
          </w:r>
        </w:p>
        <w:p w14:paraId="615C020C" w14:textId="5791C88B" w:rsidR="00F57636" w:rsidRDefault="00F57636">
          <w:pPr>
            <w:pStyle w:val="TOC1"/>
            <w:tabs>
              <w:tab w:val="right" w:leader="dot" w:pos="9350"/>
            </w:tabs>
            <w:rPr>
              <w:rFonts w:asciiTheme="minorHAnsi" w:eastAsiaTheme="minorEastAsia" w:hAnsiTheme="minorHAnsi" w:cstheme="minorBidi"/>
              <w:noProof/>
              <w:sz w:val="22"/>
              <w:szCs w:val="22"/>
            </w:rPr>
          </w:pPr>
          <w:r w:rsidRPr="0073286A">
            <w:rPr>
              <w:b/>
              <w:bCs/>
              <w:noProof/>
              <w:kern w:val="32"/>
            </w:rPr>
            <w:t>Background</w:t>
          </w:r>
          <w:r>
            <w:rPr>
              <w:noProof/>
            </w:rPr>
            <w:tab/>
          </w:r>
          <w:r>
            <w:rPr>
              <w:noProof/>
            </w:rPr>
            <w:fldChar w:fldCharType="begin"/>
          </w:r>
          <w:r>
            <w:rPr>
              <w:noProof/>
            </w:rPr>
            <w:instrText xml:space="preserve"> PAGEREF _Toc199321435 \h </w:instrText>
          </w:r>
          <w:r>
            <w:rPr>
              <w:noProof/>
            </w:rPr>
          </w:r>
          <w:r>
            <w:rPr>
              <w:noProof/>
            </w:rPr>
            <w:fldChar w:fldCharType="separate"/>
          </w:r>
          <w:r w:rsidR="00157E6F">
            <w:rPr>
              <w:noProof/>
            </w:rPr>
            <w:t>6</w:t>
          </w:r>
          <w:r>
            <w:rPr>
              <w:noProof/>
            </w:rPr>
            <w:fldChar w:fldCharType="end"/>
          </w:r>
        </w:p>
        <w:p w14:paraId="21C7752E" w14:textId="134A5042" w:rsidR="00F57636" w:rsidRDefault="00F57636">
          <w:pPr>
            <w:pStyle w:val="TOC1"/>
            <w:tabs>
              <w:tab w:val="right" w:leader="dot" w:pos="9350"/>
            </w:tabs>
            <w:rPr>
              <w:rFonts w:asciiTheme="minorHAnsi" w:eastAsiaTheme="minorEastAsia" w:hAnsiTheme="minorHAnsi" w:cstheme="minorBidi"/>
              <w:noProof/>
              <w:sz w:val="22"/>
              <w:szCs w:val="22"/>
            </w:rPr>
          </w:pPr>
          <w:r w:rsidRPr="0073286A">
            <w:rPr>
              <w:b/>
              <w:bCs/>
              <w:noProof/>
              <w:kern w:val="32"/>
            </w:rPr>
            <w:t>Decision</w:t>
          </w:r>
          <w:r>
            <w:rPr>
              <w:noProof/>
            </w:rPr>
            <w:tab/>
          </w:r>
          <w:r>
            <w:rPr>
              <w:noProof/>
            </w:rPr>
            <w:fldChar w:fldCharType="begin"/>
          </w:r>
          <w:r>
            <w:rPr>
              <w:noProof/>
            </w:rPr>
            <w:instrText xml:space="preserve"> PAGEREF _Toc199321436 \h </w:instrText>
          </w:r>
          <w:r>
            <w:rPr>
              <w:noProof/>
            </w:rPr>
          </w:r>
          <w:r>
            <w:rPr>
              <w:noProof/>
            </w:rPr>
            <w:fldChar w:fldCharType="separate"/>
          </w:r>
          <w:r w:rsidR="00157E6F">
            <w:rPr>
              <w:noProof/>
            </w:rPr>
            <w:t>7</w:t>
          </w:r>
          <w:r>
            <w:rPr>
              <w:noProof/>
            </w:rPr>
            <w:fldChar w:fldCharType="end"/>
          </w:r>
        </w:p>
        <w:p w14:paraId="7BE731FC" w14:textId="004B11A0"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
              <w:bCs/>
              <w:noProof/>
              <w:kern w:val="32"/>
            </w:rPr>
            <w:t>I.</w:t>
          </w:r>
          <w:r>
            <w:rPr>
              <w:rFonts w:asciiTheme="minorHAnsi" w:eastAsiaTheme="minorEastAsia" w:hAnsiTheme="minorHAnsi" w:cstheme="minorBidi"/>
              <w:noProof/>
              <w:sz w:val="22"/>
              <w:szCs w:val="22"/>
            </w:rPr>
            <w:tab/>
          </w:r>
          <w:r w:rsidRPr="0073286A">
            <w:rPr>
              <w:b/>
              <w:bCs/>
              <w:noProof/>
              <w:kern w:val="32"/>
            </w:rPr>
            <w:t>Quality of Service</w:t>
          </w:r>
          <w:r>
            <w:rPr>
              <w:noProof/>
            </w:rPr>
            <w:tab/>
          </w:r>
          <w:r>
            <w:rPr>
              <w:noProof/>
            </w:rPr>
            <w:fldChar w:fldCharType="begin"/>
          </w:r>
          <w:r>
            <w:rPr>
              <w:noProof/>
            </w:rPr>
            <w:instrText xml:space="preserve"> PAGEREF _Toc199321437 \h </w:instrText>
          </w:r>
          <w:r>
            <w:rPr>
              <w:noProof/>
            </w:rPr>
          </w:r>
          <w:r>
            <w:rPr>
              <w:noProof/>
            </w:rPr>
            <w:fldChar w:fldCharType="separate"/>
          </w:r>
          <w:r w:rsidR="00157E6F">
            <w:rPr>
              <w:noProof/>
            </w:rPr>
            <w:t>7</w:t>
          </w:r>
          <w:r>
            <w:rPr>
              <w:noProof/>
            </w:rPr>
            <w:fldChar w:fldCharType="end"/>
          </w:r>
        </w:p>
        <w:p w14:paraId="6F758D4D" w14:textId="3ED0158D"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A.</w:t>
          </w:r>
          <w:r>
            <w:rPr>
              <w:rFonts w:asciiTheme="minorHAnsi" w:eastAsiaTheme="minorEastAsia" w:hAnsiTheme="minorHAnsi" w:cstheme="minorBidi"/>
              <w:noProof/>
              <w:sz w:val="22"/>
              <w:szCs w:val="22"/>
            </w:rPr>
            <w:tab/>
          </w:r>
          <w:r w:rsidRPr="0073286A">
            <w:rPr>
              <w:bCs/>
              <w:noProof/>
              <w:kern w:val="32"/>
              <w:u w:val="single"/>
            </w:rPr>
            <w:t>Quality of Service (Issue 1)</w:t>
          </w:r>
          <w:r>
            <w:rPr>
              <w:noProof/>
            </w:rPr>
            <w:tab/>
          </w:r>
          <w:r>
            <w:rPr>
              <w:noProof/>
            </w:rPr>
            <w:fldChar w:fldCharType="begin"/>
          </w:r>
          <w:r>
            <w:rPr>
              <w:noProof/>
            </w:rPr>
            <w:instrText xml:space="preserve"> PAGEREF _Toc199321438 \h </w:instrText>
          </w:r>
          <w:r>
            <w:rPr>
              <w:noProof/>
            </w:rPr>
          </w:r>
          <w:r>
            <w:rPr>
              <w:noProof/>
            </w:rPr>
            <w:fldChar w:fldCharType="separate"/>
          </w:r>
          <w:r w:rsidR="00157E6F">
            <w:rPr>
              <w:noProof/>
            </w:rPr>
            <w:t>7</w:t>
          </w:r>
          <w:r>
            <w:rPr>
              <w:noProof/>
            </w:rPr>
            <w:fldChar w:fldCharType="end"/>
          </w:r>
        </w:p>
        <w:p w14:paraId="0BBAAD73" w14:textId="1B7FBB06"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B.</w:t>
          </w:r>
          <w:r>
            <w:rPr>
              <w:rFonts w:asciiTheme="minorHAnsi" w:eastAsiaTheme="minorEastAsia" w:hAnsiTheme="minorHAnsi" w:cstheme="minorBidi"/>
              <w:noProof/>
              <w:sz w:val="22"/>
              <w:szCs w:val="22"/>
            </w:rPr>
            <w:tab/>
          </w:r>
          <w:r w:rsidRPr="0073286A">
            <w:rPr>
              <w:bCs/>
              <w:noProof/>
              <w:kern w:val="32"/>
              <w:u w:val="single"/>
            </w:rPr>
            <w:t>Overall Value (Issue 1A)</w:t>
          </w:r>
          <w:r>
            <w:rPr>
              <w:noProof/>
            </w:rPr>
            <w:tab/>
          </w:r>
          <w:r>
            <w:rPr>
              <w:noProof/>
            </w:rPr>
            <w:fldChar w:fldCharType="begin"/>
          </w:r>
          <w:r>
            <w:rPr>
              <w:noProof/>
            </w:rPr>
            <w:instrText xml:space="preserve"> PAGEREF _Toc199321439 \h </w:instrText>
          </w:r>
          <w:r>
            <w:rPr>
              <w:noProof/>
            </w:rPr>
          </w:r>
          <w:r>
            <w:rPr>
              <w:noProof/>
            </w:rPr>
            <w:fldChar w:fldCharType="separate"/>
          </w:r>
          <w:r w:rsidR="00157E6F">
            <w:rPr>
              <w:noProof/>
            </w:rPr>
            <w:t>14</w:t>
          </w:r>
          <w:r>
            <w:rPr>
              <w:noProof/>
            </w:rPr>
            <w:fldChar w:fldCharType="end"/>
          </w:r>
        </w:p>
        <w:p w14:paraId="139CCC9A" w14:textId="603EC302" w:rsidR="00F57636" w:rsidRDefault="00F57636">
          <w:pPr>
            <w:pStyle w:val="TOC1"/>
            <w:tabs>
              <w:tab w:val="left" w:pos="480"/>
              <w:tab w:val="right" w:leader="dot" w:pos="9350"/>
            </w:tabs>
            <w:rPr>
              <w:noProof/>
            </w:rPr>
          </w:pPr>
          <w:r w:rsidRPr="0073286A">
            <w:rPr>
              <w:bCs/>
              <w:noProof/>
              <w:kern w:val="32"/>
            </w:rPr>
            <w:t>C.</w:t>
          </w:r>
          <w:r>
            <w:rPr>
              <w:rFonts w:asciiTheme="minorHAnsi" w:eastAsiaTheme="minorEastAsia" w:hAnsiTheme="minorHAnsi" w:cstheme="minorBidi"/>
              <w:noProof/>
              <w:sz w:val="22"/>
              <w:szCs w:val="22"/>
            </w:rPr>
            <w:tab/>
          </w:r>
          <w:r w:rsidRPr="0073286A">
            <w:rPr>
              <w:noProof/>
              <w:u w:val="single"/>
            </w:rPr>
            <w:t>Infrastructure and Operating Conditions (Issue 2)</w:t>
          </w:r>
          <w:r>
            <w:rPr>
              <w:noProof/>
            </w:rPr>
            <w:tab/>
          </w:r>
          <w:r>
            <w:rPr>
              <w:noProof/>
            </w:rPr>
            <w:fldChar w:fldCharType="begin"/>
          </w:r>
          <w:r>
            <w:rPr>
              <w:noProof/>
            </w:rPr>
            <w:instrText xml:space="preserve"> PAGEREF _Toc199321440 \h </w:instrText>
          </w:r>
          <w:r>
            <w:rPr>
              <w:noProof/>
            </w:rPr>
          </w:r>
          <w:r>
            <w:rPr>
              <w:noProof/>
            </w:rPr>
            <w:fldChar w:fldCharType="separate"/>
          </w:r>
          <w:r w:rsidR="00157E6F">
            <w:rPr>
              <w:noProof/>
            </w:rPr>
            <w:t>17</w:t>
          </w:r>
          <w:r>
            <w:rPr>
              <w:noProof/>
            </w:rPr>
            <w:fldChar w:fldCharType="end"/>
          </w:r>
        </w:p>
        <w:p w14:paraId="19BC0D97" w14:textId="1A8C9302" w:rsidR="005F319C" w:rsidRPr="005F319C" w:rsidRDefault="005F319C" w:rsidP="005F319C">
          <w:pPr>
            <w:pStyle w:val="TOC1"/>
            <w:tabs>
              <w:tab w:val="left" w:pos="480"/>
              <w:tab w:val="right" w:leader="dot" w:pos="9350"/>
            </w:tabs>
            <w:rPr>
              <w:rFonts w:asciiTheme="minorHAnsi" w:eastAsiaTheme="minorEastAsia" w:hAnsiTheme="minorHAnsi" w:cstheme="minorBidi"/>
              <w:noProof/>
              <w:sz w:val="22"/>
              <w:szCs w:val="22"/>
            </w:rPr>
          </w:pPr>
          <w:r w:rsidRPr="0073286A">
            <w:rPr>
              <w:b/>
              <w:bCs/>
              <w:noProof/>
              <w:kern w:val="32"/>
            </w:rPr>
            <w:t>I</w:t>
          </w:r>
          <w:r>
            <w:rPr>
              <w:b/>
              <w:bCs/>
              <w:noProof/>
              <w:kern w:val="32"/>
            </w:rPr>
            <w:t>I</w:t>
          </w:r>
          <w:r w:rsidRPr="0073286A">
            <w:rPr>
              <w:b/>
              <w:bCs/>
              <w:noProof/>
              <w:kern w:val="32"/>
            </w:rPr>
            <w:t>.</w:t>
          </w:r>
          <w:r>
            <w:rPr>
              <w:rFonts w:asciiTheme="minorHAnsi" w:eastAsiaTheme="minorEastAsia" w:hAnsiTheme="minorHAnsi" w:cstheme="minorBidi"/>
              <w:noProof/>
              <w:sz w:val="22"/>
              <w:szCs w:val="22"/>
            </w:rPr>
            <w:tab/>
          </w:r>
          <w:r>
            <w:rPr>
              <w:b/>
              <w:bCs/>
              <w:noProof/>
              <w:kern w:val="32"/>
            </w:rPr>
            <w:t>Pro Forma Plant</w:t>
          </w:r>
          <w:r>
            <w:rPr>
              <w:noProof/>
            </w:rPr>
            <w:tab/>
          </w:r>
          <w:r w:rsidR="00E05DEC">
            <w:rPr>
              <w:noProof/>
            </w:rPr>
            <w:t>19</w:t>
          </w:r>
        </w:p>
        <w:p w14:paraId="0161EFCA" w14:textId="48BF9ED8"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A.</w:t>
          </w:r>
          <w:r>
            <w:rPr>
              <w:rFonts w:asciiTheme="minorHAnsi" w:eastAsiaTheme="minorEastAsia" w:hAnsiTheme="minorHAnsi" w:cstheme="minorBidi"/>
              <w:noProof/>
              <w:sz w:val="22"/>
              <w:szCs w:val="22"/>
            </w:rPr>
            <w:tab/>
          </w:r>
          <w:r w:rsidRPr="0073286A">
            <w:rPr>
              <w:bCs/>
              <w:noProof/>
              <w:kern w:val="32"/>
              <w:u w:val="single"/>
            </w:rPr>
            <w:t>Advanced Metering Infrastructure (AMI)(Issue 4A)</w:t>
          </w:r>
          <w:r>
            <w:rPr>
              <w:noProof/>
            </w:rPr>
            <w:tab/>
          </w:r>
          <w:r>
            <w:rPr>
              <w:noProof/>
            </w:rPr>
            <w:fldChar w:fldCharType="begin"/>
          </w:r>
          <w:r>
            <w:rPr>
              <w:noProof/>
            </w:rPr>
            <w:instrText xml:space="preserve"> PAGEREF _Toc199321441 \h </w:instrText>
          </w:r>
          <w:r>
            <w:rPr>
              <w:noProof/>
            </w:rPr>
          </w:r>
          <w:r>
            <w:rPr>
              <w:noProof/>
            </w:rPr>
            <w:fldChar w:fldCharType="separate"/>
          </w:r>
          <w:r w:rsidR="00157E6F">
            <w:rPr>
              <w:noProof/>
            </w:rPr>
            <w:t>19</w:t>
          </w:r>
          <w:r>
            <w:rPr>
              <w:noProof/>
            </w:rPr>
            <w:fldChar w:fldCharType="end"/>
          </w:r>
        </w:p>
        <w:p w14:paraId="2538C292" w14:textId="2AA3FAB7"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B.</w:t>
          </w:r>
          <w:r>
            <w:rPr>
              <w:rFonts w:asciiTheme="minorHAnsi" w:eastAsiaTheme="minorEastAsia" w:hAnsiTheme="minorHAnsi" w:cstheme="minorBidi"/>
              <w:noProof/>
              <w:sz w:val="22"/>
              <w:szCs w:val="22"/>
            </w:rPr>
            <w:tab/>
          </w:r>
          <w:r w:rsidRPr="0073286A">
            <w:rPr>
              <w:bCs/>
              <w:noProof/>
              <w:kern w:val="32"/>
              <w:u w:val="single"/>
            </w:rPr>
            <w:t>Pro Forma Plant (Issue 4)</w:t>
          </w:r>
          <w:r>
            <w:rPr>
              <w:noProof/>
            </w:rPr>
            <w:tab/>
          </w:r>
          <w:r>
            <w:rPr>
              <w:noProof/>
            </w:rPr>
            <w:fldChar w:fldCharType="begin"/>
          </w:r>
          <w:r>
            <w:rPr>
              <w:noProof/>
            </w:rPr>
            <w:instrText xml:space="preserve"> PAGEREF _Toc199321442 \h </w:instrText>
          </w:r>
          <w:r>
            <w:rPr>
              <w:noProof/>
            </w:rPr>
          </w:r>
          <w:r>
            <w:rPr>
              <w:noProof/>
            </w:rPr>
            <w:fldChar w:fldCharType="separate"/>
          </w:r>
          <w:r w:rsidR="00157E6F">
            <w:rPr>
              <w:noProof/>
            </w:rPr>
            <w:t>23</w:t>
          </w:r>
          <w:r>
            <w:rPr>
              <w:noProof/>
            </w:rPr>
            <w:fldChar w:fldCharType="end"/>
          </w:r>
        </w:p>
        <w:p w14:paraId="0D8D18A2" w14:textId="018169B6" w:rsidR="00F57636" w:rsidRDefault="00F57636">
          <w:pPr>
            <w:pStyle w:val="TOC1"/>
            <w:tabs>
              <w:tab w:val="left" w:pos="480"/>
              <w:tab w:val="right" w:leader="dot" w:pos="9350"/>
            </w:tabs>
            <w:rPr>
              <w:noProof/>
            </w:rPr>
          </w:pPr>
          <w:r w:rsidRPr="0073286A">
            <w:rPr>
              <w:bCs/>
              <w:noProof/>
              <w:kern w:val="32"/>
            </w:rPr>
            <w:t>C.</w:t>
          </w:r>
          <w:r>
            <w:rPr>
              <w:rFonts w:asciiTheme="minorHAnsi" w:eastAsiaTheme="minorEastAsia" w:hAnsiTheme="minorHAnsi" w:cstheme="minorBidi"/>
              <w:noProof/>
              <w:sz w:val="22"/>
              <w:szCs w:val="22"/>
            </w:rPr>
            <w:tab/>
          </w:r>
          <w:r w:rsidRPr="0073286A">
            <w:rPr>
              <w:bCs/>
              <w:noProof/>
              <w:kern w:val="32"/>
              <w:u w:val="single"/>
            </w:rPr>
            <w:t>Plant Retirement (Issue 5)</w:t>
          </w:r>
          <w:r>
            <w:rPr>
              <w:noProof/>
            </w:rPr>
            <w:tab/>
          </w:r>
          <w:r>
            <w:rPr>
              <w:noProof/>
            </w:rPr>
            <w:fldChar w:fldCharType="begin"/>
          </w:r>
          <w:r>
            <w:rPr>
              <w:noProof/>
            </w:rPr>
            <w:instrText xml:space="preserve"> PAGEREF _Toc199321443 \h </w:instrText>
          </w:r>
          <w:r>
            <w:rPr>
              <w:noProof/>
            </w:rPr>
          </w:r>
          <w:r>
            <w:rPr>
              <w:noProof/>
            </w:rPr>
            <w:fldChar w:fldCharType="separate"/>
          </w:r>
          <w:r w:rsidR="00157E6F">
            <w:rPr>
              <w:noProof/>
            </w:rPr>
            <w:t>42</w:t>
          </w:r>
          <w:r>
            <w:rPr>
              <w:noProof/>
            </w:rPr>
            <w:fldChar w:fldCharType="end"/>
          </w:r>
        </w:p>
        <w:p w14:paraId="1A16E9D6" w14:textId="4BBBFE22" w:rsidR="005F319C" w:rsidRPr="005F319C" w:rsidRDefault="005F319C" w:rsidP="005F319C">
          <w:pPr>
            <w:pStyle w:val="TOC1"/>
            <w:tabs>
              <w:tab w:val="left" w:pos="480"/>
              <w:tab w:val="right" w:leader="dot" w:pos="9350"/>
            </w:tabs>
            <w:rPr>
              <w:rFonts w:asciiTheme="minorHAnsi" w:eastAsiaTheme="minorEastAsia" w:hAnsiTheme="minorHAnsi" w:cstheme="minorBidi"/>
              <w:noProof/>
              <w:sz w:val="22"/>
              <w:szCs w:val="22"/>
            </w:rPr>
          </w:pPr>
          <w:r w:rsidRPr="0073286A">
            <w:rPr>
              <w:b/>
              <w:bCs/>
              <w:noProof/>
              <w:kern w:val="32"/>
            </w:rPr>
            <w:t>I</w:t>
          </w:r>
          <w:r>
            <w:rPr>
              <w:b/>
              <w:bCs/>
              <w:noProof/>
              <w:kern w:val="32"/>
            </w:rPr>
            <w:t>II</w:t>
          </w:r>
          <w:r w:rsidRPr="0073286A">
            <w:rPr>
              <w:b/>
              <w:bCs/>
              <w:noProof/>
              <w:kern w:val="32"/>
            </w:rPr>
            <w:t>.</w:t>
          </w:r>
          <w:r>
            <w:rPr>
              <w:rFonts w:asciiTheme="minorHAnsi" w:eastAsiaTheme="minorEastAsia" w:hAnsiTheme="minorHAnsi" w:cstheme="minorBidi"/>
              <w:noProof/>
              <w:sz w:val="22"/>
              <w:szCs w:val="22"/>
            </w:rPr>
            <w:tab/>
          </w:r>
          <w:r>
            <w:rPr>
              <w:b/>
              <w:bCs/>
              <w:noProof/>
              <w:kern w:val="32"/>
            </w:rPr>
            <w:t>Rate Base</w:t>
          </w:r>
          <w:r>
            <w:rPr>
              <w:noProof/>
            </w:rPr>
            <w:tab/>
            <w:t>43</w:t>
          </w:r>
        </w:p>
        <w:p w14:paraId="78F6C9AA" w14:textId="74B1A211"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A.</w:t>
          </w:r>
          <w:r>
            <w:rPr>
              <w:rFonts w:asciiTheme="minorHAnsi" w:eastAsiaTheme="minorEastAsia" w:hAnsiTheme="minorHAnsi" w:cstheme="minorBidi"/>
              <w:noProof/>
              <w:sz w:val="22"/>
              <w:szCs w:val="22"/>
            </w:rPr>
            <w:tab/>
          </w:r>
          <w:r w:rsidRPr="0073286A">
            <w:rPr>
              <w:bCs/>
              <w:noProof/>
              <w:kern w:val="32"/>
              <w:u w:val="single"/>
            </w:rPr>
            <w:t>Test Year Plant-In-Service Adjustments (Issue 3)</w:t>
          </w:r>
          <w:r>
            <w:rPr>
              <w:noProof/>
            </w:rPr>
            <w:tab/>
          </w:r>
          <w:r>
            <w:rPr>
              <w:noProof/>
            </w:rPr>
            <w:fldChar w:fldCharType="begin"/>
          </w:r>
          <w:r>
            <w:rPr>
              <w:noProof/>
            </w:rPr>
            <w:instrText xml:space="preserve"> PAGEREF _Toc199321444 \h </w:instrText>
          </w:r>
          <w:r>
            <w:rPr>
              <w:noProof/>
            </w:rPr>
          </w:r>
          <w:r>
            <w:rPr>
              <w:noProof/>
            </w:rPr>
            <w:fldChar w:fldCharType="separate"/>
          </w:r>
          <w:r w:rsidR="00157E6F">
            <w:rPr>
              <w:noProof/>
            </w:rPr>
            <w:t>43</w:t>
          </w:r>
          <w:r>
            <w:rPr>
              <w:noProof/>
            </w:rPr>
            <w:fldChar w:fldCharType="end"/>
          </w:r>
        </w:p>
        <w:p w14:paraId="2EA379E7" w14:textId="5DC429C7"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B.</w:t>
          </w:r>
          <w:r>
            <w:rPr>
              <w:rFonts w:asciiTheme="minorHAnsi" w:eastAsiaTheme="minorEastAsia" w:hAnsiTheme="minorHAnsi" w:cstheme="minorBidi"/>
              <w:noProof/>
              <w:sz w:val="22"/>
              <w:szCs w:val="22"/>
            </w:rPr>
            <w:tab/>
          </w:r>
          <w:r w:rsidRPr="0073286A">
            <w:rPr>
              <w:noProof/>
              <w:u w:val="single"/>
            </w:rPr>
            <w:t>Excessive Unaccounted for Water (Issue 6)</w:t>
          </w:r>
          <w:r>
            <w:rPr>
              <w:noProof/>
            </w:rPr>
            <w:tab/>
          </w:r>
          <w:r>
            <w:rPr>
              <w:noProof/>
            </w:rPr>
            <w:fldChar w:fldCharType="begin"/>
          </w:r>
          <w:r>
            <w:rPr>
              <w:noProof/>
            </w:rPr>
            <w:instrText xml:space="preserve"> PAGEREF _Toc199321445 \h </w:instrText>
          </w:r>
          <w:r>
            <w:rPr>
              <w:noProof/>
            </w:rPr>
          </w:r>
          <w:r>
            <w:rPr>
              <w:noProof/>
            </w:rPr>
            <w:fldChar w:fldCharType="separate"/>
          </w:r>
          <w:r w:rsidR="00157E6F">
            <w:rPr>
              <w:noProof/>
            </w:rPr>
            <w:t>44</w:t>
          </w:r>
          <w:r>
            <w:rPr>
              <w:noProof/>
            </w:rPr>
            <w:fldChar w:fldCharType="end"/>
          </w:r>
        </w:p>
        <w:p w14:paraId="50886DCE" w14:textId="5A6E93FA"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C.</w:t>
          </w:r>
          <w:r>
            <w:rPr>
              <w:rFonts w:asciiTheme="minorHAnsi" w:eastAsiaTheme="minorEastAsia" w:hAnsiTheme="minorHAnsi" w:cstheme="minorBidi"/>
              <w:noProof/>
              <w:sz w:val="22"/>
              <w:szCs w:val="22"/>
            </w:rPr>
            <w:tab/>
          </w:r>
          <w:r w:rsidRPr="0073286A">
            <w:rPr>
              <w:noProof/>
              <w:u w:val="single"/>
            </w:rPr>
            <w:t>Excessive Infiltration and/or Inflow (Issue 7)</w:t>
          </w:r>
          <w:r>
            <w:rPr>
              <w:noProof/>
            </w:rPr>
            <w:tab/>
          </w:r>
          <w:r>
            <w:rPr>
              <w:noProof/>
            </w:rPr>
            <w:fldChar w:fldCharType="begin"/>
          </w:r>
          <w:r>
            <w:rPr>
              <w:noProof/>
            </w:rPr>
            <w:instrText xml:space="preserve"> PAGEREF _Toc199321446 \h </w:instrText>
          </w:r>
          <w:r>
            <w:rPr>
              <w:noProof/>
            </w:rPr>
          </w:r>
          <w:r>
            <w:rPr>
              <w:noProof/>
            </w:rPr>
            <w:fldChar w:fldCharType="separate"/>
          </w:r>
          <w:r w:rsidR="00157E6F">
            <w:rPr>
              <w:noProof/>
            </w:rPr>
            <w:t>44</w:t>
          </w:r>
          <w:r>
            <w:rPr>
              <w:noProof/>
            </w:rPr>
            <w:fldChar w:fldCharType="end"/>
          </w:r>
        </w:p>
        <w:p w14:paraId="1CE95E57" w14:textId="43F08837"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sidRPr="0073286A">
            <w:rPr>
              <w:noProof/>
              <w:u w:val="single"/>
            </w:rPr>
            <w:t>Used and Useful (U&amp;U) – Water Treatment (Issue 8)</w:t>
          </w:r>
          <w:r>
            <w:rPr>
              <w:noProof/>
            </w:rPr>
            <w:tab/>
          </w:r>
          <w:r>
            <w:rPr>
              <w:noProof/>
            </w:rPr>
            <w:fldChar w:fldCharType="begin"/>
          </w:r>
          <w:r>
            <w:rPr>
              <w:noProof/>
            </w:rPr>
            <w:instrText xml:space="preserve"> PAGEREF _Toc199321447 \h </w:instrText>
          </w:r>
          <w:r>
            <w:rPr>
              <w:noProof/>
            </w:rPr>
          </w:r>
          <w:r>
            <w:rPr>
              <w:noProof/>
            </w:rPr>
            <w:fldChar w:fldCharType="separate"/>
          </w:r>
          <w:r w:rsidR="00157E6F">
            <w:rPr>
              <w:noProof/>
            </w:rPr>
            <w:t>44</w:t>
          </w:r>
          <w:r>
            <w:rPr>
              <w:noProof/>
            </w:rPr>
            <w:fldChar w:fldCharType="end"/>
          </w:r>
        </w:p>
        <w:p w14:paraId="3FD4F5AA" w14:textId="761B1D20"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E.</w:t>
          </w:r>
          <w:r>
            <w:rPr>
              <w:rFonts w:asciiTheme="minorHAnsi" w:eastAsiaTheme="minorEastAsia" w:hAnsiTheme="minorHAnsi" w:cstheme="minorBidi"/>
              <w:noProof/>
              <w:sz w:val="22"/>
              <w:szCs w:val="22"/>
            </w:rPr>
            <w:tab/>
          </w:r>
          <w:r w:rsidRPr="0073286A">
            <w:rPr>
              <w:noProof/>
              <w:u w:val="single"/>
            </w:rPr>
            <w:t>U&amp;U Water Storage (Issue 9)</w:t>
          </w:r>
          <w:r>
            <w:rPr>
              <w:noProof/>
            </w:rPr>
            <w:tab/>
          </w:r>
          <w:r>
            <w:rPr>
              <w:noProof/>
            </w:rPr>
            <w:fldChar w:fldCharType="begin"/>
          </w:r>
          <w:r>
            <w:rPr>
              <w:noProof/>
            </w:rPr>
            <w:instrText xml:space="preserve"> PAGEREF _Toc199321448 \h </w:instrText>
          </w:r>
          <w:r>
            <w:rPr>
              <w:noProof/>
            </w:rPr>
          </w:r>
          <w:r>
            <w:rPr>
              <w:noProof/>
            </w:rPr>
            <w:fldChar w:fldCharType="separate"/>
          </w:r>
          <w:r w:rsidR="00157E6F">
            <w:rPr>
              <w:noProof/>
            </w:rPr>
            <w:t>44</w:t>
          </w:r>
          <w:r>
            <w:rPr>
              <w:noProof/>
            </w:rPr>
            <w:fldChar w:fldCharType="end"/>
          </w:r>
        </w:p>
        <w:p w14:paraId="67E14E3A" w14:textId="741F814C"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F.</w:t>
          </w:r>
          <w:r>
            <w:rPr>
              <w:rFonts w:asciiTheme="minorHAnsi" w:eastAsiaTheme="minorEastAsia" w:hAnsiTheme="minorHAnsi" w:cstheme="minorBidi"/>
              <w:noProof/>
              <w:sz w:val="22"/>
              <w:szCs w:val="22"/>
            </w:rPr>
            <w:tab/>
          </w:r>
          <w:r w:rsidRPr="0073286A">
            <w:rPr>
              <w:noProof/>
              <w:u w:val="single"/>
            </w:rPr>
            <w:t>U&amp;U Water Distribution (Issue 10)</w:t>
          </w:r>
          <w:r>
            <w:rPr>
              <w:noProof/>
            </w:rPr>
            <w:tab/>
          </w:r>
          <w:r>
            <w:rPr>
              <w:noProof/>
            </w:rPr>
            <w:fldChar w:fldCharType="begin"/>
          </w:r>
          <w:r>
            <w:rPr>
              <w:noProof/>
            </w:rPr>
            <w:instrText xml:space="preserve"> PAGEREF _Toc199321449 \h </w:instrText>
          </w:r>
          <w:r>
            <w:rPr>
              <w:noProof/>
            </w:rPr>
          </w:r>
          <w:r>
            <w:rPr>
              <w:noProof/>
            </w:rPr>
            <w:fldChar w:fldCharType="separate"/>
          </w:r>
          <w:r w:rsidR="00157E6F">
            <w:rPr>
              <w:noProof/>
            </w:rPr>
            <w:t>45</w:t>
          </w:r>
          <w:r>
            <w:rPr>
              <w:noProof/>
            </w:rPr>
            <w:fldChar w:fldCharType="end"/>
          </w:r>
        </w:p>
        <w:p w14:paraId="4982EE3F" w14:textId="40BE9135"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G.</w:t>
          </w:r>
          <w:r>
            <w:rPr>
              <w:rFonts w:asciiTheme="minorHAnsi" w:eastAsiaTheme="minorEastAsia" w:hAnsiTheme="minorHAnsi" w:cstheme="minorBidi"/>
              <w:noProof/>
              <w:sz w:val="22"/>
              <w:szCs w:val="22"/>
            </w:rPr>
            <w:tab/>
          </w:r>
          <w:r w:rsidRPr="0073286A">
            <w:rPr>
              <w:noProof/>
              <w:u w:val="single"/>
            </w:rPr>
            <w:t>U&amp;U Wastewater Treatment (Issue 11)</w:t>
          </w:r>
          <w:r>
            <w:rPr>
              <w:noProof/>
            </w:rPr>
            <w:tab/>
          </w:r>
          <w:r>
            <w:rPr>
              <w:noProof/>
            </w:rPr>
            <w:fldChar w:fldCharType="begin"/>
          </w:r>
          <w:r>
            <w:rPr>
              <w:noProof/>
            </w:rPr>
            <w:instrText xml:space="preserve"> PAGEREF _Toc199321450 \h </w:instrText>
          </w:r>
          <w:r>
            <w:rPr>
              <w:noProof/>
            </w:rPr>
          </w:r>
          <w:r>
            <w:rPr>
              <w:noProof/>
            </w:rPr>
            <w:fldChar w:fldCharType="separate"/>
          </w:r>
          <w:r w:rsidR="00157E6F">
            <w:rPr>
              <w:noProof/>
            </w:rPr>
            <w:t>45</w:t>
          </w:r>
          <w:r>
            <w:rPr>
              <w:noProof/>
            </w:rPr>
            <w:fldChar w:fldCharType="end"/>
          </w:r>
        </w:p>
        <w:p w14:paraId="3EFAC54C" w14:textId="3D6D0264"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H.</w:t>
          </w:r>
          <w:r>
            <w:rPr>
              <w:rFonts w:asciiTheme="minorHAnsi" w:eastAsiaTheme="minorEastAsia" w:hAnsiTheme="minorHAnsi" w:cstheme="minorBidi"/>
              <w:noProof/>
              <w:sz w:val="22"/>
              <w:szCs w:val="22"/>
            </w:rPr>
            <w:tab/>
          </w:r>
          <w:r w:rsidRPr="0073286A">
            <w:rPr>
              <w:noProof/>
              <w:u w:val="single"/>
            </w:rPr>
            <w:t>U&amp;U for Collection (Issue 12)</w:t>
          </w:r>
          <w:r>
            <w:rPr>
              <w:noProof/>
            </w:rPr>
            <w:tab/>
          </w:r>
          <w:r>
            <w:rPr>
              <w:noProof/>
            </w:rPr>
            <w:fldChar w:fldCharType="begin"/>
          </w:r>
          <w:r>
            <w:rPr>
              <w:noProof/>
            </w:rPr>
            <w:instrText xml:space="preserve"> PAGEREF _Toc199321451 \h </w:instrText>
          </w:r>
          <w:r>
            <w:rPr>
              <w:noProof/>
            </w:rPr>
          </w:r>
          <w:r>
            <w:rPr>
              <w:noProof/>
            </w:rPr>
            <w:fldChar w:fldCharType="separate"/>
          </w:r>
          <w:r w:rsidR="00157E6F">
            <w:rPr>
              <w:noProof/>
            </w:rPr>
            <w:t>45</w:t>
          </w:r>
          <w:r>
            <w:rPr>
              <w:noProof/>
            </w:rPr>
            <w:fldChar w:fldCharType="end"/>
          </w:r>
        </w:p>
        <w:p w14:paraId="356FC95B" w14:textId="48F35412"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I.</w:t>
          </w:r>
          <w:r>
            <w:rPr>
              <w:rFonts w:asciiTheme="minorHAnsi" w:eastAsiaTheme="minorEastAsia" w:hAnsiTheme="minorHAnsi" w:cstheme="minorBidi"/>
              <w:noProof/>
              <w:sz w:val="22"/>
              <w:szCs w:val="22"/>
            </w:rPr>
            <w:tab/>
          </w:r>
          <w:r w:rsidRPr="0073286A">
            <w:rPr>
              <w:bCs/>
              <w:noProof/>
              <w:kern w:val="32"/>
              <w:u w:val="single"/>
            </w:rPr>
            <w:t>Accumulated Depreciation (Issue 13)</w:t>
          </w:r>
          <w:r>
            <w:rPr>
              <w:noProof/>
            </w:rPr>
            <w:tab/>
          </w:r>
          <w:r>
            <w:rPr>
              <w:noProof/>
            </w:rPr>
            <w:fldChar w:fldCharType="begin"/>
          </w:r>
          <w:r>
            <w:rPr>
              <w:noProof/>
            </w:rPr>
            <w:instrText xml:space="preserve"> PAGEREF _Toc199321452 \h </w:instrText>
          </w:r>
          <w:r>
            <w:rPr>
              <w:noProof/>
            </w:rPr>
          </w:r>
          <w:r>
            <w:rPr>
              <w:noProof/>
            </w:rPr>
            <w:fldChar w:fldCharType="separate"/>
          </w:r>
          <w:r w:rsidR="00157E6F">
            <w:rPr>
              <w:noProof/>
            </w:rPr>
            <w:t>45</w:t>
          </w:r>
          <w:r>
            <w:rPr>
              <w:noProof/>
            </w:rPr>
            <w:fldChar w:fldCharType="end"/>
          </w:r>
        </w:p>
        <w:p w14:paraId="1C8C6C3F" w14:textId="547DC339"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J.</w:t>
          </w:r>
          <w:r>
            <w:rPr>
              <w:rFonts w:asciiTheme="minorHAnsi" w:eastAsiaTheme="minorEastAsia" w:hAnsiTheme="minorHAnsi" w:cstheme="minorBidi"/>
              <w:noProof/>
              <w:sz w:val="22"/>
              <w:szCs w:val="22"/>
            </w:rPr>
            <w:tab/>
          </w:r>
          <w:r w:rsidRPr="0073286A">
            <w:rPr>
              <w:noProof/>
              <w:u w:val="single"/>
            </w:rPr>
            <w:t>Contributions-In-Aid-Of-Construction (CIAC) Balances (Issue 14)</w:t>
          </w:r>
          <w:r>
            <w:rPr>
              <w:noProof/>
            </w:rPr>
            <w:tab/>
          </w:r>
          <w:r>
            <w:rPr>
              <w:noProof/>
            </w:rPr>
            <w:fldChar w:fldCharType="begin"/>
          </w:r>
          <w:r>
            <w:rPr>
              <w:noProof/>
            </w:rPr>
            <w:instrText xml:space="preserve"> PAGEREF _Toc199321453 \h </w:instrText>
          </w:r>
          <w:r>
            <w:rPr>
              <w:noProof/>
            </w:rPr>
          </w:r>
          <w:r>
            <w:rPr>
              <w:noProof/>
            </w:rPr>
            <w:fldChar w:fldCharType="separate"/>
          </w:r>
          <w:r w:rsidR="00157E6F">
            <w:rPr>
              <w:noProof/>
            </w:rPr>
            <w:t>46</w:t>
          </w:r>
          <w:r>
            <w:rPr>
              <w:noProof/>
            </w:rPr>
            <w:fldChar w:fldCharType="end"/>
          </w:r>
        </w:p>
        <w:p w14:paraId="6729CE0E" w14:textId="4C826F60"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K.</w:t>
          </w:r>
          <w:r>
            <w:rPr>
              <w:rFonts w:asciiTheme="minorHAnsi" w:eastAsiaTheme="minorEastAsia" w:hAnsiTheme="minorHAnsi" w:cstheme="minorBidi"/>
              <w:noProof/>
              <w:sz w:val="22"/>
              <w:szCs w:val="22"/>
            </w:rPr>
            <w:tab/>
          </w:r>
          <w:r w:rsidRPr="0073286A">
            <w:rPr>
              <w:noProof/>
              <w:u w:val="single"/>
            </w:rPr>
            <w:t>Accumulated Amortization of CIAC Balances (Issue 15)</w:t>
          </w:r>
          <w:r>
            <w:rPr>
              <w:noProof/>
            </w:rPr>
            <w:tab/>
          </w:r>
          <w:r>
            <w:rPr>
              <w:noProof/>
            </w:rPr>
            <w:fldChar w:fldCharType="begin"/>
          </w:r>
          <w:r>
            <w:rPr>
              <w:noProof/>
            </w:rPr>
            <w:instrText xml:space="preserve"> PAGEREF _Toc199321455 \h </w:instrText>
          </w:r>
          <w:r>
            <w:rPr>
              <w:noProof/>
            </w:rPr>
          </w:r>
          <w:r>
            <w:rPr>
              <w:noProof/>
            </w:rPr>
            <w:fldChar w:fldCharType="separate"/>
          </w:r>
          <w:r w:rsidR="00157E6F">
            <w:rPr>
              <w:noProof/>
            </w:rPr>
            <w:t>47</w:t>
          </w:r>
          <w:r>
            <w:rPr>
              <w:noProof/>
            </w:rPr>
            <w:fldChar w:fldCharType="end"/>
          </w:r>
        </w:p>
        <w:p w14:paraId="49D2EA7E" w14:textId="2DB03865"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L.</w:t>
          </w:r>
          <w:r>
            <w:rPr>
              <w:rFonts w:asciiTheme="minorHAnsi" w:eastAsiaTheme="minorEastAsia" w:hAnsiTheme="minorHAnsi" w:cstheme="minorBidi"/>
              <w:noProof/>
              <w:sz w:val="22"/>
              <w:szCs w:val="22"/>
            </w:rPr>
            <w:tab/>
          </w:r>
          <w:r w:rsidRPr="0073286A">
            <w:rPr>
              <w:noProof/>
              <w:u w:val="single"/>
            </w:rPr>
            <w:t>Working Capital (Issue 16)</w:t>
          </w:r>
          <w:r>
            <w:rPr>
              <w:noProof/>
            </w:rPr>
            <w:tab/>
          </w:r>
          <w:r>
            <w:rPr>
              <w:noProof/>
            </w:rPr>
            <w:fldChar w:fldCharType="begin"/>
          </w:r>
          <w:r>
            <w:rPr>
              <w:noProof/>
            </w:rPr>
            <w:instrText xml:space="preserve"> PAGEREF _Toc199321456 \h </w:instrText>
          </w:r>
          <w:r>
            <w:rPr>
              <w:noProof/>
            </w:rPr>
          </w:r>
          <w:r>
            <w:rPr>
              <w:noProof/>
            </w:rPr>
            <w:fldChar w:fldCharType="separate"/>
          </w:r>
          <w:r w:rsidR="00157E6F">
            <w:rPr>
              <w:noProof/>
            </w:rPr>
            <w:t>48</w:t>
          </w:r>
          <w:r>
            <w:rPr>
              <w:noProof/>
            </w:rPr>
            <w:fldChar w:fldCharType="end"/>
          </w:r>
        </w:p>
        <w:p w14:paraId="3B7AC3D5" w14:textId="5C6D76D1" w:rsidR="00F57636" w:rsidRDefault="00F57636">
          <w:pPr>
            <w:pStyle w:val="TOC1"/>
            <w:tabs>
              <w:tab w:val="left" w:pos="660"/>
              <w:tab w:val="right" w:leader="dot" w:pos="9350"/>
            </w:tabs>
            <w:rPr>
              <w:noProof/>
            </w:rPr>
          </w:pPr>
          <w:r w:rsidRPr="0073286A">
            <w:rPr>
              <w:bCs/>
              <w:noProof/>
              <w:kern w:val="32"/>
            </w:rPr>
            <w:t>M.</w:t>
          </w:r>
          <w:r>
            <w:rPr>
              <w:rFonts w:asciiTheme="minorHAnsi" w:eastAsiaTheme="minorEastAsia" w:hAnsiTheme="minorHAnsi" w:cstheme="minorBidi"/>
              <w:noProof/>
              <w:sz w:val="22"/>
              <w:szCs w:val="22"/>
            </w:rPr>
            <w:tab/>
          </w:r>
          <w:r w:rsidRPr="0073286A">
            <w:rPr>
              <w:noProof/>
              <w:u w:val="single"/>
            </w:rPr>
            <w:t>Test Year Rate Base</w:t>
          </w:r>
          <w:r>
            <w:rPr>
              <w:noProof/>
            </w:rPr>
            <w:tab/>
          </w:r>
          <w:r>
            <w:rPr>
              <w:noProof/>
            </w:rPr>
            <w:fldChar w:fldCharType="begin"/>
          </w:r>
          <w:r>
            <w:rPr>
              <w:noProof/>
            </w:rPr>
            <w:instrText xml:space="preserve"> PAGEREF _Toc199321457 \h </w:instrText>
          </w:r>
          <w:r>
            <w:rPr>
              <w:noProof/>
            </w:rPr>
          </w:r>
          <w:r>
            <w:rPr>
              <w:noProof/>
            </w:rPr>
            <w:fldChar w:fldCharType="separate"/>
          </w:r>
          <w:r w:rsidR="00157E6F">
            <w:rPr>
              <w:noProof/>
            </w:rPr>
            <w:t>49</w:t>
          </w:r>
          <w:r>
            <w:rPr>
              <w:noProof/>
            </w:rPr>
            <w:fldChar w:fldCharType="end"/>
          </w:r>
        </w:p>
        <w:p w14:paraId="0F314FC9" w14:textId="015520FF" w:rsidR="00DE32C9" w:rsidRPr="005F319C" w:rsidRDefault="00DE32C9" w:rsidP="00DE32C9">
          <w:pPr>
            <w:pStyle w:val="TOC1"/>
            <w:tabs>
              <w:tab w:val="left" w:pos="480"/>
              <w:tab w:val="right" w:leader="dot" w:pos="9350"/>
            </w:tabs>
            <w:rPr>
              <w:rFonts w:asciiTheme="minorHAnsi" w:eastAsiaTheme="minorEastAsia" w:hAnsiTheme="minorHAnsi" w:cstheme="minorBidi"/>
              <w:noProof/>
              <w:sz w:val="22"/>
              <w:szCs w:val="22"/>
            </w:rPr>
          </w:pPr>
          <w:r>
            <w:rPr>
              <w:b/>
              <w:bCs/>
              <w:noProof/>
              <w:kern w:val="32"/>
            </w:rPr>
            <w:t>IV</w:t>
          </w:r>
          <w:r w:rsidRPr="0073286A">
            <w:rPr>
              <w:b/>
              <w:bCs/>
              <w:noProof/>
              <w:kern w:val="32"/>
            </w:rPr>
            <w:t>.</w:t>
          </w:r>
          <w:r>
            <w:rPr>
              <w:rFonts w:asciiTheme="minorHAnsi" w:eastAsiaTheme="minorEastAsia" w:hAnsiTheme="minorHAnsi" w:cstheme="minorBidi"/>
              <w:noProof/>
              <w:sz w:val="22"/>
              <w:szCs w:val="22"/>
            </w:rPr>
            <w:tab/>
          </w:r>
          <w:r>
            <w:rPr>
              <w:b/>
              <w:bCs/>
              <w:noProof/>
              <w:kern w:val="32"/>
            </w:rPr>
            <w:t>Cost of Capital</w:t>
          </w:r>
          <w:r>
            <w:rPr>
              <w:noProof/>
            </w:rPr>
            <w:tab/>
          </w:r>
          <w:r w:rsidR="004814FE">
            <w:rPr>
              <w:noProof/>
            </w:rPr>
            <w:t>50</w:t>
          </w:r>
        </w:p>
        <w:p w14:paraId="14F372F1" w14:textId="77777777" w:rsidR="00DE32C9" w:rsidRPr="00DE32C9" w:rsidRDefault="00DE32C9" w:rsidP="00DE32C9">
          <w:pPr>
            <w:rPr>
              <w:rFonts w:eastAsiaTheme="minorEastAsia"/>
              <w:noProof/>
            </w:rPr>
          </w:pPr>
        </w:p>
        <w:p w14:paraId="6FB796F8" w14:textId="75BD9E6C"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A.</w:t>
          </w:r>
          <w:r>
            <w:rPr>
              <w:rFonts w:asciiTheme="minorHAnsi" w:eastAsiaTheme="minorEastAsia" w:hAnsiTheme="minorHAnsi" w:cstheme="minorBidi"/>
              <w:noProof/>
              <w:sz w:val="22"/>
              <w:szCs w:val="22"/>
            </w:rPr>
            <w:tab/>
          </w:r>
          <w:r w:rsidRPr="0073286A">
            <w:rPr>
              <w:noProof/>
              <w:u w:val="single"/>
            </w:rPr>
            <w:t>Accumulated Deferred Taxes (Issue 18)</w:t>
          </w:r>
          <w:r>
            <w:rPr>
              <w:noProof/>
            </w:rPr>
            <w:tab/>
          </w:r>
          <w:r w:rsidR="004814FE">
            <w:rPr>
              <w:noProof/>
            </w:rPr>
            <w:t>50</w:t>
          </w:r>
        </w:p>
        <w:p w14:paraId="7127AB11" w14:textId="7919C2A9"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B.</w:t>
          </w:r>
          <w:r>
            <w:rPr>
              <w:rFonts w:asciiTheme="minorHAnsi" w:eastAsiaTheme="minorEastAsia" w:hAnsiTheme="minorHAnsi" w:cstheme="minorBidi"/>
              <w:noProof/>
              <w:sz w:val="22"/>
              <w:szCs w:val="22"/>
            </w:rPr>
            <w:tab/>
          </w:r>
          <w:r w:rsidRPr="0073286A">
            <w:rPr>
              <w:noProof/>
              <w:u w:val="single"/>
            </w:rPr>
            <w:t>Customer Deposits (Issue 19)</w:t>
          </w:r>
          <w:r>
            <w:rPr>
              <w:noProof/>
            </w:rPr>
            <w:tab/>
          </w:r>
          <w:r>
            <w:rPr>
              <w:noProof/>
            </w:rPr>
            <w:fldChar w:fldCharType="begin"/>
          </w:r>
          <w:r>
            <w:rPr>
              <w:noProof/>
            </w:rPr>
            <w:instrText xml:space="preserve"> PAGEREF _Toc199321459 \h </w:instrText>
          </w:r>
          <w:r>
            <w:rPr>
              <w:noProof/>
            </w:rPr>
          </w:r>
          <w:r>
            <w:rPr>
              <w:noProof/>
            </w:rPr>
            <w:fldChar w:fldCharType="separate"/>
          </w:r>
          <w:r w:rsidR="00157E6F">
            <w:rPr>
              <w:noProof/>
            </w:rPr>
            <w:t>50</w:t>
          </w:r>
          <w:r>
            <w:rPr>
              <w:noProof/>
            </w:rPr>
            <w:fldChar w:fldCharType="end"/>
          </w:r>
        </w:p>
        <w:p w14:paraId="19DA9880" w14:textId="7CB05C89"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C.</w:t>
          </w:r>
          <w:r>
            <w:rPr>
              <w:rFonts w:asciiTheme="minorHAnsi" w:eastAsiaTheme="minorEastAsia" w:hAnsiTheme="minorHAnsi" w:cstheme="minorBidi"/>
              <w:noProof/>
              <w:sz w:val="22"/>
              <w:szCs w:val="22"/>
            </w:rPr>
            <w:tab/>
          </w:r>
          <w:r w:rsidRPr="0073286A">
            <w:rPr>
              <w:noProof/>
              <w:u w:val="single"/>
            </w:rPr>
            <w:t>Short-Term Debt Rate  (Issue 20)</w:t>
          </w:r>
          <w:r>
            <w:rPr>
              <w:noProof/>
            </w:rPr>
            <w:tab/>
          </w:r>
          <w:r>
            <w:rPr>
              <w:noProof/>
            </w:rPr>
            <w:fldChar w:fldCharType="begin"/>
          </w:r>
          <w:r>
            <w:rPr>
              <w:noProof/>
            </w:rPr>
            <w:instrText xml:space="preserve"> PAGEREF _Toc199321460 \h </w:instrText>
          </w:r>
          <w:r>
            <w:rPr>
              <w:noProof/>
            </w:rPr>
          </w:r>
          <w:r>
            <w:rPr>
              <w:noProof/>
            </w:rPr>
            <w:fldChar w:fldCharType="separate"/>
          </w:r>
          <w:r w:rsidR="00157E6F">
            <w:rPr>
              <w:noProof/>
            </w:rPr>
            <w:t>50</w:t>
          </w:r>
          <w:r>
            <w:rPr>
              <w:noProof/>
            </w:rPr>
            <w:fldChar w:fldCharType="end"/>
          </w:r>
        </w:p>
        <w:p w14:paraId="72191A93" w14:textId="3735A05F"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D.</w:t>
          </w:r>
          <w:r>
            <w:rPr>
              <w:rFonts w:asciiTheme="minorHAnsi" w:eastAsiaTheme="minorEastAsia" w:hAnsiTheme="minorHAnsi" w:cstheme="minorBidi"/>
              <w:noProof/>
              <w:sz w:val="22"/>
              <w:szCs w:val="22"/>
            </w:rPr>
            <w:tab/>
          </w:r>
          <w:r w:rsidRPr="0073286A">
            <w:rPr>
              <w:noProof/>
              <w:u w:val="single"/>
            </w:rPr>
            <w:t>Long-Term Debt Rate  (Issue 21)</w:t>
          </w:r>
          <w:r>
            <w:rPr>
              <w:noProof/>
            </w:rPr>
            <w:tab/>
          </w:r>
          <w:r w:rsidR="004E2800">
            <w:rPr>
              <w:noProof/>
            </w:rPr>
            <w:t>51</w:t>
          </w:r>
        </w:p>
        <w:p w14:paraId="481D5C75" w14:textId="25D6118E"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E.</w:t>
          </w:r>
          <w:r>
            <w:rPr>
              <w:rFonts w:asciiTheme="minorHAnsi" w:eastAsiaTheme="minorEastAsia" w:hAnsiTheme="minorHAnsi" w:cstheme="minorBidi"/>
              <w:noProof/>
              <w:sz w:val="22"/>
              <w:szCs w:val="22"/>
            </w:rPr>
            <w:tab/>
          </w:r>
          <w:r w:rsidRPr="0073286A">
            <w:rPr>
              <w:noProof/>
              <w:u w:val="single"/>
            </w:rPr>
            <w:t>Return on Equity (ROE) (Issue 22)</w:t>
          </w:r>
          <w:r>
            <w:rPr>
              <w:noProof/>
            </w:rPr>
            <w:tab/>
          </w:r>
          <w:r w:rsidR="004E2800">
            <w:rPr>
              <w:noProof/>
            </w:rPr>
            <w:t>51</w:t>
          </w:r>
        </w:p>
        <w:p w14:paraId="2970D371" w14:textId="303E58A7" w:rsidR="00F57636" w:rsidRDefault="00F57636">
          <w:pPr>
            <w:pStyle w:val="TOC1"/>
            <w:tabs>
              <w:tab w:val="left" w:pos="480"/>
              <w:tab w:val="right" w:leader="dot" w:pos="9350"/>
            </w:tabs>
            <w:rPr>
              <w:noProof/>
            </w:rPr>
          </w:pPr>
          <w:r w:rsidRPr="0073286A">
            <w:rPr>
              <w:bCs/>
              <w:noProof/>
              <w:kern w:val="32"/>
            </w:rPr>
            <w:t>F.</w:t>
          </w:r>
          <w:r>
            <w:rPr>
              <w:rFonts w:asciiTheme="minorHAnsi" w:eastAsiaTheme="minorEastAsia" w:hAnsiTheme="minorHAnsi" w:cstheme="minorBidi"/>
              <w:noProof/>
              <w:sz w:val="22"/>
              <w:szCs w:val="22"/>
            </w:rPr>
            <w:tab/>
          </w:r>
          <w:r w:rsidRPr="0073286A">
            <w:rPr>
              <w:noProof/>
              <w:u w:val="single"/>
            </w:rPr>
            <w:t>Weighted Average Cost of Capital (Issue 23)</w:t>
          </w:r>
          <w:r>
            <w:rPr>
              <w:noProof/>
            </w:rPr>
            <w:tab/>
          </w:r>
          <w:r>
            <w:rPr>
              <w:noProof/>
            </w:rPr>
            <w:fldChar w:fldCharType="begin"/>
          </w:r>
          <w:r>
            <w:rPr>
              <w:noProof/>
            </w:rPr>
            <w:instrText xml:space="preserve"> PAGEREF _Toc199321463 \h </w:instrText>
          </w:r>
          <w:r>
            <w:rPr>
              <w:noProof/>
            </w:rPr>
          </w:r>
          <w:r>
            <w:rPr>
              <w:noProof/>
            </w:rPr>
            <w:fldChar w:fldCharType="separate"/>
          </w:r>
          <w:r w:rsidR="00157E6F">
            <w:rPr>
              <w:noProof/>
            </w:rPr>
            <w:t>51</w:t>
          </w:r>
          <w:r>
            <w:rPr>
              <w:noProof/>
            </w:rPr>
            <w:fldChar w:fldCharType="end"/>
          </w:r>
        </w:p>
        <w:p w14:paraId="609B5765" w14:textId="11C0E4B3" w:rsidR="00DE32C9" w:rsidRPr="005F319C" w:rsidRDefault="00DE32C9" w:rsidP="00DE32C9">
          <w:pPr>
            <w:pStyle w:val="TOC1"/>
            <w:tabs>
              <w:tab w:val="left" w:pos="480"/>
              <w:tab w:val="right" w:leader="dot" w:pos="9350"/>
            </w:tabs>
            <w:rPr>
              <w:rFonts w:asciiTheme="minorHAnsi" w:eastAsiaTheme="minorEastAsia" w:hAnsiTheme="minorHAnsi" w:cstheme="minorBidi"/>
              <w:noProof/>
              <w:sz w:val="22"/>
              <w:szCs w:val="22"/>
            </w:rPr>
          </w:pPr>
          <w:r>
            <w:rPr>
              <w:b/>
              <w:bCs/>
              <w:noProof/>
              <w:kern w:val="32"/>
            </w:rPr>
            <w:t>V</w:t>
          </w:r>
          <w:r w:rsidRPr="0073286A">
            <w:rPr>
              <w:b/>
              <w:bCs/>
              <w:noProof/>
              <w:kern w:val="32"/>
            </w:rPr>
            <w:t>.</w:t>
          </w:r>
          <w:r>
            <w:rPr>
              <w:rFonts w:asciiTheme="minorHAnsi" w:eastAsiaTheme="minorEastAsia" w:hAnsiTheme="minorHAnsi" w:cstheme="minorBidi"/>
              <w:noProof/>
              <w:sz w:val="22"/>
              <w:szCs w:val="22"/>
            </w:rPr>
            <w:tab/>
          </w:r>
          <w:r>
            <w:rPr>
              <w:b/>
              <w:bCs/>
              <w:noProof/>
              <w:kern w:val="32"/>
            </w:rPr>
            <w:t>Test Year Revenues</w:t>
          </w:r>
          <w:r>
            <w:rPr>
              <w:noProof/>
            </w:rPr>
            <w:tab/>
          </w:r>
          <w:r w:rsidR="002C1384">
            <w:rPr>
              <w:noProof/>
            </w:rPr>
            <w:t>52</w:t>
          </w:r>
        </w:p>
        <w:p w14:paraId="686C4ED8" w14:textId="23B80B4F" w:rsidR="00F57636" w:rsidRDefault="00F57636">
          <w:pPr>
            <w:pStyle w:val="TOC1"/>
            <w:tabs>
              <w:tab w:val="left" w:pos="480"/>
              <w:tab w:val="right" w:leader="dot" w:pos="9350"/>
            </w:tabs>
            <w:rPr>
              <w:noProof/>
            </w:rPr>
          </w:pPr>
          <w:r w:rsidRPr="0073286A">
            <w:rPr>
              <w:bCs/>
              <w:noProof/>
              <w:kern w:val="32"/>
            </w:rPr>
            <w:t>A.</w:t>
          </w:r>
          <w:r>
            <w:rPr>
              <w:rFonts w:asciiTheme="minorHAnsi" w:eastAsiaTheme="minorEastAsia" w:hAnsiTheme="minorHAnsi" w:cstheme="minorBidi"/>
              <w:noProof/>
              <w:sz w:val="22"/>
              <w:szCs w:val="22"/>
            </w:rPr>
            <w:tab/>
          </w:r>
          <w:r w:rsidRPr="0073286A">
            <w:rPr>
              <w:noProof/>
              <w:u w:val="single"/>
            </w:rPr>
            <w:t>Test Year Revenues (Issue 24)</w:t>
          </w:r>
          <w:r>
            <w:rPr>
              <w:noProof/>
            </w:rPr>
            <w:tab/>
          </w:r>
          <w:r>
            <w:rPr>
              <w:noProof/>
            </w:rPr>
            <w:fldChar w:fldCharType="begin"/>
          </w:r>
          <w:r>
            <w:rPr>
              <w:noProof/>
            </w:rPr>
            <w:instrText xml:space="preserve"> PAGEREF _Toc199321464 \h </w:instrText>
          </w:r>
          <w:r>
            <w:rPr>
              <w:noProof/>
            </w:rPr>
          </w:r>
          <w:r>
            <w:rPr>
              <w:noProof/>
            </w:rPr>
            <w:fldChar w:fldCharType="separate"/>
          </w:r>
          <w:r w:rsidR="00157E6F">
            <w:rPr>
              <w:noProof/>
            </w:rPr>
            <w:t>52</w:t>
          </w:r>
          <w:r>
            <w:rPr>
              <w:noProof/>
            </w:rPr>
            <w:fldChar w:fldCharType="end"/>
          </w:r>
        </w:p>
        <w:p w14:paraId="5964A041" w14:textId="1F096BE0" w:rsidR="00F413E3" w:rsidRPr="00F413E3" w:rsidRDefault="00F413E3" w:rsidP="00F413E3">
          <w:pPr>
            <w:pStyle w:val="TOC1"/>
            <w:tabs>
              <w:tab w:val="left" w:pos="480"/>
              <w:tab w:val="right" w:leader="dot" w:pos="9350"/>
            </w:tabs>
            <w:rPr>
              <w:rFonts w:asciiTheme="minorHAnsi" w:eastAsiaTheme="minorEastAsia" w:hAnsiTheme="minorHAnsi" w:cstheme="minorBidi"/>
              <w:noProof/>
              <w:sz w:val="22"/>
              <w:szCs w:val="22"/>
            </w:rPr>
          </w:pPr>
          <w:r>
            <w:rPr>
              <w:b/>
              <w:bCs/>
              <w:noProof/>
              <w:kern w:val="32"/>
            </w:rPr>
            <w:t>VI</w:t>
          </w:r>
          <w:r w:rsidRPr="0073286A">
            <w:rPr>
              <w:b/>
              <w:bCs/>
              <w:noProof/>
              <w:kern w:val="32"/>
            </w:rPr>
            <w:t>.</w:t>
          </w:r>
          <w:r>
            <w:rPr>
              <w:rFonts w:asciiTheme="minorHAnsi" w:eastAsiaTheme="minorEastAsia" w:hAnsiTheme="minorHAnsi" w:cstheme="minorBidi"/>
              <w:noProof/>
              <w:sz w:val="22"/>
              <w:szCs w:val="22"/>
            </w:rPr>
            <w:tab/>
          </w:r>
          <w:r>
            <w:rPr>
              <w:b/>
              <w:bCs/>
              <w:noProof/>
              <w:kern w:val="32"/>
            </w:rPr>
            <w:t>Operating and Maintenance (O&amp;M) Expenses</w:t>
          </w:r>
          <w:r>
            <w:rPr>
              <w:noProof/>
            </w:rPr>
            <w:tab/>
          </w:r>
          <w:r w:rsidR="00656E3E">
            <w:rPr>
              <w:noProof/>
            </w:rPr>
            <w:t>55</w:t>
          </w:r>
        </w:p>
        <w:p w14:paraId="5963511B" w14:textId="0523B2E3"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A.</w:t>
          </w:r>
          <w:r>
            <w:rPr>
              <w:rFonts w:asciiTheme="minorHAnsi" w:eastAsiaTheme="minorEastAsia" w:hAnsiTheme="minorHAnsi" w:cstheme="minorBidi"/>
              <w:noProof/>
              <w:sz w:val="22"/>
              <w:szCs w:val="22"/>
            </w:rPr>
            <w:tab/>
          </w:r>
          <w:r w:rsidRPr="0073286A">
            <w:rPr>
              <w:noProof/>
              <w:u w:val="single"/>
            </w:rPr>
            <w:t>Rate Case Expense (Issue 25)</w:t>
          </w:r>
          <w:r>
            <w:rPr>
              <w:noProof/>
            </w:rPr>
            <w:tab/>
          </w:r>
          <w:r w:rsidR="00656E3E">
            <w:rPr>
              <w:noProof/>
            </w:rPr>
            <w:t>55</w:t>
          </w:r>
        </w:p>
        <w:p w14:paraId="522B61A2" w14:textId="3D3AF9EB"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B.</w:t>
          </w:r>
          <w:r>
            <w:rPr>
              <w:rFonts w:asciiTheme="minorHAnsi" w:eastAsiaTheme="minorEastAsia" w:hAnsiTheme="minorHAnsi" w:cstheme="minorBidi"/>
              <w:noProof/>
              <w:sz w:val="22"/>
              <w:szCs w:val="22"/>
            </w:rPr>
            <w:tab/>
          </w:r>
          <w:r w:rsidRPr="0073286A">
            <w:rPr>
              <w:noProof/>
              <w:u w:val="single"/>
            </w:rPr>
            <w:t>Pro Forma O&amp;M Expense (Issue 26)</w:t>
          </w:r>
          <w:r>
            <w:rPr>
              <w:noProof/>
            </w:rPr>
            <w:tab/>
          </w:r>
          <w:r>
            <w:rPr>
              <w:noProof/>
            </w:rPr>
            <w:fldChar w:fldCharType="begin"/>
          </w:r>
          <w:r>
            <w:rPr>
              <w:noProof/>
            </w:rPr>
            <w:instrText xml:space="preserve"> PAGEREF _Toc199321467 \h </w:instrText>
          </w:r>
          <w:r>
            <w:rPr>
              <w:noProof/>
            </w:rPr>
          </w:r>
          <w:r>
            <w:rPr>
              <w:noProof/>
            </w:rPr>
            <w:fldChar w:fldCharType="separate"/>
          </w:r>
          <w:r w:rsidR="00157E6F">
            <w:rPr>
              <w:noProof/>
            </w:rPr>
            <w:t>58</w:t>
          </w:r>
          <w:r>
            <w:rPr>
              <w:noProof/>
            </w:rPr>
            <w:fldChar w:fldCharType="end"/>
          </w:r>
        </w:p>
        <w:p w14:paraId="654D621C" w14:textId="019B3E26"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C.</w:t>
          </w:r>
          <w:r>
            <w:rPr>
              <w:rFonts w:asciiTheme="minorHAnsi" w:eastAsiaTheme="minorEastAsia" w:hAnsiTheme="minorHAnsi" w:cstheme="minorBidi"/>
              <w:noProof/>
              <w:sz w:val="22"/>
              <w:szCs w:val="22"/>
            </w:rPr>
            <w:tab/>
          </w:r>
          <w:r w:rsidRPr="0073286A">
            <w:rPr>
              <w:noProof/>
              <w:u w:val="single"/>
            </w:rPr>
            <w:t>Management Expenses (Issue 27)</w:t>
          </w:r>
          <w:r>
            <w:rPr>
              <w:noProof/>
            </w:rPr>
            <w:tab/>
          </w:r>
          <w:r>
            <w:rPr>
              <w:noProof/>
            </w:rPr>
            <w:fldChar w:fldCharType="begin"/>
          </w:r>
          <w:r>
            <w:rPr>
              <w:noProof/>
            </w:rPr>
            <w:instrText xml:space="preserve"> PAGEREF _Toc199321468 \h </w:instrText>
          </w:r>
          <w:r>
            <w:rPr>
              <w:noProof/>
            </w:rPr>
          </w:r>
          <w:r>
            <w:rPr>
              <w:noProof/>
            </w:rPr>
            <w:fldChar w:fldCharType="separate"/>
          </w:r>
          <w:r w:rsidR="00157E6F">
            <w:rPr>
              <w:noProof/>
            </w:rPr>
            <w:t>61</w:t>
          </w:r>
          <w:r>
            <w:rPr>
              <w:noProof/>
            </w:rPr>
            <w:fldChar w:fldCharType="end"/>
          </w:r>
        </w:p>
        <w:p w14:paraId="64B9B957" w14:textId="5FF22F75" w:rsidR="00F57636" w:rsidRDefault="00F57636">
          <w:pPr>
            <w:pStyle w:val="TOC1"/>
            <w:tabs>
              <w:tab w:val="left" w:pos="480"/>
              <w:tab w:val="right" w:leader="dot" w:pos="9350"/>
            </w:tabs>
            <w:rPr>
              <w:noProof/>
            </w:rPr>
          </w:pPr>
          <w:r w:rsidRPr="0073286A">
            <w:rPr>
              <w:bCs/>
              <w:noProof/>
              <w:kern w:val="32"/>
            </w:rPr>
            <w:t>D.</w:t>
          </w:r>
          <w:r>
            <w:rPr>
              <w:rFonts w:asciiTheme="minorHAnsi" w:eastAsiaTheme="minorEastAsia" w:hAnsiTheme="minorHAnsi" w:cstheme="minorBidi"/>
              <w:noProof/>
              <w:sz w:val="22"/>
              <w:szCs w:val="22"/>
            </w:rPr>
            <w:tab/>
          </w:r>
          <w:r w:rsidRPr="0073286A">
            <w:rPr>
              <w:noProof/>
              <w:u w:val="single"/>
            </w:rPr>
            <w:t>Test Year (O&amp;M) Expenses (Issue 28)</w:t>
          </w:r>
          <w:r>
            <w:rPr>
              <w:noProof/>
            </w:rPr>
            <w:tab/>
          </w:r>
          <w:r w:rsidR="00FF4C19">
            <w:rPr>
              <w:noProof/>
            </w:rPr>
            <w:t>66</w:t>
          </w:r>
        </w:p>
        <w:p w14:paraId="40EE3695" w14:textId="337C17F2" w:rsidR="00490253" w:rsidRPr="00490253" w:rsidRDefault="00490253" w:rsidP="00490253">
          <w:pPr>
            <w:pStyle w:val="TOC1"/>
            <w:tabs>
              <w:tab w:val="left" w:pos="480"/>
              <w:tab w:val="right" w:leader="dot" w:pos="9350"/>
            </w:tabs>
            <w:rPr>
              <w:rFonts w:asciiTheme="minorHAnsi" w:eastAsiaTheme="minorEastAsia" w:hAnsiTheme="minorHAnsi" w:cstheme="minorBidi"/>
              <w:noProof/>
              <w:sz w:val="22"/>
              <w:szCs w:val="22"/>
            </w:rPr>
          </w:pPr>
          <w:r>
            <w:rPr>
              <w:b/>
              <w:bCs/>
              <w:noProof/>
              <w:kern w:val="32"/>
            </w:rPr>
            <w:t>VII</w:t>
          </w:r>
          <w:r w:rsidRPr="0073286A">
            <w:rPr>
              <w:b/>
              <w:bCs/>
              <w:noProof/>
              <w:kern w:val="32"/>
            </w:rPr>
            <w:t>.</w:t>
          </w:r>
          <w:r>
            <w:rPr>
              <w:rFonts w:asciiTheme="minorHAnsi" w:eastAsiaTheme="minorEastAsia" w:hAnsiTheme="minorHAnsi" w:cstheme="minorBidi"/>
              <w:noProof/>
              <w:sz w:val="22"/>
              <w:szCs w:val="22"/>
            </w:rPr>
            <w:tab/>
          </w:r>
          <w:r>
            <w:rPr>
              <w:b/>
              <w:bCs/>
              <w:noProof/>
              <w:kern w:val="32"/>
            </w:rPr>
            <w:t>Net Operating Income and Revenue Requirement</w:t>
          </w:r>
          <w:r>
            <w:rPr>
              <w:noProof/>
            </w:rPr>
            <w:tab/>
          </w:r>
          <w:r w:rsidR="00730DB4">
            <w:rPr>
              <w:noProof/>
            </w:rPr>
            <w:t>70</w:t>
          </w:r>
        </w:p>
        <w:p w14:paraId="44083165" w14:textId="663A32A5"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A.</w:t>
          </w:r>
          <w:r>
            <w:rPr>
              <w:rFonts w:asciiTheme="minorHAnsi" w:eastAsiaTheme="minorEastAsia" w:hAnsiTheme="minorHAnsi" w:cstheme="minorBidi"/>
              <w:noProof/>
              <w:sz w:val="22"/>
              <w:szCs w:val="22"/>
            </w:rPr>
            <w:tab/>
          </w:r>
          <w:r w:rsidRPr="0073286A">
            <w:rPr>
              <w:noProof/>
              <w:u w:val="single"/>
            </w:rPr>
            <w:t>Taxes Other Than Income (Issue 29)</w:t>
          </w:r>
          <w:r>
            <w:rPr>
              <w:noProof/>
            </w:rPr>
            <w:tab/>
          </w:r>
          <w:r w:rsidR="00730DB4">
            <w:rPr>
              <w:noProof/>
            </w:rPr>
            <w:t>70</w:t>
          </w:r>
        </w:p>
        <w:p w14:paraId="095BD406" w14:textId="4B996FE9"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B.</w:t>
          </w:r>
          <w:r>
            <w:rPr>
              <w:rFonts w:asciiTheme="minorHAnsi" w:eastAsiaTheme="minorEastAsia" w:hAnsiTheme="minorHAnsi" w:cstheme="minorBidi"/>
              <w:noProof/>
              <w:sz w:val="22"/>
              <w:szCs w:val="22"/>
            </w:rPr>
            <w:tab/>
          </w:r>
          <w:r w:rsidRPr="0073286A">
            <w:rPr>
              <w:noProof/>
              <w:u w:val="single"/>
            </w:rPr>
            <w:t>Test Year Depreciation Expense (Issue 30)</w:t>
          </w:r>
          <w:r>
            <w:rPr>
              <w:noProof/>
            </w:rPr>
            <w:tab/>
          </w:r>
          <w:r>
            <w:rPr>
              <w:noProof/>
            </w:rPr>
            <w:fldChar w:fldCharType="begin"/>
          </w:r>
          <w:r>
            <w:rPr>
              <w:noProof/>
            </w:rPr>
            <w:instrText xml:space="preserve"> PAGEREF _Toc199321471 \h </w:instrText>
          </w:r>
          <w:r>
            <w:rPr>
              <w:noProof/>
            </w:rPr>
          </w:r>
          <w:r>
            <w:rPr>
              <w:noProof/>
            </w:rPr>
            <w:fldChar w:fldCharType="separate"/>
          </w:r>
          <w:r w:rsidR="00157E6F">
            <w:rPr>
              <w:noProof/>
            </w:rPr>
            <w:t>70</w:t>
          </w:r>
          <w:r>
            <w:rPr>
              <w:noProof/>
            </w:rPr>
            <w:fldChar w:fldCharType="end"/>
          </w:r>
        </w:p>
        <w:p w14:paraId="22E1A5F9" w14:textId="195CEC5B"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C.</w:t>
          </w:r>
          <w:r>
            <w:rPr>
              <w:rFonts w:asciiTheme="minorHAnsi" w:eastAsiaTheme="minorEastAsia" w:hAnsiTheme="minorHAnsi" w:cstheme="minorBidi"/>
              <w:noProof/>
              <w:sz w:val="22"/>
              <w:szCs w:val="22"/>
            </w:rPr>
            <w:tab/>
          </w:r>
          <w:r w:rsidRPr="0073286A">
            <w:rPr>
              <w:noProof/>
              <w:u w:val="single"/>
            </w:rPr>
            <w:t>Test</w:t>
          </w:r>
          <w:r w:rsidRPr="0073286A">
            <w:rPr>
              <w:noProof/>
              <w:spacing w:val="-6"/>
              <w:u w:val="single"/>
            </w:rPr>
            <w:t xml:space="preserve"> </w:t>
          </w:r>
          <w:r w:rsidRPr="0073286A">
            <w:rPr>
              <w:noProof/>
              <w:u w:val="single"/>
            </w:rPr>
            <w:t>Year</w:t>
          </w:r>
          <w:r w:rsidRPr="0073286A">
            <w:rPr>
              <w:noProof/>
              <w:spacing w:val="-3"/>
              <w:u w:val="single"/>
            </w:rPr>
            <w:t xml:space="preserve"> </w:t>
          </w:r>
          <w:r w:rsidRPr="0073286A">
            <w:rPr>
              <w:noProof/>
              <w:u w:val="single"/>
            </w:rPr>
            <w:t>CIAC</w:t>
          </w:r>
          <w:r w:rsidRPr="0073286A">
            <w:rPr>
              <w:noProof/>
              <w:spacing w:val="-8"/>
              <w:u w:val="single"/>
            </w:rPr>
            <w:t xml:space="preserve"> </w:t>
          </w:r>
          <w:r w:rsidRPr="0073286A">
            <w:rPr>
              <w:noProof/>
              <w:u w:val="single"/>
            </w:rPr>
            <w:t>Amortization</w:t>
          </w:r>
          <w:r w:rsidRPr="0073286A">
            <w:rPr>
              <w:noProof/>
              <w:spacing w:val="-5"/>
              <w:u w:val="single"/>
            </w:rPr>
            <w:t xml:space="preserve"> </w:t>
          </w:r>
          <w:r w:rsidRPr="0073286A">
            <w:rPr>
              <w:noProof/>
              <w:spacing w:val="-2"/>
              <w:u w:val="single"/>
            </w:rPr>
            <w:t>Expense (Issue 31)</w:t>
          </w:r>
          <w:r>
            <w:rPr>
              <w:noProof/>
            </w:rPr>
            <w:tab/>
          </w:r>
          <w:r w:rsidR="0031030F">
            <w:rPr>
              <w:noProof/>
            </w:rPr>
            <w:t>71</w:t>
          </w:r>
        </w:p>
        <w:p w14:paraId="45A91959" w14:textId="04D1CF2C"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D.</w:t>
          </w:r>
          <w:r>
            <w:rPr>
              <w:rFonts w:asciiTheme="minorHAnsi" w:eastAsiaTheme="minorEastAsia" w:hAnsiTheme="minorHAnsi" w:cstheme="minorBidi"/>
              <w:noProof/>
              <w:sz w:val="22"/>
              <w:szCs w:val="22"/>
            </w:rPr>
            <w:tab/>
          </w:r>
          <w:r w:rsidRPr="0073286A">
            <w:rPr>
              <w:noProof/>
              <w:u w:val="single"/>
            </w:rPr>
            <w:t>Test Year Income Taxes (Issue 32)</w:t>
          </w:r>
          <w:r>
            <w:rPr>
              <w:noProof/>
            </w:rPr>
            <w:tab/>
          </w:r>
          <w:r>
            <w:rPr>
              <w:noProof/>
            </w:rPr>
            <w:fldChar w:fldCharType="begin"/>
          </w:r>
          <w:r>
            <w:rPr>
              <w:noProof/>
            </w:rPr>
            <w:instrText xml:space="preserve"> PAGEREF _Toc199321473 \h </w:instrText>
          </w:r>
          <w:r>
            <w:rPr>
              <w:noProof/>
            </w:rPr>
          </w:r>
          <w:r>
            <w:rPr>
              <w:noProof/>
            </w:rPr>
            <w:fldChar w:fldCharType="separate"/>
          </w:r>
          <w:r w:rsidR="00157E6F">
            <w:rPr>
              <w:noProof/>
            </w:rPr>
            <w:t>71</w:t>
          </w:r>
          <w:r>
            <w:rPr>
              <w:noProof/>
            </w:rPr>
            <w:fldChar w:fldCharType="end"/>
          </w:r>
        </w:p>
        <w:p w14:paraId="033E47A6" w14:textId="73AE310A"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E.</w:t>
          </w:r>
          <w:r>
            <w:rPr>
              <w:rFonts w:asciiTheme="minorHAnsi" w:eastAsiaTheme="minorEastAsia" w:hAnsiTheme="minorHAnsi" w:cstheme="minorBidi"/>
              <w:noProof/>
              <w:sz w:val="22"/>
              <w:szCs w:val="22"/>
            </w:rPr>
            <w:tab/>
          </w:r>
          <w:r w:rsidRPr="0073286A">
            <w:rPr>
              <w:noProof/>
              <w:u w:val="single"/>
            </w:rPr>
            <w:t>Revenue Requirement (Issue 33)</w:t>
          </w:r>
          <w:r>
            <w:rPr>
              <w:noProof/>
            </w:rPr>
            <w:tab/>
          </w:r>
          <w:r w:rsidR="0031030F">
            <w:rPr>
              <w:noProof/>
            </w:rPr>
            <w:t>72</w:t>
          </w:r>
        </w:p>
        <w:p w14:paraId="074F5664" w14:textId="6EBCFBEF" w:rsidR="00F57636" w:rsidRDefault="00F57636">
          <w:pPr>
            <w:pStyle w:val="TOC1"/>
            <w:tabs>
              <w:tab w:val="left" w:pos="880"/>
              <w:tab w:val="right" w:leader="dot" w:pos="9350"/>
            </w:tabs>
            <w:rPr>
              <w:rFonts w:asciiTheme="minorHAnsi" w:eastAsiaTheme="minorEastAsia" w:hAnsiTheme="minorHAnsi" w:cstheme="minorBidi"/>
              <w:noProof/>
              <w:sz w:val="22"/>
              <w:szCs w:val="22"/>
            </w:rPr>
          </w:pPr>
          <w:r w:rsidRPr="0073286A">
            <w:rPr>
              <w:b/>
              <w:bCs/>
              <w:noProof/>
              <w:kern w:val="32"/>
            </w:rPr>
            <w:t>VIII.</w:t>
          </w:r>
          <w:r>
            <w:rPr>
              <w:rFonts w:asciiTheme="minorHAnsi" w:eastAsiaTheme="minorEastAsia" w:hAnsiTheme="minorHAnsi" w:cstheme="minorBidi"/>
              <w:noProof/>
              <w:sz w:val="22"/>
              <w:szCs w:val="22"/>
            </w:rPr>
            <w:tab/>
          </w:r>
          <w:r w:rsidRPr="0073286A">
            <w:rPr>
              <w:b/>
              <w:noProof/>
            </w:rPr>
            <w:t>Rates,</w:t>
          </w:r>
          <w:r w:rsidRPr="0073286A">
            <w:rPr>
              <w:b/>
              <w:noProof/>
              <w:spacing w:val="-2"/>
            </w:rPr>
            <w:t xml:space="preserve"> </w:t>
          </w:r>
          <w:r w:rsidRPr="0073286A">
            <w:rPr>
              <w:b/>
              <w:noProof/>
            </w:rPr>
            <w:t>Misc.</w:t>
          </w:r>
          <w:r w:rsidRPr="0073286A">
            <w:rPr>
              <w:b/>
              <w:noProof/>
              <w:spacing w:val="-2"/>
            </w:rPr>
            <w:t xml:space="preserve"> </w:t>
          </w:r>
          <w:r w:rsidRPr="0073286A">
            <w:rPr>
              <w:b/>
              <w:noProof/>
            </w:rPr>
            <w:t>Service</w:t>
          </w:r>
          <w:r w:rsidRPr="0073286A">
            <w:rPr>
              <w:b/>
              <w:noProof/>
              <w:spacing w:val="-3"/>
            </w:rPr>
            <w:t xml:space="preserve"> </w:t>
          </w:r>
          <w:r w:rsidRPr="0073286A">
            <w:rPr>
              <w:b/>
              <w:noProof/>
            </w:rPr>
            <w:t>Charges,</w:t>
          </w:r>
          <w:r w:rsidRPr="0073286A">
            <w:rPr>
              <w:b/>
              <w:noProof/>
              <w:spacing w:val="-2"/>
            </w:rPr>
            <w:t xml:space="preserve"> </w:t>
          </w:r>
          <w:r w:rsidRPr="0073286A">
            <w:rPr>
              <w:b/>
              <w:noProof/>
            </w:rPr>
            <w:t>and</w:t>
          </w:r>
          <w:r w:rsidRPr="0073286A">
            <w:rPr>
              <w:b/>
              <w:noProof/>
              <w:spacing w:val="-1"/>
            </w:rPr>
            <w:t xml:space="preserve"> </w:t>
          </w:r>
          <w:r w:rsidRPr="0073286A">
            <w:rPr>
              <w:b/>
              <w:noProof/>
              <w:spacing w:val="-2"/>
            </w:rPr>
            <w:t>Other</w:t>
          </w:r>
          <w:r>
            <w:rPr>
              <w:noProof/>
            </w:rPr>
            <w:tab/>
          </w:r>
          <w:r>
            <w:rPr>
              <w:noProof/>
            </w:rPr>
            <w:fldChar w:fldCharType="begin"/>
          </w:r>
          <w:r>
            <w:rPr>
              <w:noProof/>
            </w:rPr>
            <w:instrText xml:space="preserve"> PAGEREF _Toc199321475 \h </w:instrText>
          </w:r>
          <w:r>
            <w:rPr>
              <w:noProof/>
            </w:rPr>
          </w:r>
          <w:r>
            <w:rPr>
              <w:noProof/>
            </w:rPr>
            <w:fldChar w:fldCharType="separate"/>
          </w:r>
          <w:r w:rsidR="00157E6F">
            <w:rPr>
              <w:noProof/>
            </w:rPr>
            <w:t>72</w:t>
          </w:r>
          <w:r>
            <w:rPr>
              <w:noProof/>
            </w:rPr>
            <w:fldChar w:fldCharType="end"/>
          </w:r>
        </w:p>
        <w:p w14:paraId="09B1FED2" w14:textId="72C8A264"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A.</w:t>
          </w:r>
          <w:r>
            <w:rPr>
              <w:rFonts w:asciiTheme="minorHAnsi" w:eastAsiaTheme="minorEastAsia" w:hAnsiTheme="minorHAnsi" w:cstheme="minorBidi"/>
              <w:noProof/>
              <w:sz w:val="22"/>
              <w:szCs w:val="22"/>
            </w:rPr>
            <w:tab/>
          </w:r>
          <w:r w:rsidRPr="0073286A">
            <w:rPr>
              <w:noProof/>
              <w:u w:val="single"/>
            </w:rPr>
            <w:t>Water Rate Structures and Rates (Issue 34)</w:t>
          </w:r>
          <w:r>
            <w:rPr>
              <w:noProof/>
            </w:rPr>
            <w:tab/>
          </w:r>
          <w:r>
            <w:rPr>
              <w:noProof/>
            </w:rPr>
            <w:fldChar w:fldCharType="begin"/>
          </w:r>
          <w:r>
            <w:rPr>
              <w:noProof/>
            </w:rPr>
            <w:instrText xml:space="preserve"> PAGEREF _Toc199321476 \h </w:instrText>
          </w:r>
          <w:r>
            <w:rPr>
              <w:noProof/>
            </w:rPr>
          </w:r>
          <w:r>
            <w:rPr>
              <w:noProof/>
            </w:rPr>
            <w:fldChar w:fldCharType="separate"/>
          </w:r>
          <w:r w:rsidR="00157E6F">
            <w:rPr>
              <w:noProof/>
            </w:rPr>
            <w:t>72</w:t>
          </w:r>
          <w:r>
            <w:rPr>
              <w:noProof/>
            </w:rPr>
            <w:fldChar w:fldCharType="end"/>
          </w:r>
        </w:p>
        <w:p w14:paraId="0C896326" w14:textId="3728A480"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B.</w:t>
          </w:r>
          <w:r>
            <w:rPr>
              <w:rFonts w:asciiTheme="minorHAnsi" w:eastAsiaTheme="minorEastAsia" w:hAnsiTheme="minorHAnsi" w:cstheme="minorBidi"/>
              <w:noProof/>
              <w:sz w:val="22"/>
              <w:szCs w:val="22"/>
            </w:rPr>
            <w:tab/>
          </w:r>
          <w:r w:rsidRPr="0073286A">
            <w:rPr>
              <w:noProof/>
              <w:u w:val="single"/>
            </w:rPr>
            <w:t>Private Fire Protection Charges (Issue 35)</w:t>
          </w:r>
          <w:r>
            <w:rPr>
              <w:noProof/>
            </w:rPr>
            <w:tab/>
          </w:r>
          <w:r>
            <w:rPr>
              <w:noProof/>
            </w:rPr>
            <w:fldChar w:fldCharType="begin"/>
          </w:r>
          <w:r>
            <w:rPr>
              <w:noProof/>
            </w:rPr>
            <w:instrText xml:space="preserve"> PAGEREF _Toc199321477 \h </w:instrText>
          </w:r>
          <w:r>
            <w:rPr>
              <w:noProof/>
            </w:rPr>
          </w:r>
          <w:r>
            <w:rPr>
              <w:noProof/>
            </w:rPr>
            <w:fldChar w:fldCharType="separate"/>
          </w:r>
          <w:r w:rsidR="00157E6F">
            <w:rPr>
              <w:noProof/>
            </w:rPr>
            <w:t>73</w:t>
          </w:r>
          <w:r>
            <w:rPr>
              <w:noProof/>
            </w:rPr>
            <w:fldChar w:fldCharType="end"/>
          </w:r>
        </w:p>
        <w:p w14:paraId="4E8D1DD9" w14:textId="5F37D1D3"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sidRPr="0073286A">
            <w:rPr>
              <w:bCs/>
              <w:noProof/>
              <w:kern w:val="32"/>
            </w:rPr>
            <w:t>C.</w:t>
          </w:r>
          <w:r>
            <w:rPr>
              <w:rFonts w:asciiTheme="minorHAnsi" w:eastAsiaTheme="minorEastAsia" w:hAnsiTheme="minorHAnsi" w:cstheme="minorBidi"/>
              <w:noProof/>
              <w:sz w:val="22"/>
              <w:szCs w:val="22"/>
            </w:rPr>
            <w:tab/>
          </w:r>
          <w:r w:rsidRPr="0073286A">
            <w:rPr>
              <w:noProof/>
              <w:u w:val="single"/>
            </w:rPr>
            <w:t>Wastewater Rate Structures and Rates (Issue 36)</w:t>
          </w:r>
          <w:r>
            <w:rPr>
              <w:noProof/>
            </w:rPr>
            <w:tab/>
          </w:r>
          <w:r>
            <w:rPr>
              <w:noProof/>
            </w:rPr>
            <w:fldChar w:fldCharType="begin"/>
          </w:r>
          <w:r>
            <w:rPr>
              <w:noProof/>
            </w:rPr>
            <w:instrText xml:space="preserve"> PAGEREF _Toc199321479 \h </w:instrText>
          </w:r>
          <w:r>
            <w:rPr>
              <w:noProof/>
            </w:rPr>
          </w:r>
          <w:r>
            <w:rPr>
              <w:noProof/>
            </w:rPr>
            <w:fldChar w:fldCharType="separate"/>
          </w:r>
          <w:r w:rsidR="00157E6F">
            <w:rPr>
              <w:noProof/>
            </w:rPr>
            <w:t>73</w:t>
          </w:r>
          <w:r>
            <w:rPr>
              <w:noProof/>
            </w:rPr>
            <w:fldChar w:fldCharType="end"/>
          </w:r>
        </w:p>
        <w:p w14:paraId="16BEF2E0" w14:textId="7D1D2E96"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sidRPr="0073286A">
            <w:rPr>
              <w:noProof/>
              <w:u w:val="single"/>
            </w:rPr>
            <w:t>Reuse Rates (Issue 37)</w:t>
          </w:r>
          <w:r>
            <w:rPr>
              <w:noProof/>
            </w:rPr>
            <w:tab/>
          </w:r>
          <w:r>
            <w:rPr>
              <w:noProof/>
            </w:rPr>
            <w:fldChar w:fldCharType="begin"/>
          </w:r>
          <w:r>
            <w:rPr>
              <w:noProof/>
            </w:rPr>
            <w:instrText xml:space="preserve"> PAGEREF _Toc199321480 \h </w:instrText>
          </w:r>
          <w:r>
            <w:rPr>
              <w:noProof/>
            </w:rPr>
          </w:r>
          <w:r>
            <w:rPr>
              <w:noProof/>
            </w:rPr>
            <w:fldChar w:fldCharType="separate"/>
          </w:r>
          <w:r w:rsidR="00157E6F">
            <w:rPr>
              <w:noProof/>
            </w:rPr>
            <w:t>74</w:t>
          </w:r>
          <w:r>
            <w:rPr>
              <w:noProof/>
            </w:rPr>
            <w:fldChar w:fldCharType="end"/>
          </w:r>
        </w:p>
        <w:p w14:paraId="36783FDC" w14:textId="2D394DC9"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sidRPr="0073286A">
            <w:rPr>
              <w:noProof/>
              <w:u w:val="single"/>
            </w:rPr>
            <w:t>Customer Deposits (Issue 38)</w:t>
          </w:r>
          <w:r>
            <w:rPr>
              <w:noProof/>
            </w:rPr>
            <w:tab/>
          </w:r>
          <w:r w:rsidR="009F23DA">
            <w:rPr>
              <w:noProof/>
            </w:rPr>
            <w:t>76</w:t>
          </w:r>
        </w:p>
        <w:p w14:paraId="53DE2D38" w14:textId="53147946"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sidRPr="0073286A">
            <w:rPr>
              <w:noProof/>
              <w:u w:val="single"/>
            </w:rPr>
            <w:t>Miscellaneous Service Charges (Issue 39)</w:t>
          </w:r>
          <w:r>
            <w:rPr>
              <w:noProof/>
            </w:rPr>
            <w:tab/>
          </w:r>
          <w:r>
            <w:rPr>
              <w:noProof/>
            </w:rPr>
            <w:fldChar w:fldCharType="begin"/>
          </w:r>
          <w:r>
            <w:rPr>
              <w:noProof/>
            </w:rPr>
            <w:instrText xml:space="preserve"> PAGEREF _Toc199321483 \h </w:instrText>
          </w:r>
          <w:r>
            <w:rPr>
              <w:noProof/>
            </w:rPr>
          </w:r>
          <w:r>
            <w:rPr>
              <w:noProof/>
            </w:rPr>
            <w:fldChar w:fldCharType="separate"/>
          </w:r>
          <w:r w:rsidR="00157E6F">
            <w:rPr>
              <w:noProof/>
            </w:rPr>
            <w:t>76</w:t>
          </w:r>
          <w:r>
            <w:rPr>
              <w:noProof/>
            </w:rPr>
            <w:fldChar w:fldCharType="end"/>
          </w:r>
        </w:p>
        <w:p w14:paraId="0C2B3D71" w14:textId="7BB10767"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G.</w:t>
          </w:r>
          <w:r>
            <w:rPr>
              <w:rFonts w:asciiTheme="minorHAnsi" w:eastAsiaTheme="minorEastAsia" w:hAnsiTheme="minorHAnsi" w:cstheme="minorBidi"/>
              <w:noProof/>
              <w:sz w:val="22"/>
              <w:szCs w:val="22"/>
            </w:rPr>
            <w:tab/>
          </w:r>
          <w:r w:rsidRPr="0073286A">
            <w:rPr>
              <w:noProof/>
              <w:u w:val="single"/>
            </w:rPr>
            <w:t>Guaranteed Revenue Charges (Issue 40)</w:t>
          </w:r>
          <w:r>
            <w:rPr>
              <w:noProof/>
            </w:rPr>
            <w:tab/>
          </w:r>
          <w:r w:rsidR="00D574FB">
            <w:rPr>
              <w:noProof/>
            </w:rPr>
            <w:t>77</w:t>
          </w:r>
        </w:p>
        <w:p w14:paraId="71E0C096" w14:textId="0A0057F0"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H.</w:t>
          </w:r>
          <w:r>
            <w:rPr>
              <w:rFonts w:asciiTheme="minorHAnsi" w:eastAsiaTheme="minorEastAsia" w:hAnsiTheme="minorHAnsi" w:cstheme="minorBidi"/>
              <w:noProof/>
              <w:sz w:val="22"/>
              <w:szCs w:val="22"/>
            </w:rPr>
            <w:tab/>
          </w:r>
          <w:r w:rsidRPr="0073286A">
            <w:rPr>
              <w:noProof/>
              <w:u w:val="single"/>
            </w:rPr>
            <w:t>Meter Installation Charges (Issue 41)</w:t>
          </w:r>
          <w:r>
            <w:rPr>
              <w:noProof/>
            </w:rPr>
            <w:tab/>
          </w:r>
          <w:r>
            <w:rPr>
              <w:noProof/>
            </w:rPr>
            <w:fldChar w:fldCharType="begin"/>
          </w:r>
          <w:r>
            <w:rPr>
              <w:noProof/>
            </w:rPr>
            <w:instrText xml:space="preserve"> PAGEREF _Toc199321486 \h </w:instrText>
          </w:r>
          <w:r>
            <w:rPr>
              <w:noProof/>
            </w:rPr>
          </w:r>
          <w:r>
            <w:rPr>
              <w:noProof/>
            </w:rPr>
            <w:fldChar w:fldCharType="separate"/>
          </w:r>
          <w:r w:rsidR="00157E6F">
            <w:rPr>
              <w:noProof/>
            </w:rPr>
            <w:t>77</w:t>
          </w:r>
          <w:r>
            <w:rPr>
              <w:noProof/>
            </w:rPr>
            <w:fldChar w:fldCharType="end"/>
          </w:r>
        </w:p>
        <w:p w14:paraId="56491E98" w14:textId="3A97A506"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sidRPr="0073286A">
            <w:rPr>
              <w:noProof/>
              <w:u w:val="single"/>
            </w:rPr>
            <w:t>Affordability (Issue 41A)</w:t>
          </w:r>
          <w:r>
            <w:rPr>
              <w:noProof/>
            </w:rPr>
            <w:tab/>
          </w:r>
          <w:r>
            <w:rPr>
              <w:noProof/>
            </w:rPr>
            <w:fldChar w:fldCharType="begin"/>
          </w:r>
          <w:r>
            <w:rPr>
              <w:noProof/>
            </w:rPr>
            <w:instrText xml:space="preserve"> PAGEREF _Toc199321487 \h </w:instrText>
          </w:r>
          <w:r>
            <w:rPr>
              <w:noProof/>
            </w:rPr>
          </w:r>
          <w:r>
            <w:rPr>
              <w:noProof/>
            </w:rPr>
            <w:fldChar w:fldCharType="separate"/>
          </w:r>
          <w:r w:rsidR="00157E6F">
            <w:rPr>
              <w:noProof/>
            </w:rPr>
            <w:t>78</w:t>
          </w:r>
          <w:r>
            <w:rPr>
              <w:noProof/>
            </w:rPr>
            <w:fldChar w:fldCharType="end"/>
          </w:r>
        </w:p>
        <w:p w14:paraId="4E27A0D5" w14:textId="07D01CA0"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J.</w:t>
          </w:r>
          <w:r>
            <w:rPr>
              <w:rFonts w:asciiTheme="minorHAnsi" w:eastAsiaTheme="minorEastAsia" w:hAnsiTheme="minorHAnsi" w:cstheme="minorBidi"/>
              <w:noProof/>
              <w:sz w:val="22"/>
              <w:szCs w:val="22"/>
            </w:rPr>
            <w:tab/>
          </w:r>
          <w:r w:rsidRPr="0073286A">
            <w:rPr>
              <w:noProof/>
              <w:u w:val="single"/>
            </w:rPr>
            <w:t>Merger Deferral Accounts (Issue 42)</w:t>
          </w:r>
          <w:r>
            <w:rPr>
              <w:noProof/>
            </w:rPr>
            <w:tab/>
          </w:r>
          <w:r>
            <w:rPr>
              <w:noProof/>
            </w:rPr>
            <w:fldChar w:fldCharType="begin"/>
          </w:r>
          <w:r>
            <w:rPr>
              <w:noProof/>
            </w:rPr>
            <w:instrText xml:space="preserve"> PAGEREF _Toc199321488 \h </w:instrText>
          </w:r>
          <w:r>
            <w:rPr>
              <w:noProof/>
            </w:rPr>
          </w:r>
          <w:r>
            <w:rPr>
              <w:noProof/>
            </w:rPr>
            <w:fldChar w:fldCharType="separate"/>
          </w:r>
          <w:r w:rsidR="00157E6F">
            <w:rPr>
              <w:noProof/>
            </w:rPr>
            <w:t>80</w:t>
          </w:r>
          <w:r>
            <w:rPr>
              <w:noProof/>
            </w:rPr>
            <w:fldChar w:fldCharType="end"/>
          </w:r>
        </w:p>
        <w:p w14:paraId="6151EFA2" w14:textId="4A51CBB2" w:rsidR="00F57636" w:rsidRDefault="00F57636">
          <w:pPr>
            <w:pStyle w:val="TOC1"/>
            <w:tabs>
              <w:tab w:val="left" w:pos="480"/>
              <w:tab w:val="right" w:leader="dot" w:pos="9350"/>
            </w:tabs>
            <w:rPr>
              <w:rFonts w:asciiTheme="minorHAnsi" w:eastAsiaTheme="minorEastAsia" w:hAnsiTheme="minorHAnsi" w:cstheme="minorBidi"/>
              <w:noProof/>
              <w:sz w:val="22"/>
              <w:szCs w:val="22"/>
            </w:rPr>
          </w:pPr>
          <w:r>
            <w:rPr>
              <w:noProof/>
            </w:rPr>
            <w:t>K.</w:t>
          </w:r>
          <w:r>
            <w:rPr>
              <w:rFonts w:asciiTheme="minorHAnsi" w:eastAsiaTheme="minorEastAsia" w:hAnsiTheme="minorHAnsi" w:cstheme="minorBidi"/>
              <w:noProof/>
              <w:sz w:val="22"/>
              <w:szCs w:val="22"/>
            </w:rPr>
            <w:tab/>
          </w:r>
          <w:r w:rsidRPr="0073286A">
            <w:rPr>
              <w:noProof/>
              <w:u w:val="single"/>
            </w:rPr>
            <w:t>Rate Case Expense Amortization (Issue 43)</w:t>
          </w:r>
          <w:r>
            <w:rPr>
              <w:noProof/>
            </w:rPr>
            <w:tab/>
          </w:r>
          <w:r w:rsidR="000B4710">
            <w:rPr>
              <w:noProof/>
            </w:rPr>
            <w:t>82</w:t>
          </w:r>
        </w:p>
        <w:p w14:paraId="1F62F50B" w14:textId="14509975" w:rsidR="00F57636" w:rsidRDefault="00F57636">
          <w:pPr>
            <w:pStyle w:val="TOC1"/>
            <w:tabs>
              <w:tab w:val="left" w:pos="480"/>
              <w:tab w:val="right" w:leader="dot" w:pos="9350"/>
            </w:tabs>
            <w:rPr>
              <w:noProof/>
            </w:rPr>
          </w:pPr>
          <w:r>
            <w:rPr>
              <w:noProof/>
            </w:rPr>
            <w:t>L.</w:t>
          </w:r>
          <w:r>
            <w:rPr>
              <w:rFonts w:asciiTheme="minorHAnsi" w:eastAsiaTheme="minorEastAsia" w:hAnsiTheme="minorHAnsi" w:cstheme="minorBidi"/>
              <w:noProof/>
              <w:sz w:val="22"/>
              <w:szCs w:val="22"/>
            </w:rPr>
            <w:tab/>
          </w:r>
          <w:r w:rsidRPr="0073286A">
            <w:rPr>
              <w:noProof/>
              <w:u w:val="single"/>
            </w:rPr>
            <w:t>Commission Ordered Adjustments (Issue 44)</w:t>
          </w:r>
          <w:r>
            <w:rPr>
              <w:noProof/>
            </w:rPr>
            <w:tab/>
          </w:r>
          <w:r>
            <w:rPr>
              <w:noProof/>
            </w:rPr>
            <w:fldChar w:fldCharType="begin"/>
          </w:r>
          <w:r>
            <w:rPr>
              <w:noProof/>
            </w:rPr>
            <w:instrText xml:space="preserve"> PAGEREF _Toc199321490 \h </w:instrText>
          </w:r>
          <w:r>
            <w:rPr>
              <w:noProof/>
            </w:rPr>
          </w:r>
          <w:r>
            <w:rPr>
              <w:noProof/>
            </w:rPr>
            <w:fldChar w:fldCharType="separate"/>
          </w:r>
          <w:r w:rsidR="00157E6F">
            <w:rPr>
              <w:noProof/>
            </w:rPr>
            <w:t>82</w:t>
          </w:r>
          <w:r>
            <w:rPr>
              <w:noProof/>
            </w:rPr>
            <w:fldChar w:fldCharType="end"/>
          </w:r>
        </w:p>
        <w:p w14:paraId="1DB39136" w14:textId="23F9DF5C" w:rsidR="004C1795" w:rsidRPr="009F227C" w:rsidRDefault="004C1795" w:rsidP="004C1795">
          <w:pPr>
            <w:pStyle w:val="OrderBody"/>
            <w:tabs>
              <w:tab w:val="left" w:pos="720"/>
              <w:tab w:val="right" w:leader="dot" w:pos="9360"/>
            </w:tabs>
            <w:rPr>
              <w:noProof/>
            </w:rPr>
          </w:pPr>
          <w:r>
            <w:rPr>
              <w:noProof/>
            </w:rPr>
            <w:lastRenderedPageBreak/>
            <w:tab/>
          </w:r>
          <w:r w:rsidRPr="009F227C">
            <w:rPr>
              <w:noProof/>
            </w:rPr>
            <w:t>Schedule No. 1-A</w:t>
          </w:r>
          <w:r w:rsidRPr="009F227C">
            <w:rPr>
              <w:noProof/>
            </w:rPr>
            <w:tab/>
          </w:r>
          <w:r w:rsidR="00052768">
            <w:rPr>
              <w:noProof/>
            </w:rPr>
            <w:t>8</w:t>
          </w:r>
          <w:r w:rsidR="00CE76C1">
            <w:rPr>
              <w:noProof/>
            </w:rPr>
            <w:t>6</w:t>
          </w:r>
        </w:p>
        <w:p w14:paraId="0CD69518" w14:textId="43FA9DDE" w:rsidR="004C1795" w:rsidRPr="009F227C" w:rsidRDefault="004C1795" w:rsidP="004C1795">
          <w:pPr>
            <w:pStyle w:val="OrderBody"/>
            <w:tabs>
              <w:tab w:val="left" w:pos="720"/>
              <w:tab w:val="right" w:leader="dot" w:pos="9360"/>
            </w:tabs>
            <w:rPr>
              <w:noProof/>
            </w:rPr>
          </w:pPr>
          <w:r w:rsidRPr="009F227C">
            <w:rPr>
              <w:noProof/>
            </w:rPr>
            <w:tab/>
            <w:t>Schedule No. 1-B</w:t>
          </w:r>
          <w:r w:rsidRPr="009F227C">
            <w:rPr>
              <w:noProof/>
            </w:rPr>
            <w:tab/>
          </w:r>
          <w:r w:rsidR="00052768">
            <w:rPr>
              <w:noProof/>
            </w:rPr>
            <w:t>8</w:t>
          </w:r>
          <w:r w:rsidR="00CE76C1">
            <w:rPr>
              <w:noProof/>
            </w:rPr>
            <w:t>7</w:t>
          </w:r>
        </w:p>
        <w:p w14:paraId="1F227058" w14:textId="00873880" w:rsidR="004C1795" w:rsidRPr="009F227C" w:rsidRDefault="004C1795" w:rsidP="004C1795">
          <w:pPr>
            <w:pStyle w:val="OrderBody"/>
            <w:tabs>
              <w:tab w:val="left" w:pos="720"/>
              <w:tab w:val="right" w:leader="dot" w:pos="9360"/>
            </w:tabs>
            <w:rPr>
              <w:noProof/>
            </w:rPr>
          </w:pPr>
          <w:r w:rsidRPr="009F227C">
            <w:rPr>
              <w:noProof/>
            </w:rPr>
            <w:tab/>
            <w:t>Schedule No. 1-C</w:t>
          </w:r>
          <w:r w:rsidRPr="009F227C">
            <w:rPr>
              <w:noProof/>
            </w:rPr>
            <w:tab/>
          </w:r>
          <w:r w:rsidR="00052768">
            <w:rPr>
              <w:noProof/>
            </w:rPr>
            <w:t>8</w:t>
          </w:r>
          <w:r w:rsidR="00CE76C1">
            <w:rPr>
              <w:noProof/>
            </w:rPr>
            <w:t>8</w:t>
          </w:r>
        </w:p>
        <w:p w14:paraId="073CA368" w14:textId="5E8F3AB9" w:rsidR="004C1795" w:rsidRPr="009F227C" w:rsidRDefault="004C1795" w:rsidP="004C1795">
          <w:pPr>
            <w:pStyle w:val="OrderBody"/>
            <w:tabs>
              <w:tab w:val="left" w:pos="720"/>
              <w:tab w:val="right" w:leader="dot" w:pos="9360"/>
            </w:tabs>
            <w:rPr>
              <w:noProof/>
            </w:rPr>
          </w:pPr>
          <w:r w:rsidRPr="009F227C">
            <w:rPr>
              <w:noProof/>
            </w:rPr>
            <w:tab/>
            <w:t>Schedule No. 2</w:t>
          </w:r>
          <w:r w:rsidRPr="009F227C">
            <w:rPr>
              <w:noProof/>
            </w:rPr>
            <w:tab/>
          </w:r>
          <w:r w:rsidR="00052768">
            <w:rPr>
              <w:noProof/>
            </w:rPr>
            <w:t>8</w:t>
          </w:r>
          <w:r w:rsidR="00CE76C1">
            <w:rPr>
              <w:noProof/>
            </w:rPr>
            <w:t>9</w:t>
          </w:r>
        </w:p>
        <w:p w14:paraId="3C55928A" w14:textId="445CD289" w:rsidR="004C1795" w:rsidRPr="009F227C" w:rsidRDefault="004C1795" w:rsidP="004C1795">
          <w:pPr>
            <w:pStyle w:val="OrderBody"/>
            <w:tabs>
              <w:tab w:val="left" w:pos="720"/>
              <w:tab w:val="right" w:leader="dot" w:pos="9360"/>
            </w:tabs>
            <w:rPr>
              <w:noProof/>
            </w:rPr>
          </w:pPr>
          <w:r w:rsidRPr="009F227C">
            <w:rPr>
              <w:noProof/>
            </w:rPr>
            <w:tab/>
            <w:t>Schedule No. 3-A</w:t>
          </w:r>
          <w:r w:rsidRPr="009F227C">
            <w:rPr>
              <w:noProof/>
            </w:rPr>
            <w:tab/>
          </w:r>
          <w:r w:rsidR="00CE76C1">
            <w:rPr>
              <w:noProof/>
            </w:rPr>
            <w:t>90</w:t>
          </w:r>
        </w:p>
        <w:p w14:paraId="39E39618" w14:textId="4A33ECC3" w:rsidR="004C1795" w:rsidRPr="009F227C" w:rsidRDefault="004C1795" w:rsidP="004C1795">
          <w:pPr>
            <w:pStyle w:val="OrderBody"/>
            <w:tabs>
              <w:tab w:val="left" w:pos="720"/>
              <w:tab w:val="right" w:leader="dot" w:pos="9360"/>
            </w:tabs>
            <w:rPr>
              <w:noProof/>
            </w:rPr>
          </w:pPr>
          <w:r w:rsidRPr="009F227C">
            <w:rPr>
              <w:noProof/>
            </w:rPr>
            <w:tab/>
            <w:t>Schedule No. 3-B</w:t>
          </w:r>
          <w:r w:rsidRPr="009F227C">
            <w:rPr>
              <w:noProof/>
            </w:rPr>
            <w:tab/>
          </w:r>
          <w:r w:rsidR="00CE76C1">
            <w:rPr>
              <w:noProof/>
            </w:rPr>
            <w:t>91</w:t>
          </w:r>
        </w:p>
        <w:p w14:paraId="6B01E803" w14:textId="450EC58A" w:rsidR="004C1795" w:rsidRPr="009F227C" w:rsidRDefault="004C1795" w:rsidP="004C1795">
          <w:pPr>
            <w:pStyle w:val="OrderBody"/>
            <w:tabs>
              <w:tab w:val="left" w:pos="720"/>
              <w:tab w:val="right" w:leader="dot" w:pos="9360"/>
            </w:tabs>
            <w:rPr>
              <w:noProof/>
            </w:rPr>
          </w:pPr>
          <w:r w:rsidRPr="009F227C">
            <w:rPr>
              <w:noProof/>
            </w:rPr>
            <w:tab/>
            <w:t>Schedule No. 3-C</w:t>
          </w:r>
          <w:r w:rsidRPr="009F227C">
            <w:rPr>
              <w:noProof/>
            </w:rPr>
            <w:tab/>
          </w:r>
          <w:r w:rsidR="00052768">
            <w:rPr>
              <w:noProof/>
            </w:rPr>
            <w:t>9</w:t>
          </w:r>
          <w:r w:rsidR="00CE76C1">
            <w:rPr>
              <w:noProof/>
            </w:rPr>
            <w:t>2</w:t>
          </w:r>
        </w:p>
        <w:p w14:paraId="432EBE5D" w14:textId="62BD0AA9" w:rsidR="004C1795" w:rsidRPr="009F227C" w:rsidRDefault="004C1795" w:rsidP="004C1795">
          <w:pPr>
            <w:pStyle w:val="OrderBody"/>
            <w:tabs>
              <w:tab w:val="left" w:pos="720"/>
              <w:tab w:val="right" w:leader="dot" w:pos="9360"/>
            </w:tabs>
            <w:rPr>
              <w:noProof/>
            </w:rPr>
          </w:pPr>
          <w:r w:rsidRPr="009F227C">
            <w:rPr>
              <w:noProof/>
            </w:rPr>
            <w:tab/>
            <w:t>Schedule No. 4-A</w:t>
          </w:r>
          <w:r w:rsidRPr="009F227C">
            <w:rPr>
              <w:noProof/>
            </w:rPr>
            <w:tab/>
          </w:r>
          <w:r w:rsidR="00052768">
            <w:rPr>
              <w:noProof/>
            </w:rPr>
            <w:t>9</w:t>
          </w:r>
          <w:r w:rsidR="00CE76C1">
            <w:rPr>
              <w:noProof/>
            </w:rPr>
            <w:t>3</w:t>
          </w:r>
        </w:p>
        <w:p w14:paraId="7349D89D" w14:textId="094ED2D5" w:rsidR="004C1795" w:rsidRPr="009F227C" w:rsidRDefault="004C1795" w:rsidP="004C1795">
          <w:pPr>
            <w:pStyle w:val="OrderBody"/>
            <w:tabs>
              <w:tab w:val="left" w:pos="720"/>
              <w:tab w:val="right" w:leader="dot" w:pos="9360"/>
            </w:tabs>
            <w:rPr>
              <w:noProof/>
            </w:rPr>
          </w:pPr>
          <w:r w:rsidRPr="009F227C">
            <w:rPr>
              <w:noProof/>
            </w:rPr>
            <w:tab/>
            <w:t>Schedule No. 4-B</w:t>
          </w:r>
          <w:r w:rsidRPr="009F227C">
            <w:rPr>
              <w:noProof/>
            </w:rPr>
            <w:tab/>
          </w:r>
          <w:r w:rsidR="00052768">
            <w:rPr>
              <w:noProof/>
            </w:rPr>
            <w:t>9</w:t>
          </w:r>
          <w:r w:rsidR="00CE76C1">
            <w:rPr>
              <w:noProof/>
            </w:rPr>
            <w:t>4</w:t>
          </w:r>
        </w:p>
        <w:p w14:paraId="0494D7D2" w14:textId="7899B76F" w:rsidR="00F57636" w:rsidRDefault="00F57636">
          <w:r>
            <w:fldChar w:fldCharType="end"/>
          </w:r>
        </w:p>
      </w:sdtContent>
    </w:sdt>
    <w:p w14:paraId="5F4CA914" w14:textId="451833BD" w:rsidR="009006DF" w:rsidRPr="00447B7F" w:rsidRDefault="009006DF" w:rsidP="00C6598C">
      <w:pPr>
        <w:pStyle w:val="OrderBody"/>
        <w:tabs>
          <w:tab w:val="left" w:pos="720"/>
          <w:tab w:val="right" w:pos="9360"/>
        </w:tabs>
        <w:rPr>
          <w:bCs/>
          <w:kern w:val="32"/>
          <w:szCs w:val="32"/>
        </w:rPr>
      </w:pPr>
    </w:p>
    <w:p w14:paraId="1AFF4CCB" w14:textId="691E6B28" w:rsidR="003B33F0" w:rsidRPr="009F227C" w:rsidRDefault="003B33F0" w:rsidP="003B33F0">
      <w:pPr>
        <w:keepNext/>
        <w:spacing w:after="240"/>
        <w:jc w:val="center"/>
        <w:outlineLvl w:val="0"/>
        <w:rPr>
          <w:b/>
          <w:bCs/>
          <w:kern w:val="32"/>
          <w:szCs w:val="32"/>
        </w:rPr>
      </w:pPr>
      <w:bookmarkStart w:id="6" w:name="_Toc199321434"/>
      <w:r w:rsidRPr="009F227C">
        <w:rPr>
          <w:b/>
          <w:bCs/>
          <w:kern w:val="32"/>
          <w:szCs w:val="32"/>
        </w:rPr>
        <w:t>ACRONYM TABLE</w:t>
      </w:r>
      <w:bookmarkEnd w:id="6"/>
    </w:p>
    <w:p w14:paraId="4F31CA22" w14:textId="77777777" w:rsidR="003B33F0" w:rsidRPr="009F227C" w:rsidRDefault="003B33F0" w:rsidP="003B33F0">
      <w:pPr>
        <w:spacing w:after="240"/>
        <w:jc w:val="both"/>
      </w:pPr>
      <w:r w:rsidRPr="009F227C">
        <w:t>The following abbreviations used herein are listed below for reference purposes:</w:t>
      </w:r>
    </w:p>
    <w:p w14:paraId="442451A5" w14:textId="77777777" w:rsidR="003B33F0" w:rsidRPr="009F227C" w:rsidRDefault="003B33F0" w:rsidP="003B33F0">
      <w:pPr>
        <w:jc w:val="both"/>
      </w:pPr>
      <w:r w:rsidRPr="009F227C">
        <w:t>AA</w:t>
      </w:r>
      <w:r w:rsidRPr="009F227C">
        <w:tab/>
      </w:r>
      <w:r w:rsidRPr="009F227C">
        <w:tab/>
        <w:t>Accumulated Amortization</w:t>
      </w:r>
    </w:p>
    <w:p w14:paraId="405CF1DF" w14:textId="77777777" w:rsidR="003B33F0" w:rsidRPr="009F227C" w:rsidRDefault="003B33F0" w:rsidP="003B33F0">
      <w:pPr>
        <w:jc w:val="both"/>
      </w:pPr>
      <w:r w:rsidRPr="009F227C">
        <w:t xml:space="preserve">ADIT </w:t>
      </w:r>
      <w:r w:rsidRPr="009F227C">
        <w:tab/>
      </w:r>
      <w:r w:rsidRPr="009F227C">
        <w:tab/>
        <w:t>Accumulated Deferred Income Tax</w:t>
      </w:r>
    </w:p>
    <w:p w14:paraId="48B7C410" w14:textId="77777777" w:rsidR="003B33F0" w:rsidRPr="009F227C" w:rsidRDefault="003B33F0" w:rsidP="003B33F0">
      <w:pPr>
        <w:jc w:val="both"/>
      </w:pPr>
      <w:r w:rsidRPr="009F227C">
        <w:t xml:space="preserve">AFUDC </w:t>
      </w:r>
      <w:r w:rsidRPr="009F227C">
        <w:tab/>
        <w:t>Allowance for Funds Used During Construction</w:t>
      </w:r>
    </w:p>
    <w:p w14:paraId="4CE981AA" w14:textId="77777777" w:rsidR="003B33F0" w:rsidRPr="009F227C" w:rsidRDefault="003B33F0" w:rsidP="003B33F0">
      <w:pPr>
        <w:jc w:val="both"/>
      </w:pPr>
      <w:r w:rsidRPr="009F227C">
        <w:t>AFPI</w:t>
      </w:r>
      <w:r w:rsidRPr="009F227C">
        <w:tab/>
      </w:r>
      <w:r w:rsidRPr="009F227C">
        <w:tab/>
        <w:t>Allowance for Funds Prudently Invested</w:t>
      </w:r>
    </w:p>
    <w:p w14:paraId="35202728" w14:textId="77777777" w:rsidR="003B33F0" w:rsidRPr="009F227C" w:rsidRDefault="003B33F0" w:rsidP="003B33F0">
      <w:pPr>
        <w:jc w:val="both"/>
      </w:pPr>
      <w:r w:rsidRPr="009F227C">
        <w:t>AMI</w:t>
      </w:r>
      <w:r w:rsidRPr="009F227C">
        <w:tab/>
      </w:r>
      <w:r w:rsidRPr="009F227C">
        <w:tab/>
        <w:t>Advanced Metering Infrastructure</w:t>
      </w:r>
    </w:p>
    <w:p w14:paraId="2D8AFF8D" w14:textId="77777777" w:rsidR="003B33F0" w:rsidRPr="009F227C" w:rsidRDefault="003B33F0" w:rsidP="003B33F0">
      <w:pPr>
        <w:jc w:val="both"/>
      </w:pPr>
      <w:r w:rsidRPr="009F227C">
        <w:t>AMR</w:t>
      </w:r>
      <w:r w:rsidRPr="009F227C">
        <w:tab/>
      </w:r>
      <w:r w:rsidRPr="009F227C">
        <w:tab/>
        <w:t>Automated Meter Reading</w:t>
      </w:r>
    </w:p>
    <w:p w14:paraId="487A8BC7" w14:textId="77777777" w:rsidR="003B33F0" w:rsidRPr="009F227C" w:rsidRDefault="003B33F0" w:rsidP="003B33F0">
      <w:pPr>
        <w:jc w:val="both"/>
      </w:pPr>
      <w:r w:rsidRPr="009F227C">
        <w:t>ARV</w:t>
      </w:r>
      <w:r w:rsidRPr="009F227C">
        <w:tab/>
      </w:r>
      <w:r w:rsidRPr="009F227C">
        <w:tab/>
        <w:t>Air Release Valve</w:t>
      </w:r>
    </w:p>
    <w:p w14:paraId="20513D0B" w14:textId="77777777" w:rsidR="003B33F0" w:rsidRPr="009F227C" w:rsidRDefault="003B33F0" w:rsidP="003B33F0">
      <w:pPr>
        <w:jc w:val="both"/>
      </w:pPr>
      <w:r w:rsidRPr="009F227C">
        <w:t xml:space="preserve">BFC </w:t>
      </w:r>
      <w:r w:rsidRPr="009F227C">
        <w:tab/>
      </w:r>
      <w:r w:rsidRPr="009F227C">
        <w:tab/>
        <w:t>Base Facility Charge</w:t>
      </w:r>
    </w:p>
    <w:p w14:paraId="679F8A1D" w14:textId="77777777" w:rsidR="003B33F0" w:rsidRPr="009F227C" w:rsidRDefault="003B33F0" w:rsidP="003B33F0">
      <w:pPr>
        <w:jc w:val="both"/>
      </w:pPr>
      <w:r w:rsidRPr="009F227C">
        <w:t xml:space="preserve">BR </w:t>
      </w:r>
      <w:r w:rsidRPr="009F227C">
        <w:tab/>
      </w:r>
      <w:r w:rsidRPr="009F227C">
        <w:tab/>
        <w:t>Brief</w:t>
      </w:r>
    </w:p>
    <w:p w14:paraId="6E82606F" w14:textId="77777777" w:rsidR="003B33F0" w:rsidRPr="009F227C" w:rsidRDefault="003B33F0" w:rsidP="003B33F0">
      <w:pPr>
        <w:jc w:val="both"/>
      </w:pPr>
      <w:r w:rsidRPr="009F227C">
        <w:t>BSP</w:t>
      </w:r>
      <w:r w:rsidRPr="009F227C">
        <w:tab/>
      </w:r>
      <w:r w:rsidRPr="009F227C">
        <w:tab/>
        <w:t>Bates Stamped Page</w:t>
      </w:r>
    </w:p>
    <w:p w14:paraId="1ABA83BA" w14:textId="77777777" w:rsidR="003B33F0" w:rsidRPr="009F227C" w:rsidRDefault="003B33F0" w:rsidP="003B33F0">
      <w:pPr>
        <w:jc w:val="both"/>
      </w:pPr>
      <w:r w:rsidRPr="009F227C">
        <w:t>BV</w:t>
      </w:r>
      <w:r w:rsidRPr="009F227C">
        <w:tab/>
      </w:r>
      <w:r w:rsidRPr="009F227C">
        <w:tab/>
        <w:t>Buena Vista</w:t>
      </w:r>
    </w:p>
    <w:p w14:paraId="005C44BA" w14:textId="77777777" w:rsidR="003B33F0" w:rsidRPr="009F227C" w:rsidRDefault="003B33F0" w:rsidP="003B33F0">
      <w:pPr>
        <w:jc w:val="both"/>
      </w:pPr>
      <w:r w:rsidRPr="009F227C">
        <w:t>CFX</w:t>
      </w:r>
      <w:r w:rsidRPr="009F227C">
        <w:tab/>
      </w:r>
      <w:r w:rsidRPr="009F227C">
        <w:tab/>
        <w:t>Central Florida Expressway</w:t>
      </w:r>
    </w:p>
    <w:p w14:paraId="6EC531FD" w14:textId="77777777" w:rsidR="003B33F0" w:rsidRPr="009F227C" w:rsidRDefault="003B33F0" w:rsidP="003B33F0">
      <w:pPr>
        <w:jc w:val="both"/>
      </w:pPr>
      <w:r w:rsidRPr="009F227C">
        <w:t xml:space="preserve">CIAC </w:t>
      </w:r>
      <w:r w:rsidRPr="009F227C">
        <w:tab/>
      </w:r>
      <w:r w:rsidRPr="009F227C">
        <w:tab/>
        <w:t>Contributions-in-Aid-of-Construction</w:t>
      </w:r>
    </w:p>
    <w:p w14:paraId="1E1BAD60" w14:textId="77777777" w:rsidR="003B33F0" w:rsidRPr="009F227C" w:rsidRDefault="003B33F0" w:rsidP="003B33F0">
      <w:pPr>
        <w:jc w:val="both"/>
      </w:pPr>
      <w:r w:rsidRPr="009F227C">
        <w:t>CII</w:t>
      </w:r>
      <w:r w:rsidRPr="009F227C">
        <w:tab/>
      </w:r>
      <w:r w:rsidRPr="009F227C">
        <w:tab/>
        <w:t>Corix Infrastructure Inc.</w:t>
      </w:r>
    </w:p>
    <w:p w14:paraId="26D7047B" w14:textId="77777777" w:rsidR="003B33F0" w:rsidRPr="009F227C" w:rsidRDefault="003B33F0" w:rsidP="003B33F0">
      <w:pPr>
        <w:jc w:val="both"/>
      </w:pPr>
      <w:r w:rsidRPr="009F227C">
        <w:t>CRU-US</w:t>
      </w:r>
      <w:r w:rsidRPr="009F227C">
        <w:tab/>
        <w:t>Corix Regulated Utilities (U.S.), Inc.</w:t>
      </w:r>
    </w:p>
    <w:p w14:paraId="21D3BCE6" w14:textId="77777777" w:rsidR="003B33F0" w:rsidRPr="009F227C" w:rsidRDefault="003B33F0" w:rsidP="003B33F0">
      <w:pPr>
        <w:jc w:val="both"/>
      </w:pPr>
      <w:r w:rsidRPr="009F227C">
        <w:t xml:space="preserve">CWIP </w:t>
      </w:r>
      <w:r w:rsidRPr="009F227C">
        <w:tab/>
      </w:r>
      <w:r w:rsidRPr="009F227C">
        <w:tab/>
        <w:t>Construction Work in Progress</w:t>
      </w:r>
    </w:p>
    <w:p w14:paraId="530291B4" w14:textId="77777777" w:rsidR="003B33F0" w:rsidRPr="009F227C" w:rsidRDefault="003B33F0" w:rsidP="003B33F0">
      <w:pPr>
        <w:jc w:val="both"/>
      </w:pPr>
      <w:r w:rsidRPr="009F227C">
        <w:t>DEP</w:t>
      </w:r>
      <w:r w:rsidRPr="009F227C">
        <w:tab/>
      </w:r>
      <w:r w:rsidRPr="009F227C">
        <w:tab/>
        <w:t>Department of Environmental Protection</w:t>
      </w:r>
    </w:p>
    <w:p w14:paraId="249C918A" w14:textId="77777777" w:rsidR="003B33F0" w:rsidRPr="009F227C" w:rsidRDefault="003B33F0" w:rsidP="003B33F0">
      <w:pPr>
        <w:jc w:val="both"/>
      </w:pPr>
      <w:r w:rsidRPr="009F227C">
        <w:t>EQ</w:t>
      </w:r>
      <w:r w:rsidRPr="009F227C">
        <w:tab/>
      </w:r>
      <w:r w:rsidRPr="009F227C">
        <w:tab/>
        <w:t>Equalization</w:t>
      </w:r>
    </w:p>
    <w:p w14:paraId="25882B3C" w14:textId="77777777" w:rsidR="003B33F0" w:rsidRPr="009F227C" w:rsidRDefault="003B33F0" w:rsidP="003B33F0">
      <w:pPr>
        <w:jc w:val="both"/>
      </w:pPr>
      <w:r w:rsidRPr="009F227C">
        <w:t>ERC</w:t>
      </w:r>
      <w:r w:rsidRPr="009F227C">
        <w:tab/>
      </w:r>
      <w:r w:rsidRPr="009F227C">
        <w:tab/>
        <w:t>Equivalent Residential Connection</w:t>
      </w:r>
    </w:p>
    <w:p w14:paraId="73EF56F0" w14:textId="77777777" w:rsidR="003B33F0" w:rsidRPr="009F227C" w:rsidRDefault="003B33F0" w:rsidP="003B33F0">
      <w:pPr>
        <w:jc w:val="both"/>
      </w:pPr>
      <w:r w:rsidRPr="009F227C">
        <w:t>EUW</w:t>
      </w:r>
      <w:r w:rsidRPr="009F227C">
        <w:tab/>
      </w:r>
      <w:r w:rsidRPr="009F227C">
        <w:tab/>
        <w:t>Excessive Unaccounted for Water</w:t>
      </w:r>
    </w:p>
    <w:p w14:paraId="3FE73398" w14:textId="77777777" w:rsidR="003B33F0" w:rsidRPr="009F227C" w:rsidRDefault="003B33F0" w:rsidP="003B33F0">
      <w:pPr>
        <w:jc w:val="both"/>
      </w:pPr>
      <w:r w:rsidRPr="009F227C">
        <w:t>EWD</w:t>
      </w:r>
      <w:r w:rsidRPr="009F227C">
        <w:tab/>
      </w:r>
      <w:r w:rsidRPr="009F227C">
        <w:tab/>
        <w:t>Englewood Water District</w:t>
      </w:r>
    </w:p>
    <w:p w14:paraId="23B3122E" w14:textId="77777777" w:rsidR="003B33F0" w:rsidRPr="009F227C" w:rsidRDefault="003B33F0" w:rsidP="003B33F0">
      <w:pPr>
        <w:jc w:val="both"/>
      </w:pPr>
      <w:r w:rsidRPr="009F227C">
        <w:t>EXH</w:t>
      </w:r>
      <w:r w:rsidRPr="009F227C">
        <w:tab/>
      </w:r>
      <w:r w:rsidRPr="009F227C">
        <w:tab/>
        <w:t>Exhibit</w:t>
      </w:r>
    </w:p>
    <w:p w14:paraId="27CD3EE3" w14:textId="77777777" w:rsidR="003B33F0" w:rsidRPr="009F227C" w:rsidRDefault="003B33F0" w:rsidP="003B33F0">
      <w:pPr>
        <w:jc w:val="both"/>
      </w:pPr>
      <w:r w:rsidRPr="009F227C">
        <w:t>F.A.C.</w:t>
      </w:r>
      <w:r w:rsidRPr="009F227C">
        <w:tab/>
      </w:r>
      <w:r w:rsidRPr="009F227C">
        <w:tab/>
        <w:t>Florida Administrative Code</w:t>
      </w:r>
    </w:p>
    <w:p w14:paraId="07F24B95" w14:textId="77777777" w:rsidR="003B33F0" w:rsidRPr="009F227C" w:rsidRDefault="003B33F0" w:rsidP="003B33F0">
      <w:pPr>
        <w:jc w:val="both"/>
      </w:pPr>
      <w:r w:rsidRPr="009F227C">
        <w:t>FDOT</w:t>
      </w:r>
      <w:r w:rsidRPr="009F227C">
        <w:tab/>
      </w:r>
      <w:r w:rsidRPr="009F227C">
        <w:tab/>
        <w:t>Florida Department of Transportation</w:t>
      </w:r>
    </w:p>
    <w:p w14:paraId="754A40AF" w14:textId="77777777" w:rsidR="003B33F0" w:rsidRPr="009F227C" w:rsidRDefault="003B33F0" w:rsidP="003B33F0">
      <w:pPr>
        <w:jc w:val="both"/>
      </w:pPr>
      <w:r w:rsidRPr="009F227C">
        <w:t>FM</w:t>
      </w:r>
      <w:r w:rsidRPr="009F227C">
        <w:tab/>
      </w:r>
      <w:r w:rsidRPr="009F227C">
        <w:tab/>
        <w:t>Force Main</w:t>
      </w:r>
    </w:p>
    <w:p w14:paraId="3CA06433" w14:textId="77777777" w:rsidR="003B33F0" w:rsidRPr="009F227C" w:rsidRDefault="003B33F0" w:rsidP="003B33F0">
      <w:pPr>
        <w:jc w:val="both"/>
      </w:pPr>
      <w:r w:rsidRPr="009F227C">
        <w:t>FMV</w:t>
      </w:r>
      <w:r w:rsidRPr="009F227C">
        <w:tab/>
      </w:r>
      <w:r w:rsidRPr="009F227C">
        <w:tab/>
        <w:t>Fair Market Value</w:t>
      </w:r>
    </w:p>
    <w:p w14:paraId="7030BE48" w14:textId="77777777" w:rsidR="003B33F0" w:rsidRPr="009F227C" w:rsidRDefault="003B33F0" w:rsidP="003B33F0">
      <w:pPr>
        <w:jc w:val="both"/>
      </w:pPr>
      <w:r w:rsidRPr="009F227C">
        <w:t>F.S.</w:t>
      </w:r>
      <w:r w:rsidRPr="009F227C">
        <w:tab/>
      </w:r>
      <w:r w:rsidRPr="009F227C">
        <w:tab/>
        <w:t>Florida Statutes</w:t>
      </w:r>
    </w:p>
    <w:p w14:paraId="1900D47B" w14:textId="77777777" w:rsidR="003B33F0" w:rsidRPr="009F227C" w:rsidRDefault="003B33F0" w:rsidP="003B33F0">
      <w:pPr>
        <w:jc w:val="both"/>
      </w:pPr>
      <w:r w:rsidRPr="009F227C">
        <w:t>GDP</w:t>
      </w:r>
      <w:r w:rsidRPr="009F227C">
        <w:tab/>
      </w:r>
      <w:r w:rsidRPr="009F227C">
        <w:tab/>
        <w:t>Gross Domestic Product</w:t>
      </w:r>
    </w:p>
    <w:p w14:paraId="4FE44421" w14:textId="77777777" w:rsidR="003B33F0" w:rsidRPr="009F227C" w:rsidRDefault="003B33F0" w:rsidP="003B33F0">
      <w:pPr>
        <w:jc w:val="both"/>
      </w:pPr>
      <w:r w:rsidRPr="009F227C">
        <w:t>GM</w:t>
      </w:r>
      <w:r w:rsidRPr="009F227C">
        <w:tab/>
      </w:r>
      <w:r w:rsidRPr="009F227C">
        <w:tab/>
        <w:t>Gravity Main</w:t>
      </w:r>
    </w:p>
    <w:p w14:paraId="031690D7" w14:textId="77777777" w:rsidR="003B33F0" w:rsidRPr="009F227C" w:rsidRDefault="003B33F0" w:rsidP="003B33F0">
      <w:pPr>
        <w:jc w:val="both"/>
      </w:pPr>
      <w:r w:rsidRPr="009F227C">
        <w:t>HPDE</w:t>
      </w:r>
      <w:r w:rsidRPr="009F227C">
        <w:tab/>
      </w:r>
      <w:r w:rsidRPr="009F227C">
        <w:tab/>
        <w:t>High Density Polyethylene</w:t>
      </w:r>
    </w:p>
    <w:p w14:paraId="13BF3C55" w14:textId="77777777" w:rsidR="003B33F0" w:rsidRPr="009F227C" w:rsidRDefault="003B33F0" w:rsidP="003B33F0">
      <w:pPr>
        <w:jc w:val="both"/>
      </w:pPr>
      <w:r w:rsidRPr="009F227C">
        <w:lastRenderedPageBreak/>
        <w:t>IDC</w:t>
      </w:r>
      <w:r w:rsidRPr="009F227C">
        <w:tab/>
      </w:r>
      <w:r w:rsidRPr="009F227C">
        <w:tab/>
        <w:t>Interest During Construction</w:t>
      </w:r>
    </w:p>
    <w:p w14:paraId="2A7A5383" w14:textId="77777777" w:rsidR="003B33F0" w:rsidRPr="009F227C" w:rsidRDefault="003B33F0" w:rsidP="003B33F0">
      <w:pPr>
        <w:jc w:val="both"/>
      </w:pPr>
      <w:r w:rsidRPr="009F227C">
        <w:t>IRS</w:t>
      </w:r>
      <w:r w:rsidRPr="009F227C">
        <w:tab/>
      </w:r>
      <w:r w:rsidRPr="009F227C">
        <w:tab/>
        <w:t>Internal Revenue Service</w:t>
      </w:r>
    </w:p>
    <w:p w14:paraId="31E28FC6" w14:textId="77777777" w:rsidR="003B33F0" w:rsidRPr="009F227C" w:rsidRDefault="003B33F0" w:rsidP="003B33F0">
      <w:pPr>
        <w:jc w:val="both"/>
      </w:pPr>
      <w:r w:rsidRPr="009F227C">
        <w:t>LS</w:t>
      </w:r>
      <w:r w:rsidRPr="009F227C">
        <w:tab/>
      </w:r>
      <w:r w:rsidRPr="009F227C">
        <w:tab/>
        <w:t>Lift Station</w:t>
      </w:r>
    </w:p>
    <w:p w14:paraId="5BB267D5" w14:textId="77777777" w:rsidR="003B33F0" w:rsidRPr="009F227C" w:rsidRDefault="003B33F0" w:rsidP="003B33F0">
      <w:pPr>
        <w:jc w:val="both"/>
      </w:pPr>
      <w:r w:rsidRPr="009F227C">
        <w:t>LUSI</w:t>
      </w:r>
      <w:r w:rsidRPr="009F227C">
        <w:tab/>
      </w:r>
      <w:r w:rsidRPr="009F227C">
        <w:tab/>
        <w:t>Lake Utility Services, Inc.</w:t>
      </w:r>
    </w:p>
    <w:p w14:paraId="66464C77" w14:textId="77777777" w:rsidR="003B33F0" w:rsidRPr="009F227C" w:rsidRDefault="003B33F0" w:rsidP="003B33F0">
      <w:pPr>
        <w:jc w:val="both"/>
      </w:pPr>
      <w:r w:rsidRPr="009F227C">
        <w:t>MFRs</w:t>
      </w:r>
      <w:r w:rsidRPr="009F227C">
        <w:tab/>
      </w:r>
      <w:r w:rsidRPr="009F227C">
        <w:tab/>
        <w:t>Minimum Filing Requirements</w:t>
      </w:r>
    </w:p>
    <w:p w14:paraId="31F05543" w14:textId="77777777" w:rsidR="003B33F0" w:rsidRPr="009F227C" w:rsidRDefault="003B33F0" w:rsidP="003B33F0">
      <w:pPr>
        <w:jc w:val="both"/>
      </w:pPr>
      <w:r w:rsidRPr="009F227C">
        <w:t>MCL</w:t>
      </w:r>
      <w:r w:rsidRPr="009F227C">
        <w:tab/>
      </w:r>
      <w:r w:rsidRPr="009F227C">
        <w:tab/>
        <w:t>Maximum Contaminant Level</w:t>
      </w:r>
    </w:p>
    <w:p w14:paraId="6C03B19F" w14:textId="77777777" w:rsidR="003B33F0" w:rsidRPr="009F227C" w:rsidRDefault="003B33F0" w:rsidP="003B33F0">
      <w:pPr>
        <w:jc w:val="both"/>
      </w:pPr>
      <w:r w:rsidRPr="009F227C">
        <w:t>MGD</w:t>
      </w:r>
      <w:r w:rsidRPr="009F227C">
        <w:tab/>
      </w:r>
      <w:r w:rsidRPr="009F227C">
        <w:tab/>
        <w:t>Millions Gallons Per Day</w:t>
      </w:r>
    </w:p>
    <w:p w14:paraId="64C20923" w14:textId="77777777" w:rsidR="003B33F0" w:rsidRPr="009F227C" w:rsidRDefault="003B33F0" w:rsidP="003B33F0">
      <w:pPr>
        <w:jc w:val="both"/>
      </w:pPr>
      <w:r w:rsidRPr="009F227C">
        <w:t xml:space="preserve">NARUC </w:t>
      </w:r>
      <w:r w:rsidRPr="009F227C">
        <w:tab/>
        <w:t>National Association of Regulatory Utility Commissioners</w:t>
      </w:r>
    </w:p>
    <w:p w14:paraId="02E55E9B" w14:textId="77777777" w:rsidR="003B33F0" w:rsidRPr="009F227C" w:rsidRDefault="003B33F0" w:rsidP="003B33F0">
      <w:pPr>
        <w:jc w:val="both"/>
      </w:pPr>
      <w:r w:rsidRPr="009F227C">
        <w:t>O&amp;M</w:t>
      </w:r>
      <w:r w:rsidRPr="009F227C">
        <w:tab/>
      </w:r>
      <w:r w:rsidRPr="009F227C">
        <w:tab/>
        <w:t>Operation and Maintenance</w:t>
      </w:r>
    </w:p>
    <w:p w14:paraId="346B2073" w14:textId="77777777" w:rsidR="003B33F0" w:rsidRPr="009F227C" w:rsidRDefault="003B33F0" w:rsidP="003B33F0">
      <w:pPr>
        <w:jc w:val="both"/>
      </w:pPr>
      <w:r w:rsidRPr="009F227C">
        <w:t>OPC</w:t>
      </w:r>
      <w:r w:rsidRPr="009F227C">
        <w:tab/>
      </w:r>
      <w:r w:rsidRPr="009F227C">
        <w:tab/>
        <w:t>Office of Public Counsel</w:t>
      </w:r>
    </w:p>
    <w:p w14:paraId="0CC8A1D7" w14:textId="77777777" w:rsidR="003B33F0" w:rsidRPr="009F227C" w:rsidRDefault="003B33F0" w:rsidP="003B33F0">
      <w:pPr>
        <w:jc w:val="both"/>
      </w:pPr>
      <w:r w:rsidRPr="009F227C">
        <w:t>OW</w:t>
      </w:r>
      <w:r w:rsidRPr="009F227C">
        <w:tab/>
      </w:r>
      <w:r w:rsidRPr="009F227C">
        <w:tab/>
        <w:t>Orangewood</w:t>
      </w:r>
    </w:p>
    <w:p w14:paraId="07F57938" w14:textId="77777777" w:rsidR="003B33F0" w:rsidRPr="009F227C" w:rsidRDefault="003B33F0" w:rsidP="003B33F0">
      <w:pPr>
        <w:jc w:val="both"/>
      </w:pPr>
      <w:r w:rsidRPr="009F227C">
        <w:t>PAA</w:t>
      </w:r>
      <w:r w:rsidRPr="009F227C">
        <w:tab/>
      </w:r>
      <w:r w:rsidRPr="009F227C">
        <w:tab/>
        <w:t>Proposed Agency Action</w:t>
      </w:r>
    </w:p>
    <w:p w14:paraId="6F381116" w14:textId="77777777" w:rsidR="003B33F0" w:rsidRPr="009F227C" w:rsidRDefault="003B33F0" w:rsidP="003B33F0">
      <w:pPr>
        <w:jc w:val="both"/>
      </w:pPr>
      <w:r w:rsidRPr="009F227C">
        <w:t>PFAS</w:t>
      </w:r>
      <w:r w:rsidRPr="009F227C">
        <w:tab/>
      </w:r>
      <w:r w:rsidRPr="009F227C">
        <w:tab/>
        <w:t>Per- and Poly-Fluoroalkyl Substances</w:t>
      </w:r>
    </w:p>
    <w:p w14:paraId="54F47E97" w14:textId="77777777" w:rsidR="003B33F0" w:rsidRPr="009F227C" w:rsidRDefault="003B33F0" w:rsidP="003B33F0">
      <w:pPr>
        <w:jc w:val="both"/>
      </w:pPr>
      <w:r w:rsidRPr="009F227C">
        <w:t>PVC</w:t>
      </w:r>
      <w:r w:rsidRPr="009F227C">
        <w:tab/>
      </w:r>
      <w:r w:rsidRPr="009F227C">
        <w:tab/>
        <w:t>Polyvinyl Chloride</w:t>
      </w:r>
    </w:p>
    <w:p w14:paraId="42A93B99" w14:textId="77777777" w:rsidR="003B33F0" w:rsidRPr="009F227C" w:rsidRDefault="003B33F0" w:rsidP="003B33F0">
      <w:pPr>
        <w:jc w:val="both"/>
      </w:pPr>
      <w:r w:rsidRPr="009F227C">
        <w:t>RAFs</w:t>
      </w:r>
      <w:r w:rsidRPr="009F227C">
        <w:tab/>
      </w:r>
      <w:r w:rsidRPr="009F227C">
        <w:tab/>
        <w:t>Regulatory Assessment Fees</w:t>
      </w:r>
    </w:p>
    <w:p w14:paraId="71604721" w14:textId="77777777" w:rsidR="003B33F0" w:rsidRPr="009F227C" w:rsidRDefault="003B33F0" w:rsidP="003B33F0">
      <w:pPr>
        <w:jc w:val="both"/>
      </w:pPr>
      <w:r w:rsidRPr="009F227C">
        <w:t>RAS</w:t>
      </w:r>
      <w:r w:rsidRPr="009F227C">
        <w:tab/>
      </w:r>
      <w:r w:rsidRPr="009F227C">
        <w:tab/>
        <w:t>Return Activated Sludge</w:t>
      </w:r>
    </w:p>
    <w:p w14:paraId="1595A212" w14:textId="77777777" w:rsidR="003B33F0" w:rsidRPr="009F227C" w:rsidRDefault="003B33F0" w:rsidP="003B33F0">
      <w:pPr>
        <w:jc w:val="both"/>
      </w:pPr>
      <w:r w:rsidRPr="009F227C">
        <w:t>RRA</w:t>
      </w:r>
      <w:r w:rsidRPr="009F227C">
        <w:tab/>
      </w:r>
      <w:r w:rsidRPr="009F227C">
        <w:tab/>
        <w:t>Regulatory Research Associates</w:t>
      </w:r>
    </w:p>
    <w:p w14:paraId="2877415E" w14:textId="77777777" w:rsidR="003B33F0" w:rsidRPr="009F227C" w:rsidRDefault="003B33F0" w:rsidP="003B33F0">
      <w:pPr>
        <w:jc w:val="both"/>
      </w:pPr>
      <w:r w:rsidRPr="009F227C">
        <w:t>ROE</w:t>
      </w:r>
      <w:r w:rsidRPr="009F227C">
        <w:tab/>
      </w:r>
      <w:r w:rsidRPr="009F227C">
        <w:tab/>
        <w:t>Return on Equity</w:t>
      </w:r>
    </w:p>
    <w:p w14:paraId="021368CD" w14:textId="77777777" w:rsidR="003B33F0" w:rsidRPr="009F227C" w:rsidRDefault="003B33F0" w:rsidP="003B33F0">
      <w:pPr>
        <w:jc w:val="both"/>
      </w:pPr>
      <w:r w:rsidRPr="009F227C">
        <w:t>RTU</w:t>
      </w:r>
      <w:r w:rsidRPr="009F227C">
        <w:tab/>
      </w:r>
      <w:r w:rsidRPr="009F227C">
        <w:tab/>
        <w:t>Remote Terminal Unit</w:t>
      </w:r>
    </w:p>
    <w:p w14:paraId="3DA8360C" w14:textId="77777777" w:rsidR="003B33F0" w:rsidRPr="009F227C" w:rsidRDefault="003B33F0" w:rsidP="003B33F0">
      <w:pPr>
        <w:jc w:val="both"/>
      </w:pPr>
      <w:r w:rsidRPr="009F227C">
        <w:t>SCADA</w:t>
      </w:r>
      <w:r w:rsidRPr="009F227C">
        <w:tab/>
        <w:t>Supervisory Control &amp; Data Acquisition</w:t>
      </w:r>
    </w:p>
    <w:p w14:paraId="792E3F54" w14:textId="77777777" w:rsidR="003B33F0" w:rsidRPr="009F227C" w:rsidRDefault="003B33F0" w:rsidP="003B33F0">
      <w:pPr>
        <w:jc w:val="both"/>
      </w:pPr>
      <w:r w:rsidRPr="009F227C">
        <w:t>SH</w:t>
      </w:r>
      <w:r w:rsidRPr="009F227C">
        <w:tab/>
      </w:r>
      <w:r w:rsidRPr="009F227C">
        <w:tab/>
        <w:t>Service Hearing Transcript</w:t>
      </w:r>
    </w:p>
    <w:p w14:paraId="7E40699B" w14:textId="77777777" w:rsidR="003B33F0" w:rsidRPr="009F227C" w:rsidRDefault="003B33F0" w:rsidP="003B33F0">
      <w:pPr>
        <w:jc w:val="both"/>
      </w:pPr>
      <w:r w:rsidRPr="009F227C">
        <w:t>TOTI</w:t>
      </w:r>
      <w:r w:rsidRPr="009F227C">
        <w:tab/>
      </w:r>
      <w:r w:rsidRPr="009F227C">
        <w:tab/>
        <w:t>Taxes Other than Income</w:t>
      </w:r>
    </w:p>
    <w:p w14:paraId="08205553" w14:textId="77777777" w:rsidR="003B33F0" w:rsidRPr="009F227C" w:rsidRDefault="003B33F0" w:rsidP="003B33F0">
      <w:pPr>
        <w:jc w:val="both"/>
      </w:pPr>
      <w:r w:rsidRPr="009F227C">
        <w:t>TR</w:t>
      </w:r>
      <w:r w:rsidRPr="009F227C">
        <w:tab/>
      </w:r>
      <w:r w:rsidRPr="009F227C">
        <w:tab/>
        <w:t>Transcript</w:t>
      </w:r>
    </w:p>
    <w:p w14:paraId="5B7607EC" w14:textId="77777777" w:rsidR="003B33F0" w:rsidRPr="009F227C" w:rsidRDefault="003B33F0" w:rsidP="003B33F0">
      <w:pPr>
        <w:jc w:val="both"/>
      </w:pPr>
      <w:r w:rsidRPr="009F227C">
        <w:t>U&amp;U</w:t>
      </w:r>
      <w:r w:rsidRPr="009F227C">
        <w:tab/>
      </w:r>
      <w:r w:rsidRPr="009F227C">
        <w:tab/>
        <w:t>Used and Useful</w:t>
      </w:r>
    </w:p>
    <w:p w14:paraId="5A1AE078" w14:textId="77777777" w:rsidR="003B33F0" w:rsidRPr="009F227C" w:rsidRDefault="003B33F0" w:rsidP="003B33F0">
      <w:pPr>
        <w:jc w:val="both"/>
      </w:pPr>
      <w:r w:rsidRPr="009F227C">
        <w:t>UIF</w:t>
      </w:r>
      <w:r w:rsidRPr="009F227C">
        <w:tab/>
      </w:r>
      <w:r w:rsidRPr="009F227C">
        <w:tab/>
        <w:t>Utilities, Inc. of Florida</w:t>
      </w:r>
    </w:p>
    <w:p w14:paraId="54223F79" w14:textId="77777777" w:rsidR="003B33F0" w:rsidRPr="009F227C" w:rsidRDefault="003B33F0" w:rsidP="003B33F0">
      <w:pPr>
        <w:jc w:val="both"/>
      </w:pPr>
      <w:r w:rsidRPr="009F227C">
        <w:t>USOA</w:t>
      </w:r>
      <w:r w:rsidRPr="009F227C">
        <w:tab/>
      </w:r>
      <w:r w:rsidRPr="009F227C">
        <w:tab/>
        <w:t>Uniform System of Accounts</w:t>
      </w:r>
    </w:p>
    <w:p w14:paraId="40E9E3AB" w14:textId="77777777" w:rsidR="003B33F0" w:rsidRPr="009F227C" w:rsidRDefault="003B33F0" w:rsidP="003B33F0">
      <w:pPr>
        <w:jc w:val="both"/>
      </w:pPr>
      <w:r w:rsidRPr="009F227C">
        <w:t>WACC</w:t>
      </w:r>
      <w:r w:rsidRPr="009F227C">
        <w:tab/>
        <w:t>Weighted Average Cost of Capital</w:t>
      </w:r>
    </w:p>
    <w:p w14:paraId="67CFE15F" w14:textId="77777777" w:rsidR="003B33F0" w:rsidRPr="009F227C" w:rsidRDefault="003B33F0" w:rsidP="003B33F0">
      <w:pPr>
        <w:jc w:val="both"/>
      </w:pPr>
      <w:r w:rsidRPr="009F227C">
        <w:t xml:space="preserve">WM </w:t>
      </w:r>
      <w:r w:rsidRPr="009F227C">
        <w:tab/>
      </w:r>
      <w:r w:rsidRPr="009F227C">
        <w:tab/>
        <w:t>Water Mains</w:t>
      </w:r>
    </w:p>
    <w:p w14:paraId="2D05F9F1" w14:textId="77777777" w:rsidR="003B33F0" w:rsidRPr="009F227C" w:rsidRDefault="003B33F0" w:rsidP="003B33F0">
      <w:pPr>
        <w:jc w:val="both"/>
      </w:pPr>
      <w:r w:rsidRPr="009F227C">
        <w:t>WSC</w:t>
      </w:r>
      <w:r w:rsidRPr="009F227C">
        <w:tab/>
      </w:r>
      <w:r w:rsidRPr="009F227C">
        <w:tab/>
        <w:t>Water Service Corporation</w:t>
      </w:r>
    </w:p>
    <w:p w14:paraId="595252C3" w14:textId="77777777" w:rsidR="003B33F0" w:rsidRPr="009F227C" w:rsidRDefault="003B33F0" w:rsidP="003B33F0">
      <w:pPr>
        <w:jc w:val="both"/>
      </w:pPr>
      <w:r w:rsidRPr="009F227C">
        <w:t>WTP</w:t>
      </w:r>
      <w:r w:rsidRPr="009F227C">
        <w:tab/>
      </w:r>
      <w:r w:rsidRPr="009F227C">
        <w:tab/>
        <w:t>Water Treatment Plant</w:t>
      </w:r>
    </w:p>
    <w:p w14:paraId="463DF63B" w14:textId="77777777" w:rsidR="003B33F0" w:rsidRPr="009F227C" w:rsidRDefault="003B33F0" w:rsidP="003B33F0">
      <w:pPr>
        <w:pStyle w:val="OrderBody"/>
      </w:pPr>
      <w:r w:rsidRPr="009F227C">
        <w:t>WWTP</w:t>
      </w:r>
      <w:r w:rsidRPr="009F227C">
        <w:tab/>
        <w:t>Wastewater Treatment Plant</w:t>
      </w:r>
    </w:p>
    <w:p w14:paraId="521C04C8" w14:textId="77777777" w:rsidR="003B33F0" w:rsidRPr="009F227C" w:rsidRDefault="003B33F0" w:rsidP="003B33F0">
      <w:pPr>
        <w:pStyle w:val="OrderBody"/>
      </w:pPr>
    </w:p>
    <w:p w14:paraId="2DC1E4E0" w14:textId="77777777" w:rsidR="00B004E7" w:rsidRDefault="00B004E7">
      <w:pPr>
        <w:rPr>
          <w:b/>
          <w:bCs/>
          <w:kern w:val="32"/>
          <w:szCs w:val="32"/>
        </w:rPr>
      </w:pPr>
      <w:bookmarkStart w:id="7" w:name="_Toc199321435"/>
      <w:r>
        <w:rPr>
          <w:b/>
          <w:bCs/>
          <w:kern w:val="32"/>
          <w:szCs w:val="32"/>
        </w:rPr>
        <w:br w:type="page"/>
      </w:r>
    </w:p>
    <w:p w14:paraId="1B965A4A" w14:textId="24EC588A" w:rsidR="00B004E7" w:rsidRDefault="00B004E7" w:rsidP="007650C7">
      <w:pPr>
        <w:pStyle w:val="OrderBody"/>
      </w:pPr>
      <w:r w:rsidRPr="004959A8">
        <w:lastRenderedPageBreak/>
        <w:t>BY THE COMMISSION:</w:t>
      </w:r>
    </w:p>
    <w:p w14:paraId="1A0D659A" w14:textId="77777777" w:rsidR="00B004E7" w:rsidRPr="007650C7" w:rsidRDefault="00B004E7" w:rsidP="007650C7">
      <w:pPr>
        <w:pStyle w:val="OrderBody"/>
      </w:pPr>
    </w:p>
    <w:p w14:paraId="17F05436" w14:textId="6FDD65C6" w:rsidR="003B33F0" w:rsidRPr="004E23DF" w:rsidRDefault="003B33F0" w:rsidP="003B33F0">
      <w:pPr>
        <w:keepNext/>
        <w:spacing w:after="240"/>
        <w:jc w:val="center"/>
        <w:outlineLvl w:val="0"/>
        <w:rPr>
          <w:b/>
          <w:bCs/>
          <w:kern w:val="32"/>
          <w:szCs w:val="32"/>
        </w:rPr>
      </w:pPr>
      <w:r w:rsidRPr="004E23DF">
        <w:rPr>
          <w:b/>
          <w:bCs/>
          <w:kern w:val="32"/>
          <w:szCs w:val="32"/>
        </w:rPr>
        <w:t>Background</w:t>
      </w:r>
      <w:bookmarkEnd w:id="7"/>
    </w:p>
    <w:p w14:paraId="79DB5024" w14:textId="1B23523B" w:rsidR="003B33F0" w:rsidRPr="009F227C" w:rsidRDefault="004E4E2B" w:rsidP="003B33F0">
      <w:pPr>
        <w:spacing w:after="240"/>
        <w:jc w:val="both"/>
      </w:pPr>
      <w:r w:rsidRPr="009F227C">
        <w:tab/>
      </w:r>
      <w:r w:rsidR="003B33F0" w:rsidRPr="009F227C">
        <w:t xml:space="preserve">Sunshine Water Services </w:t>
      </w:r>
      <w:r w:rsidR="002C0A45" w:rsidRPr="009F227C">
        <w:t xml:space="preserve">Company </w:t>
      </w:r>
      <w:r w:rsidR="00FE0675">
        <w:t xml:space="preserve">(Sunshine or Utility) </w:t>
      </w:r>
      <w:r w:rsidR="002C0A45" w:rsidRPr="009F227C">
        <w:t>is</w:t>
      </w:r>
      <w:r w:rsidR="003B33F0" w:rsidRPr="009F227C">
        <w:t xml:space="preserve"> a Class A utility providing water and wastewater services to approximately 35,171 water and 29,547 wastewater customers in Charlotte, Highlands, Lake, Lee, Marion, Orange, Pasco, Pinellas, Polk, and Seminole Counties. Rates were last established for this Utility in its 2020 rate case.</w:t>
      </w:r>
      <w:r w:rsidR="003B33F0" w:rsidRPr="009F227C">
        <w:rPr>
          <w:vertAlign w:val="superscript"/>
        </w:rPr>
        <w:footnoteReference w:id="1"/>
      </w:r>
      <w:r w:rsidR="003B33F0" w:rsidRPr="009F227C">
        <w:t xml:space="preserve"> </w:t>
      </w:r>
    </w:p>
    <w:p w14:paraId="6D9E5B94" w14:textId="77777777" w:rsidR="003B33F0" w:rsidRPr="009F227C" w:rsidRDefault="004E4E2B" w:rsidP="003B33F0">
      <w:pPr>
        <w:spacing w:after="240"/>
        <w:jc w:val="both"/>
      </w:pPr>
      <w:r w:rsidRPr="009F227C">
        <w:tab/>
      </w:r>
      <w:r w:rsidR="003B33F0" w:rsidRPr="009F227C">
        <w:t xml:space="preserve">On June 28, 2024, Sunshine filed its application for the rate increase at issue in the instant docket. The Utility elected to proceed directly to hearing pursuant to Section 367.081, Florida Statutes (F.S.). On July 26, 2024, </w:t>
      </w:r>
      <w:r w:rsidR="00BE0327" w:rsidRPr="009F227C">
        <w:t xml:space="preserve">our </w:t>
      </w:r>
      <w:r w:rsidR="001D3577" w:rsidRPr="009F227C">
        <w:t>staff</w:t>
      </w:r>
      <w:r w:rsidR="003B33F0" w:rsidRPr="009F227C">
        <w:t xml:space="preserve"> sent the Utility a letter indicating deficiencies in the filing of its minimum filing requirements (MFRs). The Utility filed a deficiency response letter that cured its deficiencies on August 1, 2024. Thus, the official filing date is August 1, 2024.</w:t>
      </w:r>
    </w:p>
    <w:p w14:paraId="6F2C292F" w14:textId="77777777" w:rsidR="003B33F0" w:rsidRPr="009F227C" w:rsidRDefault="004E4E2B" w:rsidP="003B33F0">
      <w:pPr>
        <w:spacing w:after="240"/>
        <w:jc w:val="both"/>
      </w:pPr>
      <w:r w:rsidRPr="009F227C">
        <w:tab/>
      </w:r>
      <w:r w:rsidR="003B33F0" w:rsidRPr="009F227C">
        <w:t>The Utility’s application for an increase to water and wastewater rates is based on the historical 13-month average period ended December 31, 2023, and includes adjustments for pro forma projects. Sunshine has also requested an increase in its meter installation charges.</w:t>
      </w:r>
    </w:p>
    <w:p w14:paraId="0C34E9FC" w14:textId="77777777" w:rsidR="003B33F0" w:rsidRPr="009F227C" w:rsidRDefault="004E4E2B" w:rsidP="003B33F0">
      <w:pPr>
        <w:spacing w:after="240"/>
        <w:jc w:val="both"/>
      </w:pPr>
      <w:r w:rsidRPr="009F227C">
        <w:tab/>
      </w:r>
      <w:r w:rsidR="003B33F0" w:rsidRPr="009F227C">
        <w:t>Additionally, Sunshine requested authorization to defer benefits and costs incurred as a result of its parent company’s merger. In 202</w:t>
      </w:r>
      <w:r w:rsidR="001D3577" w:rsidRPr="009F227C">
        <w:t xml:space="preserve">2, Sunshine’s parent companies, </w:t>
      </w:r>
      <w:r w:rsidR="003B33F0" w:rsidRPr="009F227C">
        <w:t xml:space="preserve">Corix Infrastructure Inc. and Corix US, entered into a transaction agreement to merge its businesses with IIF Subway Investment LP, SWMAC, and SouthWest Water Company. As the transaction occurred at the parent level, Sunshine was not directly affected. </w:t>
      </w:r>
    </w:p>
    <w:p w14:paraId="65013067" w14:textId="77777777" w:rsidR="003B33F0" w:rsidRPr="009F227C" w:rsidRDefault="004E4E2B" w:rsidP="003B33F0">
      <w:pPr>
        <w:spacing w:after="240"/>
        <w:jc w:val="both"/>
      </w:pPr>
      <w:r w:rsidRPr="009F227C">
        <w:tab/>
      </w:r>
      <w:r w:rsidR="003B33F0" w:rsidRPr="009F227C">
        <w:t xml:space="preserve">On August 28, 2024, </w:t>
      </w:r>
      <w:r w:rsidR="00BE0327" w:rsidRPr="009F227C">
        <w:t>we</w:t>
      </w:r>
      <w:r w:rsidR="003B33F0" w:rsidRPr="009F227C">
        <w:t xml:space="preserve"> suspended final rates proposed by the Utility to allow </w:t>
      </w:r>
      <w:r w:rsidR="001D3577" w:rsidRPr="009F227C">
        <w:t>our staff</w:t>
      </w:r>
      <w:r w:rsidR="003B33F0" w:rsidRPr="009F227C">
        <w:t xml:space="preserve"> sufficient time to process this case.</w:t>
      </w:r>
      <w:r w:rsidR="003B33F0" w:rsidRPr="009F227C">
        <w:rPr>
          <w:vertAlign w:val="superscript"/>
        </w:rPr>
        <w:footnoteReference w:id="2"/>
      </w:r>
      <w:r w:rsidR="003B33F0" w:rsidRPr="009F227C">
        <w:t xml:space="preserve"> </w:t>
      </w:r>
    </w:p>
    <w:p w14:paraId="79AAC0AC" w14:textId="77777777" w:rsidR="003B33F0" w:rsidRPr="009F227C" w:rsidRDefault="004E4E2B" w:rsidP="003B33F0">
      <w:pPr>
        <w:spacing w:after="240"/>
        <w:jc w:val="both"/>
      </w:pPr>
      <w:r w:rsidRPr="009F227C">
        <w:tab/>
      </w:r>
      <w:r w:rsidR="003B33F0" w:rsidRPr="009F227C">
        <w:t>On April 23, 2024, the Office of Public Counsel (OPC) filed a petition to intervene.</w:t>
      </w:r>
      <w:r w:rsidR="003B33F0" w:rsidRPr="009F227C">
        <w:rPr>
          <w:vertAlign w:val="superscript"/>
        </w:rPr>
        <w:footnoteReference w:id="3"/>
      </w:r>
      <w:r w:rsidR="003B33F0" w:rsidRPr="009F227C">
        <w:t xml:space="preserve"> However, OPC subsequently filed a notice withdrawing this petition on May 7, 2024.</w:t>
      </w:r>
      <w:r w:rsidR="003B33F0" w:rsidRPr="009F227C">
        <w:rPr>
          <w:vertAlign w:val="superscript"/>
        </w:rPr>
        <w:footnoteReference w:id="4"/>
      </w:r>
      <w:r w:rsidR="003B33F0" w:rsidRPr="009F227C">
        <w:t xml:space="preserve"> On September 19, 2024, OPC filed another petition to intervene.</w:t>
      </w:r>
      <w:r w:rsidR="003B33F0" w:rsidRPr="009F227C">
        <w:rPr>
          <w:vertAlign w:val="superscript"/>
        </w:rPr>
        <w:footnoteReference w:id="5"/>
      </w:r>
      <w:r w:rsidR="003B33F0" w:rsidRPr="009F227C">
        <w:t xml:space="preserve"> On September 25, 2024, an Order was issued acknowledging intervention by OPC.</w:t>
      </w:r>
      <w:r w:rsidR="003B33F0" w:rsidRPr="009F227C">
        <w:rPr>
          <w:vertAlign w:val="superscript"/>
        </w:rPr>
        <w:footnoteReference w:id="6"/>
      </w:r>
    </w:p>
    <w:p w14:paraId="26AE7DD9" w14:textId="718A986D" w:rsidR="003B33F0" w:rsidRPr="009F227C" w:rsidRDefault="004E4E2B" w:rsidP="003B33F0">
      <w:pPr>
        <w:spacing w:after="240"/>
        <w:jc w:val="both"/>
      </w:pPr>
      <w:r w:rsidRPr="009F227C">
        <w:tab/>
      </w:r>
      <w:r w:rsidR="003B33F0" w:rsidRPr="009F227C">
        <w:t>Four customer service hearings were held</w:t>
      </w:r>
      <w:r w:rsidR="00FE388E">
        <w:t>:</w:t>
      </w:r>
      <w:r w:rsidR="003B33F0" w:rsidRPr="009F227C">
        <w:t xml:space="preserve"> two virtual hearings on December 3, 2024 and December 19, 2024 and two in-person hearings on December 17, 2024.</w:t>
      </w:r>
    </w:p>
    <w:p w14:paraId="0F1EAEF3" w14:textId="3B5B35AA" w:rsidR="003B33F0" w:rsidRPr="009F227C" w:rsidRDefault="004E4E2B" w:rsidP="00CD794D">
      <w:pPr>
        <w:spacing w:after="240"/>
        <w:jc w:val="both"/>
      </w:pPr>
      <w:r w:rsidRPr="009F227C">
        <w:lastRenderedPageBreak/>
        <w:tab/>
      </w:r>
      <w:r w:rsidR="003B33F0" w:rsidRPr="009F227C">
        <w:t xml:space="preserve">A formal evidentiary hearing was held February 11-13, 2025. </w:t>
      </w:r>
      <w:r w:rsidR="001B4C2F" w:rsidRPr="009F227C">
        <w:t>At the hearing, we approved Type 1 stipulations</w:t>
      </w:r>
      <w:r w:rsidR="001B4C2F" w:rsidRPr="009F227C">
        <w:rPr>
          <w:vertAlign w:val="superscript"/>
        </w:rPr>
        <w:footnoteReference w:id="7"/>
      </w:r>
      <w:r w:rsidR="001B4C2F" w:rsidRPr="009F227C">
        <w:t xml:space="preserve"> and Type 2 stipulations</w:t>
      </w:r>
      <w:r w:rsidR="001B4C2F" w:rsidRPr="009F227C">
        <w:rPr>
          <w:vertAlign w:val="superscript"/>
        </w:rPr>
        <w:footnoteReference w:id="8"/>
      </w:r>
      <w:r w:rsidR="001B4C2F" w:rsidRPr="009F227C">
        <w:t xml:space="preserve"> for certain issues, which are </w:t>
      </w:r>
      <w:r w:rsidR="00FE388E">
        <w:t>incorporated herein</w:t>
      </w:r>
      <w:r w:rsidR="001B4C2F" w:rsidRPr="009F227C">
        <w:t>.</w:t>
      </w:r>
      <w:r w:rsidR="001B4C2F" w:rsidRPr="009F227C">
        <w:rPr>
          <w:rStyle w:val="FootnoteReference"/>
        </w:rPr>
        <w:footnoteReference w:id="9"/>
      </w:r>
      <w:r w:rsidR="001B4C2F" w:rsidRPr="009F227C">
        <w:t xml:space="preserve"> </w:t>
      </w:r>
      <w:r w:rsidR="003B33F0" w:rsidRPr="009F227C">
        <w:t>The parties filed briefs on March 14, 2025.</w:t>
      </w:r>
      <w:r w:rsidR="00BE0327" w:rsidRPr="009F227C">
        <w:t xml:space="preserve"> Our </w:t>
      </w:r>
      <w:r w:rsidR="001D3577" w:rsidRPr="009F227C">
        <w:t>staff</w:t>
      </w:r>
      <w:r w:rsidR="00BE0327" w:rsidRPr="009F227C">
        <w:t xml:space="preserve"> filed a recommendation in this matter on April 24, 2025. On May 6, 2025, we voted on the Utility’s file requested rates. </w:t>
      </w:r>
    </w:p>
    <w:p w14:paraId="272A4DD6" w14:textId="77777777" w:rsidR="003B33F0" w:rsidRPr="009F227C" w:rsidRDefault="004E4E2B" w:rsidP="003B33F0">
      <w:pPr>
        <w:pStyle w:val="OrderBody"/>
      </w:pPr>
      <w:r w:rsidRPr="009F227C">
        <w:tab/>
      </w:r>
      <w:r w:rsidR="003B33F0" w:rsidRPr="009F227C">
        <w:t xml:space="preserve">This </w:t>
      </w:r>
      <w:r w:rsidR="00BE0327" w:rsidRPr="009F227C">
        <w:t>Order</w:t>
      </w:r>
      <w:r w:rsidR="003B33F0" w:rsidRPr="009F227C">
        <w:t xml:space="preserve"> addresses the Utility’s final requested rates. </w:t>
      </w:r>
      <w:r w:rsidR="001D3577" w:rsidRPr="009F227C">
        <w:t>We</w:t>
      </w:r>
      <w:r w:rsidR="003B33F0" w:rsidRPr="009F227C">
        <w:t xml:space="preserve"> </w:t>
      </w:r>
      <w:r w:rsidR="001D3577" w:rsidRPr="009F227C">
        <w:t>have</w:t>
      </w:r>
      <w:r w:rsidR="003B33F0" w:rsidRPr="009F227C">
        <w:t xml:space="preserve"> jurisdiction pursuant to Section 367.081, F.S.</w:t>
      </w:r>
    </w:p>
    <w:p w14:paraId="4BAC9512" w14:textId="030FF155" w:rsidR="00FE388E" w:rsidRPr="009F227C" w:rsidRDefault="00FE388E" w:rsidP="003B33F0">
      <w:pPr>
        <w:pStyle w:val="OrderBody"/>
      </w:pPr>
    </w:p>
    <w:p w14:paraId="36DFB9E4" w14:textId="19AF5DD2" w:rsidR="001D3577" w:rsidRPr="004E23DF" w:rsidRDefault="0074316C" w:rsidP="001D3577">
      <w:pPr>
        <w:keepNext/>
        <w:jc w:val="center"/>
        <w:outlineLvl w:val="0"/>
        <w:rPr>
          <w:b/>
          <w:bCs/>
          <w:kern w:val="32"/>
          <w:szCs w:val="32"/>
        </w:rPr>
      </w:pPr>
      <w:bookmarkStart w:id="8" w:name="_Toc199321436"/>
      <w:r w:rsidRPr="004E23DF">
        <w:rPr>
          <w:b/>
          <w:bCs/>
          <w:kern w:val="32"/>
          <w:szCs w:val="32"/>
        </w:rPr>
        <w:t>Decision</w:t>
      </w:r>
      <w:bookmarkEnd w:id="8"/>
    </w:p>
    <w:p w14:paraId="3FEB3E50" w14:textId="77777777" w:rsidR="00FE388E" w:rsidRPr="0002105C" w:rsidRDefault="00FE388E" w:rsidP="001D3577">
      <w:pPr>
        <w:keepNext/>
        <w:jc w:val="center"/>
        <w:outlineLvl w:val="0"/>
        <w:rPr>
          <w:bCs/>
          <w:kern w:val="32"/>
          <w:szCs w:val="32"/>
        </w:rPr>
      </w:pPr>
    </w:p>
    <w:p w14:paraId="3EC25EC6" w14:textId="2E1068A9" w:rsidR="001D3577" w:rsidRPr="009F227C" w:rsidRDefault="008B7D20" w:rsidP="00172BA1">
      <w:pPr>
        <w:pStyle w:val="ListParagraph"/>
        <w:keepNext/>
        <w:numPr>
          <w:ilvl w:val="0"/>
          <w:numId w:val="37"/>
        </w:numPr>
        <w:ind w:left="1440"/>
        <w:outlineLvl w:val="0"/>
        <w:rPr>
          <w:b/>
          <w:bCs/>
          <w:kern w:val="32"/>
          <w:szCs w:val="32"/>
        </w:rPr>
      </w:pPr>
      <w:bookmarkStart w:id="9" w:name="_Toc199321437"/>
      <w:r w:rsidRPr="009F227C">
        <w:rPr>
          <w:b/>
          <w:bCs/>
          <w:kern w:val="32"/>
          <w:szCs w:val="32"/>
        </w:rPr>
        <w:t>Quality of Service</w:t>
      </w:r>
      <w:bookmarkEnd w:id="9"/>
      <w:r w:rsidRPr="009F227C">
        <w:rPr>
          <w:b/>
          <w:bCs/>
          <w:kern w:val="32"/>
          <w:szCs w:val="32"/>
        </w:rPr>
        <w:t xml:space="preserve"> </w:t>
      </w:r>
    </w:p>
    <w:p w14:paraId="41BAB85B" w14:textId="77777777" w:rsidR="008B7D20" w:rsidRPr="0002105C" w:rsidRDefault="008B7D20" w:rsidP="008B7D20">
      <w:pPr>
        <w:keepNext/>
        <w:outlineLvl w:val="0"/>
        <w:rPr>
          <w:bCs/>
          <w:kern w:val="32"/>
          <w:szCs w:val="32"/>
        </w:rPr>
      </w:pPr>
    </w:p>
    <w:p w14:paraId="333F6083" w14:textId="3EC5A3B3" w:rsidR="001D3577" w:rsidRPr="009F227C" w:rsidRDefault="001D3577" w:rsidP="001D3577">
      <w:pPr>
        <w:pStyle w:val="ListParagraph"/>
        <w:numPr>
          <w:ilvl w:val="0"/>
          <w:numId w:val="2"/>
        </w:numPr>
        <w:ind w:left="720"/>
        <w:jc w:val="both"/>
        <w:outlineLvl w:val="0"/>
        <w:rPr>
          <w:bCs/>
          <w:kern w:val="32"/>
          <w:szCs w:val="32"/>
          <w:u w:val="single"/>
        </w:rPr>
      </w:pPr>
      <w:bookmarkStart w:id="10" w:name="_Toc199321438"/>
      <w:r w:rsidRPr="009F227C">
        <w:rPr>
          <w:bCs/>
          <w:kern w:val="32"/>
          <w:szCs w:val="32"/>
          <w:u w:val="single"/>
        </w:rPr>
        <w:t>Quality of Service</w:t>
      </w:r>
      <w:r w:rsidR="008B7D20" w:rsidRPr="009F227C">
        <w:rPr>
          <w:bCs/>
          <w:kern w:val="32"/>
          <w:szCs w:val="32"/>
          <w:u w:val="single"/>
        </w:rPr>
        <w:t xml:space="preserve"> (Issue 1)</w:t>
      </w:r>
      <w:bookmarkEnd w:id="10"/>
    </w:p>
    <w:p w14:paraId="2166592F" w14:textId="77777777" w:rsidR="001D3577" w:rsidRPr="009F227C" w:rsidRDefault="001D3577" w:rsidP="001D3577">
      <w:pPr>
        <w:jc w:val="both"/>
      </w:pPr>
    </w:p>
    <w:p w14:paraId="6E782083" w14:textId="77777777" w:rsidR="00D248EC" w:rsidRPr="009F227C" w:rsidRDefault="00D248EC" w:rsidP="00D248EC">
      <w:pPr>
        <w:pStyle w:val="ListParagraph"/>
        <w:numPr>
          <w:ilvl w:val="0"/>
          <w:numId w:val="3"/>
        </w:numPr>
        <w:ind w:hanging="720"/>
        <w:jc w:val="both"/>
      </w:pPr>
      <w:r w:rsidRPr="009F227C">
        <w:t>Analysis</w:t>
      </w:r>
    </w:p>
    <w:p w14:paraId="11842386" w14:textId="77777777" w:rsidR="00D248EC" w:rsidRPr="009F227C" w:rsidRDefault="00D248EC" w:rsidP="00D248EC">
      <w:pPr>
        <w:jc w:val="both"/>
      </w:pPr>
    </w:p>
    <w:p w14:paraId="15538EBE" w14:textId="0B5C16CE" w:rsidR="003B33F0" w:rsidRPr="009F227C" w:rsidRDefault="003B33F0" w:rsidP="00D248EC">
      <w:pPr>
        <w:spacing w:after="240"/>
        <w:ind w:firstLine="720"/>
        <w:jc w:val="both"/>
      </w:pPr>
      <w:r w:rsidRPr="009F227C">
        <w:t>Pursuant to Section 367.081(2)(a)1, F.S., and Rule 25-30.433(1), Florida Administrative Code (F.A.C.), in every rate case</w:t>
      </w:r>
      <w:r w:rsidR="00D4100F" w:rsidRPr="009F227C">
        <w:t>,</w:t>
      </w:r>
      <w:r w:rsidRPr="009F227C">
        <w:t xml:space="preserve"> </w:t>
      </w:r>
      <w:r w:rsidR="00845125">
        <w:t xml:space="preserve">we </w:t>
      </w:r>
      <w:r w:rsidRPr="009F227C">
        <w:t xml:space="preserve">shall make a determination of the quality of service provided by the utility by evaluating the quality of the Utility’s product (water) and the Utility’s attempt to address customer satisfaction (water and wastewater). The </w:t>
      </w:r>
      <w:r w:rsidR="00845125">
        <w:t>r</w:t>
      </w:r>
      <w:r w:rsidRPr="009F227C">
        <w:t xml:space="preserve">ule requires that the most recent chemical analyses, outstanding citations, violations, and consent orders on file with the </w:t>
      </w:r>
      <w:r w:rsidR="00D4100F" w:rsidRPr="009F227C">
        <w:t>Department of Environmental Protection (</w:t>
      </w:r>
      <w:r w:rsidRPr="009F227C">
        <w:t>DEP</w:t>
      </w:r>
      <w:r w:rsidR="00D4100F" w:rsidRPr="009F227C">
        <w:t>)</w:t>
      </w:r>
      <w:r w:rsidRPr="009F227C">
        <w:t xml:space="preserve"> and the county health department, along with any DEP and county health department officials’ testimony concerning quality of service shall be considered. In addition, any customer testimony, comments, or complaints shall also be considered. The operating condition of the water and wastewater systems are </w:t>
      </w:r>
      <w:r w:rsidR="00130B04" w:rsidRPr="009F227C">
        <w:t>addressed</w:t>
      </w:r>
      <w:r w:rsidR="00130B04">
        <w:t xml:space="preserve"> in our analysis of Infrastructure and Operating Conditions</w:t>
      </w:r>
      <w:r w:rsidR="00420D12">
        <w:t xml:space="preserve"> (Issue 2)</w:t>
      </w:r>
      <w:r w:rsidR="00866056" w:rsidRPr="009F227C">
        <w:t xml:space="preserve">. </w:t>
      </w:r>
    </w:p>
    <w:p w14:paraId="4197D84E" w14:textId="77777777" w:rsidR="003B33F0" w:rsidRPr="009F227C" w:rsidRDefault="004E4E2B" w:rsidP="003B33F0">
      <w:pPr>
        <w:spacing w:after="240"/>
        <w:jc w:val="both"/>
      </w:pPr>
      <w:r w:rsidRPr="009F227C">
        <w:tab/>
      </w:r>
      <w:r w:rsidR="003B33F0" w:rsidRPr="009F227C">
        <w:t>Rule 25-30.433(1), F.A.C., requires that the testimony of a utility’s customers be considered in a rate case proceeding. Two virtual and two in-person service hearings were held in December of 2024. A total of 13 customers and one appointed official testified at the service hearings. Each customer that testified expressed their dissatisfaction with Sunshine’s proposed rate increase; some customers also expressed concerns regarding odor, discolored water, and difficulty reaching customer service representatives of t</w:t>
      </w:r>
      <w:r w:rsidR="00D4100F" w:rsidRPr="009F227C">
        <w:t xml:space="preserve">he Utility. </w:t>
      </w:r>
      <w:r w:rsidR="003B33F0" w:rsidRPr="009F227C">
        <w:t xml:space="preserve">Sunshine serves approximately 65,000 customers across 23 systems and 10 counties. Overall customer </w:t>
      </w:r>
      <w:r w:rsidR="003B33F0" w:rsidRPr="009F227C">
        <w:lastRenderedPageBreak/>
        <w:t>participation at the service hearings has decreased since the Utility’s last rate case in 2020 by approximately 69 percent, where a total of 42 customers testified.</w:t>
      </w:r>
      <w:r w:rsidR="003B33F0" w:rsidRPr="009F227C">
        <w:rPr>
          <w:vertAlign w:val="superscript"/>
        </w:rPr>
        <w:footnoteReference w:id="10"/>
      </w:r>
    </w:p>
    <w:p w14:paraId="7951F489" w14:textId="66E38D8A" w:rsidR="003B33F0" w:rsidRPr="009F227C" w:rsidRDefault="004E4E2B" w:rsidP="003B33F0">
      <w:pPr>
        <w:spacing w:after="240"/>
        <w:jc w:val="both"/>
      </w:pPr>
      <w:r w:rsidRPr="009F227C">
        <w:tab/>
      </w:r>
      <w:r w:rsidR="003B33F0" w:rsidRPr="009F227C">
        <w:t>DEP provided compliance and complaint data from January 2019 through August 2024, which was included in the hearing record</w:t>
      </w:r>
      <w:r w:rsidR="00866056" w:rsidRPr="009F227C">
        <w:t xml:space="preserve">. </w:t>
      </w:r>
      <w:r w:rsidR="003B33F0" w:rsidRPr="009F227C">
        <w:t>DEP received a total of 52 complaints during this approximately 5-year period: 11 for water and 41 for wastewater</w:t>
      </w:r>
      <w:r w:rsidR="00866056" w:rsidRPr="009F227C">
        <w:t xml:space="preserve">. </w:t>
      </w:r>
      <w:r w:rsidR="003B33F0" w:rsidRPr="009F227C">
        <w:t>The water complaints were primarily regarding odor, color, and exceedances in iron levels</w:t>
      </w:r>
      <w:r w:rsidR="00866056" w:rsidRPr="009F227C">
        <w:t xml:space="preserve">. </w:t>
      </w:r>
      <w:r w:rsidR="003B33F0" w:rsidRPr="009F227C">
        <w:t>The wastewater complaints were all regarding odor</w:t>
      </w:r>
      <w:r w:rsidR="00866056" w:rsidRPr="009F227C">
        <w:t xml:space="preserve">. </w:t>
      </w:r>
    </w:p>
    <w:p w14:paraId="581F218E" w14:textId="77777777" w:rsidR="003B33F0" w:rsidRPr="009F227C" w:rsidRDefault="009049E7" w:rsidP="003B33F0">
      <w:pPr>
        <w:spacing w:after="240"/>
        <w:jc w:val="both"/>
      </w:pPr>
      <w:r w:rsidRPr="009F227C">
        <w:tab/>
      </w:r>
      <w:r w:rsidR="003B33F0" w:rsidRPr="009F227C">
        <w:t>The Utility provided the complaints it received during the test year and four years prior in Vol. III of its MFRs</w:t>
      </w:r>
      <w:r w:rsidR="00866056" w:rsidRPr="009F227C">
        <w:t xml:space="preserve">. </w:t>
      </w:r>
      <w:r w:rsidR="003B33F0" w:rsidRPr="009F227C">
        <w:t>There were 894 billing and 1,718 service complaints for the test year for all of the Utility’s systems</w:t>
      </w:r>
      <w:r w:rsidR="00866056" w:rsidRPr="009F227C">
        <w:t xml:space="preserve">. </w:t>
      </w:r>
      <w:r w:rsidR="003B33F0" w:rsidRPr="009F227C">
        <w:t xml:space="preserve">Sunshine’s secondary water quality complaints for the four years prior to the test year amounted to 1,092 complaints, with some complaints having been addressed in prior rate proceedings. </w:t>
      </w:r>
    </w:p>
    <w:p w14:paraId="3D57331B" w14:textId="77777777" w:rsidR="003B33F0" w:rsidRPr="009F227C" w:rsidRDefault="009049E7" w:rsidP="003B33F0">
      <w:pPr>
        <w:spacing w:after="240"/>
        <w:jc w:val="both"/>
      </w:pPr>
      <w:r w:rsidRPr="009F227C">
        <w:tab/>
      </w:r>
      <w:r w:rsidR="003B33F0" w:rsidRPr="009F227C">
        <w:t xml:space="preserve">As of March 25, 2025, there were a total of 74 comments, filed by 72 customers, in the docket file. Sunshine serves over 65,000 water and wastewater customers; therefore, approximately 0.11 percent of the Utility’s customers provided comments in the instant docket. </w:t>
      </w:r>
      <w:r w:rsidR="001D3577" w:rsidRPr="009F227C">
        <w:t>Our staff</w:t>
      </w:r>
      <w:r w:rsidR="003B33F0" w:rsidRPr="009F227C">
        <w:t xml:space="preserve"> analyzed all comments in the docket file and a total of 70 customers provided comments expressing their discontent with the proposed rate increase. In addition, 8 customers provided comments regarding the quality of service and addressed their dissatisfaction with the odor and color of their water product. Several customers provided comments also expressing their dissatisfaction with the Utility’s customer service.</w:t>
      </w:r>
    </w:p>
    <w:p w14:paraId="55506993" w14:textId="6B8E9DBB" w:rsidR="003B33F0" w:rsidRPr="009F227C" w:rsidRDefault="009049E7" w:rsidP="003B33F0">
      <w:pPr>
        <w:spacing w:after="240"/>
        <w:jc w:val="both"/>
      </w:pPr>
      <w:r w:rsidRPr="009F227C">
        <w:tab/>
      </w:r>
      <w:r w:rsidR="001D3577" w:rsidRPr="009F227C">
        <w:t>We</w:t>
      </w:r>
      <w:r w:rsidR="003B33F0" w:rsidRPr="009F227C">
        <w:t xml:space="preserve"> received a total of 107 complaints from July 1, 2020, through June 30, 2024, with 68 percent of the complaints concerning billing issues, and 32 percent concerning quality of service issues</w:t>
      </w:r>
      <w:r w:rsidR="00866056" w:rsidRPr="009F227C">
        <w:t xml:space="preserve">. </w:t>
      </w:r>
      <w:r w:rsidR="00D4100F" w:rsidRPr="009F227C">
        <w:t>Staff</w:t>
      </w:r>
      <w:r w:rsidR="003B33F0" w:rsidRPr="009F227C">
        <w:t xml:space="preserve"> witness Calhoun testified that most complaints for the analyzed 4-year period came from Seminole County, with 59 complaints, followed by Lake County with 29 complaints</w:t>
      </w:r>
      <w:r w:rsidR="00866056" w:rsidRPr="009F227C">
        <w:t xml:space="preserve">. </w:t>
      </w:r>
      <w:r w:rsidR="003B33F0" w:rsidRPr="009F227C">
        <w:t>Of the total complaints for both Seminole and Lake Counties (88), 19 complaints address quality of service issues</w:t>
      </w:r>
      <w:r w:rsidR="00866056" w:rsidRPr="009F227C">
        <w:t xml:space="preserve">. </w:t>
      </w:r>
      <w:r w:rsidR="001D3577" w:rsidRPr="009F227C">
        <w:t>Our staff</w:t>
      </w:r>
      <w:r w:rsidR="00D4100F" w:rsidRPr="009F227C">
        <w:t xml:space="preserve"> noted</w:t>
      </w:r>
      <w:r w:rsidR="003B33F0" w:rsidRPr="009F227C">
        <w:t xml:space="preserve"> that Sunshine serves over 17,000 water and 11,000 wastewater ERCs in Seminole County (Sanlando and Seminole) and over 15,000 water and 8,000 wastewater equivalent residential connection (ERCs) in Lake County (LUSI and Pennbrooke)</w:t>
      </w:r>
      <w:r w:rsidR="00866056" w:rsidRPr="009F227C">
        <w:t xml:space="preserve">. </w:t>
      </w:r>
      <w:r w:rsidR="003B33F0" w:rsidRPr="009F227C">
        <w:t xml:space="preserve">The total customer complaints received by </w:t>
      </w:r>
      <w:r w:rsidR="00420D12">
        <w:t>us</w:t>
      </w:r>
      <w:r w:rsidR="00420D12" w:rsidRPr="009F227C">
        <w:t xml:space="preserve"> </w:t>
      </w:r>
      <w:r w:rsidR="003B33F0" w:rsidRPr="009F227C">
        <w:t xml:space="preserve">represents 0.28 percent of Sunshine’s customer base within Seminole and Lake Counties and 0.16 percent of the Utility in its entirety. Witness Calhoun also stated that the Utility may have violated </w:t>
      </w:r>
      <w:r w:rsidR="00D4100F" w:rsidRPr="009F227C">
        <w:t>Commission</w:t>
      </w:r>
      <w:r w:rsidR="003B33F0" w:rsidRPr="009F227C">
        <w:t xml:space="preserve"> rules for eight of the 107 complaints received by </w:t>
      </w:r>
      <w:r w:rsidR="00D4100F" w:rsidRPr="009F227C">
        <w:t>us</w:t>
      </w:r>
      <w:r w:rsidR="00866056" w:rsidRPr="009F227C">
        <w:t xml:space="preserve">. </w:t>
      </w:r>
      <w:r w:rsidR="003B33F0" w:rsidRPr="009F227C">
        <w:t xml:space="preserve">Of these potential rule violations, witness Calhoun testified that one complaint was for service quality and the remaining seven related to billing issues. </w:t>
      </w:r>
    </w:p>
    <w:p w14:paraId="08EF1348" w14:textId="5945F5A9" w:rsidR="003B33F0" w:rsidRPr="009F227C" w:rsidRDefault="009049E7" w:rsidP="003B33F0">
      <w:pPr>
        <w:spacing w:after="240"/>
        <w:jc w:val="both"/>
      </w:pPr>
      <w:r w:rsidRPr="009F227C">
        <w:tab/>
      </w:r>
      <w:r w:rsidR="003B33F0" w:rsidRPr="00420D12">
        <w:t>In Vol III of its MFRs, Sunshine provided the required engineering information pursuant to Rule 25-30.437, F.A.C</w:t>
      </w:r>
      <w:r w:rsidR="00866056" w:rsidRPr="00263C3B">
        <w:t>.</w:t>
      </w:r>
      <w:r w:rsidR="00866056" w:rsidRPr="005D670F">
        <w:t xml:space="preserve"> </w:t>
      </w:r>
      <w:r w:rsidR="003B33F0" w:rsidRPr="005D670F">
        <w:t>In evalu</w:t>
      </w:r>
      <w:r w:rsidR="003B33F0" w:rsidRPr="00AA68D7">
        <w:t>atin</w:t>
      </w:r>
      <w:r w:rsidR="003B33F0" w:rsidRPr="009F227C">
        <w:t xml:space="preserve">g Sunshine’s product quality (water), </w:t>
      </w:r>
      <w:r w:rsidR="00351689">
        <w:t>we</w:t>
      </w:r>
      <w:r w:rsidR="003B33F0" w:rsidRPr="009F227C">
        <w:t xml:space="preserve"> reviewed the Utility’s compliance with DEP’s primary and secondary drinking water standards</w:t>
      </w:r>
      <w:r w:rsidR="00866056" w:rsidRPr="009F227C">
        <w:t xml:space="preserve">. </w:t>
      </w:r>
      <w:r w:rsidR="003B33F0" w:rsidRPr="009F227C">
        <w:t xml:space="preserve">Primary standards protect public health, while secondary standards regulate contaminants that may </w:t>
      </w:r>
      <w:r w:rsidR="003B33F0" w:rsidRPr="009F227C">
        <w:lastRenderedPageBreak/>
        <w:t>impact the taste, odor, and color of drinking water. Currently, all of the Utility’s water systems are in compliance with DEP’s rules and regulations and are under no formal enforcement action or violation</w:t>
      </w:r>
      <w:r w:rsidR="00866056" w:rsidRPr="009F227C">
        <w:t xml:space="preserve">. </w:t>
      </w:r>
      <w:r w:rsidR="003B33F0" w:rsidRPr="009F227C">
        <w:t xml:space="preserve">Additionally, all of Sunshine’s wastewater systems are in compliance with DEP, with the exception of the Sanlando (Wekiva Hunt Club) and Mid-County wastewater systems. </w:t>
      </w:r>
    </w:p>
    <w:p w14:paraId="56C373B1" w14:textId="77777777" w:rsidR="003B33F0" w:rsidRPr="009F227C" w:rsidRDefault="009049E7" w:rsidP="003B33F0">
      <w:pPr>
        <w:spacing w:after="240"/>
        <w:jc w:val="both"/>
      </w:pPr>
      <w:r w:rsidRPr="009F227C">
        <w:tab/>
      </w:r>
      <w:r w:rsidR="00F013A8" w:rsidRPr="009F227C">
        <w:t>In the</w:t>
      </w:r>
      <w:r w:rsidR="00D4100F" w:rsidRPr="009F227C">
        <w:t xml:space="preserve"> pages that follow, we analyze</w:t>
      </w:r>
      <w:r w:rsidR="003B33F0" w:rsidRPr="009F227C">
        <w:t xml:space="preserve"> the quality of the Utility’s product, pursuant to Rule 25-30.433(1), F.A.C. </w:t>
      </w:r>
      <w:r w:rsidR="001D3577" w:rsidRPr="009F227C">
        <w:t xml:space="preserve">Our </w:t>
      </w:r>
      <w:r w:rsidR="003B33F0" w:rsidRPr="009F227C">
        <w:t xml:space="preserve">analysis consists of: 1) a discussion of the systems that </w:t>
      </w:r>
      <w:r w:rsidR="00D4100F" w:rsidRPr="009F227C">
        <w:t xml:space="preserve">we deem </w:t>
      </w:r>
      <w:r w:rsidR="003B33F0" w:rsidRPr="009F227C">
        <w:t xml:space="preserve">satisfactory, were satisfactory in the last rate case, and not contested by OPC; and 2) a discussion of the systems that </w:t>
      </w:r>
      <w:r w:rsidR="00D4100F" w:rsidRPr="009F227C">
        <w:t xml:space="preserve">we </w:t>
      </w:r>
      <w:r w:rsidR="00B5287E" w:rsidRPr="009F227C">
        <w:t>find</w:t>
      </w:r>
      <w:r w:rsidR="003B33F0" w:rsidRPr="009F227C">
        <w:t xml:space="preserve"> </w:t>
      </w:r>
      <w:r w:rsidR="00D4100F" w:rsidRPr="009F227C">
        <w:t>are</w:t>
      </w:r>
      <w:r w:rsidR="003B33F0" w:rsidRPr="009F227C">
        <w:t xml:space="preserve"> unsatisfactory, were considered unsatisfactory in the last rate case, or are contested by OPC </w:t>
      </w:r>
      <w:r w:rsidR="00D4100F" w:rsidRPr="009F227C">
        <w:t>in the instant docket. Table 1</w:t>
      </w:r>
      <w:r w:rsidR="003B33F0" w:rsidRPr="009F227C">
        <w:t xml:space="preserve"> summarizes the quality of service determinations from Sunshine’s last rate case and the recommended determinations by Sunshine, OPC, and </w:t>
      </w:r>
      <w:r w:rsidR="0046569F" w:rsidRPr="009F227C">
        <w:t>our findings</w:t>
      </w:r>
      <w:r w:rsidR="003B33F0" w:rsidRPr="009F227C">
        <w:t>, by system.</w:t>
      </w:r>
    </w:p>
    <w:p w14:paraId="233A3288" w14:textId="38C8D7A4" w:rsidR="003B33F0" w:rsidRPr="009F227C" w:rsidRDefault="003B33F0" w:rsidP="00420D12">
      <w:pPr>
        <w:jc w:val="center"/>
        <w:rPr>
          <w:rFonts w:ascii="Arial" w:hAnsi="Arial"/>
          <w:b/>
        </w:rPr>
      </w:pPr>
      <w:r w:rsidRPr="009F227C">
        <w:rPr>
          <w:b/>
        </w:rPr>
        <w:t xml:space="preserve">Table </w:t>
      </w:r>
      <w:r w:rsidR="00EE01EB" w:rsidRPr="009F227C">
        <w:rPr>
          <w:b/>
        </w:rPr>
        <w:t>1</w:t>
      </w:r>
    </w:p>
    <w:p w14:paraId="0AB14E19" w14:textId="77777777" w:rsidR="003B33F0" w:rsidRPr="009F227C" w:rsidRDefault="003B33F0" w:rsidP="003B33F0">
      <w:pPr>
        <w:jc w:val="center"/>
        <w:rPr>
          <w:b/>
        </w:rPr>
      </w:pPr>
      <w:r w:rsidRPr="009F227C">
        <w:rPr>
          <w:b/>
        </w:rPr>
        <w:t>Quality of Service Determination Summary</w:t>
      </w:r>
    </w:p>
    <w:tbl>
      <w:tblPr>
        <w:tblStyle w:val="TableGrid"/>
        <w:tblW w:w="0" w:type="auto"/>
        <w:tblLayout w:type="fixed"/>
        <w:tblCellMar>
          <w:left w:w="72" w:type="dxa"/>
          <w:right w:w="72" w:type="dxa"/>
        </w:tblCellMar>
        <w:tblLook w:val="04A0" w:firstRow="1" w:lastRow="0" w:firstColumn="1" w:lastColumn="0" w:noHBand="0" w:noVBand="1"/>
      </w:tblPr>
      <w:tblGrid>
        <w:gridCol w:w="2785"/>
        <w:gridCol w:w="1643"/>
        <w:gridCol w:w="1507"/>
        <w:gridCol w:w="1710"/>
        <w:gridCol w:w="1705"/>
      </w:tblGrid>
      <w:tr w:rsidR="003B33F0" w:rsidRPr="009F227C" w14:paraId="17182BAC" w14:textId="77777777" w:rsidTr="001A0819">
        <w:tc>
          <w:tcPr>
            <w:tcW w:w="2785" w:type="dxa"/>
            <w:vAlign w:val="center"/>
          </w:tcPr>
          <w:p w14:paraId="4F0DBB85" w14:textId="77777777" w:rsidR="003B33F0" w:rsidRPr="009F227C" w:rsidRDefault="003B33F0" w:rsidP="003B33F0">
            <w:pPr>
              <w:jc w:val="center"/>
              <w:rPr>
                <w:sz w:val="20"/>
                <w:szCs w:val="20"/>
              </w:rPr>
            </w:pPr>
            <w:r w:rsidRPr="009F227C">
              <w:rPr>
                <w:sz w:val="20"/>
                <w:szCs w:val="20"/>
              </w:rPr>
              <w:t>System</w:t>
            </w:r>
          </w:p>
        </w:tc>
        <w:tc>
          <w:tcPr>
            <w:tcW w:w="1643" w:type="dxa"/>
            <w:vAlign w:val="center"/>
          </w:tcPr>
          <w:p w14:paraId="5CDFBE1F" w14:textId="77777777" w:rsidR="003B33F0" w:rsidRPr="009F227C" w:rsidRDefault="003B33F0" w:rsidP="003B33F0">
            <w:pPr>
              <w:jc w:val="center"/>
              <w:rPr>
                <w:sz w:val="20"/>
                <w:szCs w:val="20"/>
              </w:rPr>
            </w:pPr>
            <w:r w:rsidRPr="009F227C">
              <w:rPr>
                <w:sz w:val="20"/>
                <w:szCs w:val="20"/>
              </w:rPr>
              <w:t>Last Rate Case Determination</w:t>
            </w:r>
          </w:p>
        </w:tc>
        <w:tc>
          <w:tcPr>
            <w:tcW w:w="1507" w:type="dxa"/>
            <w:vAlign w:val="center"/>
          </w:tcPr>
          <w:p w14:paraId="0E8D9F2E" w14:textId="77777777" w:rsidR="003B33F0" w:rsidRPr="009F227C" w:rsidRDefault="003B33F0" w:rsidP="003B33F0">
            <w:pPr>
              <w:jc w:val="center"/>
              <w:rPr>
                <w:sz w:val="20"/>
                <w:szCs w:val="20"/>
              </w:rPr>
            </w:pPr>
            <w:r w:rsidRPr="009F227C">
              <w:rPr>
                <w:sz w:val="18"/>
                <w:szCs w:val="20"/>
              </w:rPr>
              <w:t>Sunshine Recommendation</w:t>
            </w:r>
          </w:p>
        </w:tc>
        <w:tc>
          <w:tcPr>
            <w:tcW w:w="1710" w:type="dxa"/>
            <w:vAlign w:val="center"/>
          </w:tcPr>
          <w:p w14:paraId="6A205B1C" w14:textId="77777777" w:rsidR="003B33F0" w:rsidRPr="009F227C" w:rsidRDefault="003B33F0" w:rsidP="003B33F0">
            <w:pPr>
              <w:jc w:val="center"/>
              <w:rPr>
                <w:sz w:val="20"/>
                <w:szCs w:val="20"/>
              </w:rPr>
            </w:pPr>
            <w:r w:rsidRPr="009F227C">
              <w:rPr>
                <w:sz w:val="20"/>
                <w:szCs w:val="20"/>
              </w:rPr>
              <w:t>OPC Recommendation</w:t>
            </w:r>
          </w:p>
        </w:tc>
        <w:tc>
          <w:tcPr>
            <w:tcW w:w="1705" w:type="dxa"/>
            <w:vAlign w:val="center"/>
          </w:tcPr>
          <w:p w14:paraId="7654323C" w14:textId="77777777" w:rsidR="003B33F0" w:rsidRPr="009F227C" w:rsidRDefault="00F013A8" w:rsidP="003B33F0">
            <w:pPr>
              <w:jc w:val="center"/>
              <w:rPr>
                <w:sz w:val="20"/>
                <w:szCs w:val="20"/>
              </w:rPr>
            </w:pPr>
            <w:r w:rsidRPr="009F227C">
              <w:rPr>
                <w:sz w:val="20"/>
                <w:szCs w:val="20"/>
              </w:rPr>
              <w:t>Commission Approved</w:t>
            </w:r>
          </w:p>
        </w:tc>
      </w:tr>
      <w:tr w:rsidR="003B33F0" w:rsidRPr="009F227C" w14:paraId="64A7B7E3" w14:textId="77777777" w:rsidTr="001A0819">
        <w:tc>
          <w:tcPr>
            <w:tcW w:w="2785" w:type="dxa"/>
            <w:vAlign w:val="center"/>
          </w:tcPr>
          <w:p w14:paraId="15503356" w14:textId="77777777" w:rsidR="003B33F0" w:rsidRPr="009F227C" w:rsidRDefault="003B33F0" w:rsidP="003B33F0">
            <w:pPr>
              <w:rPr>
                <w:sz w:val="20"/>
                <w:szCs w:val="20"/>
              </w:rPr>
            </w:pPr>
            <w:r w:rsidRPr="009F227C">
              <w:rPr>
                <w:sz w:val="20"/>
                <w:szCs w:val="20"/>
              </w:rPr>
              <w:t>Cypress Lakes</w:t>
            </w:r>
          </w:p>
        </w:tc>
        <w:tc>
          <w:tcPr>
            <w:tcW w:w="1643" w:type="dxa"/>
            <w:vAlign w:val="center"/>
          </w:tcPr>
          <w:p w14:paraId="40CE3984"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42815D89"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77EE2FC7"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07ABCB6D" w14:textId="77777777" w:rsidR="003B33F0" w:rsidRPr="009F227C" w:rsidRDefault="003B33F0" w:rsidP="003B33F0">
            <w:pPr>
              <w:jc w:val="center"/>
              <w:rPr>
                <w:sz w:val="20"/>
                <w:szCs w:val="20"/>
              </w:rPr>
            </w:pPr>
            <w:r w:rsidRPr="009F227C">
              <w:rPr>
                <w:sz w:val="20"/>
                <w:szCs w:val="20"/>
              </w:rPr>
              <w:t>Satisfactory</w:t>
            </w:r>
          </w:p>
        </w:tc>
      </w:tr>
      <w:tr w:rsidR="003B33F0" w:rsidRPr="009F227C" w14:paraId="0F21E0BE" w14:textId="77777777" w:rsidTr="001A0819">
        <w:tc>
          <w:tcPr>
            <w:tcW w:w="2785" w:type="dxa"/>
          </w:tcPr>
          <w:p w14:paraId="11466E83" w14:textId="77777777" w:rsidR="003B33F0" w:rsidRPr="009F227C" w:rsidRDefault="003B33F0" w:rsidP="003B33F0">
            <w:pPr>
              <w:rPr>
                <w:sz w:val="20"/>
                <w:szCs w:val="20"/>
              </w:rPr>
            </w:pPr>
            <w:r w:rsidRPr="009F227C">
              <w:rPr>
                <w:sz w:val="20"/>
                <w:szCs w:val="20"/>
              </w:rPr>
              <w:t>Lake Placid</w:t>
            </w:r>
          </w:p>
        </w:tc>
        <w:tc>
          <w:tcPr>
            <w:tcW w:w="1643" w:type="dxa"/>
            <w:vAlign w:val="center"/>
          </w:tcPr>
          <w:p w14:paraId="560A5268"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6508502C"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0AF89383"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7D3FAECD" w14:textId="77777777" w:rsidR="003B33F0" w:rsidRPr="009F227C" w:rsidRDefault="003B33F0" w:rsidP="003B33F0">
            <w:pPr>
              <w:jc w:val="center"/>
              <w:rPr>
                <w:sz w:val="20"/>
                <w:szCs w:val="20"/>
              </w:rPr>
            </w:pPr>
            <w:r w:rsidRPr="009F227C">
              <w:rPr>
                <w:sz w:val="20"/>
                <w:szCs w:val="20"/>
              </w:rPr>
              <w:t>Satisfactory</w:t>
            </w:r>
          </w:p>
        </w:tc>
      </w:tr>
      <w:tr w:rsidR="003B33F0" w:rsidRPr="009F227C" w14:paraId="6F43A451" w14:textId="77777777" w:rsidTr="001A0819">
        <w:tc>
          <w:tcPr>
            <w:tcW w:w="2785" w:type="dxa"/>
          </w:tcPr>
          <w:p w14:paraId="21B78CA7" w14:textId="77777777" w:rsidR="003B33F0" w:rsidRPr="009F227C" w:rsidRDefault="003B33F0" w:rsidP="003B33F0">
            <w:pPr>
              <w:rPr>
                <w:sz w:val="20"/>
                <w:szCs w:val="20"/>
              </w:rPr>
            </w:pPr>
            <w:r w:rsidRPr="009F227C">
              <w:rPr>
                <w:sz w:val="20"/>
                <w:szCs w:val="20"/>
              </w:rPr>
              <w:t>Marion-Golden Hills/Crownwood</w:t>
            </w:r>
          </w:p>
        </w:tc>
        <w:tc>
          <w:tcPr>
            <w:tcW w:w="1643" w:type="dxa"/>
            <w:vAlign w:val="center"/>
          </w:tcPr>
          <w:p w14:paraId="199B9BEA"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01B93129"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389F9A82"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5DF731F0" w14:textId="77777777" w:rsidR="003B33F0" w:rsidRPr="009F227C" w:rsidRDefault="003B33F0" w:rsidP="003B33F0">
            <w:pPr>
              <w:jc w:val="center"/>
              <w:rPr>
                <w:sz w:val="20"/>
                <w:szCs w:val="20"/>
              </w:rPr>
            </w:pPr>
            <w:r w:rsidRPr="009F227C">
              <w:rPr>
                <w:sz w:val="20"/>
                <w:szCs w:val="20"/>
              </w:rPr>
              <w:t>Satisfactory</w:t>
            </w:r>
          </w:p>
        </w:tc>
      </w:tr>
      <w:tr w:rsidR="003B33F0" w:rsidRPr="009F227C" w14:paraId="1789C284" w14:textId="77777777" w:rsidTr="001A0819">
        <w:tc>
          <w:tcPr>
            <w:tcW w:w="2785" w:type="dxa"/>
          </w:tcPr>
          <w:p w14:paraId="1103B95B" w14:textId="77777777" w:rsidR="003B33F0" w:rsidRPr="009F227C" w:rsidRDefault="003B33F0" w:rsidP="003B33F0">
            <w:pPr>
              <w:rPr>
                <w:sz w:val="20"/>
                <w:szCs w:val="20"/>
              </w:rPr>
            </w:pPr>
            <w:r w:rsidRPr="009F227C">
              <w:rPr>
                <w:sz w:val="20"/>
                <w:szCs w:val="20"/>
              </w:rPr>
              <w:t>Orange-Crescent Heights/Davis Shores</w:t>
            </w:r>
          </w:p>
        </w:tc>
        <w:tc>
          <w:tcPr>
            <w:tcW w:w="1643" w:type="dxa"/>
            <w:vAlign w:val="center"/>
          </w:tcPr>
          <w:p w14:paraId="56EA8A56"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7EC9DA82"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20D0A231"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7EEAFA1A" w14:textId="77777777" w:rsidR="003B33F0" w:rsidRPr="009F227C" w:rsidRDefault="003B33F0" w:rsidP="003B33F0">
            <w:pPr>
              <w:jc w:val="center"/>
              <w:rPr>
                <w:sz w:val="20"/>
                <w:szCs w:val="20"/>
              </w:rPr>
            </w:pPr>
            <w:r w:rsidRPr="009F227C">
              <w:rPr>
                <w:sz w:val="20"/>
                <w:szCs w:val="20"/>
              </w:rPr>
              <w:t>Satisfactory</w:t>
            </w:r>
          </w:p>
        </w:tc>
      </w:tr>
      <w:tr w:rsidR="003B33F0" w:rsidRPr="009F227C" w14:paraId="457BADDA" w14:textId="77777777" w:rsidTr="001A0819">
        <w:tc>
          <w:tcPr>
            <w:tcW w:w="2785" w:type="dxa"/>
          </w:tcPr>
          <w:p w14:paraId="1AF7FA3A" w14:textId="77777777" w:rsidR="003B33F0" w:rsidRPr="009F227C" w:rsidRDefault="003B33F0" w:rsidP="003B33F0">
            <w:pPr>
              <w:rPr>
                <w:sz w:val="20"/>
                <w:szCs w:val="20"/>
              </w:rPr>
            </w:pPr>
            <w:r w:rsidRPr="009F227C">
              <w:rPr>
                <w:sz w:val="20"/>
                <w:szCs w:val="20"/>
              </w:rPr>
              <w:t>Pasco-Orangewood/Buena Vista/Wis-Bar</w:t>
            </w:r>
          </w:p>
        </w:tc>
        <w:tc>
          <w:tcPr>
            <w:tcW w:w="1643" w:type="dxa"/>
            <w:vAlign w:val="center"/>
          </w:tcPr>
          <w:p w14:paraId="3647465B"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6762EF3E"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598103B9"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4578C71E" w14:textId="77777777" w:rsidR="003B33F0" w:rsidRPr="009F227C" w:rsidRDefault="003B33F0" w:rsidP="003B33F0">
            <w:pPr>
              <w:jc w:val="center"/>
              <w:rPr>
                <w:sz w:val="20"/>
                <w:szCs w:val="20"/>
              </w:rPr>
            </w:pPr>
            <w:r w:rsidRPr="009F227C">
              <w:rPr>
                <w:sz w:val="20"/>
                <w:szCs w:val="20"/>
              </w:rPr>
              <w:t>Satisfactory</w:t>
            </w:r>
          </w:p>
        </w:tc>
      </w:tr>
      <w:tr w:rsidR="003B33F0" w:rsidRPr="009F227C" w14:paraId="7F11EA8D" w14:textId="77777777" w:rsidTr="001A0819">
        <w:tc>
          <w:tcPr>
            <w:tcW w:w="2785" w:type="dxa"/>
          </w:tcPr>
          <w:p w14:paraId="34C969E0" w14:textId="77777777" w:rsidR="003B33F0" w:rsidRPr="009F227C" w:rsidRDefault="003B33F0" w:rsidP="003B33F0">
            <w:pPr>
              <w:rPr>
                <w:sz w:val="20"/>
                <w:szCs w:val="20"/>
              </w:rPr>
            </w:pPr>
            <w:r w:rsidRPr="009F227C">
              <w:rPr>
                <w:sz w:val="20"/>
                <w:szCs w:val="20"/>
              </w:rPr>
              <w:t>Pinellas-Lake Tarpon</w:t>
            </w:r>
          </w:p>
        </w:tc>
        <w:tc>
          <w:tcPr>
            <w:tcW w:w="1643" w:type="dxa"/>
            <w:vAlign w:val="center"/>
          </w:tcPr>
          <w:p w14:paraId="2DEF7C82"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578861AA"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261799D1"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72749F58" w14:textId="77777777" w:rsidR="003B33F0" w:rsidRPr="009F227C" w:rsidRDefault="003B33F0" w:rsidP="003B33F0">
            <w:pPr>
              <w:jc w:val="center"/>
              <w:rPr>
                <w:sz w:val="20"/>
                <w:szCs w:val="20"/>
              </w:rPr>
            </w:pPr>
            <w:r w:rsidRPr="009F227C">
              <w:rPr>
                <w:sz w:val="20"/>
                <w:szCs w:val="20"/>
              </w:rPr>
              <w:t>Satisfactory</w:t>
            </w:r>
          </w:p>
        </w:tc>
      </w:tr>
      <w:tr w:rsidR="003B33F0" w:rsidRPr="009F227C" w14:paraId="4F9E5D5A" w14:textId="77777777" w:rsidTr="001A0819">
        <w:tc>
          <w:tcPr>
            <w:tcW w:w="2785" w:type="dxa"/>
          </w:tcPr>
          <w:p w14:paraId="6D601F87" w14:textId="77777777" w:rsidR="003B33F0" w:rsidRPr="009F227C" w:rsidRDefault="003B33F0" w:rsidP="003B33F0">
            <w:pPr>
              <w:rPr>
                <w:sz w:val="20"/>
                <w:szCs w:val="20"/>
              </w:rPr>
            </w:pPr>
            <w:r w:rsidRPr="009F227C">
              <w:rPr>
                <w:sz w:val="20"/>
                <w:szCs w:val="20"/>
              </w:rPr>
              <w:t>LUSI</w:t>
            </w:r>
          </w:p>
        </w:tc>
        <w:tc>
          <w:tcPr>
            <w:tcW w:w="1643" w:type="dxa"/>
            <w:vAlign w:val="center"/>
          </w:tcPr>
          <w:p w14:paraId="1BA66512"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59803416"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265B13F3"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0F191098" w14:textId="77777777" w:rsidR="003B33F0" w:rsidRPr="009F227C" w:rsidRDefault="003B33F0" w:rsidP="003B33F0">
            <w:pPr>
              <w:jc w:val="center"/>
              <w:rPr>
                <w:sz w:val="20"/>
                <w:szCs w:val="20"/>
              </w:rPr>
            </w:pPr>
            <w:r w:rsidRPr="009F227C">
              <w:rPr>
                <w:sz w:val="20"/>
                <w:szCs w:val="20"/>
              </w:rPr>
              <w:t>Satisfactory</w:t>
            </w:r>
          </w:p>
        </w:tc>
      </w:tr>
      <w:tr w:rsidR="003B33F0" w:rsidRPr="009F227C" w14:paraId="6CA1DA16" w14:textId="77777777" w:rsidTr="001A0819">
        <w:tc>
          <w:tcPr>
            <w:tcW w:w="2785" w:type="dxa"/>
          </w:tcPr>
          <w:p w14:paraId="09702023" w14:textId="77777777" w:rsidR="003B33F0" w:rsidRPr="009F227C" w:rsidRDefault="003B33F0" w:rsidP="003B33F0">
            <w:pPr>
              <w:rPr>
                <w:sz w:val="20"/>
                <w:szCs w:val="20"/>
              </w:rPr>
            </w:pPr>
            <w:r w:rsidRPr="009F227C">
              <w:rPr>
                <w:sz w:val="20"/>
                <w:szCs w:val="20"/>
              </w:rPr>
              <w:t>Pennbrooke WTP</w:t>
            </w:r>
          </w:p>
        </w:tc>
        <w:tc>
          <w:tcPr>
            <w:tcW w:w="1643" w:type="dxa"/>
            <w:vAlign w:val="center"/>
          </w:tcPr>
          <w:p w14:paraId="2D8D9B69" w14:textId="77777777" w:rsidR="003B33F0" w:rsidRPr="009F227C" w:rsidRDefault="003B33F0" w:rsidP="003B33F0">
            <w:pPr>
              <w:jc w:val="center"/>
              <w:rPr>
                <w:sz w:val="20"/>
                <w:szCs w:val="20"/>
              </w:rPr>
            </w:pPr>
            <w:r w:rsidRPr="009F227C">
              <w:rPr>
                <w:sz w:val="20"/>
                <w:szCs w:val="20"/>
              </w:rPr>
              <w:t>Unsatisfactory</w:t>
            </w:r>
          </w:p>
        </w:tc>
        <w:tc>
          <w:tcPr>
            <w:tcW w:w="1507" w:type="dxa"/>
            <w:vAlign w:val="center"/>
          </w:tcPr>
          <w:p w14:paraId="2C8FC391"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224E62E6"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3434E780" w14:textId="77777777" w:rsidR="003B33F0" w:rsidRPr="009F227C" w:rsidRDefault="003B33F0" w:rsidP="003B33F0">
            <w:pPr>
              <w:jc w:val="center"/>
              <w:rPr>
                <w:sz w:val="20"/>
                <w:szCs w:val="20"/>
              </w:rPr>
            </w:pPr>
            <w:r w:rsidRPr="009F227C">
              <w:rPr>
                <w:sz w:val="20"/>
                <w:szCs w:val="20"/>
              </w:rPr>
              <w:t>Satisfactory</w:t>
            </w:r>
          </w:p>
        </w:tc>
      </w:tr>
      <w:tr w:rsidR="003B33F0" w:rsidRPr="009F227C" w14:paraId="1DDD5F36" w14:textId="77777777" w:rsidTr="001A0819">
        <w:tc>
          <w:tcPr>
            <w:tcW w:w="2785" w:type="dxa"/>
          </w:tcPr>
          <w:p w14:paraId="18386DDD" w14:textId="77777777" w:rsidR="003B33F0" w:rsidRPr="009F227C" w:rsidRDefault="003B33F0" w:rsidP="003B33F0">
            <w:pPr>
              <w:rPr>
                <w:sz w:val="20"/>
                <w:szCs w:val="20"/>
              </w:rPr>
            </w:pPr>
            <w:r w:rsidRPr="009F227C">
              <w:rPr>
                <w:sz w:val="20"/>
                <w:szCs w:val="20"/>
              </w:rPr>
              <w:t>Pennbrooke WWTP</w:t>
            </w:r>
          </w:p>
        </w:tc>
        <w:tc>
          <w:tcPr>
            <w:tcW w:w="1643" w:type="dxa"/>
            <w:vAlign w:val="center"/>
          </w:tcPr>
          <w:p w14:paraId="47DB721B"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48B53FD6"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6C5EE043"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0ECE5D48" w14:textId="77777777" w:rsidR="003B33F0" w:rsidRPr="009F227C" w:rsidRDefault="003B33F0" w:rsidP="003B33F0">
            <w:pPr>
              <w:jc w:val="center"/>
              <w:rPr>
                <w:sz w:val="20"/>
                <w:szCs w:val="20"/>
              </w:rPr>
            </w:pPr>
            <w:r w:rsidRPr="009F227C">
              <w:rPr>
                <w:sz w:val="20"/>
                <w:szCs w:val="20"/>
              </w:rPr>
              <w:t>Satisfactory</w:t>
            </w:r>
          </w:p>
        </w:tc>
      </w:tr>
      <w:tr w:rsidR="003B33F0" w:rsidRPr="009F227C" w14:paraId="5C92C0BA" w14:textId="77777777" w:rsidTr="001A0819">
        <w:tc>
          <w:tcPr>
            <w:tcW w:w="2785" w:type="dxa"/>
          </w:tcPr>
          <w:p w14:paraId="509A5C1B" w14:textId="77777777" w:rsidR="003B33F0" w:rsidRPr="009F227C" w:rsidRDefault="003B33F0" w:rsidP="003B33F0">
            <w:pPr>
              <w:rPr>
                <w:sz w:val="20"/>
                <w:szCs w:val="20"/>
              </w:rPr>
            </w:pPr>
            <w:r w:rsidRPr="009F227C">
              <w:rPr>
                <w:sz w:val="20"/>
                <w:szCs w:val="20"/>
              </w:rPr>
              <w:t>Pasco-Labrador</w:t>
            </w:r>
          </w:p>
        </w:tc>
        <w:tc>
          <w:tcPr>
            <w:tcW w:w="1643" w:type="dxa"/>
            <w:vAlign w:val="center"/>
          </w:tcPr>
          <w:p w14:paraId="4CCC4835"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53FAEF45"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5CBA17FC"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6A370A4B" w14:textId="77777777" w:rsidR="003B33F0" w:rsidRPr="009F227C" w:rsidRDefault="003B33F0" w:rsidP="003B33F0">
            <w:pPr>
              <w:jc w:val="center"/>
              <w:rPr>
                <w:sz w:val="20"/>
                <w:szCs w:val="20"/>
              </w:rPr>
            </w:pPr>
            <w:r w:rsidRPr="009F227C">
              <w:rPr>
                <w:sz w:val="20"/>
                <w:szCs w:val="20"/>
              </w:rPr>
              <w:t>Satisfactory</w:t>
            </w:r>
          </w:p>
        </w:tc>
      </w:tr>
      <w:tr w:rsidR="003B33F0" w:rsidRPr="009F227C" w14:paraId="273B8B27" w14:textId="77777777" w:rsidTr="001A0819">
        <w:tc>
          <w:tcPr>
            <w:tcW w:w="2785" w:type="dxa"/>
          </w:tcPr>
          <w:p w14:paraId="04F8857A" w14:textId="77777777" w:rsidR="003B33F0" w:rsidRPr="009F227C" w:rsidRDefault="003B33F0" w:rsidP="003B33F0">
            <w:pPr>
              <w:rPr>
                <w:sz w:val="20"/>
                <w:szCs w:val="20"/>
              </w:rPr>
            </w:pPr>
            <w:r w:rsidRPr="009F227C">
              <w:rPr>
                <w:sz w:val="20"/>
                <w:szCs w:val="20"/>
              </w:rPr>
              <w:t>Pasco-Summertree</w:t>
            </w:r>
          </w:p>
        </w:tc>
        <w:tc>
          <w:tcPr>
            <w:tcW w:w="1643" w:type="dxa"/>
            <w:vAlign w:val="center"/>
          </w:tcPr>
          <w:p w14:paraId="4D254DFF"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2B2DFDB7"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1E6B134C"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0CD01ED5" w14:textId="77777777" w:rsidR="003B33F0" w:rsidRPr="009F227C" w:rsidRDefault="003B33F0" w:rsidP="003B33F0">
            <w:pPr>
              <w:jc w:val="center"/>
              <w:rPr>
                <w:sz w:val="20"/>
                <w:szCs w:val="20"/>
              </w:rPr>
            </w:pPr>
            <w:r w:rsidRPr="009F227C">
              <w:rPr>
                <w:sz w:val="20"/>
                <w:szCs w:val="20"/>
              </w:rPr>
              <w:t>Satisfactory</w:t>
            </w:r>
          </w:p>
        </w:tc>
      </w:tr>
      <w:tr w:rsidR="003B33F0" w:rsidRPr="009F227C" w14:paraId="492DDE7A" w14:textId="77777777" w:rsidTr="001A0819">
        <w:tc>
          <w:tcPr>
            <w:tcW w:w="2785" w:type="dxa"/>
          </w:tcPr>
          <w:p w14:paraId="32560C5E" w14:textId="77777777" w:rsidR="003B33F0" w:rsidRPr="009F227C" w:rsidRDefault="003B33F0" w:rsidP="003B33F0">
            <w:pPr>
              <w:rPr>
                <w:sz w:val="20"/>
                <w:szCs w:val="20"/>
              </w:rPr>
            </w:pPr>
            <w:r w:rsidRPr="009F227C">
              <w:rPr>
                <w:sz w:val="20"/>
                <w:szCs w:val="20"/>
              </w:rPr>
              <w:t>Eagle Ridge</w:t>
            </w:r>
          </w:p>
        </w:tc>
        <w:tc>
          <w:tcPr>
            <w:tcW w:w="1643" w:type="dxa"/>
            <w:vAlign w:val="center"/>
          </w:tcPr>
          <w:p w14:paraId="2A254AA4"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73AD3CE8"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58068D7C"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0E6EBBF8" w14:textId="77777777" w:rsidR="003B33F0" w:rsidRPr="009F227C" w:rsidRDefault="003B33F0" w:rsidP="003B33F0">
            <w:pPr>
              <w:jc w:val="center"/>
              <w:rPr>
                <w:sz w:val="20"/>
                <w:szCs w:val="20"/>
              </w:rPr>
            </w:pPr>
            <w:r w:rsidRPr="009F227C">
              <w:rPr>
                <w:sz w:val="20"/>
                <w:szCs w:val="20"/>
              </w:rPr>
              <w:t>Satisfactory</w:t>
            </w:r>
          </w:p>
        </w:tc>
      </w:tr>
      <w:tr w:rsidR="003B33F0" w:rsidRPr="009F227C" w14:paraId="0FBC076C" w14:textId="77777777" w:rsidTr="001A0819">
        <w:tc>
          <w:tcPr>
            <w:tcW w:w="2785" w:type="dxa"/>
          </w:tcPr>
          <w:p w14:paraId="7FBCCFCC" w14:textId="77777777" w:rsidR="003B33F0" w:rsidRPr="009F227C" w:rsidRDefault="003B33F0" w:rsidP="003B33F0">
            <w:pPr>
              <w:rPr>
                <w:sz w:val="20"/>
                <w:szCs w:val="20"/>
              </w:rPr>
            </w:pPr>
            <w:r w:rsidRPr="009F227C">
              <w:rPr>
                <w:sz w:val="20"/>
                <w:szCs w:val="20"/>
              </w:rPr>
              <w:t>Tierra Verde</w:t>
            </w:r>
          </w:p>
        </w:tc>
        <w:tc>
          <w:tcPr>
            <w:tcW w:w="1643" w:type="dxa"/>
            <w:vAlign w:val="center"/>
          </w:tcPr>
          <w:p w14:paraId="097CD161"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14792AEA"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07702116"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73B206CE" w14:textId="77777777" w:rsidR="003B33F0" w:rsidRPr="009F227C" w:rsidRDefault="003B33F0" w:rsidP="003B33F0">
            <w:pPr>
              <w:jc w:val="center"/>
              <w:rPr>
                <w:sz w:val="20"/>
                <w:szCs w:val="20"/>
              </w:rPr>
            </w:pPr>
            <w:r w:rsidRPr="009F227C">
              <w:rPr>
                <w:sz w:val="20"/>
                <w:szCs w:val="20"/>
              </w:rPr>
              <w:t>Satisfactory</w:t>
            </w:r>
          </w:p>
        </w:tc>
      </w:tr>
      <w:tr w:rsidR="003B33F0" w:rsidRPr="009F227C" w14:paraId="2EE622A4" w14:textId="77777777" w:rsidTr="001A0819">
        <w:tc>
          <w:tcPr>
            <w:tcW w:w="2785" w:type="dxa"/>
          </w:tcPr>
          <w:p w14:paraId="3B757401" w14:textId="77777777" w:rsidR="003B33F0" w:rsidRPr="009F227C" w:rsidRDefault="003B33F0" w:rsidP="003B33F0">
            <w:pPr>
              <w:rPr>
                <w:sz w:val="20"/>
                <w:szCs w:val="20"/>
              </w:rPr>
            </w:pPr>
            <w:r w:rsidRPr="009F227C">
              <w:rPr>
                <w:sz w:val="20"/>
                <w:szCs w:val="20"/>
              </w:rPr>
              <w:t>Sandalhaven</w:t>
            </w:r>
          </w:p>
        </w:tc>
        <w:tc>
          <w:tcPr>
            <w:tcW w:w="1643" w:type="dxa"/>
            <w:vAlign w:val="center"/>
          </w:tcPr>
          <w:p w14:paraId="23F025ED"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4EEBCD96"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473AE130"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38DDC548" w14:textId="77777777" w:rsidR="003B33F0" w:rsidRPr="009F227C" w:rsidRDefault="003B33F0" w:rsidP="003B33F0">
            <w:pPr>
              <w:jc w:val="center"/>
              <w:rPr>
                <w:sz w:val="20"/>
                <w:szCs w:val="20"/>
              </w:rPr>
            </w:pPr>
            <w:r w:rsidRPr="009F227C">
              <w:rPr>
                <w:sz w:val="20"/>
                <w:szCs w:val="20"/>
              </w:rPr>
              <w:t>Satisfactory</w:t>
            </w:r>
          </w:p>
        </w:tc>
      </w:tr>
      <w:tr w:rsidR="003B33F0" w:rsidRPr="009F227C" w14:paraId="3CFC7F4E" w14:textId="77777777" w:rsidTr="001A0819">
        <w:tc>
          <w:tcPr>
            <w:tcW w:w="2785" w:type="dxa"/>
          </w:tcPr>
          <w:p w14:paraId="4DCBABFE" w14:textId="77777777" w:rsidR="003B33F0" w:rsidRPr="009F227C" w:rsidRDefault="003B33F0" w:rsidP="003B33F0">
            <w:pPr>
              <w:rPr>
                <w:sz w:val="20"/>
                <w:szCs w:val="20"/>
              </w:rPr>
            </w:pPr>
            <w:r w:rsidRPr="009F227C">
              <w:rPr>
                <w:sz w:val="20"/>
                <w:szCs w:val="20"/>
              </w:rPr>
              <w:t>Seminole-All Systems*</w:t>
            </w:r>
          </w:p>
        </w:tc>
        <w:tc>
          <w:tcPr>
            <w:tcW w:w="1643" w:type="dxa"/>
            <w:vAlign w:val="center"/>
          </w:tcPr>
          <w:p w14:paraId="199214E1"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1437BAE8"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390A0E7A"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51DA4100" w14:textId="77777777" w:rsidR="003B33F0" w:rsidRPr="009F227C" w:rsidRDefault="003B33F0" w:rsidP="003B33F0">
            <w:pPr>
              <w:jc w:val="center"/>
              <w:rPr>
                <w:sz w:val="20"/>
                <w:szCs w:val="20"/>
              </w:rPr>
            </w:pPr>
            <w:r w:rsidRPr="009F227C">
              <w:rPr>
                <w:sz w:val="20"/>
                <w:szCs w:val="20"/>
              </w:rPr>
              <w:t>Satisfactory</w:t>
            </w:r>
          </w:p>
        </w:tc>
      </w:tr>
      <w:tr w:rsidR="003B33F0" w:rsidRPr="009F227C" w14:paraId="26E524B2" w14:textId="77777777" w:rsidTr="001A0819">
        <w:tc>
          <w:tcPr>
            <w:tcW w:w="2785" w:type="dxa"/>
          </w:tcPr>
          <w:p w14:paraId="3DACB92A" w14:textId="77777777" w:rsidR="003B33F0" w:rsidRPr="009F227C" w:rsidRDefault="003B33F0" w:rsidP="003B33F0">
            <w:pPr>
              <w:rPr>
                <w:sz w:val="20"/>
                <w:szCs w:val="20"/>
              </w:rPr>
            </w:pPr>
            <w:r w:rsidRPr="009F227C">
              <w:rPr>
                <w:sz w:val="20"/>
                <w:szCs w:val="20"/>
              </w:rPr>
              <w:t>Sanlando WTP**</w:t>
            </w:r>
          </w:p>
        </w:tc>
        <w:tc>
          <w:tcPr>
            <w:tcW w:w="1643" w:type="dxa"/>
            <w:vAlign w:val="center"/>
          </w:tcPr>
          <w:p w14:paraId="26485454" w14:textId="77777777" w:rsidR="003B33F0" w:rsidRPr="009F227C" w:rsidRDefault="003B33F0" w:rsidP="003B33F0">
            <w:pPr>
              <w:jc w:val="center"/>
              <w:rPr>
                <w:sz w:val="20"/>
                <w:szCs w:val="20"/>
              </w:rPr>
            </w:pPr>
            <w:r w:rsidRPr="009F227C">
              <w:rPr>
                <w:sz w:val="20"/>
                <w:szCs w:val="20"/>
              </w:rPr>
              <w:t>Satisfactory</w:t>
            </w:r>
          </w:p>
        </w:tc>
        <w:tc>
          <w:tcPr>
            <w:tcW w:w="1507" w:type="dxa"/>
            <w:vAlign w:val="center"/>
          </w:tcPr>
          <w:p w14:paraId="3FD7ECB6"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59A0E5EC" w14:textId="77777777" w:rsidR="003B33F0" w:rsidRPr="009F227C" w:rsidRDefault="003B33F0" w:rsidP="003B33F0">
            <w:pPr>
              <w:jc w:val="center"/>
              <w:rPr>
                <w:sz w:val="20"/>
                <w:szCs w:val="20"/>
              </w:rPr>
            </w:pPr>
            <w:r w:rsidRPr="009F227C">
              <w:rPr>
                <w:sz w:val="20"/>
                <w:szCs w:val="20"/>
              </w:rPr>
              <w:t>-</w:t>
            </w:r>
          </w:p>
        </w:tc>
        <w:tc>
          <w:tcPr>
            <w:tcW w:w="1705" w:type="dxa"/>
            <w:vAlign w:val="center"/>
          </w:tcPr>
          <w:p w14:paraId="0CA1667B" w14:textId="77777777" w:rsidR="003B33F0" w:rsidRPr="009F227C" w:rsidRDefault="003B33F0" w:rsidP="003B33F0">
            <w:pPr>
              <w:jc w:val="center"/>
              <w:rPr>
                <w:sz w:val="20"/>
                <w:szCs w:val="20"/>
              </w:rPr>
            </w:pPr>
            <w:r w:rsidRPr="009F227C">
              <w:rPr>
                <w:sz w:val="20"/>
                <w:szCs w:val="20"/>
              </w:rPr>
              <w:t>Satisfactory</w:t>
            </w:r>
          </w:p>
        </w:tc>
      </w:tr>
      <w:tr w:rsidR="003B33F0" w:rsidRPr="009F227C" w14:paraId="513C349E" w14:textId="77777777" w:rsidTr="001A0819">
        <w:tc>
          <w:tcPr>
            <w:tcW w:w="2785" w:type="dxa"/>
          </w:tcPr>
          <w:p w14:paraId="3FBD9A5B" w14:textId="77777777" w:rsidR="003B33F0" w:rsidRPr="009F227C" w:rsidRDefault="003B33F0" w:rsidP="003B33F0">
            <w:pPr>
              <w:rPr>
                <w:sz w:val="20"/>
                <w:szCs w:val="20"/>
              </w:rPr>
            </w:pPr>
            <w:r w:rsidRPr="009F227C">
              <w:rPr>
                <w:sz w:val="20"/>
                <w:szCs w:val="20"/>
              </w:rPr>
              <w:t>Sanlando (Wekiva Hunt Club) WWTP</w:t>
            </w:r>
          </w:p>
        </w:tc>
        <w:tc>
          <w:tcPr>
            <w:tcW w:w="1643" w:type="dxa"/>
            <w:vAlign w:val="center"/>
          </w:tcPr>
          <w:p w14:paraId="67D758CB" w14:textId="77777777" w:rsidR="003B33F0" w:rsidRPr="009F227C" w:rsidRDefault="003B33F0" w:rsidP="003B33F0">
            <w:pPr>
              <w:jc w:val="center"/>
              <w:rPr>
                <w:sz w:val="20"/>
                <w:szCs w:val="20"/>
              </w:rPr>
            </w:pPr>
            <w:r w:rsidRPr="009F227C">
              <w:rPr>
                <w:sz w:val="20"/>
                <w:szCs w:val="20"/>
              </w:rPr>
              <w:t>Unsatisfactory</w:t>
            </w:r>
          </w:p>
        </w:tc>
        <w:tc>
          <w:tcPr>
            <w:tcW w:w="1507" w:type="dxa"/>
            <w:vAlign w:val="center"/>
          </w:tcPr>
          <w:p w14:paraId="4B764561"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135067B8" w14:textId="77777777" w:rsidR="003B33F0" w:rsidRPr="009F227C" w:rsidRDefault="003B33F0" w:rsidP="003B33F0">
            <w:pPr>
              <w:jc w:val="center"/>
              <w:rPr>
                <w:sz w:val="20"/>
                <w:szCs w:val="20"/>
              </w:rPr>
            </w:pPr>
            <w:r w:rsidRPr="009F227C">
              <w:rPr>
                <w:sz w:val="20"/>
                <w:szCs w:val="20"/>
              </w:rPr>
              <w:t>Unsatisfactory</w:t>
            </w:r>
          </w:p>
        </w:tc>
        <w:tc>
          <w:tcPr>
            <w:tcW w:w="1705" w:type="dxa"/>
            <w:vAlign w:val="center"/>
          </w:tcPr>
          <w:p w14:paraId="0EA7AA48" w14:textId="77777777" w:rsidR="003B33F0" w:rsidRPr="009F227C" w:rsidRDefault="003B33F0" w:rsidP="003B33F0">
            <w:pPr>
              <w:jc w:val="center"/>
              <w:rPr>
                <w:sz w:val="20"/>
                <w:szCs w:val="20"/>
              </w:rPr>
            </w:pPr>
            <w:r w:rsidRPr="009F227C">
              <w:rPr>
                <w:sz w:val="20"/>
                <w:szCs w:val="20"/>
              </w:rPr>
              <w:t>Unsatisfactory</w:t>
            </w:r>
          </w:p>
        </w:tc>
      </w:tr>
      <w:tr w:rsidR="003B33F0" w:rsidRPr="009F227C" w14:paraId="08A8885D" w14:textId="77777777" w:rsidTr="001A0819">
        <w:tc>
          <w:tcPr>
            <w:tcW w:w="2785" w:type="dxa"/>
          </w:tcPr>
          <w:p w14:paraId="0DBB6E8A" w14:textId="77777777" w:rsidR="003B33F0" w:rsidRPr="009F227C" w:rsidRDefault="003B33F0" w:rsidP="003B33F0">
            <w:pPr>
              <w:rPr>
                <w:sz w:val="20"/>
                <w:szCs w:val="20"/>
              </w:rPr>
            </w:pPr>
            <w:r w:rsidRPr="009F227C">
              <w:rPr>
                <w:sz w:val="20"/>
                <w:szCs w:val="20"/>
              </w:rPr>
              <w:t>Mid-County</w:t>
            </w:r>
          </w:p>
        </w:tc>
        <w:tc>
          <w:tcPr>
            <w:tcW w:w="1643" w:type="dxa"/>
            <w:vAlign w:val="center"/>
          </w:tcPr>
          <w:p w14:paraId="6A8C4F24" w14:textId="77777777" w:rsidR="003B33F0" w:rsidRPr="009F227C" w:rsidRDefault="003B33F0" w:rsidP="003B33F0">
            <w:pPr>
              <w:jc w:val="center"/>
              <w:rPr>
                <w:sz w:val="20"/>
                <w:szCs w:val="20"/>
              </w:rPr>
            </w:pPr>
            <w:r w:rsidRPr="009F227C">
              <w:rPr>
                <w:sz w:val="20"/>
                <w:szCs w:val="20"/>
              </w:rPr>
              <w:t>Unsatisfactory</w:t>
            </w:r>
          </w:p>
        </w:tc>
        <w:tc>
          <w:tcPr>
            <w:tcW w:w="1507" w:type="dxa"/>
            <w:vAlign w:val="center"/>
          </w:tcPr>
          <w:p w14:paraId="23C4FBF6" w14:textId="77777777" w:rsidR="003B33F0" w:rsidRPr="009F227C" w:rsidRDefault="003B33F0" w:rsidP="003B33F0">
            <w:pPr>
              <w:jc w:val="center"/>
              <w:rPr>
                <w:sz w:val="20"/>
                <w:szCs w:val="20"/>
              </w:rPr>
            </w:pPr>
            <w:r w:rsidRPr="009F227C">
              <w:rPr>
                <w:sz w:val="20"/>
                <w:szCs w:val="20"/>
              </w:rPr>
              <w:t>Satisfactory</w:t>
            </w:r>
          </w:p>
        </w:tc>
        <w:tc>
          <w:tcPr>
            <w:tcW w:w="1710" w:type="dxa"/>
            <w:vAlign w:val="center"/>
          </w:tcPr>
          <w:p w14:paraId="5702C4B6" w14:textId="77777777" w:rsidR="003B33F0" w:rsidRPr="009F227C" w:rsidRDefault="003B33F0" w:rsidP="003B33F0">
            <w:pPr>
              <w:jc w:val="center"/>
              <w:rPr>
                <w:sz w:val="20"/>
                <w:szCs w:val="20"/>
              </w:rPr>
            </w:pPr>
            <w:r w:rsidRPr="009F227C">
              <w:rPr>
                <w:sz w:val="20"/>
                <w:szCs w:val="20"/>
              </w:rPr>
              <w:t>Unsatisfactory</w:t>
            </w:r>
          </w:p>
        </w:tc>
        <w:tc>
          <w:tcPr>
            <w:tcW w:w="1705" w:type="dxa"/>
            <w:vAlign w:val="center"/>
          </w:tcPr>
          <w:p w14:paraId="20416ABD" w14:textId="77777777" w:rsidR="003B33F0" w:rsidRPr="009F227C" w:rsidRDefault="003B33F0" w:rsidP="003B33F0">
            <w:pPr>
              <w:jc w:val="center"/>
              <w:rPr>
                <w:sz w:val="20"/>
                <w:szCs w:val="20"/>
              </w:rPr>
            </w:pPr>
            <w:r w:rsidRPr="009F227C">
              <w:rPr>
                <w:sz w:val="20"/>
                <w:szCs w:val="20"/>
              </w:rPr>
              <w:t>Unsatisfactory</w:t>
            </w:r>
          </w:p>
        </w:tc>
      </w:tr>
    </w:tbl>
    <w:p w14:paraId="44841800" w14:textId="77777777" w:rsidR="003B33F0" w:rsidRPr="009F227C" w:rsidRDefault="003B33F0" w:rsidP="003B33F0">
      <w:pPr>
        <w:jc w:val="both"/>
        <w:outlineLvl w:val="2"/>
        <w:rPr>
          <w:sz w:val="20"/>
          <w:szCs w:val="20"/>
        </w:rPr>
      </w:pPr>
    </w:p>
    <w:p w14:paraId="1A998507" w14:textId="77777777" w:rsidR="003B33F0" w:rsidRPr="009F227C" w:rsidRDefault="003B33F0" w:rsidP="003B33F0">
      <w:pPr>
        <w:jc w:val="both"/>
        <w:outlineLvl w:val="2"/>
        <w:rPr>
          <w:b/>
          <w:bCs/>
          <w:iCs/>
          <w:szCs w:val="28"/>
        </w:rPr>
      </w:pPr>
      <w:r w:rsidRPr="009F227C">
        <w:rPr>
          <w:b/>
          <w:bCs/>
          <w:iCs/>
          <w:szCs w:val="28"/>
        </w:rPr>
        <w:t>Systems with Satisfactory Determination in Last Rate Case and Uncontested Satisfactory Quality of Service</w:t>
      </w:r>
    </w:p>
    <w:p w14:paraId="0E912CE5" w14:textId="77777777" w:rsidR="00F013A8" w:rsidRPr="0002105C" w:rsidRDefault="00F013A8" w:rsidP="003B33F0">
      <w:pPr>
        <w:jc w:val="both"/>
        <w:outlineLvl w:val="2"/>
        <w:rPr>
          <w:bCs/>
          <w:iCs/>
          <w:szCs w:val="28"/>
        </w:rPr>
      </w:pPr>
    </w:p>
    <w:p w14:paraId="72740E60" w14:textId="04EF099F" w:rsidR="003B33F0" w:rsidRPr="009F227C" w:rsidRDefault="008E47A7" w:rsidP="003B33F0">
      <w:pPr>
        <w:spacing w:after="240"/>
        <w:jc w:val="both"/>
      </w:pPr>
      <w:r w:rsidRPr="009F227C">
        <w:tab/>
      </w:r>
      <w:r w:rsidR="003B33F0" w:rsidRPr="009F227C">
        <w:t>The water and wastewate</w:t>
      </w:r>
      <w:r w:rsidR="00F013A8" w:rsidRPr="009F227C">
        <w:t xml:space="preserve">r systems identified in Table </w:t>
      </w:r>
      <w:r w:rsidR="003B33F0" w:rsidRPr="009F227C">
        <w:t xml:space="preserve">1 as satisfactory in the </w:t>
      </w:r>
      <w:r w:rsidR="00F013A8" w:rsidRPr="009F227C">
        <w:t>“Commission Approved”</w:t>
      </w:r>
      <w:r w:rsidR="003B33F0" w:rsidRPr="009F227C">
        <w:t xml:space="preserve"> column are in compliance with DEP requirements, including secondary water quality standards, had minimal customer participation at the service hearings, received few, if any, quality of service complaints, and were found to have satisfactory quality of </w:t>
      </w:r>
      <w:r w:rsidR="003B33F0" w:rsidRPr="009F227C">
        <w:lastRenderedPageBreak/>
        <w:t>service in the last rate case.</w:t>
      </w:r>
      <w:r w:rsidR="003B33F0" w:rsidRPr="009F227C">
        <w:rPr>
          <w:vertAlign w:val="superscript"/>
        </w:rPr>
        <w:footnoteReference w:id="11"/>
      </w:r>
      <w:r w:rsidR="003B33F0" w:rsidRPr="009F227C">
        <w:t xml:space="preserve">  As noted above, OPC did not identify any quality of service issues with these systems. As such, </w:t>
      </w:r>
      <w:r w:rsidR="00351689">
        <w:t>we find</w:t>
      </w:r>
      <w:r w:rsidR="003B33F0" w:rsidRPr="009F227C">
        <w:t xml:space="preserve"> the quality of service for these systems</w:t>
      </w:r>
      <w:r w:rsidR="00156FAD">
        <w:t xml:space="preserve"> shall</w:t>
      </w:r>
      <w:r w:rsidR="003B33F0" w:rsidRPr="009F227C">
        <w:t xml:space="preserve"> be considered satisfactory. </w:t>
      </w:r>
    </w:p>
    <w:p w14:paraId="69587A20" w14:textId="6E8303E2" w:rsidR="003B33F0" w:rsidRPr="009F227C" w:rsidRDefault="008E47A7" w:rsidP="003B33F0">
      <w:pPr>
        <w:spacing w:after="240"/>
        <w:jc w:val="both"/>
      </w:pPr>
      <w:r w:rsidRPr="009F227C">
        <w:tab/>
      </w:r>
      <w:r w:rsidR="003B33F0" w:rsidRPr="009F227C">
        <w:t xml:space="preserve">Notably, </w:t>
      </w:r>
      <w:r w:rsidR="00156FAD">
        <w:t xml:space="preserve">in its 2016 rate case, </w:t>
      </w:r>
      <w:r w:rsidR="00F013A8" w:rsidRPr="009F227C">
        <w:t>we</w:t>
      </w:r>
      <w:r w:rsidR="003B33F0" w:rsidRPr="009F227C">
        <w:t xml:space="preserve"> found the quality of service of the Pasco-Summertree system to be unsatisfactory, with a 100-basis point reduction to the Utility’s ROE</w:t>
      </w:r>
      <w:r w:rsidR="00156FAD">
        <w:t>.</w:t>
      </w:r>
      <w:r w:rsidR="003B33F0" w:rsidRPr="009F227C">
        <w:rPr>
          <w:vertAlign w:val="superscript"/>
        </w:rPr>
        <w:footnoteReference w:id="12"/>
      </w:r>
      <w:r w:rsidR="003B33F0" w:rsidRPr="009F227C">
        <w:t xml:space="preserve"> This determination was based upon the Utility not maintaining secondary water quality standards and customer complaints. Since its interconnection with Pasco County Utilities in December 2016, Pasco-Summertree purchases bulk water from Pasco County. As a reseller of water, Pasco-Summertree is not subject to DEP’s secondary water standards. However, due to the high volume of customer complaints in the previous rate proceedings, we required the Utility to perform and report secondary water quality testing for this system.</w:t>
      </w:r>
      <w:r w:rsidR="003B33F0" w:rsidRPr="009F227C">
        <w:rPr>
          <w:vertAlign w:val="superscript"/>
        </w:rPr>
        <w:footnoteReference w:id="13"/>
      </w:r>
      <w:r w:rsidR="003B33F0" w:rsidRPr="009F227C">
        <w:t xml:space="preserve"> Since 2016, and the Utility’s subsequent rate proceeding in 2020, the number of customer complaints about this system have dropped dramatically while water quality has </w:t>
      </w:r>
      <w:r w:rsidR="00F013A8" w:rsidRPr="009F227C">
        <w:t xml:space="preserve">risen. As identified in Table </w:t>
      </w:r>
      <w:r w:rsidR="003B33F0" w:rsidRPr="009F227C">
        <w:t xml:space="preserve">1, </w:t>
      </w:r>
      <w:r w:rsidR="00F013A8" w:rsidRPr="009F227C">
        <w:t xml:space="preserve">we </w:t>
      </w:r>
      <w:r w:rsidR="00156FAD">
        <w:t xml:space="preserve">now </w:t>
      </w:r>
      <w:r w:rsidR="00F013A8" w:rsidRPr="009F227C">
        <w:t xml:space="preserve">find </w:t>
      </w:r>
      <w:r w:rsidR="003B33F0" w:rsidRPr="009F227C">
        <w:t xml:space="preserve">the quality of service for this system to be satisfactory. Therefore, </w:t>
      </w:r>
      <w:r w:rsidR="00F013A8" w:rsidRPr="009F227C">
        <w:t xml:space="preserve">we find </w:t>
      </w:r>
      <w:r w:rsidR="003B33F0" w:rsidRPr="009F227C">
        <w:t xml:space="preserve">that the reporting requirements for the Pasco-Summertree system </w:t>
      </w:r>
      <w:r w:rsidR="00F013A8" w:rsidRPr="009F227C">
        <w:t>shall</w:t>
      </w:r>
      <w:r w:rsidR="003B33F0" w:rsidRPr="009F227C">
        <w:t xml:space="preserve"> no longer be required.</w:t>
      </w:r>
    </w:p>
    <w:p w14:paraId="02520435" w14:textId="77777777" w:rsidR="003B33F0" w:rsidRDefault="003B33F0" w:rsidP="003B33F0">
      <w:pPr>
        <w:jc w:val="both"/>
        <w:outlineLvl w:val="2"/>
        <w:rPr>
          <w:b/>
          <w:bCs/>
          <w:iCs/>
          <w:szCs w:val="28"/>
        </w:rPr>
      </w:pPr>
      <w:r w:rsidRPr="009F227C">
        <w:rPr>
          <w:b/>
          <w:bCs/>
          <w:iCs/>
          <w:szCs w:val="28"/>
        </w:rPr>
        <w:t>Systems with Unsatisfactory Determination in Last Rate Case or Contested Satisfactory Quality of Service</w:t>
      </w:r>
    </w:p>
    <w:p w14:paraId="1F780BEB" w14:textId="77777777" w:rsidR="00954AFD" w:rsidRPr="0002105C" w:rsidRDefault="00954AFD" w:rsidP="003B33F0">
      <w:pPr>
        <w:jc w:val="both"/>
        <w:outlineLvl w:val="2"/>
        <w:rPr>
          <w:bCs/>
          <w:iCs/>
          <w:szCs w:val="28"/>
        </w:rPr>
      </w:pPr>
    </w:p>
    <w:p w14:paraId="5B6E05B9" w14:textId="77777777" w:rsidR="003B33F0" w:rsidRPr="009F227C" w:rsidRDefault="008E47A7" w:rsidP="003B33F0">
      <w:pPr>
        <w:spacing w:after="240"/>
        <w:jc w:val="both"/>
      </w:pPr>
      <w:r w:rsidRPr="009F227C">
        <w:tab/>
      </w:r>
      <w:r w:rsidR="003B33F0" w:rsidRPr="009F227C">
        <w:t xml:space="preserve">OPC argued the quality of service should be unsatisfactory for the Sanlando (Wekiva Hunt Club) and Mid-County wastewater systems. Also, OPC argued that a reduction of 50-basis points should be imposed to Sunshine’s ROE and that </w:t>
      </w:r>
      <w:r w:rsidR="00F013A8" w:rsidRPr="009F227C">
        <w:t>we</w:t>
      </w:r>
      <w:r w:rsidR="003B33F0" w:rsidRPr="009F227C">
        <w:t xml:space="preserve"> should also consider customer rebates, officer salary reductions, and a penalty for mismanagement. </w:t>
      </w:r>
      <w:r w:rsidR="00F013A8" w:rsidRPr="009F227C">
        <w:t xml:space="preserve">In </w:t>
      </w:r>
      <w:r w:rsidR="003B33F0" w:rsidRPr="009F227C">
        <w:t xml:space="preserve">opposition to OPC, Sunshine argued all of its systems should be considered satisfactory. </w:t>
      </w:r>
      <w:r w:rsidR="001D3577" w:rsidRPr="009F227C">
        <w:t>We</w:t>
      </w:r>
      <w:r w:rsidR="003B33F0" w:rsidRPr="009F227C">
        <w:t xml:space="preserve"> previously found the overall quality of service of the Utility to be satisfactory with the exclusion of the Pennbrooke water, Sanlando, and Mid-County wastewater systems. As a result, </w:t>
      </w:r>
      <w:r w:rsidR="00550579" w:rsidRPr="009F227C">
        <w:t>we</w:t>
      </w:r>
      <w:r w:rsidR="003B33F0" w:rsidRPr="009F227C">
        <w:t xml:space="preserve"> reduced the Utility’s overall ROE by 15 basis points.</w:t>
      </w:r>
      <w:r w:rsidR="003B33F0" w:rsidRPr="009F227C">
        <w:rPr>
          <w:vertAlign w:val="superscript"/>
        </w:rPr>
        <w:footnoteReference w:id="14"/>
      </w:r>
      <w:r w:rsidR="003B33F0" w:rsidRPr="009F227C">
        <w:t xml:space="preserve"> Below, </w:t>
      </w:r>
      <w:r w:rsidR="00F013A8" w:rsidRPr="009F227C">
        <w:t>we discuss</w:t>
      </w:r>
      <w:r w:rsidR="003B33F0" w:rsidRPr="009F227C">
        <w:t xml:space="preserve"> the following systems in greater detail: Pennbrooke water system, Sanlando (Wekiva Hunt Club), and Mid-County, since these systems were determined to be unsatisfactory in the last rate case and also because OPC raised issues with these systems in this rate proceeding.</w:t>
      </w:r>
    </w:p>
    <w:p w14:paraId="26DE6266" w14:textId="77777777" w:rsidR="003B33F0" w:rsidRPr="009F227C" w:rsidRDefault="003B33F0" w:rsidP="003B33F0">
      <w:pPr>
        <w:ind w:left="720"/>
        <w:jc w:val="both"/>
        <w:outlineLvl w:val="3"/>
        <w:rPr>
          <w:b/>
          <w:bCs/>
          <w:i/>
          <w:iCs/>
          <w:szCs w:val="28"/>
        </w:rPr>
      </w:pPr>
      <w:r w:rsidRPr="009F227C">
        <w:rPr>
          <w:b/>
          <w:bCs/>
          <w:i/>
          <w:iCs/>
          <w:szCs w:val="28"/>
        </w:rPr>
        <w:t>Pennbrooke (Water)</w:t>
      </w:r>
    </w:p>
    <w:p w14:paraId="3C71B4E0" w14:textId="52153FE0" w:rsidR="003B33F0" w:rsidRPr="009F227C" w:rsidRDefault="008E47A7" w:rsidP="003B33F0">
      <w:pPr>
        <w:spacing w:after="240"/>
        <w:jc w:val="both"/>
      </w:pPr>
      <w:r w:rsidRPr="009F227C">
        <w:tab/>
      </w:r>
      <w:r w:rsidR="00954AFD">
        <w:t>W</w:t>
      </w:r>
      <w:r w:rsidR="00F013A8" w:rsidRPr="009F227C">
        <w:t>e</w:t>
      </w:r>
      <w:r w:rsidR="00954AFD">
        <w:t xml:space="preserve"> previously</w:t>
      </w:r>
      <w:r w:rsidR="003B33F0" w:rsidRPr="009F227C">
        <w:t xml:space="preserve"> found the quality of service to be unsatisfactory for this system. This determination was due to excess levels of iron and customer complaints regarding discolored </w:t>
      </w:r>
      <w:r w:rsidR="003B33F0" w:rsidRPr="009F227C">
        <w:lastRenderedPageBreak/>
        <w:t xml:space="preserve">water, sediment, low pressure, and high iron. However, the Pennbrooke system is currently in compliance with DEP. </w:t>
      </w:r>
    </w:p>
    <w:p w14:paraId="7134DCB3" w14:textId="2B9E8367" w:rsidR="003B33F0" w:rsidRPr="009F227C" w:rsidRDefault="008E47A7" w:rsidP="003B33F0">
      <w:pPr>
        <w:spacing w:after="240"/>
        <w:jc w:val="both"/>
      </w:pPr>
      <w:r w:rsidRPr="009F227C">
        <w:tab/>
      </w:r>
      <w:r w:rsidR="00156FAD" w:rsidRPr="009F227C">
        <w:t xml:space="preserve">The Pennbrooke WTP serves approximately 1,251 ERCs. </w:t>
      </w:r>
      <w:r w:rsidR="003B33F0" w:rsidRPr="009F227C">
        <w:t>During the 5-year period from 2020-2024, Sunshine received a total of 219 billing and 264 quality of service complaints for this system</w:t>
      </w:r>
      <w:r w:rsidR="00866056" w:rsidRPr="009F227C">
        <w:t xml:space="preserve">. </w:t>
      </w:r>
      <w:r w:rsidR="003B33F0" w:rsidRPr="009F227C">
        <w:t>DEP provided documentation of one complaint for water color during the same timeframe</w:t>
      </w:r>
      <w:r w:rsidR="00866056" w:rsidRPr="009F227C">
        <w:t xml:space="preserve">. </w:t>
      </w:r>
      <w:r w:rsidR="003B33F0" w:rsidRPr="009F227C">
        <w:t xml:space="preserve">Based on this data, complaints have decreased overall since the last rate case. </w:t>
      </w:r>
    </w:p>
    <w:p w14:paraId="1403AB60" w14:textId="204604A7" w:rsidR="003B33F0" w:rsidRPr="009F227C" w:rsidRDefault="008E47A7" w:rsidP="003B33F0">
      <w:pPr>
        <w:spacing w:after="240"/>
        <w:jc w:val="both"/>
      </w:pPr>
      <w:r w:rsidRPr="009F227C">
        <w:tab/>
      </w:r>
      <w:r w:rsidR="003B33F0" w:rsidRPr="009F227C">
        <w:t>Sunshine is requesting cost recovery of a pro forma project (ST-19), related to water quality improvements for the Pennbrooke system</w:t>
      </w:r>
      <w:r w:rsidR="00866056" w:rsidRPr="009F227C">
        <w:t xml:space="preserve">. </w:t>
      </w:r>
      <w:r w:rsidR="003B33F0" w:rsidRPr="009F227C">
        <w:t>This project is to replace the existing iron sequestration system and install technology for iron and hardness removal</w:t>
      </w:r>
      <w:r w:rsidR="00866056" w:rsidRPr="009F227C">
        <w:t xml:space="preserve">. </w:t>
      </w:r>
      <w:r w:rsidR="003B33F0" w:rsidRPr="009F227C">
        <w:t>While the Pennbrooke system is in compliance, Sunshine is taking these steps to further improve the system in response to customer concerns regarding the water quality at this plant</w:t>
      </w:r>
      <w:r w:rsidR="00866056" w:rsidRPr="009F227C">
        <w:t xml:space="preserve">. </w:t>
      </w:r>
      <w:r w:rsidR="003B33F0" w:rsidRPr="009F227C">
        <w:t xml:space="preserve">As </w:t>
      </w:r>
      <w:r w:rsidR="00156FAD">
        <w:t>set forth in our discussion of pro forma plant</w:t>
      </w:r>
      <w:r w:rsidR="00420D12">
        <w:t xml:space="preserve"> (Issue 4)</w:t>
      </w:r>
      <w:r w:rsidR="003B33F0" w:rsidRPr="009F227C">
        <w:t xml:space="preserve">, </w:t>
      </w:r>
      <w:r w:rsidR="00F013A8" w:rsidRPr="009F227C">
        <w:t>we find that</w:t>
      </w:r>
      <w:r w:rsidR="003B33F0" w:rsidRPr="009F227C">
        <w:t xml:space="preserve"> this project will address the high iron and magnesium issues this system has experienced</w:t>
      </w:r>
      <w:r w:rsidR="00866056" w:rsidRPr="009F227C">
        <w:t xml:space="preserve">. </w:t>
      </w:r>
      <w:r w:rsidR="003B33F0" w:rsidRPr="009F227C">
        <w:t>This demonstrates Sunshine’s efforts to address the quality of service/water delivered to the customers of the Pennbrooke system.</w:t>
      </w:r>
    </w:p>
    <w:p w14:paraId="6BD24E86" w14:textId="77777777" w:rsidR="003B33F0" w:rsidRPr="009F227C" w:rsidRDefault="008E47A7" w:rsidP="003B33F0">
      <w:pPr>
        <w:spacing w:after="240"/>
        <w:jc w:val="both"/>
      </w:pPr>
      <w:r w:rsidRPr="009F227C">
        <w:tab/>
      </w:r>
      <w:r w:rsidR="00F013A8" w:rsidRPr="009F227C">
        <w:t xml:space="preserve">We find that </w:t>
      </w:r>
      <w:r w:rsidR="003B33F0" w:rsidRPr="009F227C">
        <w:t xml:space="preserve">Sunshine has demonstrated an improvement, since its last rate case, in its product quality and attempt to address customer satisfaction as demonstrated by the declining number of complaints, its pro forma project to address previously recognized iron issues, and its compliant DEP status. Therefore, </w:t>
      </w:r>
      <w:r w:rsidR="00F013A8" w:rsidRPr="009F227C">
        <w:t xml:space="preserve">we find that </w:t>
      </w:r>
      <w:r w:rsidR="003B33F0" w:rsidRPr="009F227C">
        <w:t xml:space="preserve">the quality of service for this system </w:t>
      </w:r>
      <w:r w:rsidR="00954AFD">
        <w:t xml:space="preserve">shall </w:t>
      </w:r>
      <w:r w:rsidR="003B33F0" w:rsidRPr="009F227C">
        <w:t>be considered satisfactory.</w:t>
      </w:r>
    </w:p>
    <w:p w14:paraId="7E1B63E9" w14:textId="77777777" w:rsidR="003B33F0" w:rsidRPr="004E23DF" w:rsidRDefault="003B33F0" w:rsidP="003B33F0">
      <w:pPr>
        <w:ind w:left="720"/>
        <w:jc w:val="both"/>
        <w:outlineLvl w:val="3"/>
        <w:rPr>
          <w:b/>
          <w:bCs/>
          <w:i/>
          <w:iCs/>
          <w:szCs w:val="28"/>
        </w:rPr>
      </w:pPr>
      <w:r w:rsidRPr="004E23DF">
        <w:rPr>
          <w:b/>
          <w:bCs/>
          <w:i/>
          <w:iCs/>
          <w:szCs w:val="28"/>
        </w:rPr>
        <w:t xml:space="preserve">Sanlando (Wekiva Hunt Club) (Wastewater) </w:t>
      </w:r>
    </w:p>
    <w:p w14:paraId="7BD4DDF2" w14:textId="0C40C46B" w:rsidR="003B33F0" w:rsidRPr="009F227C" w:rsidRDefault="008E47A7" w:rsidP="003B33F0">
      <w:pPr>
        <w:spacing w:after="240"/>
        <w:jc w:val="both"/>
      </w:pPr>
      <w:r w:rsidRPr="009F227C">
        <w:tab/>
      </w:r>
      <w:r w:rsidR="00954AFD">
        <w:t>W</w:t>
      </w:r>
      <w:r w:rsidR="00F013A8" w:rsidRPr="009F227C">
        <w:t>e</w:t>
      </w:r>
      <w:r w:rsidR="003B33F0" w:rsidRPr="009F227C">
        <w:t xml:space="preserve"> </w:t>
      </w:r>
      <w:r w:rsidR="00954AFD">
        <w:t xml:space="preserve">previously </w:t>
      </w:r>
      <w:r w:rsidR="003B33F0" w:rsidRPr="009F227C">
        <w:t xml:space="preserve">found the quality of service to be unsatisfactory for this system. This determination was due to three unauthorized discharges, or sewage spills, at the WWTP. Two additional unauthorized discharges also took place in late 2020, but were not factored into </w:t>
      </w:r>
      <w:r w:rsidR="00F013A8" w:rsidRPr="009F227C">
        <w:t>our</w:t>
      </w:r>
      <w:r w:rsidR="003B33F0" w:rsidRPr="009F227C">
        <w:t xml:space="preserve"> quality of service determination in Sunshine’s last rate case.</w:t>
      </w:r>
      <w:r w:rsidR="003B33F0" w:rsidRPr="009F227C">
        <w:rPr>
          <w:vertAlign w:val="superscript"/>
        </w:rPr>
        <w:footnoteReference w:id="15"/>
      </w:r>
      <w:r w:rsidR="003B33F0" w:rsidRPr="009F227C">
        <w:t xml:space="preserve">  These two events resulted in an executed DEP Consent Order, dated April 4, 2022, and a penalty in the amount of $12,502.21 to Sunshine. </w:t>
      </w:r>
    </w:p>
    <w:p w14:paraId="30539A4E" w14:textId="0725A0CC" w:rsidR="003B33F0" w:rsidRDefault="008E47A7" w:rsidP="00A51897">
      <w:pPr>
        <w:jc w:val="both"/>
      </w:pPr>
      <w:r w:rsidRPr="009F227C">
        <w:tab/>
      </w:r>
      <w:r w:rsidR="003B33F0" w:rsidRPr="009F227C">
        <w:t>Since the last rate case, DEP issued warning letters to Sanlando on March 10, 2021, April 1, 2022, March 2, 2023, March 15, 2023, and March 27, 2023</w:t>
      </w:r>
      <w:r w:rsidR="00866056" w:rsidRPr="009F227C">
        <w:t xml:space="preserve">. </w:t>
      </w:r>
      <w:r w:rsidR="003B33F0" w:rsidRPr="009F227C">
        <w:t>The majority of the warning letters pertained to sanitary sewer overflows or effluent limited exceedances</w:t>
      </w:r>
      <w:r w:rsidR="00866056" w:rsidRPr="009F227C">
        <w:t xml:space="preserve">. </w:t>
      </w:r>
      <w:r w:rsidR="003B33F0" w:rsidRPr="009F227C">
        <w:t>The March 2, 2023 warning letter was due to two separate discharges of partially treated effluent, in October and November of 2022</w:t>
      </w:r>
      <w:r w:rsidR="00866056" w:rsidRPr="009F227C">
        <w:t xml:space="preserve">. </w:t>
      </w:r>
      <w:r w:rsidR="003B33F0" w:rsidRPr="009F227C">
        <w:t>One discharge was related to Hurricane Ian and the other was related to Tropical Storm Nicole</w:t>
      </w:r>
      <w:r w:rsidR="00866056" w:rsidRPr="009F227C">
        <w:t xml:space="preserve">. </w:t>
      </w:r>
      <w:r w:rsidR="003B33F0" w:rsidRPr="009F227C">
        <w:t>Sunshine witness Twomey testified that Sunshine had officials from DEP review an overflow incident similar to these, and stated that the Utility had done all it could do given the situation</w:t>
      </w:r>
      <w:r w:rsidR="00866056" w:rsidRPr="009F227C">
        <w:t xml:space="preserve">. </w:t>
      </w:r>
      <w:r w:rsidR="003B33F0" w:rsidRPr="009F227C">
        <w:t>Witness Twomey argued that despite the system being designed to handle twice its authorized flows, it would be very expensive to build a plant that could handle the amounts of flows experienced on those occasions</w:t>
      </w:r>
      <w:r w:rsidR="00866056" w:rsidRPr="009F227C">
        <w:t xml:space="preserve">. </w:t>
      </w:r>
    </w:p>
    <w:p w14:paraId="49966F7A" w14:textId="1C155D29" w:rsidR="00A51897" w:rsidRDefault="00A51897" w:rsidP="00A51897">
      <w:pPr>
        <w:jc w:val="both"/>
      </w:pPr>
    </w:p>
    <w:p w14:paraId="7AA3B54C" w14:textId="77777777" w:rsidR="00A51897" w:rsidRPr="009F227C" w:rsidRDefault="00A51897" w:rsidP="00A51897">
      <w:pPr>
        <w:jc w:val="both"/>
      </w:pPr>
    </w:p>
    <w:p w14:paraId="125372E3" w14:textId="22D19597" w:rsidR="003B33F0" w:rsidRDefault="008E47A7" w:rsidP="00A51897">
      <w:pPr>
        <w:jc w:val="both"/>
      </w:pPr>
      <w:r w:rsidRPr="009F227C">
        <w:lastRenderedPageBreak/>
        <w:tab/>
      </w:r>
      <w:r w:rsidR="003B33F0" w:rsidRPr="009F227C">
        <w:t>On May 24, 2024, Sunshine signed a Consent Order (2024 Consent Order) related to inspections conducted by DEP in early 2022 and previous overflow incidents</w:t>
      </w:r>
      <w:r w:rsidR="00866056" w:rsidRPr="009F227C">
        <w:t xml:space="preserve">. </w:t>
      </w:r>
      <w:r w:rsidR="003B33F0" w:rsidRPr="009F227C">
        <w:t>DEP found that the chlorine analyzer was not functioning properly, effluent quality was not properly monitored, as well as various other record keeping and plant condition issues</w:t>
      </w:r>
      <w:r w:rsidR="00866056" w:rsidRPr="009F227C">
        <w:t xml:space="preserve">. </w:t>
      </w:r>
      <w:r w:rsidR="003B33F0" w:rsidRPr="009F227C">
        <w:t>DEP issued Sunshine a penalty in the amount of $1,217,604</w:t>
      </w:r>
      <w:r w:rsidR="00866056" w:rsidRPr="009F227C">
        <w:t xml:space="preserve">. </w:t>
      </w:r>
      <w:r w:rsidR="003B33F0" w:rsidRPr="009F227C">
        <w:t>In lieu of paying this full penalty amount, Sunshine entered into an agreement with DEP to implement an in-kind project and pay a penalty of $318,772 and costs of $5,000 to DEP</w:t>
      </w:r>
      <w:r w:rsidR="00866056" w:rsidRPr="009F227C">
        <w:t xml:space="preserve">. </w:t>
      </w:r>
      <w:r w:rsidR="003B33F0" w:rsidRPr="009F227C">
        <w:t>In response, witness Twomey testified that he believed the Sanlando WWTP was mismanaged during this time period and that all of the employees that were working there at the time these inspections occurred have since been replaced</w:t>
      </w:r>
      <w:r w:rsidR="00866056" w:rsidRPr="009F227C">
        <w:t xml:space="preserve">. </w:t>
      </w:r>
      <w:r w:rsidR="003B33F0" w:rsidRPr="009F227C">
        <w:t>Witness Twomey indicated that the 2024 Consent Order stated that the Utility had corrected all of the violations at the time the 2024 Consent Order was issued</w:t>
      </w:r>
      <w:r w:rsidR="00866056" w:rsidRPr="009F227C">
        <w:t xml:space="preserve">. </w:t>
      </w:r>
    </w:p>
    <w:p w14:paraId="5D648105" w14:textId="77777777" w:rsidR="00D1102E" w:rsidRPr="009F227C" w:rsidRDefault="00D1102E" w:rsidP="00A51897">
      <w:pPr>
        <w:jc w:val="both"/>
      </w:pPr>
    </w:p>
    <w:p w14:paraId="266B2C0F" w14:textId="410587AF" w:rsidR="003B33F0" w:rsidRPr="009F227C" w:rsidRDefault="008E47A7" w:rsidP="003B33F0">
      <w:pPr>
        <w:spacing w:after="240"/>
        <w:jc w:val="both"/>
      </w:pPr>
      <w:r w:rsidRPr="009F227C">
        <w:tab/>
      </w:r>
      <w:r w:rsidR="003B33F0" w:rsidRPr="009F227C">
        <w:t>Sunshine provided customer complaints it received from 2020 to 2024</w:t>
      </w:r>
      <w:r w:rsidR="00866056" w:rsidRPr="009F227C">
        <w:t xml:space="preserve">. </w:t>
      </w:r>
      <w:r w:rsidR="003B33F0" w:rsidRPr="009F227C">
        <w:t>During that timeframe, Sunshine reported a total of 267 complaints for the Sanlando WWTP</w:t>
      </w:r>
      <w:r w:rsidR="00866056" w:rsidRPr="009F227C">
        <w:t xml:space="preserve">. </w:t>
      </w:r>
      <w:r w:rsidR="003B33F0" w:rsidRPr="009F227C">
        <w:t>The most common complaint related to clogged sewers, along with service line breaks, and sewer main breaks</w:t>
      </w:r>
      <w:r w:rsidR="00866056" w:rsidRPr="009F227C">
        <w:t xml:space="preserve">. </w:t>
      </w:r>
      <w:r w:rsidR="003B33F0" w:rsidRPr="009F227C">
        <w:t>For this same time period, DEP received 37 odor complaints, of which, 33 complaints were in 2022</w:t>
      </w:r>
      <w:r w:rsidR="00866056" w:rsidRPr="009F227C">
        <w:t xml:space="preserve">. </w:t>
      </w:r>
      <w:r w:rsidR="0093322A">
        <w:t>We</w:t>
      </w:r>
      <w:r w:rsidR="003B33F0" w:rsidRPr="009F227C">
        <w:t xml:space="preserve"> received 59 total complaints from Seminole County, where the Sanlando system is located</w:t>
      </w:r>
      <w:r w:rsidR="00866056" w:rsidRPr="009F227C">
        <w:t xml:space="preserve">. </w:t>
      </w:r>
      <w:r w:rsidR="003B33F0" w:rsidRPr="009F227C">
        <w:t>The Sanlando WWTP provides service to 9,762 ERCs</w:t>
      </w:r>
      <w:r w:rsidR="00866056" w:rsidRPr="009F227C">
        <w:t xml:space="preserve">. </w:t>
      </w:r>
      <w:r w:rsidR="003B33F0" w:rsidRPr="009F227C">
        <w:t>Therefore, even if all C</w:t>
      </w:r>
      <w:r w:rsidR="0093322A">
        <w:t>ommission</w:t>
      </w:r>
      <w:r w:rsidR="003B33F0" w:rsidRPr="009F227C">
        <w:t xml:space="preserve"> complaints received for Seminole County </w:t>
      </w:r>
      <w:r w:rsidR="00314372">
        <w:t xml:space="preserve">are attributed </w:t>
      </w:r>
      <w:r w:rsidR="003B33F0" w:rsidRPr="009F227C">
        <w:t xml:space="preserve">as being associated with the Sanlando system, the overall number of complaints per year represents less than 1 percent of the ERCs served by this system. </w:t>
      </w:r>
    </w:p>
    <w:p w14:paraId="7885FAC3" w14:textId="5155091D" w:rsidR="003B33F0" w:rsidRPr="009F227C" w:rsidRDefault="008E47A7" w:rsidP="003B33F0">
      <w:pPr>
        <w:spacing w:after="240"/>
        <w:jc w:val="both"/>
      </w:pPr>
      <w:r w:rsidRPr="009F227C">
        <w:tab/>
      </w:r>
      <w:r w:rsidR="003B33F0" w:rsidRPr="009F227C">
        <w:t xml:space="preserve">In its brief, OPC argued that the Sanlando system should be deemed unsatisfactory, and Sunshine’s ROE reduced by 50-basis points, largely due to its compliance history with DEP and customer complaints. Additionally, OPC argued that </w:t>
      </w:r>
      <w:r w:rsidR="00550579" w:rsidRPr="009F227C">
        <w:t>we</w:t>
      </w:r>
      <w:r w:rsidR="003B33F0" w:rsidRPr="009F227C">
        <w:t xml:space="preserve"> should require Sunshine to institute an annual improvement and reporting requirement to be monitored by Commission </w:t>
      </w:r>
      <w:r w:rsidR="001D3577" w:rsidRPr="009F227C">
        <w:t>staff</w:t>
      </w:r>
      <w:r w:rsidR="003B33F0" w:rsidRPr="009F227C">
        <w:t xml:space="preserve">. In support of its position, OPC discussed the system’s DEP compliance history since 2017. While </w:t>
      </w:r>
      <w:r w:rsidR="008A4DD9" w:rsidRPr="009F227C">
        <w:t>we</w:t>
      </w:r>
      <w:r w:rsidR="003B33F0" w:rsidRPr="009F227C">
        <w:t xml:space="preserve"> already considered much of this history in the Utility’s last rate case, the instances that occurred in the time period following Sunshine’s last rate case were addressed </w:t>
      </w:r>
      <w:r w:rsidR="008A4DD9" w:rsidRPr="009F227C">
        <w:t>in this rate case</w:t>
      </w:r>
      <w:r w:rsidR="003B33F0" w:rsidRPr="009F227C">
        <w:t xml:space="preserve">. </w:t>
      </w:r>
    </w:p>
    <w:p w14:paraId="46F1F756" w14:textId="60539817" w:rsidR="003B33F0" w:rsidRPr="009F227C" w:rsidRDefault="008E47A7" w:rsidP="003B33F0">
      <w:pPr>
        <w:spacing w:after="240"/>
        <w:jc w:val="both"/>
      </w:pPr>
      <w:r w:rsidRPr="009F227C">
        <w:tab/>
      </w:r>
      <w:r w:rsidR="003B33F0" w:rsidRPr="009F227C">
        <w:t>In its brief, OPC also discussed the two pro forma projects, ST-17 and ST-18, for the Sanlando system. ST-17 is to replace an existing force main</w:t>
      </w:r>
      <w:r w:rsidR="00866056" w:rsidRPr="009F227C">
        <w:t xml:space="preserve">. </w:t>
      </w:r>
      <w:r w:rsidR="003B33F0" w:rsidRPr="009F227C">
        <w:t>As part of ST-18, Sunshine installed a new floating mixer in the equalization (EQ) tank to improve the aeration process and mix tank contents to prevent any accumulation of solids</w:t>
      </w:r>
      <w:r w:rsidR="00866056" w:rsidRPr="009F227C">
        <w:t xml:space="preserve">. </w:t>
      </w:r>
      <w:r w:rsidR="003B33F0" w:rsidRPr="009F227C">
        <w:t>ST-18 is in response to the 2024 Consent Order discussed above, but is not the in-kind project discussed above. These pro forma projects</w:t>
      </w:r>
      <w:r w:rsidR="00420D12">
        <w:t xml:space="preserve"> (Issue 4)</w:t>
      </w:r>
      <w:r w:rsidR="003B33F0" w:rsidRPr="009F227C">
        <w:t xml:space="preserve"> are specifically addressed </w:t>
      </w:r>
      <w:r w:rsidR="00F912C1">
        <w:t>later in this Order</w:t>
      </w:r>
      <w:r w:rsidR="003B33F0" w:rsidRPr="009F227C">
        <w:t xml:space="preserve">. </w:t>
      </w:r>
    </w:p>
    <w:p w14:paraId="4BAA78AE" w14:textId="4DDDA9FD" w:rsidR="003B33F0" w:rsidRPr="009F227C" w:rsidRDefault="008E47A7" w:rsidP="003B33F0">
      <w:pPr>
        <w:spacing w:after="240"/>
        <w:jc w:val="both"/>
      </w:pPr>
      <w:r w:rsidRPr="009F227C">
        <w:tab/>
      </w:r>
      <w:r w:rsidR="003B33F0" w:rsidRPr="009F227C">
        <w:t xml:space="preserve">Based on the above, Sanlando has encountered additional overflow incidents since its last rate case which resulted in the previously discussed DEP actions. However, it appears that this system has minimal complaints and Sunshine is working to return this system to compliance. While Sunshine argued that Sanlando was in compliance with DEP, the in-kind project from its most recent Consent Order has not yet been completed and there is </w:t>
      </w:r>
      <w:r w:rsidR="00314372">
        <w:t>n</w:t>
      </w:r>
      <w:r w:rsidR="003B33F0" w:rsidRPr="009F227C">
        <w:t>o Return to Compliance Lett</w:t>
      </w:r>
      <w:r w:rsidR="00147E52" w:rsidRPr="009F227C">
        <w:t xml:space="preserve">er from DEP in the record. </w:t>
      </w:r>
      <w:r w:rsidR="003B33F0" w:rsidRPr="009F227C">
        <w:t>Therefore, it appears this system is currently not in</w:t>
      </w:r>
      <w:r w:rsidR="00314372">
        <w:t xml:space="preserve"> </w:t>
      </w:r>
      <w:r w:rsidR="003B33F0" w:rsidRPr="009F227C">
        <w:t>compliance with DEP.</w:t>
      </w:r>
    </w:p>
    <w:p w14:paraId="65E48E44" w14:textId="1F8C25CB" w:rsidR="003B33F0" w:rsidRPr="009F227C" w:rsidRDefault="008E47A7" w:rsidP="003B33F0">
      <w:pPr>
        <w:spacing w:after="240"/>
        <w:jc w:val="both"/>
      </w:pPr>
      <w:r w:rsidRPr="009F227C">
        <w:lastRenderedPageBreak/>
        <w:tab/>
      </w:r>
      <w:r w:rsidR="003B33F0" w:rsidRPr="009F227C">
        <w:t>Additionally, witness Twomey indicated that the employees responsible for this system at the time of the inspections associated with the 2024 Consent Order have all been replaced</w:t>
      </w:r>
      <w:r w:rsidR="00866056" w:rsidRPr="009F227C">
        <w:t xml:space="preserve">. </w:t>
      </w:r>
      <w:r w:rsidR="003B33F0" w:rsidRPr="009F227C">
        <w:t xml:space="preserve">It appears Sanlando’s quality of service has improved, but there have also been compliance issues that occurred since the last rate case. As a result, </w:t>
      </w:r>
      <w:r w:rsidR="00147E52" w:rsidRPr="009F227C">
        <w:t>we find</w:t>
      </w:r>
      <w:r w:rsidR="003B33F0" w:rsidRPr="009F227C">
        <w:t xml:space="preserve"> that the quality of service for the Sanlando WWTP </w:t>
      </w:r>
      <w:r w:rsidR="00147E52" w:rsidRPr="009F227C">
        <w:t>shall</w:t>
      </w:r>
      <w:r w:rsidR="003B33F0" w:rsidRPr="009F227C">
        <w:t xml:space="preserve"> remain unsatisfactory. As a result, </w:t>
      </w:r>
      <w:r w:rsidR="00147E52" w:rsidRPr="009F227C">
        <w:t>we find</w:t>
      </w:r>
      <w:r w:rsidR="003B33F0" w:rsidRPr="009F227C">
        <w:t xml:space="preserve"> that Sunshine </w:t>
      </w:r>
      <w:r w:rsidR="006D3F2D">
        <w:t xml:space="preserve">shall </w:t>
      </w:r>
      <w:r w:rsidR="003B33F0" w:rsidRPr="009F227C">
        <w:t xml:space="preserve">be required to file an annual report that details any DEP compliance issues for the Sanlando system for the preceding year. Sunshine </w:t>
      </w:r>
      <w:r w:rsidR="00147E52" w:rsidRPr="009F227C">
        <w:t>shall</w:t>
      </w:r>
      <w:r w:rsidR="003B33F0" w:rsidRPr="009F227C">
        <w:t xml:space="preserve"> file its </w:t>
      </w:r>
      <w:r w:rsidR="00147E52" w:rsidRPr="009F227C">
        <w:t xml:space="preserve">first report one year after this </w:t>
      </w:r>
      <w:r w:rsidR="003B33F0" w:rsidRPr="009F227C">
        <w:t>Order</w:t>
      </w:r>
      <w:r w:rsidR="00147E52" w:rsidRPr="009F227C">
        <w:t xml:space="preserve"> is issued.</w:t>
      </w:r>
    </w:p>
    <w:p w14:paraId="0C32A57E" w14:textId="7F21C8B6" w:rsidR="003B33F0" w:rsidRPr="009F227C" w:rsidRDefault="003B33F0" w:rsidP="003B33F0">
      <w:pPr>
        <w:ind w:left="720"/>
        <w:jc w:val="both"/>
        <w:outlineLvl w:val="3"/>
        <w:rPr>
          <w:b/>
          <w:bCs/>
          <w:i/>
          <w:iCs/>
          <w:szCs w:val="28"/>
        </w:rPr>
      </w:pPr>
      <w:r w:rsidRPr="009F227C">
        <w:rPr>
          <w:b/>
          <w:bCs/>
          <w:i/>
          <w:iCs/>
          <w:szCs w:val="28"/>
        </w:rPr>
        <w:t>Mid-County (Wastewater)</w:t>
      </w:r>
    </w:p>
    <w:p w14:paraId="0E037DA3" w14:textId="2D2717FE" w:rsidR="003B33F0" w:rsidRPr="009F227C" w:rsidRDefault="008E47A7" w:rsidP="003B33F0">
      <w:pPr>
        <w:spacing w:after="240"/>
        <w:jc w:val="both"/>
      </w:pPr>
      <w:r w:rsidRPr="009F227C">
        <w:tab/>
      </w:r>
      <w:r w:rsidR="006D3F2D">
        <w:t>W</w:t>
      </w:r>
      <w:r w:rsidR="001D3577" w:rsidRPr="009F227C">
        <w:t>e</w:t>
      </w:r>
      <w:r w:rsidR="003B33F0" w:rsidRPr="009F227C">
        <w:t xml:space="preserve"> </w:t>
      </w:r>
      <w:r w:rsidR="006D3F2D">
        <w:t xml:space="preserve">previously </w:t>
      </w:r>
      <w:r w:rsidR="003B33F0" w:rsidRPr="009F227C">
        <w:t xml:space="preserve">found the quality of service to be unsatisfactory for this system in the last rate case. This determination was due to effluent violations, failure to submit proper paperwork, sanitary overflows, and the Utility’s failure to submit public notices of pollution for those overflows. </w:t>
      </w:r>
    </w:p>
    <w:p w14:paraId="36F785CC" w14:textId="60C95A79" w:rsidR="003B33F0" w:rsidRPr="009F227C" w:rsidRDefault="008E47A7" w:rsidP="003B33F0">
      <w:pPr>
        <w:spacing w:after="240"/>
        <w:jc w:val="both"/>
      </w:pPr>
      <w:r w:rsidRPr="009F227C">
        <w:tab/>
      </w:r>
      <w:r w:rsidR="003B33F0" w:rsidRPr="009F227C">
        <w:t>Since the last rate case, DEP has continued to recognize this system for its effluent violations. On August 24, 2020, January 25, 2021, March 10, 2021, and July 23, 2021, DEP issued warning letters for sanitary sewer overflows</w:t>
      </w:r>
      <w:r w:rsidR="00866056" w:rsidRPr="009F227C">
        <w:t xml:space="preserve">. </w:t>
      </w:r>
      <w:r w:rsidR="003B33F0" w:rsidRPr="009F227C">
        <w:t>These warning letters led to an August 16</w:t>
      </w:r>
      <w:r w:rsidR="00360336">
        <w:t>,</w:t>
      </w:r>
      <w:r w:rsidR="003B33F0" w:rsidRPr="009F227C">
        <w:t xml:space="preserve"> 2021, Consent Order which was ultimately issued for an unauthorized discharge of 1,143,600 gallons of partially treated wastewater at the plant</w:t>
      </w:r>
      <w:r w:rsidR="00866056" w:rsidRPr="009F227C">
        <w:t xml:space="preserve">. </w:t>
      </w:r>
      <w:r w:rsidR="003B33F0" w:rsidRPr="009F227C">
        <w:t xml:space="preserve">Sunshine paid a fine and completed an in-kind project in order to satisfy DEP’s requirements for this Consent Order. This Consent Order was closed in June of 2022. </w:t>
      </w:r>
    </w:p>
    <w:p w14:paraId="50D4A3B2" w14:textId="77777777" w:rsidR="003B33F0" w:rsidRPr="009F227C" w:rsidRDefault="008E47A7" w:rsidP="003B33F0">
      <w:pPr>
        <w:spacing w:after="240"/>
        <w:jc w:val="both"/>
      </w:pPr>
      <w:r w:rsidRPr="009F227C">
        <w:tab/>
      </w:r>
      <w:r w:rsidR="003B33F0" w:rsidRPr="009F227C">
        <w:t>On April 14, 2023, Sunshine was sent a Compliance Assistance Letter based on a compliance evaluation inspection</w:t>
      </w:r>
      <w:r w:rsidR="00866056" w:rsidRPr="009F227C">
        <w:t xml:space="preserve">. </w:t>
      </w:r>
      <w:r w:rsidR="003B33F0" w:rsidRPr="009F227C">
        <w:t>This letter cited certain exceedances and four sanitary sewer overflows that were released from the Mid-County collection system between February 2022 and February 2023</w:t>
      </w:r>
      <w:r w:rsidR="00866056" w:rsidRPr="009F227C">
        <w:t xml:space="preserve">. </w:t>
      </w:r>
      <w:r w:rsidR="003B33F0" w:rsidRPr="009F227C">
        <w:t>Sunshine resolved this letter on June 16, 2023</w:t>
      </w:r>
      <w:r w:rsidR="00866056" w:rsidRPr="009F227C">
        <w:t xml:space="preserve">. </w:t>
      </w:r>
    </w:p>
    <w:p w14:paraId="0898D389" w14:textId="77777777" w:rsidR="003B33F0" w:rsidRPr="009F227C" w:rsidRDefault="008E47A7" w:rsidP="003B33F0">
      <w:pPr>
        <w:spacing w:after="240"/>
        <w:jc w:val="both"/>
      </w:pPr>
      <w:r w:rsidRPr="009F227C">
        <w:tab/>
      </w:r>
      <w:r w:rsidR="003B33F0" w:rsidRPr="009F227C">
        <w:t>Between December 2023 and January 2024, Mid-County had three unauthorized discharges that were released from its collection system, which resulted in subsequent warning letters</w:t>
      </w:r>
      <w:r w:rsidR="00866056" w:rsidRPr="009F227C">
        <w:t xml:space="preserve">. </w:t>
      </w:r>
      <w:r w:rsidR="003B33F0" w:rsidRPr="009F227C">
        <w:t>Witness Twomey testified that despite the fact that Sunshine took action to deal with these spills, Utility personnel failed to test the waters of a creek adjacent to the spills</w:t>
      </w:r>
      <w:r w:rsidR="00866056" w:rsidRPr="009F227C">
        <w:t xml:space="preserve">. </w:t>
      </w:r>
      <w:r w:rsidR="003B33F0" w:rsidRPr="009F227C">
        <w:t>This testing was a part of Sunshine’s spill response plan, and the failure to test the creek waters was the reason for the August 1, 2024 Consent Order being issued</w:t>
      </w:r>
      <w:r w:rsidR="00866056" w:rsidRPr="009F227C">
        <w:t xml:space="preserve">. </w:t>
      </w:r>
      <w:r w:rsidR="003B33F0" w:rsidRPr="009F227C">
        <w:t>Sunshine is currently in the final stages of completing an in-kind project to satisfy the Consent Order</w:t>
      </w:r>
      <w:r w:rsidR="00866056" w:rsidRPr="009F227C">
        <w:t xml:space="preserve">. </w:t>
      </w:r>
      <w:r w:rsidR="003B33F0" w:rsidRPr="009F227C">
        <w:t xml:space="preserve">Additionally, on September 9, 2024, DEP issued a warning letter for sanitary sewer overflows due to Hurricane Debby. </w:t>
      </w:r>
    </w:p>
    <w:p w14:paraId="69F7E983" w14:textId="77777777" w:rsidR="003B33F0" w:rsidRPr="009F227C" w:rsidRDefault="008E47A7" w:rsidP="003B33F0">
      <w:pPr>
        <w:spacing w:after="240"/>
        <w:jc w:val="both"/>
      </w:pPr>
      <w:r w:rsidRPr="009F227C">
        <w:tab/>
      </w:r>
      <w:r w:rsidR="003B33F0" w:rsidRPr="009F227C">
        <w:t>Sunshine provided customer complaints it received from 2020 to 2024</w:t>
      </w:r>
      <w:r w:rsidR="00866056" w:rsidRPr="009F227C">
        <w:t xml:space="preserve">. </w:t>
      </w:r>
      <w:r w:rsidR="003B33F0" w:rsidRPr="009F227C">
        <w:t>During that timeframe, Sunshine reported a total of 64 complaints for the Mid-County WWTP</w:t>
      </w:r>
      <w:r w:rsidR="00866056" w:rsidRPr="009F227C">
        <w:t xml:space="preserve">. </w:t>
      </w:r>
      <w:r w:rsidR="003B33F0" w:rsidRPr="009F227C">
        <w:t>Most of these complaints were for clogged sewers, but others related to sewer main breaks, service line breaks, and odor</w:t>
      </w:r>
      <w:r w:rsidR="00866056" w:rsidRPr="009F227C">
        <w:t xml:space="preserve">. </w:t>
      </w:r>
      <w:r w:rsidR="003B33F0" w:rsidRPr="009F227C">
        <w:t xml:space="preserve">Witness Calhoun testified that zero complaints were reported to </w:t>
      </w:r>
      <w:r w:rsidR="005107BF" w:rsidRPr="009F227C">
        <w:t>us</w:t>
      </w:r>
      <w:r w:rsidR="003B33F0" w:rsidRPr="009F227C">
        <w:t xml:space="preserve"> from Pinellas County, the county in which the Mid-County WWTP is located</w:t>
      </w:r>
      <w:r w:rsidR="00866056" w:rsidRPr="009F227C">
        <w:t xml:space="preserve">. </w:t>
      </w:r>
      <w:r w:rsidR="003B33F0" w:rsidRPr="009F227C">
        <w:t>Additionally, DEP reported zero complaints for this system during that time</w:t>
      </w:r>
      <w:r w:rsidR="00866056" w:rsidRPr="009F227C">
        <w:t xml:space="preserve">. </w:t>
      </w:r>
      <w:r w:rsidR="003B33F0" w:rsidRPr="009F227C">
        <w:t xml:space="preserve">For context, this system serves 3,199 ERCs. </w:t>
      </w:r>
    </w:p>
    <w:p w14:paraId="66C63003" w14:textId="62A2281D" w:rsidR="003B33F0" w:rsidRPr="009F227C" w:rsidRDefault="003B33F0" w:rsidP="00D1102E">
      <w:pPr>
        <w:spacing w:after="240"/>
        <w:ind w:firstLine="720"/>
        <w:jc w:val="both"/>
      </w:pPr>
      <w:r w:rsidRPr="009F227C">
        <w:t>While the Mid-County WWTP is currently considered to be out of compliance with DEP, witness Twomey indicated that the Mid-County WWTP is also at the end of its useful life</w:t>
      </w:r>
      <w:r w:rsidR="00866056" w:rsidRPr="009F227C">
        <w:t xml:space="preserve">. </w:t>
      </w:r>
      <w:r w:rsidRPr="009F227C">
        <w:t xml:space="preserve">As a result, a new plant is currently under construction; but, due to the anticipated completion date, </w:t>
      </w:r>
      <w:r w:rsidRPr="009F227C">
        <w:lastRenderedPageBreak/>
        <w:t xml:space="preserve">this project is not part of the instant docket but Sunshine indicated it may request cost recovery for this project in a subsequent proceeding. </w:t>
      </w:r>
    </w:p>
    <w:p w14:paraId="5C2CD2BB" w14:textId="6197973C" w:rsidR="003B33F0" w:rsidRPr="009F227C" w:rsidRDefault="008E47A7" w:rsidP="003B33F0">
      <w:pPr>
        <w:spacing w:after="240"/>
        <w:jc w:val="both"/>
      </w:pPr>
      <w:r w:rsidRPr="009F227C">
        <w:tab/>
      </w:r>
      <w:r w:rsidR="003B33F0" w:rsidRPr="009F227C">
        <w:t xml:space="preserve">As stated above, OPC argued that the Mid-County wastewater system should be deemed unsatisfactory for its demonstrated history of non-compliance with DEP and recommends Sunshine’s ROE be reduced by 50-basis points. In its brief, OPC summarized the system’s compliance history, which </w:t>
      </w:r>
      <w:r w:rsidR="005107BF" w:rsidRPr="009F227C">
        <w:t>we’ve addressed herein</w:t>
      </w:r>
      <w:r w:rsidR="003B33F0" w:rsidRPr="009F227C">
        <w:t xml:space="preserve"> for the time period following Sunshine’s last rate case until the present. </w:t>
      </w:r>
    </w:p>
    <w:p w14:paraId="3E9D4280" w14:textId="4A562C43" w:rsidR="003B33F0" w:rsidRDefault="008E47A7" w:rsidP="00D1102E">
      <w:pPr>
        <w:jc w:val="both"/>
      </w:pPr>
      <w:r w:rsidRPr="009F227C">
        <w:tab/>
      </w:r>
      <w:r w:rsidR="003B33F0" w:rsidRPr="009F227C">
        <w:t xml:space="preserve">While there </w:t>
      </w:r>
      <w:r w:rsidR="005107BF" w:rsidRPr="009F227C">
        <w:t>may be few</w:t>
      </w:r>
      <w:r w:rsidR="003B33F0" w:rsidRPr="009F227C">
        <w:t xml:space="preserve"> customer complaints for this system, it is apparent that overflows are still an issue. Mid-County previously had overflow issues in 2015, 2016, and 2019, which </w:t>
      </w:r>
      <w:r w:rsidR="005107BF" w:rsidRPr="009F227C">
        <w:t>we</w:t>
      </w:r>
      <w:r w:rsidR="003B33F0" w:rsidRPr="009F227C">
        <w:t xml:space="preserve"> already considered in Sunshine’s quality of service determination of unsatisfactory in its prior rate case. Due to subsequent overflow issues in 2021, 2023, and 2024, which resulted in the issuance of a DEP Consent Order, </w:t>
      </w:r>
      <w:r w:rsidR="005107BF" w:rsidRPr="009F227C">
        <w:t xml:space="preserve">we find </w:t>
      </w:r>
      <w:r w:rsidR="003B33F0" w:rsidRPr="009F227C">
        <w:t xml:space="preserve">the quality of service for Mid-County </w:t>
      </w:r>
      <w:r w:rsidR="005107BF" w:rsidRPr="009F227C">
        <w:t>to still be</w:t>
      </w:r>
      <w:r w:rsidR="003B33F0" w:rsidRPr="009F227C">
        <w:t xml:space="preserve"> unsatisfactory</w:t>
      </w:r>
      <w:r w:rsidR="00866056" w:rsidRPr="009F227C">
        <w:t xml:space="preserve">. </w:t>
      </w:r>
      <w:r w:rsidR="003B33F0" w:rsidRPr="009F227C">
        <w:t xml:space="preserve">Similarly to the Sanlando system, Mid-County’s quality of service was found to be unsatisfactory in Sunshine’s last rate case for similar reasons that have continued and are recognized in the current proceeding. As such, Sunshine </w:t>
      </w:r>
      <w:r w:rsidR="005107BF" w:rsidRPr="009F227C">
        <w:t>shall be</w:t>
      </w:r>
      <w:r w:rsidR="003B33F0" w:rsidRPr="009F227C">
        <w:t xml:space="preserve"> required to report any DEP compliance issues for the preceding year on an annual basis to </w:t>
      </w:r>
      <w:r w:rsidR="005107BF" w:rsidRPr="009F227C">
        <w:t>us</w:t>
      </w:r>
      <w:r w:rsidR="003B33F0" w:rsidRPr="009F227C">
        <w:t xml:space="preserve"> for the Mid-County system as well.</w:t>
      </w:r>
    </w:p>
    <w:p w14:paraId="66ECDCCE" w14:textId="77777777" w:rsidR="00D1102E" w:rsidRPr="009F227C" w:rsidRDefault="00D1102E" w:rsidP="00D1102E">
      <w:pPr>
        <w:jc w:val="both"/>
      </w:pPr>
    </w:p>
    <w:p w14:paraId="320CF7ED" w14:textId="77777777" w:rsidR="009E3389" w:rsidRPr="009F227C" w:rsidRDefault="009E3389" w:rsidP="00D1102E">
      <w:pPr>
        <w:pStyle w:val="ListParagraph"/>
        <w:numPr>
          <w:ilvl w:val="0"/>
          <w:numId w:val="3"/>
        </w:numPr>
        <w:jc w:val="both"/>
      </w:pPr>
      <w:r w:rsidRPr="009F227C">
        <w:t>Conclusion</w:t>
      </w:r>
    </w:p>
    <w:p w14:paraId="36900741" w14:textId="77777777" w:rsidR="009E3389" w:rsidRPr="009F227C" w:rsidRDefault="009E3389" w:rsidP="009E3389">
      <w:pPr>
        <w:jc w:val="both"/>
      </w:pPr>
    </w:p>
    <w:p w14:paraId="4E731F61" w14:textId="01FE9CED" w:rsidR="00D248EC" w:rsidRPr="009F227C" w:rsidRDefault="008E47A7" w:rsidP="003B33F0">
      <w:pPr>
        <w:pStyle w:val="OrderBody"/>
      </w:pPr>
      <w:r w:rsidRPr="009F227C">
        <w:tab/>
      </w:r>
      <w:r w:rsidR="003B33F0" w:rsidRPr="009F227C">
        <w:t xml:space="preserve">Based on the </w:t>
      </w:r>
      <w:r w:rsidR="009E3389" w:rsidRPr="009F227C">
        <w:t>foregoing analysis</w:t>
      </w:r>
      <w:r w:rsidR="003B33F0" w:rsidRPr="009F227C">
        <w:t xml:space="preserve">, </w:t>
      </w:r>
      <w:r w:rsidR="005107BF" w:rsidRPr="009F227C">
        <w:t>we find that</w:t>
      </w:r>
      <w:r w:rsidR="003B33F0" w:rsidRPr="009F227C">
        <w:t xml:space="preserve"> that Sunshine’s overall quality of service is satisfactory. However, the quality of service for the Sanlando and Mid-County wastewater systems </w:t>
      </w:r>
      <w:r w:rsidR="005107BF" w:rsidRPr="009F227C">
        <w:t>shall</w:t>
      </w:r>
      <w:r w:rsidR="003B33F0" w:rsidRPr="009F227C">
        <w:t xml:space="preserve"> be deemed unsatisfactory</w:t>
      </w:r>
      <w:r w:rsidR="00866056" w:rsidRPr="009F227C">
        <w:t xml:space="preserve">. </w:t>
      </w:r>
      <w:r w:rsidR="00F912C1">
        <w:t>D</w:t>
      </w:r>
      <w:r w:rsidR="005F4414">
        <w:t>ue to the ongoing quality of service issues discussed herein, we find it appropriate to impose</w:t>
      </w:r>
      <w:r w:rsidR="009A3297" w:rsidRPr="009F227C">
        <w:t xml:space="preserve"> a 30 basis point reduction in the Utility’s Return on Equity (ROE)</w:t>
      </w:r>
      <w:r w:rsidR="00866056" w:rsidRPr="009F227C">
        <w:t xml:space="preserve">. </w:t>
      </w:r>
      <w:r w:rsidR="00F0528A">
        <w:t>In addition, we agree</w:t>
      </w:r>
      <w:r w:rsidR="003B33F0" w:rsidRPr="009F227C">
        <w:t xml:space="preserve"> with OPC’s recommended reporting</w:t>
      </w:r>
      <w:r w:rsidR="00F0528A">
        <w:t xml:space="preserve"> requirement</w:t>
      </w:r>
      <w:r w:rsidR="003B33F0" w:rsidRPr="009F227C">
        <w:t xml:space="preserve">; therefore, </w:t>
      </w:r>
      <w:r w:rsidR="009A3297" w:rsidRPr="009F227C">
        <w:t xml:space="preserve">we find </w:t>
      </w:r>
      <w:r w:rsidR="003B33F0" w:rsidRPr="009F227C">
        <w:t xml:space="preserve">that Sunshine </w:t>
      </w:r>
      <w:r w:rsidR="009A3297" w:rsidRPr="009F227C">
        <w:t xml:space="preserve">shall </w:t>
      </w:r>
      <w:r w:rsidR="003B33F0" w:rsidRPr="009F227C">
        <w:t xml:space="preserve">be required to file an annual report that details any DEP compliance issues for both the Sanlando and Mid-County wastewater systems for the preceding year. Sunshine </w:t>
      </w:r>
      <w:r w:rsidR="009A3297" w:rsidRPr="009F227C">
        <w:t>shall</w:t>
      </w:r>
      <w:r w:rsidR="003B33F0" w:rsidRPr="009F227C">
        <w:t xml:space="preserve"> file its first report one year after </w:t>
      </w:r>
      <w:r w:rsidR="009A3297" w:rsidRPr="009F227C">
        <w:t xml:space="preserve">this Order is issued. </w:t>
      </w:r>
      <w:r w:rsidR="003B33F0" w:rsidRPr="009F227C">
        <w:t xml:space="preserve">Additionally, </w:t>
      </w:r>
      <w:r w:rsidR="009A3297" w:rsidRPr="009F227C">
        <w:t>we find that</w:t>
      </w:r>
      <w:r w:rsidR="003B33F0" w:rsidRPr="009F227C">
        <w:t xml:space="preserve"> the reporting requirements established for the Pasco-Summertree system in the last rate case </w:t>
      </w:r>
      <w:r w:rsidR="009E3389" w:rsidRPr="009F227C">
        <w:t xml:space="preserve">shall </w:t>
      </w:r>
      <w:r w:rsidR="003B33F0" w:rsidRPr="009F227C">
        <w:t>be discontinued.</w:t>
      </w:r>
    </w:p>
    <w:p w14:paraId="3187B31E" w14:textId="77777777" w:rsidR="003B33F0" w:rsidRPr="009F227C" w:rsidRDefault="003B33F0" w:rsidP="003B33F0">
      <w:pPr>
        <w:pStyle w:val="OrderBody"/>
      </w:pPr>
    </w:p>
    <w:p w14:paraId="3DEF486F" w14:textId="354EC421" w:rsidR="009E3389" w:rsidRPr="009F227C" w:rsidRDefault="009E3389" w:rsidP="008B7D20">
      <w:pPr>
        <w:pStyle w:val="ListParagraph"/>
        <w:numPr>
          <w:ilvl w:val="0"/>
          <w:numId w:val="2"/>
        </w:numPr>
        <w:ind w:left="720"/>
        <w:jc w:val="both"/>
        <w:outlineLvl w:val="0"/>
        <w:rPr>
          <w:bCs/>
          <w:kern w:val="32"/>
          <w:szCs w:val="32"/>
          <w:u w:val="single"/>
        </w:rPr>
      </w:pPr>
      <w:bookmarkStart w:id="11" w:name="_Toc199321439"/>
      <w:r w:rsidRPr="009F227C">
        <w:rPr>
          <w:bCs/>
          <w:kern w:val="32"/>
          <w:szCs w:val="32"/>
          <w:u w:val="single"/>
        </w:rPr>
        <w:t>Overall Value</w:t>
      </w:r>
      <w:r w:rsidR="00F0528A">
        <w:rPr>
          <w:bCs/>
          <w:kern w:val="32"/>
          <w:szCs w:val="32"/>
          <w:u w:val="single"/>
        </w:rPr>
        <w:t xml:space="preserve"> (Issue 1A</w:t>
      </w:r>
      <w:r w:rsidR="008B7D20" w:rsidRPr="009F227C">
        <w:rPr>
          <w:bCs/>
          <w:kern w:val="32"/>
          <w:szCs w:val="32"/>
          <w:u w:val="single"/>
        </w:rPr>
        <w:t>)</w:t>
      </w:r>
      <w:bookmarkEnd w:id="11"/>
    </w:p>
    <w:p w14:paraId="1FBAAF8E" w14:textId="77777777" w:rsidR="003B33F0" w:rsidRPr="009F227C" w:rsidRDefault="003B33F0" w:rsidP="003B33F0">
      <w:pPr>
        <w:pStyle w:val="OrderBody"/>
      </w:pPr>
    </w:p>
    <w:p w14:paraId="57ED9D45" w14:textId="77777777" w:rsidR="009E3389" w:rsidRPr="009F227C" w:rsidRDefault="009E3389" w:rsidP="00A86A3E">
      <w:pPr>
        <w:pStyle w:val="ListParagraph"/>
        <w:numPr>
          <w:ilvl w:val="0"/>
          <w:numId w:val="4"/>
        </w:numPr>
        <w:ind w:hanging="720"/>
        <w:jc w:val="both"/>
      </w:pPr>
      <w:r w:rsidRPr="009F227C">
        <w:t>Analysis</w:t>
      </w:r>
    </w:p>
    <w:p w14:paraId="51B7533B" w14:textId="77777777" w:rsidR="009E3389" w:rsidRPr="009F227C" w:rsidRDefault="009E3389" w:rsidP="009E3389">
      <w:pPr>
        <w:jc w:val="both"/>
      </w:pPr>
    </w:p>
    <w:p w14:paraId="0100DF3F" w14:textId="528EB849" w:rsidR="003B33F0" w:rsidRPr="009F227C" w:rsidRDefault="008E47A7" w:rsidP="003B33F0">
      <w:pPr>
        <w:pStyle w:val="OrderBody"/>
      </w:pPr>
      <w:r w:rsidRPr="009F227C">
        <w:tab/>
      </w:r>
      <w:r w:rsidR="002F24FD">
        <w:t xml:space="preserve">This issue, proposed by OPC, asks whether the overall value to a customer provided by the Utility is satisfactory, and if not, what systems have value issues and what action should be taken by this Commission. </w:t>
      </w:r>
      <w:r w:rsidR="003B33F0" w:rsidRPr="009F227C">
        <w:t>Section 367.081(2)(a)1., F.S., provides, in part, that “</w:t>
      </w:r>
      <w:r w:rsidR="009E3389" w:rsidRPr="009F227C">
        <w:t xml:space="preserve">the Commission </w:t>
      </w:r>
      <w:r w:rsidR="003B33F0" w:rsidRPr="009F227C">
        <w:t xml:space="preserve">shall, either upon request or upon its own motion, fix rates which are just, reasonable, compensatory, and not unfairly discriminatory. In every such proceeding, </w:t>
      </w:r>
      <w:r w:rsidR="009E3389" w:rsidRPr="009F227C">
        <w:t>we</w:t>
      </w:r>
      <w:r w:rsidR="003B33F0" w:rsidRPr="009F227C">
        <w:t xml:space="preserve"> shall consider the </w:t>
      </w:r>
      <w:r w:rsidR="003B33F0" w:rsidRPr="009F227C">
        <w:rPr>
          <w:i/>
        </w:rPr>
        <w:t>value</w:t>
      </w:r>
      <w:r w:rsidR="003B33F0" w:rsidRPr="009F227C">
        <w:t xml:space="preserve"> and quality of the service and the cost of providing the service. . . .” (Emphasis added) Historically, comprehensive base rate proceedings always include an issue to examine the quality of service provided by the utility. The concept of “value,” as provided in Section </w:t>
      </w:r>
      <w:r w:rsidR="003B33F0" w:rsidRPr="009F227C">
        <w:lastRenderedPageBreak/>
        <w:t xml:space="preserve">367.081(2)(a)1., F.S., has not been historically identified as an independent issue in water and wastewater rate cases, and </w:t>
      </w:r>
      <w:r w:rsidR="008223E0" w:rsidRPr="009F227C">
        <w:t>we</w:t>
      </w:r>
      <w:r w:rsidR="003B33F0" w:rsidRPr="009F227C">
        <w:t xml:space="preserve"> </w:t>
      </w:r>
      <w:r w:rsidR="008223E0" w:rsidRPr="009F227C">
        <w:t>have</w:t>
      </w:r>
      <w:r w:rsidR="003B33F0" w:rsidRPr="009F227C">
        <w:t xml:space="preserve"> not previously provided an interpretation of the term.</w:t>
      </w:r>
    </w:p>
    <w:p w14:paraId="19811B14" w14:textId="77777777" w:rsidR="003B33F0" w:rsidRPr="009F227C" w:rsidRDefault="003B33F0" w:rsidP="003B33F0">
      <w:pPr>
        <w:pStyle w:val="OrderBody"/>
      </w:pPr>
    </w:p>
    <w:p w14:paraId="08F881AC" w14:textId="77777777" w:rsidR="003B33F0" w:rsidRPr="009F227C" w:rsidRDefault="008E47A7" w:rsidP="003B33F0">
      <w:pPr>
        <w:spacing w:after="240"/>
        <w:jc w:val="both"/>
      </w:pPr>
      <w:r w:rsidRPr="009F227C">
        <w:rPr>
          <w:rFonts w:eastAsiaTheme="minorHAnsi"/>
        </w:rPr>
        <w:tab/>
      </w:r>
      <w:r w:rsidR="003B33F0" w:rsidRPr="009F227C">
        <w:rPr>
          <w:rFonts w:eastAsiaTheme="minorHAnsi"/>
        </w:rPr>
        <w:t xml:space="preserve">OPC argued </w:t>
      </w:r>
      <w:r w:rsidR="008223E0" w:rsidRPr="009F227C">
        <w:rPr>
          <w:rFonts w:eastAsiaTheme="minorHAnsi"/>
        </w:rPr>
        <w:t>that we have</w:t>
      </w:r>
      <w:r w:rsidR="003B33F0" w:rsidRPr="009F227C">
        <w:rPr>
          <w:rFonts w:eastAsiaTheme="minorHAnsi"/>
        </w:rPr>
        <w:t xml:space="preserve"> broad legislative authority to interpret value as used in Section 367.081(2)(a)1., F.S. Therefore, OPC recommended that value of service should be interpreted as the perceived benefits and costs to customers, regulators, and operations. This is due in large part to the broad legislative grant of authority afforded to </w:t>
      </w:r>
      <w:r w:rsidR="008223E0" w:rsidRPr="009F227C">
        <w:rPr>
          <w:rFonts w:eastAsiaTheme="minorHAnsi"/>
        </w:rPr>
        <w:t>us</w:t>
      </w:r>
      <w:r w:rsidR="003B33F0" w:rsidRPr="009F227C">
        <w:rPr>
          <w:rFonts w:eastAsiaTheme="minorHAnsi"/>
        </w:rPr>
        <w:t xml:space="preserve"> to regulate utility rates</w:t>
      </w:r>
      <w:r w:rsidR="00866056" w:rsidRPr="009F227C">
        <w:rPr>
          <w:rFonts w:eastAsiaTheme="minorHAnsi"/>
        </w:rPr>
        <w:t xml:space="preserve">. </w:t>
      </w:r>
      <w:r w:rsidR="003B33F0" w:rsidRPr="009F227C">
        <w:t xml:space="preserve">OPC correctly observed that </w:t>
      </w:r>
      <w:r w:rsidR="008223E0" w:rsidRPr="009F227C">
        <w:t>we</w:t>
      </w:r>
      <w:r w:rsidR="003B33F0" w:rsidRPr="009F227C">
        <w:t xml:space="preserve"> shall consider value of service in the context of rate setting pursuant to Section 367.081(2)(a)1., F.S. </w:t>
      </w:r>
    </w:p>
    <w:p w14:paraId="40935354" w14:textId="77777777" w:rsidR="003B33F0" w:rsidRPr="009F227C" w:rsidRDefault="008E47A7" w:rsidP="003B33F0">
      <w:pPr>
        <w:spacing w:after="240"/>
        <w:jc w:val="both"/>
      </w:pPr>
      <w:r w:rsidRPr="009F227C">
        <w:tab/>
      </w:r>
      <w:r w:rsidR="003B33F0" w:rsidRPr="009F227C">
        <w:t xml:space="preserve">OPC also contended that a statutory language change between the current law – Section 367.081, F.S. – and its predecessor statute, Section 367.12, F.S., emphasizes why “value” is a subjective calculation. </w:t>
      </w:r>
      <w:r w:rsidR="003B33F0" w:rsidRPr="009F227C">
        <w:rPr>
          <w:rFonts w:ascii="TimesNewRomanPSMT" w:eastAsiaTheme="minorHAnsi" w:hAnsi="TimesNewRomanPSMT" w:cs="TimesNewRomanPSMT"/>
        </w:rPr>
        <w:t xml:space="preserve">Section 367.12, F.S., set forth the procedure for fixing and changing rates. It provided, in pertinent part, “with respect to all utilities coming under the jurisdiction of </w:t>
      </w:r>
      <w:r w:rsidR="008223E0" w:rsidRPr="009F227C">
        <w:rPr>
          <w:rFonts w:ascii="TimesNewRomanPSMT" w:eastAsiaTheme="minorHAnsi" w:hAnsi="TimesNewRomanPSMT" w:cs="TimesNewRomanPSMT"/>
        </w:rPr>
        <w:t>the Commission</w:t>
      </w:r>
      <w:r w:rsidR="003B33F0" w:rsidRPr="009F227C">
        <w:rPr>
          <w:rFonts w:ascii="TimesNewRomanPSMT" w:eastAsiaTheme="minorHAnsi" w:hAnsi="TimesNewRomanPSMT" w:cs="TimesNewRomanPSMT"/>
        </w:rPr>
        <w:t xml:space="preserve"> after September 1, 1967, </w:t>
      </w:r>
      <w:r w:rsidR="008223E0" w:rsidRPr="009F227C">
        <w:rPr>
          <w:rFonts w:ascii="TimesNewRomanPSMT" w:eastAsiaTheme="minorHAnsi" w:hAnsi="TimesNewRomanPSMT" w:cs="TimesNewRomanPSMT"/>
        </w:rPr>
        <w:t>the Commission</w:t>
      </w:r>
      <w:r w:rsidR="003B33F0" w:rsidRPr="009F227C">
        <w:rPr>
          <w:rFonts w:ascii="TimesNewRomanPSMT" w:eastAsiaTheme="minorHAnsi" w:hAnsi="TimesNewRomanPSMT" w:cs="TimesNewRomanPSMT"/>
        </w:rPr>
        <w:t xml:space="preserve"> shall investigate and determine the </w:t>
      </w:r>
      <w:r w:rsidR="003B33F0" w:rsidRPr="009F227C">
        <w:rPr>
          <w:rFonts w:ascii="TimesNewRomanPSMT" w:eastAsiaTheme="minorHAnsi" w:hAnsi="TimesNewRomanPSMT" w:cs="TimesNewRomanPSMT"/>
          <w:i/>
        </w:rPr>
        <w:t>fair value</w:t>
      </w:r>
      <w:r w:rsidR="003B33F0" w:rsidRPr="009F227C">
        <w:rPr>
          <w:rFonts w:ascii="TimesNewRomanPSMT" w:eastAsiaTheme="minorHAnsi" w:hAnsi="TimesNewRomanPSMT" w:cs="TimesNewRomanPSMT"/>
        </w:rPr>
        <w:t xml:space="preserve"> of the utilities’ property used and useful in the public service.” (Emphasis added.) In</w:t>
      </w:r>
      <w:r w:rsidR="003B33F0" w:rsidRPr="009F227C">
        <w:t xml:space="preserve"> 1971, Section 367.12, F.S., was repealed and Section 367.081, F.S., was enacted. The Legislature removed “fair” from the statute but retained the term “value,” as is seen in the current statutory language. According to OPC, this revision indicates the Legislature’s intent that </w:t>
      </w:r>
      <w:r w:rsidR="00562693" w:rsidRPr="009F227C">
        <w:t>we</w:t>
      </w:r>
      <w:r w:rsidR="003B33F0" w:rsidRPr="009F227C">
        <w:t xml:space="preserve"> consider “value” apart from any previous economic purpose</w:t>
      </w:r>
      <w:r w:rsidR="00866056" w:rsidRPr="009F227C">
        <w:t xml:space="preserve">. </w:t>
      </w:r>
    </w:p>
    <w:p w14:paraId="6EF0834F" w14:textId="1055C20E" w:rsidR="003B33F0" w:rsidRPr="009F227C" w:rsidRDefault="008E47A7" w:rsidP="003B33F0">
      <w:pPr>
        <w:spacing w:after="240"/>
        <w:jc w:val="both"/>
      </w:pPr>
      <w:r w:rsidRPr="009F227C">
        <w:tab/>
      </w:r>
      <w:r w:rsidR="003B33F0" w:rsidRPr="009F227C">
        <w:t>OPC contended that the value of a service is the perceived benefits and costs (of a service) to customers, regulators, and operations</w:t>
      </w:r>
      <w:r w:rsidR="00866056" w:rsidRPr="009F227C">
        <w:t xml:space="preserve">. </w:t>
      </w:r>
      <w:r w:rsidR="003B33F0" w:rsidRPr="009F227C">
        <w:t xml:space="preserve">OPC stated that where the Utility has made excessive financial requests of </w:t>
      </w:r>
      <w:r w:rsidR="00562693" w:rsidRPr="009F227C">
        <w:t>us</w:t>
      </w:r>
      <w:r w:rsidR="003B33F0" w:rsidRPr="009F227C">
        <w:t xml:space="preserve">, such as the Advanced Meter Infrastructure </w:t>
      </w:r>
      <w:r w:rsidR="00F912C1">
        <w:t>discussed subsequently in this Order (Issue 4A)</w:t>
      </w:r>
      <w:r w:rsidR="003B33F0" w:rsidRPr="009F227C">
        <w:t xml:space="preserve">, those requests should be rejected as they do not provide value to the customers, regulators, and system operations. </w:t>
      </w:r>
    </w:p>
    <w:p w14:paraId="1BEA624A" w14:textId="77777777" w:rsidR="003B33F0" w:rsidRPr="009F227C" w:rsidRDefault="008E47A7" w:rsidP="003B33F0">
      <w:pPr>
        <w:spacing w:after="240"/>
        <w:jc w:val="both"/>
        <w:rPr>
          <w:i/>
        </w:rPr>
      </w:pPr>
      <w:r w:rsidRPr="009F227C">
        <w:tab/>
      </w:r>
      <w:r w:rsidR="003B33F0" w:rsidRPr="009F227C">
        <w:t>The Utility proposed that “value” as used in Section 367.081(2)(a)1., F.S., is a part of the quality of service evaluation</w:t>
      </w:r>
      <w:r w:rsidR="00866056" w:rsidRPr="009F227C">
        <w:t xml:space="preserve">. </w:t>
      </w:r>
      <w:r w:rsidR="003B33F0" w:rsidRPr="009F227C">
        <w:t xml:space="preserve">According to the Utility, if value was intended by the Legislature to be a separate consideration apart from quality of service the statute would read “value, quality of service and cost of providing service.”  The Utility further argued that OPC’s definition of value is subjective and the record contains no testimony to support its definition. </w:t>
      </w:r>
    </w:p>
    <w:p w14:paraId="09C97CA4" w14:textId="77777777" w:rsidR="003B33F0" w:rsidRPr="009F227C" w:rsidRDefault="008E47A7" w:rsidP="003B33F0">
      <w:pPr>
        <w:pStyle w:val="OrderBody"/>
        <w:rPr>
          <w:i/>
        </w:rPr>
      </w:pPr>
      <w:r w:rsidRPr="009F227C">
        <w:tab/>
      </w:r>
      <w:r w:rsidR="003B33F0" w:rsidRPr="009F227C">
        <w:t xml:space="preserve">Under Section 367.081, F.S., value of service must be defined within the context of just, reasonable, compensatory, and not unfairly discriminatory rates. In </w:t>
      </w:r>
      <w:r w:rsidR="003B33F0" w:rsidRPr="009F227C">
        <w:rPr>
          <w:i/>
        </w:rPr>
        <w:t>Keystone</w:t>
      </w:r>
      <w:r w:rsidR="003B33F0" w:rsidRPr="009F227C">
        <w:t xml:space="preserve">, the Florida Supreme Court provides persuasive guidance as to how </w:t>
      </w:r>
      <w:r w:rsidR="00562693" w:rsidRPr="009F227C">
        <w:t>we</w:t>
      </w:r>
      <w:r w:rsidR="003B33F0" w:rsidRPr="009F227C">
        <w:t xml:space="preserve"> should define value</w:t>
      </w:r>
      <w:r w:rsidR="003B33F0" w:rsidRPr="009F227C">
        <w:rPr>
          <w:i/>
        </w:rPr>
        <w:t>.</w:t>
      </w:r>
      <w:r w:rsidR="003B33F0" w:rsidRPr="004E23DF">
        <w:rPr>
          <w:vertAlign w:val="superscript"/>
        </w:rPr>
        <w:footnoteReference w:id="16"/>
      </w:r>
    </w:p>
    <w:p w14:paraId="11BF4532" w14:textId="77777777" w:rsidR="003B33F0" w:rsidRPr="009F227C" w:rsidRDefault="003B33F0" w:rsidP="003B33F0">
      <w:pPr>
        <w:pStyle w:val="OrderBody"/>
        <w:rPr>
          <w:i/>
        </w:rPr>
      </w:pPr>
    </w:p>
    <w:p w14:paraId="71CE49AE" w14:textId="77777777" w:rsidR="003B33F0" w:rsidRPr="009F227C" w:rsidRDefault="008E47A7" w:rsidP="003B33F0">
      <w:pPr>
        <w:spacing w:after="240"/>
        <w:jc w:val="both"/>
      </w:pPr>
      <w:r w:rsidRPr="009F227C">
        <w:rPr>
          <w:i/>
        </w:rPr>
        <w:tab/>
      </w:r>
      <w:r w:rsidR="003B33F0" w:rsidRPr="009F227C">
        <w:rPr>
          <w:i/>
        </w:rPr>
        <w:t xml:space="preserve">Keystone </w:t>
      </w:r>
      <w:r w:rsidR="003B33F0" w:rsidRPr="009F227C">
        <w:t xml:space="preserve">involved a rate proceeding that began in May 1971. In August 1972, </w:t>
      </w:r>
      <w:r w:rsidR="00562693" w:rsidRPr="009F227C">
        <w:t>we</w:t>
      </w:r>
      <w:r w:rsidR="003B33F0" w:rsidRPr="009F227C">
        <w:t xml:space="preserve"> entered an order that established, among other calculations, the value of the utility. The </w:t>
      </w:r>
      <w:r w:rsidR="003B33F0" w:rsidRPr="009F227C">
        <w:rPr>
          <w:i/>
        </w:rPr>
        <w:t>Keystone</w:t>
      </w:r>
      <w:r w:rsidR="003B33F0" w:rsidRPr="009F227C">
        <w:t xml:space="preserve"> rate proceeding is unique insofar as it took place while the Legislature was rewording Chapter 367, F.S. In particular, the Legislature replaced Section 367.12, F.S., with Section 367.081, F.S. </w:t>
      </w:r>
      <w:r w:rsidR="003B33F0" w:rsidRPr="009F227C">
        <w:lastRenderedPageBreak/>
        <w:t xml:space="preserve">Deciding which statute controlled the value of the utility was central to the </w:t>
      </w:r>
      <w:r w:rsidR="003B33F0" w:rsidRPr="009F227C">
        <w:rPr>
          <w:i/>
        </w:rPr>
        <w:t>Keystone</w:t>
      </w:r>
      <w:r w:rsidR="003B33F0" w:rsidRPr="009F227C">
        <w:t xml:space="preserve"> decision.</w:t>
      </w:r>
      <w:r w:rsidR="003B33F0" w:rsidRPr="009F227C">
        <w:rPr>
          <w:vertAlign w:val="superscript"/>
        </w:rPr>
        <w:footnoteReference w:id="17"/>
      </w:r>
      <w:r w:rsidR="003B33F0" w:rsidRPr="009F227C">
        <w:t xml:space="preserve"> However, the Florida Supreme Court provided the following observation:</w:t>
      </w:r>
    </w:p>
    <w:p w14:paraId="11ED9319" w14:textId="77777777" w:rsidR="003B33F0" w:rsidRPr="009F227C" w:rsidRDefault="003B33F0" w:rsidP="003B33F0">
      <w:pPr>
        <w:spacing w:after="240"/>
        <w:ind w:left="720" w:right="720"/>
        <w:jc w:val="both"/>
      </w:pPr>
      <w:r w:rsidRPr="009F227C">
        <w:t xml:space="preserve">It was certainly the intent of the Legislature that the value of a system coming under the jurisdiction of </w:t>
      </w:r>
      <w:r w:rsidR="00562693" w:rsidRPr="009F227C">
        <w:t>the Commission</w:t>
      </w:r>
      <w:r w:rsidRPr="009F227C">
        <w:t xml:space="preserve"> . . . should be considered. The passage of Section 367.081 did not change that intent. The Statute has always required that </w:t>
      </w:r>
      <w:r w:rsidR="00562693" w:rsidRPr="009F227C">
        <w:t>the Commission</w:t>
      </w:r>
      <w:r w:rsidRPr="009F227C">
        <w:t xml:space="preserve"> consider the value of the service. To consider the value of the service requires consideration of what the system in question is worth to the consumers. It means that consideration should be given to the . . . replacement value of the system . . . because if that is what another system would cost under present circumstances that is the value of the service to the consumers.</w:t>
      </w:r>
      <w:r w:rsidRPr="009F227C">
        <w:rPr>
          <w:vertAlign w:val="superscript"/>
        </w:rPr>
        <w:footnoteReference w:id="18"/>
      </w:r>
    </w:p>
    <w:p w14:paraId="6230D55C" w14:textId="77777777" w:rsidR="003B33F0" w:rsidRPr="009F227C" w:rsidRDefault="008E47A7" w:rsidP="003B33F0">
      <w:pPr>
        <w:spacing w:after="240"/>
        <w:jc w:val="both"/>
      </w:pPr>
      <w:r w:rsidRPr="009F227C">
        <w:tab/>
      </w:r>
      <w:r w:rsidR="003B33F0" w:rsidRPr="009F227C">
        <w:t xml:space="preserve">Thus, under either Section 367.12 or 367.081, F.S., the </w:t>
      </w:r>
      <w:r w:rsidR="003B33F0" w:rsidRPr="009F227C">
        <w:rPr>
          <w:i/>
        </w:rPr>
        <w:t xml:space="preserve">Keystone </w:t>
      </w:r>
      <w:r w:rsidR="003B33F0" w:rsidRPr="009F227C">
        <w:t xml:space="preserve">Court treated value of service as an objective measure, utilizing information found in the operational, financial, economic, and rate data filed during the rate proceeding. </w:t>
      </w:r>
    </w:p>
    <w:p w14:paraId="06761BDE" w14:textId="77777777" w:rsidR="003B33F0" w:rsidRPr="009F227C" w:rsidRDefault="008E47A7" w:rsidP="003B33F0">
      <w:pPr>
        <w:spacing w:after="240"/>
        <w:jc w:val="both"/>
        <w:rPr>
          <w:rFonts w:eastAsiaTheme="minorHAnsi"/>
        </w:rPr>
      </w:pPr>
      <w:r w:rsidRPr="009F227C">
        <w:rPr>
          <w:rFonts w:eastAsiaTheme="minorHAnsi"/>
        </w:rPr>
        <w:tab/>
      </w:r>
      <w:r w:rsidR="003B33F0" w:rsidRPr="009F227C">
        <w:rPr>
          <w:rFonts w:eastAsiaTheme="minorHAnsi"/>
        </w:rPr>
        <w:t xml:space="preserve">OPC suggested that </w:t>
      </w:r>
      <w:r w:rsidR="00562693" w:rsidRPr="009F227C">
        <w:rPr>
          <w:rFonts w:eastAsiaTheme="minorHAnsi"/>
        </w:rPr>
        <w:t>we</w:t>
      </w:r>
      <w:r w:rsidR="003B33F0" w:rsidRPr="009F227C">
        <w:rPr>
          <w:rFonts w:eastAsiaTheme="minorHAnsi"/>
        </w:rPr>
        <w:t xml:space="preserve"> should consider each utility </w:t>
      </w:r>
      <w:r w:rsidR="003B33F0" w:rsidRPr="009F227C">
        <w:t>customer’s subjective calculations as to the value of their water or wastewater service</w:t>
      </w:r>
      <w:r w:rsidR="00866056" w:rsidRPr="009F227C">
        <w:t xml:space="preserve">. </w:t>
      </w:r>
      <w:r w:rsidR="003B33F0" w:rsidRPr="009F227C">
        <w:rPr>
          <w:rFonts w:eastAsiaTheme="minorHAnsi"/>
        </w:rPr>
        <w:t xml:space="preserve">This is problematic because </w:t>
      </w:r>
      <w:r w:rsidR="003B33F0" w:rsidRPr="009F227C">
        <w:rPr>
          <w:rFonts w:eastAsiaTheme="minorHAnsi"/>
          <w:i/>
        </w:rPr>
        <w:t>Keystone</w:t>
      </w:r>
      <w:r w:rsidR="003B33F0" w:rsidRPr="009F227C">
        <w:rPr>
          <w:rFonts w:eastAsiaTheme="minorHAnsi"/>
        </w:rPr>
        <w:t xml:space="preserve"> appears to give credence to value of service being an objective financial measure. Even if </w:t>
      </w:r>
      <w:r w:rsidR="00562693" w:rsidRPr="009F227C">
        <w:rPr>
          <w:rFonts w:eastAsiaTheme="minorHAnsi"/>
        </w:rPr>
        <w:t>we</w:t>
      </w:r>
      <w:r w:rsidR="003B33F0" w:rsidRPr="009F227C">
        <w:rPr>
          <w:rFonts w:eastAsiaTheme="minorHAnsi"/>
        </w:rPr>
        <w:t xml:space="preserve"> adopted OPC’s proposed definition, neither party demonstrated how </w:t>
      </w:r>
      <w:r w:rsidR="00562693" w:rsidRPr="009F227C">
        <w:rPr>
          <w:rFonts w:eastAsiaTheme="minorHAnsi"/>
        </w:rPr>
        <w:t>we</w:t>
      </w:r>
      <w:r w:rsidR="003B33F0" w:rsidRPr="009F227C">
        <w:rPr>
          <w:rFonts w:eastAsiaTheme="minorHAnsi"/>
        </w:rPr>
        <w:t xml:space="preserve"> should calculate each customer’s subjective valuation of utility services. </w:t>
      </w:r>
      <w:r w:rsidR="00562693" w:rsidRPr="009F227C">
        <w:rPr>
          <w:rFonts w:eastAsiaTheme="minorHAnsi"/>
        </w:rPr>
        <w:t>With nothing in the record to support a subjective valuation of utility services, we find no reason to depart from</w:t>
      </w:r>
      <w:r w:rsidR="003B33F0" w:rsidRPr="009F227C">
        <w:rPr>
          <w:rFonts w:eastAsiaTheme="minorHAnsi"/>
        </w:rPr>
        <w:t xml:space="preserve"> </w:t>
      </w:r>
      <w:r w:rsidR="00562693" w:rsidRPr="009F227C">
        <w:rPr>
          <w:rFonts w:eastAsiaTheme="minorHAnsi"/>
        </w:rPr>
        <w:t xml:space="preserve">the </w:t>
      </w:r>
      <w:r w:rsidR="003B33F0" w:rsidRPr="009F227C">
        <w:rPr>
          <w:rFonts w:eastAsiaTheme="minorHAnsi"/>
        </w:rPr>
        <w:t xml:space="preserve">objective value analysis as laid out in </w:t>
      </w:r>
      <w:r w:rsidR="003B33F0" w:rsidRPr="009F227C">
        <w:rPr>
          <w:rFonts w:eastAsiaTheme="minorHAnsi"/>
          <w:i/>
        </w:rPr>
        <w:t>Keystone</w:t>
      </w:r>
      <w:r w:rsidR="003B33F0" w:rsidRPr="009F227C">
        <w:rPr>
          <w:rFonts w:eastAsiaTheme="minorHAnsi"/>
        </w:rPr>
        <w:t xml:space="preserve"> for determining “value” as used in Section 367.081, F.S. </w:t>
      </w:r>
    </w:p>
    <w:p w14:paraId="7C17C745" w14:textId="5EB3A269" w:rsidR="003B33F0" w:rsidRPr="009F227C" w:rsidRDefault="008E47A7" w:rsidP="003B33F0">
      <w:pPr>
        <w:spacing w:after="240"/>
        <w:jc w:val="both"/>
      </w:pPr>
      <w:r w:rsidRPr="009F227C">
        <w:tab/>
      </w:r>
      <w:r w:rsidR="00562693" w:rsidRPr="009F227C">
        <w:t>Our</w:t>
      </w:r>
      <w:r w:rsidR="003B33F0" w:rsidRPr="009F227C">
        <w:t xml:space="preserve"> standard practice in water and wastewater cases is to seek feedback from utility customers in rate proceedings. This rate proceeding was no different. Pursuant to Section 367.0812, F.S., a statute related to quality of service as a criteria in rate making, </w:t>
      </w:r>
      <w:r w:rsidR="00562693" w:rsidRPr="009F227C">
        <w:t>we</w:t>
      </w:r>
      <w:r w:rsidR="003B33F0" w:rsidRPr="009F227C">
        <w:t xml:space="preserve"> hosted several customer meetings in this docket where utility customers spoke directly to </w:t>
      </w:r>
      <w:r w:rsidR="00562693" w:rsidRPr="009F227C">
        <w:t>us</w:t>
      </w:r>
      <w:r w:rsidR="003B33F0" w:rsidRPr="009F227C">
        <w:t xml:space="preserve"> about their service. That customer feedback is understandably subjective by nature and is analyzed </w:t>
      </w:r>
      <w:r w:rsidR="00F912C1">
        <w:t xml:space="preserve">in this Order where we address </w:t>
      </w:r>
      <w:r w:rsidR="003B33F0" w:rsidRPr="009F227C">
        <w:t>“quality of service”</w:t>
      </w:r>
      <w:r w:rsidR="00420D12">
        <w:t xml:space="preserve"> (Issue 1).</w:t>
      </w:r>
      <w:r w:rsidR="003B33F0" w:rsidRPr="009F227C">
        <w:t xml:space="preserve"> </w:t>
      </w:r>
    </w:p>
    <w:p w14:paraId="3744A80A" w14:textId="77777777" w:rsidR="003B33F0" w:rsidRPr="009F227C" w:rsidRDefault="008E47A7" w:rsidP="003B33F0">
      <w:pPr>
        <w:pStyle w:val="OrderBody"/>
        <w:rPr>
          <w:i/>
        </w:rPr>
      </w:pPr>
      <w:r w:rsidRPr="009F227C">
        <w:tab/>
      </w:r>
      <w:r w:rsidR="003B33F0" w:rsidRPr="009F227C">
        <w:t>The Utility’s interpretation of value analyzes it as a component of a quality of service evaluation</w:t>
      </w:r>
      <w:r w:rsidR="00866056" w:rsidRPr="009F227C">
        <w:t xml:space="preserve">. </w:t>
      </w:r>
      <w:r w:rsidR="003B33F0" w:rsidRPr="009F227C">
        <w:t xml:space="preserve">The Utility is correct that value is typically subsumed into other rate proceeding issues and not addressed as a standalone issue. However, </w:t>
      </w:r>
      <w:r w:rsidR="00562693" w:rsidRPr="009F227C">
        <w:t xml:space="preserve">we are </w:t>
      </w:r>
      <w:r w:rsidR="003B33F0" w:rsidRPr="009F227C">
        <w:t xml:space="preserve">unpersuaded by the Utility’s interpretation of value of service as being intrinsically tied to </w:t>
      </w:r>
      <w:r w:rsidR="00562693" w:rsidRPr="009F227C">
        <w:t xml:space="preserve">quality of service, and </w:t>
      </w:r>
      <w:r w:rsidR="00D942CC" w:rsidRPr="009F227C">
        <w:t>find that</w:t>
      </w:r>
      <w:r w:rsidR="003B33F0" w:rsidRPr="009F227C">
        <w:t xml:space="preserve"> Section 367.081, F.S., lists it as separate factor for </w:t>
      </w:r>
      <w:r w:rsidR="00D942CC" w:rsidRPr="009F227C">
        <w:t>our</w:t>
      </w:r>
      <w:r w:rsidR="003B33F0" w:rsidRPr="009F227C">
        <w:t xml:space="preserve"> consideration. Consistent with </w:t>
      </w:r>
      <w:r w:rsidR="001D3577" w:rsidRPr="009F227C">
        <w:t>our</w:t>
      </w:r>
      <w:r w:rsidR="00D942CC" w:rsidRPr="009F227C">
        <w:t xml:space="preserve"> reading of</w:t>
      </w:r>
      <w:r w:rsidR="003B33F0" w:rsidRPr="009F227C">
        <w:t xml:space="preserve"> </w:t>
      </w:r>
      <w:r w:rsidR="003B33F0" w:rsidRPr="009F227C">
        <w:rPr>
          <w:i/>
        </w:rPr>
        <w:t>Keystone</w:t>
      </w:r>
      <w:r w:rsidR="003B33F0" w:rsidRPr="009F227C">
        <w:t xml:space="preserve">, value of service </w:t>
      </w:r>
      <w:r w:rsidR="00D942CC" w:rsidRPr="009F227C">
        <w:t>shall</w:t>
      </w:r>
      <w:r w:rsidR="003B33F0" w:rsidRPr="009F227C">
        <w:t xml:space="preserve"> be an objective measure that considers the operational, financial, economic, and rate data filed during a rate proceeding. Unlike value, quality of service considerations are intrinsically subjective. Therefore, the Utility’s interpretation is incompatible with </w:t>
      </w:r>
      <w:r w:rsidR="00D942CC" w:rsidRPr="009F227C">
        <w:t>our</w:t>
      </w:r>
      <w:r w:rsidR="003B33F0" w:rsidRPr="009F227C">
        <w:t xml:space="preserve"> reading of </w:t>
      </w:r>
      <w:r w:rsidR="003B33F0" w:rsidRPr="009F227C">
        <w:rPr>
          <w:i/>
        </w:rPr>
        <w:t>Keystone.</w:t>
      </w:r>
    </w:p>
    <w:p w14:paraId="5FEF58C7" w14:textId="77777777" w:rsidR="003B33F0" w:rsidRPr="009F227C" w:rsidRDefault="003B33F0" w:rsidP="003B33F0">
      <w:pPr>
        <w:pStyle w:val="OrderBody"/>
        <w:rPr>
          <w:i/>
        </w:rPr>
      </w:pPr>
    </w:p>
    <w:p w14:paraId="7C2DBFA1" w14:textId="41A98B27" w:rsidR="003B33F0" w:rsidRPr="009F227C" w:rsidRDefault="008E47A7" w:rsidP="003B33F0">
      <w:pPr>
        <w:pStyle w:val="OrderBody"/>
        <w:rPr>
          <w:i/>
        </w:rPr>
      </w:pPr>
      <w:r w:rsidRPr="009F227C">
        <w:rPr>
          <w:rFonts w:eastAsiaTheme="minorHAnsi"/>
        </w:rPr>
        <w:lastRenderedPageBreak/>
        <w:tab/>
      </w:r>
      <w:r w:rsidR="003B33F0" w:rsidRPr="009F227C">
        <w:rPr>
          <w:rFonts w:eastAsiaTheme="minorHAnsi"/>
        </w:rPr>
        <w:t xml:space="preserve">In the absence of evidence or persuasive argument, </w:t>
      </w:r>
      <w:r w:rsidR="00D942CC" w:rsidRPr="009F227C">
        <w:rPr>
          <w:rFonts w:eastAsiaTheme="minorHAnsi"/>
        </w:rPr>
        <w:t>we find</w:t>
      </w:r>
      <w:r w:rsidR="003B33F0" w:rsidRPr="009F227C">
        <w:rPr>
          <w:rFonts w:eastAsiaTheme="minorHAnsi"/>
        </w:rPr>
        <w:t xml:space="preserve"> that value </w:t>
      </w:r>
      <w:r w:rsidR="00D942CC" w:rsidRPr="009F227C">
        <w:rPr>
          <w:rFonts w:eastAsiaTheme="minorHAnsi"/>
        </w:rPr>
        <w:t>shall</w:t>
      </w:r>
      <w:r w:rsidR="003B33F0" w:rsidRPr="009F227C">
        <w:rPr>
          <w:rFonts w:eastAsiaTheme="minorHAnsi"/>
        </w:rPr>
        <w:t xml:space="preserve"> be interpreted within the meaning of Section 367.081, F.S.</w:t>
      </w:r>
      <w:r w:rsidR="00F912C1">
        <w:rPr>
          <w:rFonts w:eastAsiaTheme="minorHAnsi"/>
        </w:rPr>
        <w:t>,</w:t>
      </w:r>
      <w:r w:rsidR="003B33F0" w:rsidRPr="009F227C">
        <w:rPr>
          <w:rFonts w:eastAsiaTheme="minorHAnsi"/>
        </w:rPr>
        <w:t xml:space="preserve"> as an objective </w:t>
      </w:r>
      <w:r w:rsidR="003B33F0" w:rsidRPr="009F227C">
        <w:t xml:space="preserve">factor, consistent with </w:t>
      </w:r>
      <w:r w:rsidR="003B33F0" w:rsidRPr="009F227C">
        <w:rPr>
          <w:i/>
        </w:rPr>
        <w:t>Keystone.</w:t>
      </w:r>
    </w:p>
    <w:p w14:paraId="021D6E91" w14:textId="77777777" w:rsidR="003B33F0" w:rsidRPr="009F227C" w:rsidRDefault="003B33F0" w:rsidP="003B33F0">
      <w:pPr>
        <w:pStyle w:val="OrderBody"/>
        <w:rPr>
          <w:i/>
        </w:rPr>
      </w:pPr>
    </w:p>
    <w:p w14:paraId="3E275385" w14:textId="77777777" w:rsidR="00D942CC" w:rsidRPr="009F227C" w:rsidRDefault="00D942CC" w:rsidP="00A86A3E">
      <w:pPr>
        <w:pStyle w:val="ListParagraph"/>
        <w:numPr>
          <w:ilvl w:val="0"/>
          <w:numId w:val="4"/>
        </w:numPr>
        <w:jc w:val="both"/>
      </w:pPr>
      <w:r w:rsidRPr="009F227C">
        <w:t>Conclusion</w:t>
      </w:r>
    </w:p>
    <w:p w14:paraId="05BBDA8E" w14:textId="77777777" w:rsidR="00D942CC" w:rsidRPr="009F227C" w:rsidRDefault="00D942CC" w:rsidP="00D942CC">
      <w:pPr>
        <w:jc w:val="both"/>
      </w:pPr>
    </w:p>
    <w:p w14:paraId="12BC3DC6" w14:textId="2C6A8D6F" w:rsidR="003B33F0" w:rsidRPr="009F227C" w:rsidRDefault="008E47A7" w:rsidP="003B33F0">
      <w:pPr>
        <w:pStyle w:val="OrderBody"/>
      </w:pPr>
      <w:r w:rsidRPr="009F227C">
        <w:tab/>
      </w:r>
      <w:r w:rsidR="001D3577" w:rsidRPr="009F227C">
        <w:t>We</w:t>
      </w:r>
      <w:r w:rsidR="003B33F0" w:rsidRPr="009F227C">
        <w:t xml:space="preserve"> must consider value of service when fixing rates which are just, reasonable, compensatory, and not unfairly discriminatory.</w:t>
      </w:r>
      <w:r w:rsidR="003B33F0" w:rsidRPr="009F227C">
        <w:rPr>
          <w:vertAlign w:val="superscript"/>
        </w:rPr>
        <w:t xml:space="preserve"> </w:t>
      </w:r>
      <w:r w:rsidR="003B33F0" w:rsidRPr="009F227C">
        <w:t xml:space="preserve">Value of service is an objective measure. There is no reason for </w:t>
      </w:r>
      <w:r w:rsidR="00D942CC" w:rsidRPr="009F227C">
        <w:t>us</w:t>
      </w:r>
      <w:r w:rsidR="003B33F0" w:rsidRPr="009F227C">
        <w:t xml:space="preserve"> to depart from this interpretation where there was unpersuasive argument that value of service should encompass each customer’s subjective calculations. Therefore, as set forth in Section 367.081, F.S., value of service </w:t>
      </w:r>
      <w:r w:rsidR="00D942CC" w:rsidRPr="009F227C">
        <w:t>shall</w:t>
      </w:r>
      <w:r w:rsidR="003B33F0" w:rsidRPr="009F227C">
        <w:t xml:space="preserve"> be interpreted as meaning the objective value of the utility. Consistent with this interpretation, </w:t>
      </w:r>
      <w:r w:rsidR="00D942CC" w:rsidRPr="009F227C">
        <w:t>we</w:t>
      </w:r>
      <w:r w:rsidR="003B33F0" w:rsidRPr="009F227C">
        <w:t xml:space="preserve"> </w:t>
      </w:r>
      <w:r w:rsidR="00D942CC" w:rsidRPr="009F227C">
        <w:t>shall</w:t>
      </w:r>
      <w:r w:rsidR="003B33F0" w:rsidRPr="009F227C">
        <w:t xml:space="preserve"> measure the value of the Utility’s service as the plant investment and the costs to provide service as calculated </w:t>
      </w:r>
      <w:r w:rsidR="00F912C1">
        <w:t xml:space="preserve">throughout </w:t>
      </w:r>
      <w:r w:rsidR="003B33F0" w:rsidRPr="009F227C">
        <w:t xml:space="preserve">this </w:t>
      </w:r>
      <w:r w:rsidR="00D942CC" w:rsidRPr="009F227C">
        <w:t>Order</w:t>
      </w:r>
      <w:r w:rsidR="003B33F0" w:rsidRPr="009F227C">
        <w:t>.</w:t>
      </w:r>
    </w:p>
    <w:p w14:paraId="5A9A93A5" w14:textId="77777777" w:rsidR="009E3389" w:rsidRPr="009F227C" w:rsidRDefault="009E3389" w:rsidP="003B33F0">
      <w:pPr>
        <w:pStyle w:val="OrderBody"/>
      </w:pPr>
    </w:p>
    <w:p w14:paraId="771EFC0D" w14:textId="39CE562C" w:rsidR="00426251" w:rsidRPr="00F0528A" w:rsidRDefault="00F0528A" w:rsidP="00426251">
      <w:pPr>
        <w:pStyle w:val="ListParagraph"/>
        <w:numPr>
          <w:ilvl w:val="0"/>
          <w:numId w:val="2"/>
        </w:numPr>
        <w:ind w:left="720"/>
        <w:jc w:val="both"/>
        <w:outlineLvl w:val="0"/>
        <w:rPr>
          <w:bCs/>
          <w:kern w:val="32"/>
          <w:szCs w:val="32"/>
          <w:u w:val="single"/>
        </w:rPr>
      </w:pPr>
      <w:bookmarkStart w:id="12" w:name="_Toc199321440"/>
      <w:r w:rsidRPr="00F0528A">
        <w:rPr>
          <w:noProof/>
          <w:u w:val="single"/>
        </w:rPr>
        <w:t>Infrastructure and Operating Conditions</w:t>
      </w:r>
      <w:r>
        <w:rPr>
          <w:noProof/>
          <w:u w:val="single"/>
        </w:rPr>
        <w:t xml:space="preserve"> (Issue 2)</w:t>
      </w:r>
      <w:bookmarkEnd w:id="12"/>
    </w:p>
    <w:p w14:paraId="7AB87A20" w14:textId="77777777" w:rsidR="00426251" w:rsidRPr="009F227C" w:rsidRDefault="00426251" w:rsidP="00426251">
      <w:pPr>
        <w:jc w:val="both"/>
      </w:pPr>
    </w:p>
    <w:p w14:paraId="12322420" w14:textId="77777777" w:rsidR="00426251" w:rsidRPr="009F227C" w:rsidRDefault="00426251" w:rsidP="00A86A3E">
      <w:pPr>
        <w:pStyle w:val="ListParagraph"/>
        <w:numPr>
          <w:ilvl w:val="0"/>
          <w:numId w:val="5"/>
        </w:numPr>
        <w:ind w:hanging="720"/>
        <w:jc w:val="both"/>
      </w:pPr>
      <w:r w:rsidRPr="009F227C">
        <w:t>Analysis</w:t>
      </w:r>
    </w:p>
    <w:p w14:paraId="28A094E7" w14:textId="77777777" w:rsidR="00426251" w:rsidRPr="009F227C" w:rsidRDefault="00426251" w:rsidP="00426251">
      <w:pPr>
        <w:jc w:val="both"/>
      </w:pPr>
    </w:p>
    <w:p w14:paraId="337D1B04" w14:textId="1F4A48D8" w:rsidR="003B33F0" w:rsidRPr="009F227C" w:rsidRDefault="003B33F0" w:rsidP="00426251">
      <w:pPr>
        <w:spacing w:after="240"/>
        <w:ind w:firstLine="720"/>
        <w:jc w:val="both"/>
        <w:rPr>
          <w:rFonts w:eastAsiaTheme="minorHAnsi"/>
        </w:rPr>
      </w:pPr>
      <w:r w:rsidRPr="009F227C">
        <w:rPr>
          <w:rFonts w:eastAsiaTheme="minorHAnsi"/>
        </w:rPr>
        <w:t xml:space="preserve">Rule 25-30.225(2), F.A.C., requires each water and wastewater utility to maintain and operate its plant and facilities by employing qualified operators in accordance with </w:t>
      </w:r>
      <w:r w:rsidR="00954AFD">
        <w:rPr>
          <w:rFonts w:eastAsiaTheme="minorHAnsi"/>
        </w:rPr>
        <w:t>DEP’s</w:t>
      </w:r>
      <w:r w:rsidRPr="009F227C">
        <w:rPr>
          <w:rFonts w:eastAsiaTheme="minorHAnsi"/>
        </w:rPr>
        <w:t xml:space="preserve"> rules. Rule 25-30.433(2), F.A.C., requires consideration of whether the infrastructure and operating conditions of the plant and facilities are in compliance with Rule 25-30.225, F.A.C. In making this determination, </w:t>
      </w:r>
      <w:r w:rsidR="00426251" w:rsidRPr="009F227C">
        <w:rPr>
          <w:rFonts w:eastAsiaTheme="minorHAnsi"/>
        </w:rPr>
        <w:t>we</w:t>
      </w:r>
      <w:r w:rsidRPr="009F227C">
        <w:rPr>
          <w:rFonts w:eastAsiaTheme="minorHAnsi"/>
        </w:rPr>
        <w:t xml:space="preserve"> must consider testimony of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14:paraId="61822BA9" w14:textId="1CEF01EE" w:rsidR="003B33F0" w:rsidRPr="009F227C" w:rsidRDefault="008E47A7" w:rsidP="003B33F0">
      <w:pPr>
        <w:pStyle w:val="OrderBody"/>
        <w:rPr>
          <w:rFonts w:eastAsiaTheme="minorHAnsi"/>
        </w:rPr>
      </w:pPr>
      <w:r w:rsidRPr="009F227C">
        <w:rPr>
          <w:rFonts w:eastAsiaTheme="minorHAnsi"/>
        </w:rPr>
        <w:tab/>
      </w:r>
      <w:r w:rsidR="003B33F0" w:rsidRPr="009F227C">
        <w:rPr>
          <w:rFonts w:eastAsiaTheme="minorHAnsi"/>
        </w:rPr>
        <w:t>OPC argued that seven of Sunshine’s 22 total water systems and six of Sunshine’s 11 wastewater systems were out of compliance DEP regulations on at least one occasion since Sunshine’s last rate case. Additionally, OPC argued that Sunshine was subject to a criminal referral.</w:t>
      </w:r>
      <w:r w:rsidR="003B33F0" w:rsidRPr="009F227C">
        <w:rPr>
          <w:rFonts w:eastAsiaTheme="minorHAnsi"/>
          <w:vertAlign w:val="superscript"/>
        </w:rPr>
        <w:footnoteReference w:id="19"/>
      </w:r>
      <w:r w:rsidR="003B33F0" w:rsidRPr="009F227C">
        <w:rPr>
          <w:rFonts w:eastAsiaTheme="minorHAnsi"/>
        </w:rPr>
        <w:t xml:space="preserve">  Therefore, OPC does not believe Sunshine is in compliance with DEP regulations</w:t>
      </w:r>
      <w:r w:rsidR="00866056" w:rsidRPr="009F227C">
        <w:rPr>
          <w:rFonts w:eastAsiaTheme="minorHAnsi"/>
        </w:rPr>
        <w:t xml:space="preserve">. </w:t>
      </w:r>
      <w:r w:rsidR="003B33F0" w:rsidRPr="009F227C">
        <w:rPr>
          <w:rFonts w:eastAsiaTheme="minorHAnsi"/>
        </w:rPr>
        <w:t>In opposition, Sunshine argued that all of its systems are currently in compliance with DEP regulations, except Mid-County</w:t>
      </w:r>
      <w:r w:rsidR="00866056" w:rsidRPr="009F227C">
        <w:rPr>
          <w:rFonts w:eastAsiaTheme="minorHAnsi"/>
        </w:rPr>
        <w:t xml:space="preserve">. </w:t>
      </w:r>
      <w:r w:rsidR="003B33F0" w:rsidRPr="009F227C">
        <w:rPr>
          <w:rFonts w:eastAsiaTheme="minorHAnsi"/>
        </w:rPr>
        <w:t>In support of its position, Sunshine briefly explained the current compliance status for the Sanlando and Mid-County systems in its brief</w:t>
      </w:r>
      <w:r w:rsidR="00866056" w:rsidRPr="009F227C">
        <w:rPr>
          <w:rFonts w:eastAsiaTheme="minorHAnsi"/>
        </w:rPr>
        <w:t xml:space="preserve">. </w:t>
      </w:r>
      <w:r w:rsidR="003B33F0" w:rsidRPr="009F227C">
        <w:rPr>
          <w:rFonts w:eastAsiaTheme="minorHAnsi"/>
        </w:rPr>
        <w:t xml:space="preserve">DEP compiled the complaint and compliance history for each of Sunshine’s systems since its last rate case and this information is contained within </w:t>
      </w:r>
      <w:r w:rsidR="00525859">
        <w:rPr>
          <w:rFonts w:eastAsiaTheme="minorHAnsi"/>
        </w:rPr>
        <w:t xml:space="preserve">hearing </w:t>
      </w:r>
      <w:r w:rsidR="003B33F0" w:rsidRPr="009F227C">
        <w:rPr>
          <w:rFonts w:eastAsiaTheme="minorHAnsi"/>
        </w:rPr>
        <w:t>Exhibit 113. As of October 29, 2024, when this information was compiled by DEP, the Lake Placid, Mid</w:t>
      </w:r>
      <w:r w:rsidR="00525859">
        <w:rPr>
          <w:rFonts w:eastAsiaTheme="minorHAnsi"/>
        </w:rPr>
        <w:t>-</w:t>
      </w:r>
      <w:r w:rsidR="003B33F0" w:rsidRPr="009F227C">
        <w:rPr>
          <w:rFonts w:eastAsiaTheme="minorHAnsi"/>
        </w:rPr>
        <w:t>County and Sanlando wastewater systems were found to be out of compliance with DEP regulations or under a Consent Order</w:t>
      </w:r>
      <w:r w:rsidR="00866056" w:rsidRPr="009F227C">
        <w:rPr>
          <w:rFonts w:eastAsiaTheme="minorHAnsi"/>
        </w:rPr>
        <w:t xml:space="preserve">. </w:t>
      </w:r>
      <w:r w:rsidR="003B33F0" w:rsidRPr="009F227C">
        <w:rPr>
          <w:rFonts w:eastAsiaTheme="minorHAnsi"/>
        </w:rPr>
        <w:t>Witness Twomey testified that Sunshine received a Return to Compliance Letter from DEP in December of 2024 for the Lake Placid system</w:t>
      </w:r>
      <w:r w:rsidR="00866056" w:rsidRPr="009F227C">
        <w:rPr>
          <w:rFonts w:eastAsiaTheme="minorHAnsi"/>
        </w:rPr>
        <w:t xml:space="preserve">. </w:t>
      </w:r>
      <w:r w:rsidR="003B33F0" w:rsidRPr="009F227C">
        <w:rPr>
          <w:rFonts w:eastAsiaTheme="minorHAnsi"/>
        </w:rPr>
        <w:t>The Sanlando and Mid-County wastewater systems, which appear to be out of compliance, are discussed below.</w:t>
      </w:r>
    </w:p>
    <w:p w14:paraId="59D1EFF9" w14:textId="3213BA8F" w:rsidR="003B33F0" w:rsidRDefault="003B33F0" w:rsidP="003B33F0">
      <w:pPr>
        <w:pStyle w:val="OrderBody"/>
        <w:rPr>
          <w:rFonts w:eastAsiaTheme="minorHAnsi"/>
        </w:rPr>
      </w:pPr>
    </w:p>
    <w:p w14:paraId="39E8CC74" w14:textId="77777777" w:rsidR="00F03283" w:rsidRPr="009F227C" w:rsidRDefault="00F03283" w:rsidP="003B33F0">
      <w:pPr>
        <w:pStyle w:val="OrderBody"/>
        <w:rPr>
          <w:rFonts w:eastAsiaTheme="minorHAnsi"/>
        </w:rPr>
      </w:pPr>
    </w:p>
    <w:p w14:paraId="65F00DC7" w14:textId="2F0576B6" w:rsidR="003B33F0" w:rsidRPr="009F227C" w:rsidRDefault="003B33F0" w:rsidP="003B33F0">
      <w:pPr>
        <w:jc w:val="both"/>
        <w:outlineLvl w:val="2"/>
        <w:rPr>
          <w:rFonts w:eastAsiaTheme="minorHAnsi"/>
          <w:b/>
          <w:bCs/>
          <w:iCs/>
          <w:szCs w:val="28"/>
        </w:rPr>
      </w:pPr>
      <w:r w:rsidRPr="009F227C">
        <w:rPr>
          <w:rFonts w:eastAsiaTheme="minorHAnsi"/>
          <w:b/>
          <w:bCs/>
          <w:iCs/>
          <w:szCs w:val="28"/>
        </w:rPr>
        <w:lastRenderedPageBreak/>
        <w:t>Sanlando (Wekiva Hunt Club) (Wastewater)</w:t>
      </w:r>
    </w:p>
    <w:p w14:paraId="454D81D4" w14:textId="77777777" w:rsidR="003B33F0" w:rsidRPr="009F227C" w:rsidRDefault="008E47A7" w:rsidP="003B33F0">
      <w:pPr>
        <w:spacing w:after="240"/>
        <w:jc w:val="both"/>
        <w:rPr>
          <w:rFonts w:eastAsiaTheme="minorHAnsi"/>
        </w:rPr>
      </w:pPr>
      <w:r w:rsidRPr="009F227C">
        <w:rPr>
          <w:rFonts w:eastAsiaTheme="minorHAnsi"/>
        </w:rPr>
        <w:tab/>
      </w:r>
      <w:r w:rsidR="003B33F0" w:rsidRPr="009F227C">
        <w:rPr>
          <w:rFonts w:eastAsiaTheme="minorHAnsi"/>
        </w:rPr>
        <w:t xml:space="preserve">The Wekiva Hunt Club WWTP of the Sanlando system is an existing 2.9 million gallons per day (MGD) annual average daily flow activated sludge domestic wastewater treatment facility consisting of three 0.97 MGD design capacity package plants connected in parallel. Dechlorination is provided prior to surface water discharge and there are also two 3.0 MG reclaimed water storage tanks. Effluent can be discharged to Sweetwater Creek, a rapid infiltration basin system, and a reuse system. </w:t>
      </w:r>
    </w:p>
    <w:p w14:paraId="497A897E" w14:textId="5C05B159" w:rsidR="003B33F0" w:rsidRPr="009F227C" w:rsidRDefault="008E47A7" w:rsidP="003B33F0">
      <w:pPr>
        <w:spacing w:after="240"/>
        <w:jc w:val="both"/>
        <w:rPr>
          <w:rFonts w:eastAsiaTheme="minorHAnsi"/>
        </w:rPr>
      </w:pPr>
      <w:r w:rsidRPr="009F227C">
        <w:rPr>
          <w:rFonts w:eastAsiaTheme="minorHAnsi"/>
        </w:rPr>
        <w:tab/>
      </w:r>
      <w:r w:rsidR="00EE5C7E" w:rsidRPr="009F227C">
        <w:rPr>
          <w:rFonts w:eastAsiaTheme="minorHAnsi"/>
        </w:rPr>
        <w:t xml:space="preserve">As </w:t>
      </w:r>
      <w:r w:rsidR="00EE5C7E">
        <w:t>addressed</w:t>
      </w:r>
      <w:r w:rsidR="00420D12">
        <w:t xml:space="preserve"> in our discussion of </w:t>
      </w:r>
      <w:r w:rsidR="00420D12" w:rsidRPr="009F227C">
        <w:t>quality of service</w:t>
      </w:r>
      <w:r w:rsidR="00420D12">
        <w:t xml:space="preserve"> (Issue 1), we find that </w:t>
      </w:r>
      <w:r w:rsidR="00420D12">
        <w:rPr>
          <w:rFonts w:eastAsiaTheme="minorHAnsi"/>
        </w:rPr>
        <w:t xml:space="preserve">this system to be unsatisfactory </w:t>
      </w:r>
      <w:r w:rsidR="003B33F0" w:rsidRPr="009F227C">
        <w:rPr>
          <w:rFonts w:eastAsiaTheme="minorHAnsi"/>
        </w:rPr>
        <w:t>based on Sunshine’s compliance history with DEP since its last rate case. In the time period following the 2020 rate case, DEP issued two Consent Orders and five warning letters</w:t>
      </w:r>
      <w:r w:rsidR="00866056" w:rsidRPr="009F227C">
        <w:rPr>
          <w:rFonts w:eastAsiaTheme="minorHAnsi"/>
        </w:rPr>
        <w:t xml:space="preserve">. </w:t>
      </w:r>
      <w:r w:rsidR="003B33F0" w:rsidRPr="009F227C">
        <w:rPr>
          <w:rFonts w:eastAsiaTheme="minorHAnsi"/>
        </w:rPr>
        <w:t>The 2024 Consent Order also resulted in a significant fine and the Utility agreed to complete an in-kind project. Both of which are not recovered through rates. As stated above, witness Twomey stated that all Sunshine systems were in compliance with DEP, except Mid-County and in its brief, Sunshine also argued that this system is in compliance. However, witness Twomey explained that the Utility has not yet completed the in-kind project; as such, there is no Return to Compliance Letter from DEP in the record</w:t>
      </w:r>
      <w:r w:rsidR="00866056" w:rsidRPr="009F227C">
        <w:rPr>
          <w:rFonts w:eastAsiaTheme="minorHAnsi"/>
        </w:rPr>
        <w:t xml:space="preserve">. </w:t>
      </w:r>
      <w:r w:rsidR="003B33F0" w:rsidRPr="009F227C">
        <w:rPr>
          <w:rFonts w:eastAsiaTheme="minorHAnsi"/>
        </w:rPr>
        <w:t>Therefore, the Sanlando system is out of compliance with DEP regulations.</w:t>
      </w:r>
    </w:p>
    <w:p w14:paraId="7CF97AB1" w14:textId="77777777" w:rsidR="003B33F0" w:rsidRPr="009F227C" w:rsidRDefault="003B33F0" w:rsidP="003B33F0">
      <w:pPr>
        <w:jc w:val="both"/>
        <w:outlineLvl w:val="2"/>
        <w:rPr>
          <w:b/>
          <w:bCs/>
          <w:iCs/>
          <w:szCs w:val="28"/>
        </w:rPr>
      </w:pPr>
      <w:r w:rsidRPr="009F227C">
        <w:rPr>
          <w:b/>
          <w:bCs/>
          <w:iCs/>
          <w:szCs w:val="28"/>
        </w:rPr>
        <w:t>Mid-County (Wastewater)</w:t>
      </w:r>
    </w:p>
    <w:p w14:paraId="09E4C2ED" w14:textId="77777777" w:rsidR="003B33F0" w:rsidRPr="009F227C" w:rsidRDefault="008E47A7" w:rsidP="003B33F0">
      <w:pPr>
        <w:spacing w:after="240"/>
        <w:jc w:val="both"/>
        <w:rPr>
          <w:rFonts w:eastAsiaTheme="minorHAnsi"/>
        </w:rPr>
      </w:pPr>
      <w:r w:rsidRPr="009F227C">
        <w:rPr>
          <w:rFonts w:eastAsiaTheme="minorHAnsi"/>
        </w:rPr>
        <w:tab/>
      </w:r>
      <w:r w:rsidR="003B33F0" w:rsidRPr="009F227C">
        <w:rPr>
          <w:rFonts w:eastAsiaTheme="minorHAnsi"/>
        </w:rPr>
        <w:t xml:space="preserve">The Mid-County WWTP is an existing 0.90 MGD annual average daily flow, advanced wastewater treatment facility consisting of two separate treatment trains. This facility provides advanced wastewater treatment and high-level disinfection. Effluent can be discharged into Curlew Creek. </w:t>
      </w:r>
    </w:p>
    <w:p w14:paraId="2816C3DC" w14:textId="4136B349" w:rsidR="003B33F0" w:rsidRPr="009F227C" w:rsidRDefault="008E47A7" w:rsidP="003B33F0">
      <w:pPr>
        <w:spacing w:after="240"/>
        <w:jc w:val="both"/>
        <w:rPr>
          <w:rFonts w:eastAsiaTheme="minorHAnsi"/>
        </w:rPr>
      </w:pPr>
      <w:r w:rsidRPr="009F227C">
        <w:rPr>
          <w:rFonts w:eastAsiaTheme="minorHAnsi"/>
        </w:rPr>
        <w:tab/>
      </w:r>
      <w:r w:rsidR="00420D12" w:rsidRPr="009F227C">
        <w:rPr>
          <w:rFonts w:eastAsiaTheme="minorHAnsi"/>
        </w:rPr>
        <w:t xml:space="preserve">As </w:t>
      </w:r>
      <w:r w:rsidR="00420D12">
        <w:t xml:space="preserve">addressed in our discussion of </w:t>
      </w:r>
      <w:r w:rsidR="00420D12" w:rsidRPr="009F227C">
        <w:t>quality of service</w:t>
      </w:r>
      <w:r w:rsidR="00420D12">
        <w:t xml:space="preserve"> (Issue 1), we find that </w:t>
      </w:r>
      <w:r w:rsidR="00420D12">
        <w:rPr>
          <w:rFonts w:eastAsiaTheme="minorHAnsi"/>
        </w:rPr>
        <w:t>this system to be unsatisfactory</w:t>
      </w:r>
      <w:r w:rsidR="003B33F0" w:rsidRPr="009F227C">
        <w:rPr>
          <w:rFonts w:eastAsiaTheme="minorHAnsi"/>
        </w:rPr>
        <w:t xml:space="preserve"> based on Sunshine’s compliance history with DEP since its last rate case. In the time period following the 2020 rate case, DEP issued 7 warning letters, 2 Consent Orders, and one Compliance Assistance </w:t>
      </w:r>
      <w:r w:rsidR="004E23DF">
        <w:rPr>
          <w:rFonts w:eastAsiaTheme="minorHAnsi"/>
        </w:rPr>
        <w:t>Letter</w:t>
      </w:r>
      <w:r w:rsidR="00866056" w:rsidRPr="009F227C">
        <w:rPr>
          <w:rFonts w:eastAsiaTheme="minorHAnsi"/>
        </w:rPr>
        <w:t xml:space="preserve">. </w:t>
      </w:r>
      <w:r w:rsidR="003B33F0" w:rsidRPr="009F227C">
        <w:rPr>
          <w:rFonts w:eastAsiaTheme="minorHAnsi"/>
        </w:rPr>
        <w:t>At the hearing, witness Twomey argued that Sunshine is in the final stages of completing an in-kind project related to its most recent Consent Order and that Sunshine is also in the process of rebuilding the plant for this system as it is at the end of its useful life. The in-kind project will not be recovered through rates</w:t>
      </w:r>
      <w:r w:rsidR="00D55057">
        <w:rPr>
          <w:rFonts w:eastAsiaTheme="minorHAnsi"/>
        </w:rPr>
        <w:t xml:space="preserve"> at this time</w:t>
      </w:r>
      <w:r w:rsidR="003B33F0" w:rsidRPr="009F227C">
        <w:rPr>
          <w:rFonts w:eastAsiaTheme="minorHAnsi"/>
        </w:rPr>
        <w:t>; but, Sunshine stated it may request the cost recovery of the Mid-County plant project in a subsequent proceeding</w:t>
      </w:r>
      <w:r w:rsidR="00866056" w:rsidRPr="009F227C">
        <w:rPr>
          <w:rFonts w:eastAsiaTheme="minorHAnsi"/>
        </w:rPr>
        <w:t xml:space="preserve">. </w:t>
      </w:r>
      <w:r w:rsidR="003B33F0" w:rsidRPr="009F227C">
        <w:rPr>
          <w:rFonts w:eastAsiaTheme="minorHAnsi"/>
        </w:rPr>
        <w:t xml:space="preserve">Therefore, the Mid-County system is out of compliance with DEP regulations. </w:t>
      </w:r>
    </w:p>
    <w:p w14:paraId="0C648686" w14:textId="77777777" w:rsidR="00426251" w:rsidRPr="009F227C" w:rsidRDefault="00426251" w:rsidP="00A86A3E">
      <w:pPr>
        <w:pStyle w:val="ListParagraph"/>
        <w:numPr>
          <w:ilvl w:val="0"/>
          <w:numId w:val="5"/>
        </w:numPr>
        <w:jc w:val="both"/>
      </w:pPr>
      <w:r w:rsidRPr="009F227C">
        <w:t xml:space="preserve">Conclusion </w:t>
      </w:r>
    </w:p>
    <w:p w14:paraId="07896D9E" w14:textId="77777777" w:rsidR="00426251" w:rsidRPr="009F227C" w:rsidRDefault="00426251" w:rsidP="00426251">
      <w:pPr>
        <w:jc w:val="both"/>
      </w:pPr>
    </w:p>
    <w:p w14:paraId="3E3EFCF2" w14:textId="222E7109" w:rsidR="003B33F0" w:rsidRDefault="008E47A7" w:rsidP="003B33F0">
      <w:pPr>
        <w:pStyle w:val="OrderBody"/>
      </w:pPr>
      <w:r w:rsidRPr="009F227C">
        <w:tab/>
      </w:r>
      <w:r w:rsidR="003B33F0" w:rsidRPr="009F227C">
        <w:t>The Utility’s water and wastewater treatment facilities are currently in compliance with DEP regulations, with the exception of the Sanlando and Mid-County wastewater systems.</w:t>
      </w:r>
    </w:p>
    <w:p w14:paraId="6AB323DC" w14:textId="0C9555AD" w:rsidR="000E1783" w:rsidRDefault="000E1783" w:rsidP="003B33F0">
      <w:pPr>
        <w:pStyle w:val="OrderBody"/>
      </w:pPr>
    </w:p>
    <w:p w14:paraId="580497A7" w14:textId="6E672D3D" w:rsidR="000E1783" w:rsidRDefault="000E1783" w:rsidP="003B33F0">
      <w:pPr>
        <w:pStyle w:val="OrderBody"/>
      </w:pPr>
    </w:p>
    <w:p w14:paraId="073F6F5B" w14:textId="301EAC9E" w:rsidR="000E1783" w:rsidRDefault="000E1783" w:rsidP="003B33F0">
      <w:pPr>
        <w:pStyle w:val="OrderBody"/>
      </w:pPr>
    </w:p>
    <w:p w14:paraId="23D0E9C4" w14:textId="303C1381" w:rsidR="000E1783" w:rsidRDefault="000E1783" w:rsidP="003B33F0">
      <w:pPr>
        <w:pStyle w:val="OrderBody"/>
      </w:pPr>
    </w:p>
    <w:p w14:paraId="0BC5096B" w14:textId="446F2E14" w:rsidR="000E1783" w:rsidRDefault="000E1783" w:rsidP="003B33F0">
      <w:pPr>
        <w:pStyle w:val="OrderBody"/>
      </w:pPr>
    </w:p>
    <w:p w14:paraId="78477F24" w14:textId="74863C0F" w:rsidR="000E1783" w:rsidRDefault="000E1783" w:rsidP="003B33F0">
      <w:pPr>
        <w:pStyle w:val="OrderBody"/>
      </w:pPr>
    </w:p>
    <w:p w14:paraId="5CBB134B" w14:textId="77777777" w:rsidR="000E1783" w:rsidRPr="009F227C" w:rsidRDefault="000E1783" w:rsidP="003B33F0">
      <w:pPr>
        <w:pStyle w:val="OrderBody"/>
      </w:pPr>
    </w:p>
    <w:p w14:paraId="2B281345" w14:textId="77777777" w:rsidR="00651D82" w:rsidRPr="002A3B81" w:rsidRDefault="00651D82" w:rsidP="002A3B81">
      <w:pPr>
        <w:pStyle w:val="ListParagraph"/>
        <w:numPr>
          <w:ilvl w:val="0"/>
          <w:numId w:val="50"/>
        </w:numPr>
        <w:ind w:hanging="720"/>
        <w:rPr>
          <w:b/>
        </w:rPr>
      </w:pPr>
      <w:r w:rsidRPr="002A3B81">
        <w:rPr>
          <w:b/>
        </w:rPr>
        <w:lastRenderedPageBreak/>
        <w:t>Pro Forma Plant</w:t>
      </w:r>
    </w:p>
    <w:p w14:paraId="3B77F54A" w14:textId="77777777" w:rsidR="00651D82" w:rsidRPr="009F227C" w:rsidRDefault="00651D82" w:rsidP="003B33F0">
      <w:pPr>
        <w:pStyle w:val="OrderBody"/>
      </w:pPr>
    </w:p>
    <w:p w14:paraId="0409ECB5" w14:textId="3B7536E3" w:rsidR="00651D82" w:rsidRPr="009F227C" w:rsidRDefault="00651D82" w:rsidP="00172BA1">
      <w:pPr>
        <w:pStyle w:val="ListParagraph"/>
        <w:numPr>
          <w:ilvl w:val="0"/>
          <w:numId w:val="39"/>
        </w:numPr>
        <w:ind w:left="720"/>
        <w:jc w:val="both"/>
        <w:outlineLvl w:val="0"/>
        <w:rPr>
          <w:bCs/>
          <w:kern w:val="32"/>
          <w:szCs w:val="32"/>
          <w:u w:val="single"/>
        </w:rPr>
      </w:pPr>
      <w:bookmarkStart w:id="13" w:name="_Toc199321441"/>
      <w:r w:rsidRPr="009F227C">
        <w:rPr>
          <w:bCs/>
          <w:kern w:val="32"/>
          <w:szCs w:val="32"/>
          <w:u w:val="single"/>
        </w:rPr>
        <w:t>Advanced Metering Infrastructure (AMI)(Issue 4A)</w:t>
      </w:r>
      <w:bookmarkEnd w:id="13"/>
    </w:p>
    <w:p w14:paraId="0BCA808C" w14:textId="77777777" w:rsidR="00651D82" w:rsidRPr="009F227C" w:rsidRDefault="00651D82" w:rsidP="00651D82">
      <w:pPr>
        <w:jc w:val="both"/>
        <w:outlineLvl w:val="0"/>
        <w:rPr>
          <w:bCs/>
          <w:kern w:val="32"/>
          <w:szCs w:val="32"/>
        </w:rPr>
      </w:pPr>
    </w:p>
    <w:p w14:paraId="72B23573" w14:textId="77777777" w:rsidR="00651D82" w:rsidRPr="009F227C" w:rsidRDefault="00651D82" w:rsidP="00172BA1">
      <w:pPr>
        <w:pStyle w:val="ListParagraph"/>
        <w:numPr>
          <w:ilvl w:val="0"/>
          <w:numId w:val="8"/>
        </w:numPr>
        <w:ind w:hanging="720"/>
        <w:jc w:val="both"/>
      </w:pPr>
      <w:r w:rsidRPr="009F227C">
        <w:t>Analysis</w:t>
      </w:r>
    </w:p>
    <w:p w14:paraId="39B97EA1" w14:textId="77777777" w:rsidR="00651D82" w:rsidRPr="009F227C" w:rsidRDefault="00651D82" w:rsidP="00651D82">
      <w:pPr>
        <w:jc w:val="both"/>
        <w:outlineLvl w:val="2"/>
        <w:rPr>
          <w:bCs/>
          <w:iCs/>
          <w:szCs w:val="28"/>
        </w:rPr>
      </w:pPr>
    </w:p>
    <w:p w14:paraId="1C3BB816" w14:textId="77777777" w:rsidR="00651D82" w:rsidRPr="009F227C" w:rsidRDefault="00651D82" w:rsidP="00651D82">
      <w:pPr>
        <w:jc w:val="both"/>
        <w:outlineLvl w:val="2"/>
        <w:rPr>
          <w:b/>
          <w:bCs/>
          <w:iCs/>
          <w:szCs w:val="28"/>
        </w:rPr>
      </w:pPr>
      <w:r w:rsidRPr="009F227C">
        <w:rPr>
          <w:b/>
          <w:bCs/>
          <w:iCs/>
          <w:szCs w:val="28"/>
        </w:rPr>
        <w:t>Project Description</w:t>
      </w:r>
    </w:p>
    <w:p w14:paraId="3A11F66A" w14:textId="77777777" w:rsidR="00651D82" w:rsidRPr="009F227C" w:rsidRDefault="00651D82" w:rsidP="00651D82">
      <w:pPr>
        <w:spacing w:after="240"/>
        <w:jc w:val="both"/>
      </w:pPr>
      <w:r w:rsidRPr="009F227C">
        <w:tab/>
        <w:t xml:space="preserve">Sunshine requested cost recovery for the replacement of its existing water meters for all customers within its service territory. Approximately 37,000 water meters will be replaced, including second meters for irrigation customers, with meters that utilize AMI technology. In addition, 47 communication towers will be installed with long range wide area network meter collectors in sufficiently dense customer areas instead of relying exclusively on cellular technology. The Utility will be implementing a customer engagement portal for customers to access information from the AMI system. </w:t>
      </w:r>
    </w:p>
    <w:p w14:paraId="5E2712DA" w14:textId="77777777" w:rsidR="00651D82" w:rsidRPr="009F227C" w:rsidRDefault="00651D82" w:rsidP="00651D82">
      <w:pPr>
        <w:spacing w:after="240"/>
        <w:jc w:val="both"/>
      </w:pPr>
      <w:r w:rsidRPr="009F227C">
        <w:tab/>
        <w:t>As stated in its brief, OPC opposes this project in its entirety because it believes the Utility did not demonstrate a need for the project or customer benefits. OPC further argued that this project was prioritized above others that presented a greater need. In response, Sunshine argued it has adequately demonstrated the prudency and need for this particular project, as well as customer benefits. Both OPC and the Utility supported their positions with evidence from the record, which is discussed throughout this issue.</w:t>
      </w:r>
    </w:p>
    <w:p w14:paraId="1C0B26F0" w14:textId="77777777" w:rsidR="00651D82" w:rsidRPr="009F227C" w:rsidRDefault="00651D82" w:rsidP="00F31D90">
      <w:pPr>
        <w:spacing w:after="240"/>
        <w:jc w:val="both"/>
      </w:pPr>
      <w:r w:rsidRPr="009F227C">
        <w:tab/>
        <w:t>Outside of the AMI technology, the pro forma project also incorporates the assessment of the service lines the replacement water meters connect with. This was done to satisfy the federal EPA Lead and Copper Rule Revisions which requires public water systems to prepare and maintain an inventory of service line materials. The assessments will be performed for lines connected to approximately 30,000 meters, as records verified the remaining 7,000 meters were not connected to lead or copper piping. The remaining lines must be field tested to determine material status to be compliant. This service line assessment portion of the overall project is necessary to meet environmental requirements, and as discussed below, this cost is estimated at $508,000.</w:t>
      </w:r>
    </w:p>
    <w:p w14:paraId="72E194AF" w14:textId="77777777" w:rsidR="00651D82" w:rsidRPr="009F227C" w:rsidRDefault="00651D82" w:rsidP="00651D82">
      <w:pPr>
        <w:jc w:val="both"/>
        <w:outlineLvl w:val="2"/>
        <w:rPr>
          <w:b/>
          <w:bCs/>
          <w:iCs/>
          <w:szCs w:val="28"/>
        </w:rPr>
      </w:pPr>
      <w:r w:rsidRPr="009F227C">
        <w:rPr>
          <w:b/>
          <w:bCs/>
          <w:iCs/>
          <w:szCs w:val="28"/>
        </w:rPr>
        <w:t>Need for AMI Meters</w:t>
      </w:r>
    </w:p>
    <w:p w14:paraId="5311F310" w14:textId="77777777" w:rsidR="00651D82" w:rsidRPr="009F227C" w:rsidRDefault="00651D82" w:rsidP="00651D82">
      <w:pPr>
        <w:spacing w:after="240"/>
        <w:jc w:val="both"/>
      </w:pPr>
      <w:r w:rsidRPr="009F227C">
        <w:tab/>
        <w:t xml:space="preserve">In its description of the program, the Utility stated that the 37,000 meters identified for this project are beyond their useful life which, if not replaced, will result in increased meter errors or estimated bills, customer dissatisfaction, increased operating expenses, and that the use of AMI technology will allow more efficient, automated meter readings. In his direct testimony, Sunshine witness Twomey stated that the Utility’s primary goal for the project is improving communication between the Utility and customers, while other motivating factors include promoting conservation, and improved system awareness for the Utility to respond to events. </w:t>
      </w:r>
    </w:p>
    <w:p w14:paraId="72A67F75" w14:textId="77777777" w:rsidR="00651D82" w:rsidRPr="009F227C" w:rsidRDefault="00651D82" w:rsidP="00651D82">
      <w:pPr>
        <w:spacing w:after="240"/>
        <w:jc w:val="both"/>
      </w:pPr>
      <w:r w:rsidRPr="009F227C">
        <w:tab/>
        <w:t xml:space="preserve">Witness Twomey stated that customer communication is a benefit of the program that would not be available through an Automated Meter Reading (AMR) alternative. AMI meters provide near real-time updates on a customer’s usage data remotely to the Utility and to its customers as compared to AMR’s once a month reading. The daily updates are to be available online through the Utility’s customer portal where customers can then view their usage data, set </w:t>
      </w:r>
      <w:r w:rsidRPr="009F227C">
        <w:lastRenderedPageBreak/>
        <w:t xml:space="preserve">a more dynamic billing cycle for themselves with the Utility, and set notifications to alert them for unusual conditions such as high and continuous usage. Notifications such as leak alerts would be available to customers after AMI installation. This upgrade would enable customers to better manage water consumption, allowing for faster response to system leaks and may result in reducing excessive unaccounted for water. OPC opposes the installation of AMI meters. However, during cross examination by the Utility, OPC witness Smith agreed that the current water meters do not provide the benefits discussed by witness Twomey and that information gained through the AMI meters may be helpful to some customers. But, he argued that there was not widespread customer support and that this benefit does not justify the installation of AMI meters. Witness Twomey admitted that no surveying was conducted to determine whether customers wanted the additional functionalities of AMI meters, but noted that it was not typical to conduct such surveys for pro forma projects and he was aware of at least one customer complaining of timely leak notification. </w:t>
      </w:r>
    </w:p>
    <w:p w14:paraId="787492C1" w14:textId="77777777" w:rsidR="00651D82" w:rsidRPr="009F227C" w:rsidRDefault="00651D82" w:rsidP="00651D82">
      <w:pPr>
        <w:spacing w:after="240"/>
        <w:jc w:val="both"/>
      </w:pPr>
      <w:r w:rsidRPr="009F227C">
        <w:tab/>
        <w:t xml:space="preserve">OPC witness Smith further argued against the project stating that it is not a requirement to satisfy a governmental regulation or standard nor necessary for the safe and/or reliable provision of water service in Florida. Instead, he asserted that the installation of AMI water meters is a decision made at the discretion of Sunshine management and noted that, in a response to discovery, that the project itself is a low priority to Sunshine. </w:t>
      </w:r>
    </w:p>
    <w:p w14:paraId="2B2EDBA5" w14:textId="77777777" w:rsidR="00651D82" w:rsidRPr="009F227C" w:rsidRDefault="00651D82" w:rsidP="00651D82">
      <w:pPr>
        <w:spacing w:after="240"/>
        <w:jc w:val="both"/>
      </w:pPr>
      <w:r w:rsidRPr="009F227C">
        <w:tab/>
        <w:t xml:space="preserve">During cross examination, witness Twomey stated that the decision to upgrade the Utility’s water meters to use AMI technology was evaluated by Sunshine’s parent company with input from Sunshine, as it sought to standardize technology across its affiliates. Witness Twomey also stated that three recent Commission decisions allowing AMI are supportive of the need for the project. Witness Twomey admitted he was not familiar with the circumstances necessitating AMI in these prior decisions, with one being based on customer complaints associated with billing, and the other two being deployments of less than 300 meters combined. OPC witness Smith argued that AMR is a more appropriate technology, since it provides similar cost savings with lower capital cost. Witness Smith agreed that AMI meters can produce cost savings and do have benefits, but argued that Sunshine has not justified them in this case regarding the requested rate base in excess of $20 million with no offsetting benefits, causing a mismatch that is inconsistent with prior decisions. Witness Twomey agreed that AMR does require less capital but argues that AMR meters still require employing meter readers and vehicles to gather data monthly while not providing the same updates and alerts to customers as AMI does. </w:t>
      </w:r>
    </w:p>
    <w:p w14:paraId="3FAD0137" w14:textId="02E52D17" w:rsidR="00651D82" w:rsidRDefault="00651D82" w:rsidP="007650C7">
      <w:pPr>
        <w:jc w:val="both"/>
      </w:pPr>
      <w:r w:rsidRPr="009F227C">
        <w:tab/>
        <w:t xml:space="preserve">Sunshine also asserted that the existing meters are in need of replacement, with witness Twomey testifying that the existing meters are on average 90 percent depreciated, and meter failure is a significant concern to the Utility. Witness Twomey testified if the meters were not replaced, the meters may fail and create risks of customer service issues and meter reading problems. During cross examination, witness Twomey admitted that the current meters are capable of providing safe and reliable service, but argued that the older meters tend to run slow when tested to comply with our </w:t>
      </w:r>
      <w:r w:rsidR="00375456">
        <w:t>r</w:t>
      </w:r>
      <w:r w:rsidRPr="009F227C">
        <w:t xml:space="preserve">ules for meter accuracy. OPC witness Smith argued that this is not consistent with the Utility’s response to discovery that labels the project as a low priority within the Utility itself. In response, witness Twomey refuted the low priority label as a holdover from the project’s study phase that ended in 2024. He further asserted that the document was not </w:t>
      </w:r>
      <w:r w:rsidRPr="009F227C">
        <w:lastRenderedPageBreak/>
        <w:t xml:space="preserve">updated between years and states that the project has a higher internal priority to Sunshine now. Witness Twomey stated that Sunshine had been led to believe that we want the Utility to be proactive in replacing failing infrastructure, to the point of having faced penalties for not doing so. </w:t>
      </w:r>
    </w:p>
    <w:p w14:paraId="2CFF74F1" w14:textId="77777777" w:rsidR="003522C9" w:rsidRPr="009F227C" w:rsidRDefault="003522C9" w:rsidP="007650C7">
      <w:pPr>
        <w:jc w:val="both"/>
      </w:pPr>
    </w:p>
    <w:p w14:paraId="6B145E44" w14:textId="29906C46" w:rsidR="00F0528A" w:rsidRDefault="00651D82" w:rsidP="007650C7">
      <w:pPr>
        <w:jc w:val="both"/>
      </w:pPr>
      <w:r w:rsidRPr="009F227C">
        <w:tab/>
      </w:r>
      <w:r w:rsidR="00F0528A" w:rsidRPr="009F227C">
        <w:t>Regarding potential operational savings, Sunshine has stated that the use of AMI technology brings multiple benefits to both the Utility and its customers, including those evaluated in the Utility’s initial analysis of the costs and benefits of AMI meters, the 2021 AMI Business Case. These benefits include the elimination of manual meter reading, reduced in billing exceptions and manual bill processing, reduced field trips to connect and disconnect customers, and faster response to system leakages and water theft due to the near real-time updates AMI provides. Overall, Sunshine estimates the savings associated with meter reading alone are approximately $293,883 annually</w:t>
      </w:r>
      <w:r w:rsidR="00F0528A">
        <w:t>, including $</w:t>
      </w:r>
      <w:r w:rsidR="00F0528A" w:rsidRPr="00EB4BC9">
        <w:t>280,662</w:t>
      </w:r>
      <w:r w:rsidR="00F0528A">
        <w:t xml:space="preserve"> in O&amp;M and $13,221 in payroll taxes</w:t>
      </w:r>
      <w:r w:rsidR="00F0528A" w:rsidRPr="009F227C">
        <w:t>. OPC witness Smith disagreed by arguing that such benefits are speculative and are not adequately demonstrated by the Utility. We agree with Sunshine that there are operation and maintenance (O&amp;M) savings associated with this project and are a supporting factor for us to approve this project. However, the O&amp;M</w:t>
      </w:r>
      <w:r w:rsidR="00F0528A">
        <w:t xml:space="preserve"> and payroll tax </w:t>
      </w:r>
      <w:r w:rsidR="00F0528A" w:rsidRPr="009F227C">
        <w:t>savings for this project are addressed in Issue</w:t>
      </w:r>
      <w:r w:rsidR="00F0528A">
        <w:t>s</w:t>
      </w:r>
      <w:r w:rsidR="00F0528A" w:rsidRPr="009F227C">
        <w:t xml:space="preserve"> 26</w:t>
      </w:r>
      <w:r w:rsidR="00F0528A">
        <w:t xml:space="preserve"> and 29</w:t>
      </w:r>
      <w:r w:rsidR="00F0528A" w:rsidRPr="009F227C">
        <w:t>.</w:t>
      </w:r>
    </w:p>
    <w:p w14:paraId="2496754D" w14:textId="77777777" w:rsidR="00611775" w:rsidRPr="009F227C" w:rsidRDefault="00611775" w:rsidP="007650C7">
      <w:pPr>
        <w:jc w:val="both"/>
      </w:pPr>
    </w:p>
    <w:p w14:paraId="1D06CEBF" w14:textId="77777777" w:rsidR="00651D82" w:rsidRPr="009F227C" w:rsidRDefault="00651D82" w:rsidP="00651D82">
      <w:pPr>
        <w:spacing w:after="240"/>
        <w:jc w:val="both"/>
      </w:pPr>
      <w:r w:rsidRPr="009F227C">
        <w:tab/>
        <w:t>Based on the information provided, we find that a need for the project has been demonstrated by Sunshine based on the following:</w:t>
      </w:r>
    </w:p>
    <w:p w14:paraId="2936268B" w14:textId="77777777" w:rsidR="00651D82" w:rsidRPr="009F227C" w:rsidRDefault="00651D82" w:rsidP="00651D82">
      <w:pPr>
        <w:numPr>
          <w:ilvl w:val="0"/>
          <w:numId w:val="1"/>
        </w:numPr>
        <w:spacing w:after="240"/>
        <w:jc w:val="both"/>
      </w:pPr>
      <w:r w:rsidRPr="009F227C">
        <w:t>The 37,000 water meters included within the project scope are at the end of their useful lives.</w:t>
      </w:r>
    </w:p>
    <w:p w14:paraId="1D715BF8" w14:textId="77777777" w:rsidR="00651D82" w:rsidRPr="009F227C" w:rsidRDefault="00651D82" w:rsidP="00651D82">
      <w:pPr>
        <w:numPr>
          <w:ilvl w:val="0"/>
          <w:numId w:val="1"/>
        </w:numPr>
        <w:spacing w:after="240"/>
        <w:jc w:val="both"/>
      </w:pPr>
      <w:r w:rsidRPr="009F227C">
        <w:t>The replacement of the meters before failure will avoid meter reading errors and customer service issues.</w:t>
      </w:r>
    </w:p>
    <w:p w14:paraId="20E1F8C9" w14:textId="77777777" w:rsidR="00651D82" w:rsidRPr="009F227C" w:rsidRDefault="00651D82" w:rsidP="00651D82">
      <w:pPr>
        <w:numPr>
          <w:ilvl w:val="0"/>
          <w:numId w:val="1"/>
        </w:numPr>
        <w:spacing w:after="240"/>
        <w:jc w:val="both"/>
      </w:pPr>
      <w:r w:rsidRPr="009F227C">
        <w:t>The near real-time usage data AMI technology allows customers and the Utility to better address system leaks and improve conservation through the Utility’s customer portal.</w:t>
      </w:r>
    </w:p>
    <w:p w14:paraId="1811F9A2" w14:textId="77777777" w:rsidR="00651D82" w:rsidRPr="009F227C" w:rsidRDefault="00651D82" w:rsidP="00651D82">
      <w:pPr>
        <w:numPr>
          <w:ilvl w:val="0"/>
          <w:numId w:val="1"/>
        </w:numPr>
        <w:spacing w:after="240"/>
        <w:jc w:val="both"/>
      </w:pPr>
      <w:r w:rsidRPr="009F227C">
        <w:t>The reduction of meter reading expenses produces operational savings.</w:t>
      </w:r>
    </w:p>
    <w:p w14:paraId="04A281B0" w14:textId="77777777" w:rsidR="00651D82" w:rsidRPr="009F227C" w:rsidRDefault="00651D82" w:rsidP="00651D82">
      <w:pPr>
        <w:jc w:val="both"/>
        <w:outlineLvl w:val="2"/>
        <w:rPr>
          <w:b/>
          <w:bCs/>
          <w:iCs/>
          <w:szCs w:val="28"/>
        </w:rPr>
      </w:pPr>
      <w:r w:rsidRPr="009F227C">
        <w:rPr>
          <w:b/>
          <w:bCs/>
          <w:iCs/>
          <w:szCs w:val="28"/>
        </w:rPr>
        <w:t>Project Timeline</w:t>
      </w:r>
    </w:p>
    <w:p w14:paraId="6955FB80" w14:textId="77777777" w:rsidR="00651D82" w:rsidRPr="009F227C" w:rsidRDefault="00651D82" w:rsidP="00651D82">
      <w:pPr>
        <w:spacing w:after="240"/>
        <w:jc w:val="both"/>
      </w:pPr>
      <w:r w:rsidRPr="009F227C">
        <w:tab/>
        <w:t xml:space="preserve">Section 367.081(2)(a)2, F.S., provides that we, in fixing rates, shall consider facilities to be constructed within a reasonable time in the future, not to exceed 24 months after the end of the historic base year, unless a longer period of approved by us, to be used and useful if such property is needed to serve current customers. Witness Twomey testified that the project will be completed by October 2025, which is within the 24-month requirement. As of February 12, 2025, there were 7,000 meters installed with 20-meter installers working daily to meet the 4,000 meter per-month schedule. All permits have been acquired, and the installation of the last antennas will begin in Lake County on March 10, 2025. </w:t>
      </w:r>
    </w:p>
    <w:p w14:paraId="229E510B" w14:textId="77777777" w:rsidR="00651D82" w:rsidRPr="009F227C" w:rsidRDefault="00651D82" w:rsidP="00651D82">
      <w:pPr>
        <w:spacing w:after="240"/>
        <w:jc w:val="both"/>
      </w:pPr>
      <w:r w:rsidRPr="009F227C">
        <w:tab/>
        <w:t xml:space="preserve">OPC witness Smith argued that the project will not be completed on time, since the expected completion date has changed multiple times since the project’s inception and because of the Utility’s inexperience with the construction of AMI networks. Sunshine witness Twomey </w:t>
      </w:r>
      <w:r w:rsidRPr="009F227C">
        <w:lastRenderedPageBreak/>
        <w:t xml:space="preserve">refuted this argument and maintains a high degree of confidence that the project is to be completed on schedule in October of 2025, arguing that the additional Senior Project Manager and Project Manager added to the lead project delivery team will ensure greater oversight of the pro forma projects. Witness Twomey further stated that, should the need arise, Sunshine will engage an additional meter installation company previously utilized by its sister company, Ni Florida, to install AMI meters in order to ensure all work is completed before the statutory deadline. Based on the information provided above, </w:t>
      </w:r>
      <w:r w:rsidR="00F0528A">
        <w:t>we find</w:t>
      </w:r>
      <w:r w:rsidRPr="009F227C">
        <w:t xml:space="preserve"> that the installations of the AMI meters and construction of the AMI network will be completed before the end of the 24-month period.</w:t>
      </w:r>
    </w:p>
    <w:p w14:paraId="2E97C9EC" w14:textId="77777777" w:rsidR="00651D82" w:rsidRPr="009F227C" w:rsidRDefault="00651D82" w:rsidP="00651D82">
      <w:pPr>
        <w:jc w:val="both"/>
        <w:outlineLvl w:val="2"/>
        <w:rPr>
          <w:b/>
          <w:bCs/>
          <w:iCs/>
          <w:szCs w:val="28"/>
        </w:rPr>
      </w:pPr>
      <w:r w:rsidRPr="009F227C">
        <w:rPr>
          <w:b/>
          <w:bCs/>
          <w:iCs/>
          <w:szCs w:val="28"/>
        </w:rPr>
        <w:t>Project Cost</w:t>
      </w:r>
    </w:p>
    <w:p w14:paraId="102A1BAF" w14:textId="77777777" w:rsidR="00651D82" w:rsidRPr="009F227C" w:rsidRDefault="00651D82" w:rsidP="00651D82">
      <w:pPr>
        <w:spacing w:after="240"/>
        <w:jc w:val="both"/>
      </w:pPr>
      <w:r w:rsidRPr="009F227C">
        <w:tab/>
        <w:t xml:space="preserve">In its initial filing, Sunshine requested $20,071,423 for the project, including estimated project costs of $11,743,036 for infrastructure, $5,779,633 for construction, $1,134,538 for engineering, $214,558 in capitalized time, and $1,199,658 for interest during construction. Sunshine filed an updated request for $20,615,599. This increase is associated with the inclusion of Lead and Copper Assessments during the meter replacements, which includes a construction and engineering cost of $508,000, plus $5,842 in capitalized time, and $32,664 for interest during construction. </w:t>
      </w:r>
    </w:p>
    <w:p w14:paraId="3A74BDD9" w14:textId="401BF0F0" w:rsidR="00651D82" w:rsidRPr="009F227C" w:rsidRDefault="00651D82" w:rsidP="00651D82">
      <w:pPr>
        <w:spacing w:after="240"/>
        <w:jc w:val="both"/>
      </w:pPr>
      <w:r w:rsidRPr="009F227C">
        <w:tab/>
        <w:t xml:space="preserve">For the activities required to complete the project, contracts were awarded to three companies for supplying the new AMI water meters, the installation of the AMI meters, and the installation of the poles to construct the AMI network. </w:t>
      </w:r>
      <w:r w:rsidR="00EA4130">
        <w:t>A</w:t>
      </w:r>
      <w:r w:rsidRPr="009F227C">
        <w:t xml:space="preserve"> formal bidding process and selection was performed for the AMI meter vendor and the technology. However, this process was led by Sunshine’s parent company at the time, CII. CII opted to evaluate the new technology and its supplier in an effort to standardize the technology across its affiliates and reduce the total number of vendors. CII evaluated the vendors based on the ability to provide sufficient meter units, if the technology met corporate requirements, the estimated service life of the units, unit cost, financial stability, and the vendor’s ability to support their meter solution. After evaluation of each vendor, Neptune Technologies Group was selected as the national meter vendor for Sunshine and its sister companies. Neptune was the second lowest bidder for the project. However, after CII’s point based evaluation, Neptune was found to be the best at satisfying the requirements set by the parent company for a national vendor. The bids provided were based on a five-year estimate and that Neptune’s bid provides a lower annual support cost than the lowest bidder, Badger Meter Inc., making Neptune the less costly solution over time. A purchasing agreement was negotiated by CII after the selection for discounts of 15% for Neptune Meter Interface Units and Endpoints and a discount of 10% for Neptune reading equipment and software. </w:t>
      </w:r>
    </w:p>
    <w:p w14:paraId="2BA40D4B" w14:textId="6BBC244E" w:rsidR="00651D82" w:rsidRDefault="00651D82" w:rsidP="00611775">
      <w:pPr>
        <w:jc w:val="both"/>
      </w:pPr>
      <w:r w:rsidRPr="009F227C">
        <w:tab/>
      </w:r>
      <w:r w:rsidR="00EA4130">
        <w:t>A</w:t>
      </w:r>
      <w:r w:rsidRPr="009F227C">
        <w:t xml:space="preserve"> formal bidding process was forgone in selecting a contractor for the installation of the new meters. Witness Twomey testified that this was done by Sunshine’s current parent company, Nexus Water Group, which selected VEPO Metering South, LLC, as the preferred meter installation service and had already negotiated preferred pricing for their national meter installation services. </w:t>
      </w:r>
    </w:p>
    <w:p w14:paraId="2BC9C1B1" w14:textId="77777777" w:rsidR="00611775" w:rsidRPr="009F227C" w:rsidRDefault="00611775" w:rsidP="00611775">
      <w:pPr>
        <w:jc w:val="both"/>
      </w:pPr>
    </w:p>
    <w:p w14:paraId="4F9EB975" w14:textId="3E6ABA09" w:rsidR="00651D82" w:rsidRDefault="00651D82" w:rsidP="00611775">
      <w:pPr>
        <w:jc w:val="both"/>
      </w:pPr>
      <w:r w:rsidRPr="009F227C">
        <w:lastRenderedPageBreak/>
        <w:tab/>
        <w:t xml:space="preserve">Sunshine underwent </w:t>
      </w:r>
      <w:r w:rsidR="00EA4130">
        <w:t>a</w:t>
      </w:r>
      <w:r w:rsidRPr="009F227C">
        <w:t xml:space="preserve"> formal bidding process for the installation of the poles necessary for the construction of the AMI network and received bid proposals from four companies. Sunshine awarded the contract for the pole installations to PlusComm Inc. PlusComm did not offer the lowest bid for the project but independently agreed to acquire the necessary electrical permits and offered to assist in acquisition of necessary building permits, which was not reflected in the bid comparisons. </w:t>
      </w:r>
    </w:p>
    <w:p w14:paraId="1F6FCAF5" w14:textId="77777777" w:rsidR="00924429" w:rsidRPr="009F227C" w:rsidRDefault="00924429" w:rsidP="00611775">
      <w:pPr>
        <w:jc w:val="both"/>
      </w:pPr>
    </w:p>
    <w:p w14:paraId="173D94B9" w14:textId="77777777" w:rsidR="00651D82" w:rsidRPr="009F227C" w:rsidRDefault="00651D82" w:rsidP="00651D82">
      <w:pPr>
        <w:spacing w:after="240"/>
        <w:jc w:val="both"/>
      </w:pPr>
      <w:r w:rsidRPr="009F227C">
        <w:tab/>
        <w:t xml:space="preserve">OPC witness Smith disagreed with the total cost of the project and argued that the Utility did not adequately demonstrate a cost comparison between AMI and AMR. Witness Twomey refuted this argument and stated that the Utility performed a cost-effectiveness analysis based on a 20-year period that showed the breakeven value between installations of communication towers and using cellular service for AMI was approximately 278 meters per pole, and designed the system to install poles when in excess of this ratio. For the selection of AMI versus AMR, Witness Twomey stated that AMR meters were assessed but eliminated as an option. Witness Twomey agreed that AMI meters require a higher capital cost, including the communication towers necessary for its use, but AMR meters would require the same meter readers and resources as the Utility uses now and represent an additional cost to the Utility’s eventual AMI deployment. </w:t>
      </w:r>
    </w:p>
    <w:p w14:paraId="307F412B" w14:textId="77777777" w:rsidR="00651D82" w:rsidRPr="009F227C" w:rsidRDefault="00651D82" w:rsidP="00651D82">
      <w:pPr>
        <w:spacing w:after="240"/>
        <w:jc w:val="both"/>
      </w:pPr>
      <w:r w:rsidRPr="009F227C">
        <w:tab/>
        <w:t>Sunshine provided contracts, purchase orders, and invoices for $16,204,334 including $15,518,923 in construction costs and $685,411 in engineering costs. In addition $186,350 in capitalized time and $1,041,939 in interest during construction was added for a total project cost of $17,432,623.</w:t>
      </w:r>
    </w:p>
    <w:p w14:paraId="1CF3DECC" w14:textId="1714E307" w:rsidR="00651D82" w:rsidRPr="009F227C" w:rsidRDefault="00651D82" w:rsidP="00651D82">
      <w:pPr>
        <w:spacing w:after="240"/>
        <w:jc w:val="both"/>
      </w:pPr>
      <w:r w:rsidRPr="009F227C">
        <w:tab/>
        <w:t>Based on the documentation provided by the Utility and the testimony of witness Twomey, we find that $17,432,623 is reasonable for the project. Sunshine recorded a cost of $20,071,423 in its MFRs; therefore, we approve an adjustment to decrease the cost of ST-20 by $2,638,800 ($20,071,423 - $17,432,623). O&amp;M impacts are discussed further in</w:t>
      </w:r>
      <w:r w:rsidR="00420D12">
        <w:t xml:space="preserve"> this Order</w:t>
      </w:r>
      <w:r w:rsidRPr="009F227C">
        <w:t xml:space="preserve"> </w:t>
      </w:r>
      <w:r w:rsidR="00420D12">
        <w:t>(</w:t>
      </w:r>
      <w:r w:rsidRPr="009F227C">
        <w:t>Issue 26</w:t>
      </w:r>
      <w:r w:rsidR="00420D12">
        <w:t>)</w:t>
      </w:r>
      <w:r w:rsidRPr="009F227C">
        <w:t>.</w:t>
      </w:r>
    </w:p>
    <w:p w14:paraId="52B6F939" w14:textId="77777777" w:rsidR="00651D82" w:rsidRPr="009F227C" w:rsidRDefault="00651D82" w:rsidP="00172BA1">
      <w:pPr>
        <w:pStyle w:val="ListParagraph"/>
        <w:numPr>
          <w:ilvl w:val="0"/>
          <w:numId w:val="8"/>
        </w:numPr>
        <w:ind w:hanging="720"/>
        <w:jc w:val="both"/>
      </w:pPr>
      <w:r w:rsidRPr="009F227C">
        <w:t>Conclusion</w:t>
      </w:r>
    </w:p>
    <w:p w14:paraId="5083D3A0" w14:textId="77777777" w:rsidR="00651D82" w:rsidRPr="009F227C" w:rsidRDefault="00651D82" w:rsidP="00651D82">
      <w:pPr>
        <w:jc w:val="both"/>
      </w:pPr>
    </w:p>
    <w:p w14:paraId="6C5A8BBF" w14:textId="3A0E5A03" w:rsidR="00651D82" w:rsidRPr="009F227C" w:rsidRDefault="00651D82" w:rsidP="00651D82">
      <w:pPr>
        <w:pStyle w:val="OrderBody"/>
      </w:pPr>
      <w:r w:rsidRPr="009F227C">
        <w:tab/>
        <w:t xml:space="preserve">We find that there is a need for meter replacement due to the age of the current meters and </w:t>
      </w:r>
      <w:r w:rsidR="00F0528A">
        <w:t>are</w:t>
      </w:r>
      <w:r w:rsidRPr="009F227C">
        <w:t xml:space="preserve"> persuaded by the additional functionality of AMI meters to address system leaks. Based on the documentation provided by the Utility we approve an adjustment to decrease the cost of this project by $2,638,800. The resultant operational savings are discussed in detail </w:t>
      </w:r>
      <w:r w:rsidR="00420D12">
        <w:t xml:space="preserve">subsequently </w:t>
      </w:r>
      <w:r w:rsidRPr="009F227C">
        <w:t>in</w:t>
      </w:r>
      <w:r w:rsidR="00420D12">
        <w:t xml:space="preserve"> this Order</w:t>
      </w:r>
      <w:r w:rsidRPr="009F227C">
        <w:t xml:space="preserve"> </w:t>
      </w:r>
      <w:r w:rsidR="00420D12">
        <w:t>(</w:t>
      </w:r>
      <w:r w:rsidRPr="009F227C">
        <w:t>Issue 26</w:t>
      </w:r>
      <w:r w:rsidR="00420D12">
        <w:t>)</w:t>
      </w:r>
      <w:r w:rsidRPr="009F227C">
        <w:t>.</w:t>
      </w:r>
    </w:p>
    <w:p w14:paraId="68B00A6E" w14:textId="77777777" w:rsidR="00532378" w:rsidRPr="009F227C" w:rsidRDefault="00532378" w:rsidP="00651D82">
      <w:pPr>
        <w:pStyle w:val="OrderBody"/>
      </w:pPr>
    </w:p>
    <w:p w14:paraId="448D1B77" w14:textId="6E8B4674" w:rsidR="00532378" w:rsidRPr="009F227C" w:rsidRDefault="00532378" w:rsidP="00172BA1">
      <w:pPr>
        <w:pStyle w:val="ListParagraph"/>
        <w:numPr>
          <w:ilvl w:val="0"/>
          <w:numId w:val="39"/>
        </w:numPr>
        <w:ind w:left="720"/>
        <w:jc w:val="both"/>
        <w:outlineLvl w:val="0"/>
        <w:rPr>
          <w:bCs/>
          <w:kern w:val="32"/>
          <w:szCs w:val="32"/>
          <w:u w:val="single"/>
        </w:rPr>
      </w:pPr>
      <w:bookmarkStart w:id="14" w:name="_Toc199321442"/>
      <w:r w:rsidRPr="009F227C">
        <w:rPr>
          <w:bCs/>
          <w:kern w:val="32"/>
          <w:szCs w:val="32"/>
          <w:u w:val="single"/>
        </w:rPr>
        <w:t>Pro Forma Plant (Issue 4)</w:t>
      </w:r>
      <w:bookmarkEnd w:id="14"/>
    </w:p>
    <w:p w14:paraId="74638795" w14:textId="77777777" w:rsidR="00532378" w:rsidRPr="009F227C" w:rsidRDefault="00532378" w:rsidP="00532378">
      <w:pPr>
        <w:jc w:val="both"/>
        <w:outlineLvl w:val="0"/>
        <w:rPr>
          <w:bCs/>
          <w:kern w:val="32"/>
          <w:szCs w:val="32"/>
        </w:rPr>
      </w:pPr>
    </w:p>
    <w:p w14:paraId="295559CA" w14:textId="77777777" w:rsidR="00532378" w:rsidRPr="009F227C" w:rsidRDefault="00532378" w:rsidP="00172BA1">
      <w:pPr>
        <w:pStyle w:val="ListParagraph"/>
        <w:numPr>
          <w:ilvl w:val="0"/>
          <w:numId w:val="7"/>
        </w:numPr>
        <w:ind w:hanging="720"/>
        <w:jc w:val="both"/>
      </w:pPr>
      <w:r w:rsidRPr="009F227C">
        <w:t>Analysis</w:t>
      </w:r>
    </w:p>
    <w:p w14:paraId="4A625B32" w14:textId="77777777" w:rsidR="00532378" w:rsidRPr="009F227C" w:rsidRDefault="00532378" w:rsidP="00532378">
      <w:pPr>
        <w:pStyle w:val="OrderBody"/>
      </w:pPr>
    </w:p>
    <w:p w14:paraId="3A516B93" w14:textId="1250A10E" w:rsidR="00532378" w:rsidRDefault="00532378" w:rsidP="00532378">
      <w:pPr>
        <w:pStyle w:val="OrderBody"/>
        <w:ind w:firstLine="720"/>
      </w:pPr>
      <w:r w:rsidRPr="009F227C">
        <w:t xml:space="preserve">Section 367.081(2)(a)(2), F.S., provides that we, in fixing rates, shall consider facilities to be constructed within a reasonable time in the future, not to exceed 24 months after the end of the historic base year used to set final rates, unless a longer period is approved by us, to be used </w:t>
      </w:r>
      <w:r w:rsidRPr="009F227C">
        <w:lastRenderedPageBreak/>
        <w:t xml:space="preserve">and useful (U&amp;U) if such property is needed to serve current customers. In this proceeding, Sunshine requested cost recovery for 24 pro forma projects. OPC argued that out of these 24 projects, the AMI Meter Installation and PFAS Remediation projects should be excluded. In its brief, Sunshine rebutted OPC’s arguments to exclude these two specific projects and also argued that adjustments should be made for the project expenditures that witness Twomey updated in his rebuttal testimony. Each project is discussed in detail below and the </w:t>
      </w:r>
      <w:r w:rsidR="00F0528A">
        <w:t>approved</w:t>
      </w:r>
      <w:r w:rsidRPr="009F227C">
        <w:t xml:space="preserve"> adjustments are summarized in Table 2.</w:t>
      </w:r>
    </w:p>
    <w:p w14:paraId="3A3F4D16" w14:textId="77777777" w:rsidR="000E1783" w:rsidRPr="009F227C" w:rsidRDefault="000E1783" w:rsidP="00532378">
      <w:pPr>
        <w:pStyle w:val="OrderBody"/>
        <w:ind w:firstLine="720"/>
      </w:pPr>
    </w:p>
    <w:p w14:paraId="6098BB25" w14:textId="77777777" w:rsidR="00532378" w:rsidRPr="009F227C" w:rsidRDefault="00532378" w:rsidP="00532378">
      <w:pPr>
        <w:keepNext/>
        <w:jc w:val="center"/>
        <w:rPr>
          <w:b/>
        </w:rPr>
      </w:pPr>
      <w:r w:rsidRPr="009F227C">
        <w:rPr>
          <w:b/>
        </w:rPr>
        <w:t>Table 2</w:t>
      </w:r>
    </w:p>
    <w:p w14:paraId="5E5064FD" w14:textId="77777777" w:rsidR="00532378" w:rsidRPr="009F227C" w:rsidRDefault="00532378" w:rsidP="00532378">
      <w:pPr>
        <w:keepNext/>
        <w:jc w:val="center"/>
        <w:rPr>
          <w:b/>
        </w:rPr>
      </w:pPr>
      <w:r w:rsidRPr="009F227C">
        <w:rPr>
          <w:b/>
        </w:rPr>
        <w:t>Commission Approved Pro Forma Plant Additions</w:t>
      </w:r>
    </w:p>
    <w:tbl>
      <w:tblPr>
        <w:tblStyle w:val="TableGrid1"/>
        <w:tblW w:w="0" w:type="auto"/>
        <w:tblInd w:w="77" w:type="dxa"/>
        <w:tblCellMar>
          <w:left w:w="72" w:type="dxa"/>
          <w:right w:w="72" w:type="dxa"/>
        </w:tblCellMar>
        <w:tblLook w:val="04A0" w:firstRow="1" w:lastRow="0" w:firstColumn="1" w:lastColumn="0" w:noHBand="0" w:noVBand="1"/>
      </w:tblPr>
      <w:tblGrid>
        <w:gridCol w:w="766"/>
        <w:gridCol w:w="4733"/>
        <w:gridCol w:w="1285"/>
        <w:gridCol w:w="1278"/>
        <w:gridCol w:w="1288"/>
      </w:tblGrid>
      <w:tr w:rsidR="00532378" w:rsidRPr="009F227C" w14:paraId="06A125B9" w14:textId="77777777" w:rsidTr="002C0A45">
        <w:tc>
          <w:tcPr>
            <w:tcW w:w="766" w:type="dxa"/>
          </w:tcPr>
          <w:p w14:paraId="4D3F22FD" w14:textId="77777777" w:rsidR="00532378" w:rsidRPr="009F227C" w:rsidRDefault="00532378" w:rsidP="002C0A45">
            <w:pPr>
              <w:jc w:val="center"/>
              <w:rPr>
                <w:b/>
                <w:sz w:val="20"/>
                <w:szCs w:val="20"/>
              </w:rPr>
            </w:pPr>
            <w:r w:rsidRPr="009F227C">
              <w:rPr>
                <w:b/>
                <w:sz w:val="20"/>
                <w:szCs w:val="20"/>
              </w:rPr>
              <w:t>Project</w:t>
            </w:r>
          </w:p>
        </w:tc>
        <w:tc>
          <w:tcPr>
            <w:tcW w:w="4733" w:type="dxa"/>
          </w:tcPr>
          <w:p w14:paraId="0A2E1F07" w14:textId="77777777" w:rsidR="00532378" w:rsidRPr="009F227C" w:rsidRDefault="00532378" w:rsidP="002C0A45">
            <w:pPr>
              <w:jc w:val="center"/>
              <w:rPr>
                <w:b/>
                <w:sz w:val="20"/>
                <w:szCs w:val="20"/>
              </w:rPr>
            </w:pPr>
            <w:r w:rsidRPr="009F227C">
              <w:rPr>
                <w:b/>
                <w:sz w:val="20"/>
                <w:szCs w:val="20"/>
              </w:rPr>
              <w:t>Description</w:t>
            </w:r>
          </w:p>
        </w:tc>
        <w:tc>
          <w:tcPr>
            <w:tcW w:w="1285" w:type="dxa"/>
            <w:tcBorders>
              <w:bottom w:val="single" w:sz="4" w:space="0" w:color="auto"/>
            </w:tcBorders>
          </w:tcPr>
          <w:p w14:paraId="2668FE3A" w14:textId="77777777" w:rsidR="00532378" w:rsidRPr="009F227C" w:rsidRDefault="00532378" w:rsidP="002C0A45">
            <w:pPr>
              <w:jc w:val="center"/>
              <w:rPr>
                <w:b/>
                <w:sz w:val="20"/>
                <w:szCs w:val="20"/>
              </w:rPr>
            </w:pPr>
            <w:r w:rsidRPr="009F227C">
              <w:rPr>
                <w:b/>
                <w:sz w:val="20"/>
                <w:szCs w:val="20"/>
              </w:rPr>
              <w:t>MFR</w:t>
            </w:r>
          </w:p>
        </w:tc>
        <w:tc>
          <w:tcPr>
            <w:tcW w:w="1278" w:type="dxa"/>
            <w:tcBorders>
              <w:bottom w:val="single" w:sz="4" w:space="0" w:color="auto"/>
            </w:tcBorders>
          </w:tcPr>
          <w:p w14:paraId="24EDB0C4" w14:textId="77777777" w:rsidR="00532378" w:rsidRPr="009F227C" w:rsidRDefault="00532378" w:rsidP="002C0A45">
            <w:pPr>
              <w:jc w:val="center"/>
              <w:rPr>
                <w:b/>
                <w:sz w:val="20"/>
                <w:szCs w:val="20"/>
              </w:rPr>
            </w:pPr>
            <w:r w:rsidRPr="009F227C">
              <w:rPr>
                <w:b/>
                <w:sz w:val="20"/>
                <w:szCs w:val="20"/>
              </w:rPr>
              <w:t>Approved</w:t>
            </w:r>
          </w:p>
        </w:tc>
        <w:tc>
          <w:tcPr>
            <w:tcW w:w="1288" w:type="dxa"/>
            <w:tcBorders>
              <w:bottom w:val="single" w:sz="4" w:space="0" w:color="auto"/>
            </w:tcBorders>
          </w:tcPr>
          <w:p w14:paraId="4DA323CC" w14:textId="77777777" w:rsidR="00532378" w:rsidRPr="009F227C" w:rsidRDefault="00532378" w:rsidP="002C0A45">
            <w:pPr>
              <w:jc w:val="center"/>
              <w:rPr>
                <w:b/>
                <w:sz w:val="20"/>
                <w:szCs w:val="20"/>
              </w:rPr>
            </w:pPr>
            <w:r w:rsidRPr="009F227C">
              <w:rPr>
                <w:b/>
                <w:sz w:val="20"/>
                <w:szCs w:val="20"/>
              </w:rPr>
              <w:t>Adjustment</w:t>
            </w:r>
          </w:p>
        </w:tc>
      </w:tr>
      <w:tr w:rsidR="00532378" w:rsidRPr="009F227C" w14:paraId="5ACC482C" w14:textId="77777777" w:rsidTr="002C0A45">
        <w:tc>
          <w:tcPr>
            <w:tcW w:w="766" w:type="dxa"/>
          </w:tcPr>
          <w:p w14:paraId="6F30F129" w14:textId="77777777" w:rsidR="00532378" w:rsidRPr="009F227C" w:rsidRDefault="00532378" w:rsidP="002C0A45">
            <w:pPr>
              <w:rPr>
                <w:sz w:val="20"/>
                <w:szCs w:val="20"/>
              </w:rPr>
            </w:pPr>
            <w:r w:rsidRPr="009F227C">
              <w:rPr>
                <w:sz w:val="20"/>
                <w:szCs w:val="20"/>
              </w:rPr>
              <w:t>ST-3</w:t>
            </w:r>
          </w:p>
        </w:tc>
        <w:tc>
          <w:tcPr>
            <w:tcW w:w="4733" w:type="dxa"/>
          </w:tcPr>
          <w:p w14:paraId="43A0B29F" w14:textId="77777777" w:rsidR="00532378" w:rsidRPr="009F227C" w:rsidRDefault="00532378" w:rsidP="002C0A45">
            <w:pPr>
              <w:rPr>
                <w:sz w:val="20"/>
                <w:szCs w:val="20"/>
              </w:rPr>
            </w:pPr>
            <w:r w:rsidRPr="009F227C">
              <w:rPr>
                <w:sz w:val="20"/>
                <w:szCs w:val="20"/>
              </w:rPr>
              <w:t>Tierra Verde – 13th Bridge FM Replacement</w:t>
            </w:r>
          </w:p>
        </w:tc>
        <w:tc>
          <w:tcPr>
            <w:tcW w:w="1285" w:type="dxa"/>
          </w:tcPr>
          <w:p w14:paraId="06F15A01" w14:textId="77777777" w:rsidR="00532378" w:rsidRPr="009F227C" w:rsidRDefault="00532378" w:rsidP="002C0A45">
            <w:pPr>
              <w:jc w:val="right"/>
              <w:rPr>
                <w:sz w:val="20"/>
                <w:szCs w:val="20"/>
              </w:rPr>
            </w:pPr>
            <w:r w:rsidRPr="009F227C">
              <w:rPr>
                <w:sz w:val="20"/>
                <w:szCs w:val="20"/>
              </w:rPr>
              <w:t>$514,923</w:t>
            </w:r>
          </w:p>
        </w:tc>
        <w:tc>
          <w:tcPr>
            <w:tcW w:w="1278" w:type="dxa"/>
          </w:tcPr>
          <w:p w14:paraId="74167C7A" w14:textId="77777777" w:rsidR="00532378" w:rsidRPr="009F227C" w:rsidRDefault="00532378" w:rsidP="002C0A45">
            <w:pPr>
              <w:jc w:val="right"/>
              <w:rPr>
                <w:sz w:val="20"/>
                <w:szCs w:val="20"/>
              </w:rPr>
            </w:pPr>
            <w:r w:rsidRPr="009F227C">
              <w:rPr>
                <w:sz w:val="20"/>
                <w:szCs w:val="20"/>
              </w:rPr>
              <w:t>$648,198</w:t>
            </w:r>
          </w:p>
        </w:tc>
        <w:tc>
          <w:tcPr>
            <w:tcW w:w="1288" w:type="dxa"/>
          </w:tcPr>
          <w:p w14:paraId="1DB2434B" w14:textId="77777777" w:rsidR="00532378" w:rsidRPr="009F227C" w:rsidRDefault="00532378" w:rsidP="002C0A45">
            <w:pPr>
              <w:jc w:val="right"/>
              <w:rPr>
                <w:sz w:val="20"/>
                <w:szCs w:val="20"/>
              </w:rPr>
            </w:pPr>
            <w:r w:rsidRPr="009F227C">
              <w:rPr>
                <w:sz w:val="20"/>
                <w:szCs w:val="20"/>
              </w:rPr>
              <w:t>$133,275</w:t>
            </w:r>
            <w:r w:rsidRPr="009F227C">
              <w:rPr>
                <w:color w:val="FFFFFF" w:themeColor="background1"/>
                <w:sz w:val="20"/>
                <w:szCs w:val="20"/>
              </w:rPr>
              <w:t>)</w:t>
            </w:r>
          </w:p>
        </w:tc>
      </w:tr>
      <w:tr w:rsidR="00532378" w:rsidRPr="009F227C" w14:paraId="15A5DA3E" w14:textId="77777777" w:rsidTr="002C0A45">
        <w:tc>
          <w:tcPr>
            <w:tcW w:w="766" w:type="dxa"/>
          </w:tcPr>
          <w:p w14:paraId="69F9951A" w14:textId="77777777" w:rsidR="00532378" w:rsidRPr="009F227C" w:rsidRDefault="00532378" w:rsidP="002C0A45">
            <w:pPr>
              <w:rPr>
                <w:sz w:val="20"/>
                <w:szCs w:val="20"/>
              </w:rPr>
            </w:pPr>
            <w:r w:rsidRPr="009F227C">
              <w:rPr>
                <w:sz w:val="20"/>
                <w:szCs w:val="20"/>
              </w:rPr>
              <w:t>ST-4</w:t>
            </w:r>
          </w:p>
        </w:tc>
        <w:tc>
          <w:tcPr>
            <w:tcW w:w="4733" w:type="dxa"/>
          </w:tcPr>
          <w:p w14:paraId="26D9ED79" w14:textId="77777777" w:rsidR="00532378" w:rsidRPr="009F227C" w:rsidRDefault="00532378" w:rsidP="002C0A45">
            <w:pPr>
              <w:rPr>
                <w:sz w:val="20"/>
                <w:szCs w:val="20"/>
              </w:rPr>
            </w:pPr>
            <w:r w:rsidRPr="009F227C">
              <w:rPr>
                <w:sz w:val="20"/>
                <w:szCs w:val="20"/>
              </w:rPr>
              <w:t>Tierra Verde – Madonna Bridge Line Relocation</w:t>
            </w:r>
          </w:p>
        </w:tc>
        <w:tc>
          <w:tcPr>
            <w:tcW w:w="1285" w:type="dxa"/>
          </w:tcPr>
          <w:p w14:paraId="11780B6F" w14:textId="77777777" w:rsidR="00532378" w:rsidRPr="009F227C" w:rsidRDefault="00532378" w:rsidP="002C0A45">
            <w:pPr>
              <w:jc w:val="right"/>
              <w:rPr>
                <w:sz w:val="20"/>
                <w:szCs w:val="20"/>
              </w:rPr>
            </w:pPr>
            <w:r w:rsidRPr="009F227C">
              <w:rPr>
                <w:sz w:val="20"/>
                <w:szCs w:val="20"/>
              </w:rPr>
              <w:t>$503,709</w:t>
            </w:r>
          </w:p>
        </w:tc>
        <w:tc>
          <w:tcPr>
            <w:tcW w:w="1278" w:type="dxa"/>
          </w:tcPr>
          <w:p w14:paraId="455B57F2" w14:textId="77777777" w:rsidR="00532378" w:rsidRPr="009F227C" w:rsidRDefault="00532378" w:rsidP="002C0A45">
            <w:pPr>
              <w:jc w:val="right"/>
              <w:rPr>
                <w:sz w:val="20"/>
                <w:szCs w:val="20"/>
              </w:rPr>
            </w:pPr>
            <w:r w:rsidRPr="009F227C">
              <w:rPr>
                <w:sz w:val="20"/>
                <w:szCs w:val="20"/>
              </w:rPr>
              <w:t>$500,233</w:t>
            </w:r>
          </w:p>
        </w:tc>
        <w:tc>
          <w:tcPr>
            <w:tcW w:w="1288" w:type="dxa"/>
          </w:tcPr>
          <w:p w14:paraId="5C49C8B6" w14:textId="77777777" w:rsidR="00532378" w:rsidRPr="009F227C" w:rsidRDefault="00532378" w:rsidP="002C0A45">
            <w:pPr>
              <w:jc w:val="right"/>
              <w:rPr>
                <w:sz w:val="20"/>
                <w:szCs w:val="20"/>
              </w:rPr>
            </w:pPr>
            <w:r w:rsidRPr="009F227C">
              <w:rPr>
                <w:sz w:val="20"/>
                <w:szCs w:val="20"/>
              </w:rPr>
              <w:t>($3,476)</w:t>
            </w:r>
          </w:p>
        </w:tc>
      </w:tr>
      <w:tr w:rsidR="00532378" w:rsidRPr="009F227C" w14:paraId="698AC4DB" w14:textId="77777777" w:rsidTr="002C0A45">
        <w:tc>
          <w:tcPr>
            <w:tcW w:w="766" w:type="dxa"/>
          </w:tcPr>
          <w:p w14:paraId="16B23420" w14:textId="77777777" w:rsidR="00532378" w:rsidRPr="009F227C" w:rsidRDefault="00532378" w:rsidP="002C0A45">
            <w:pPr>
              <w:rPr>
                <w:sz w:val="20"/>
                <w:szCs w:val="20"/>
              </w:rPr>
            </w:pPr>
            <w:r w:rsidRPr="009F227C">
              <w:rPr>
                <w:sz w:val="20"/>
                <w:szCs w:val="20"/>
              </w:rPr>
              <w:t>ST-5</w:t>
            </w:r>
          </w:p>
        </w:tc>
        <w:tc>
          <w:tcPr>
            <w:tcW w:w="4733" w:type="dxa"/>
          </w:tcPr>
          <w:p w14:paraId="4D865A8F" w14:textId="77777777" w:rsidR="00532378" w:rsidRPr="009F227C" w:rsidRDefault="00532378" w:rsidP="002C0A45">
            <w:pPr>
              <w:rPr>
                <w:sz w:val="20"/>
                <w:szCs w:val="20"/>
              </w:rPr>
            </w:pPr>
            <w:r w:rsidRPr="009F227C">
              <w:rPr>
                <w:sz w:val="20"/>
                <w:szCs w:val="20"/>
              </w:rPr>
              <w:t>Cypress Lakes – VT SCADA 16 RTU Installations</w:t>
            </w:r>
          </w:p>
        </w:tc>
        <w:tc>
          <w:tcPr>
            <w:tcW w:w="1285" w:type="dxa"/>
          </w:tcPr>
          <w:p w14:paraId="364CFCDC" w14:textId="77777777" w:rsidR="00532378" w:rsidRPr="009F227C" w:rsidRDefault="00532378" w:rsidP="002C0A45">
            <w:pPr>
              <w:jc w:val="right"/>
              <w:rPr>
                <w:sz w:val="20"/>
                <w:szCs w:val="20"/>
              </w:rPr>
            </w:pPr>
            <w:r w:rsidRPr="009F227C">
              <w:rPr>
                <w:sz w:val="20"/>
                <w:szCs w:val="20"/>
              </w:rPr>
              <w:t>$262,681</w:t>
            </w:r>
          </w:p>
        </w:tc>
        <w:tc>
          <w:tcPr>
            <w:tcW w:w="1278" w:type="dxa"/>
          </w:tcPr>
          <w:p w14:paraId="428D66C1" w14:textId="77777777" w:rsidR="00532378" w:rsidRPr="009F227C" w:rsidRDefault="00532378" w:rsidP="002C0A45">
            <w:pPr>
              <w:jc w:val="right"/>
              <w:rPr>
                <w:sz w:val="20"/>
                <w:szCs w:val="20"/>
              </w:rPr>
            </w:pPr>
            <w:r w:rsidRPr="009F227C">
              <w:rPr>
                <w:sz w:val="20"/>
                <w:szCs w:val="20"/>
              </w:rPr>
              <w:t>$256,632</w:t>
            </w:r>
          </w:p>
        </w:tc>
        <w:tc>
          <w:tcPr>
            <w:tcW w:w="1288" w:type="dxa"/>
          </w:tcPr>
          <w:p w14:paraId="45ABC3FE" w14:textId="77777777" w:rsidR="00532378" w:rsidRPr="009F227C" w:rsidRDefault="00532378" w:rsidP="002C0A45">
            <w:pPr>
              <w:jc w:val="right"/>
              <w:rPr>
                <w:sz w:val="20"/>
                <w:szCs w:val="20"/>
              </w:rPr>
            </w:pPr>
            <w:r w:rsidRPr="009F227C">
              <w:rPr>
                <w:sz w:val="20"/>
                <w:szCs w:val="20"/>
              </w:rPr>
              <w:t>($6,049)</w:t>
            </w:r>
          </w:p>
        </w:tc>
      </w:tr>
      <w:tr w:rsidR="00532378" w:rsidRPr="009F227C" w14:paraId="3168DBAC" w14:textId="77777777" w:rsidTr="002C0A45">
        <w:tc>
          <w:tcPr>
            <w:tcW w:w="766" w:type="dxa"/>
          </w:tcPr>
          <w:p w14:paraId="0BAF00BF" w14:textId="77777777" w:rsidR="00532378" w:rsidRPr="009F227C" w:rsidRDefault="00532378" w:rsidP="002C0A45">
            <w:pPr>
              <w:rPr>
                <w:sz w:val="20"/>
                <w:szCs w:val="20"/>
              </w:rPr>
            </w:pPr>
            <w:r w:rsidRPr="009F227C">
              <w:rPr>
                <w:sz w:val="20"/>
                <w:szCs w:val="20"/>
              </w:rPr>
              <w:t>ST-6</w:t>
            </w:r>
          </w:p>
        </w:tc>
        <w:tc>
          <w:tcPr>
            <w:tcW w:w="4733" w:type="dxa"/>
          </w:tcPr>
          <w:p w14:paraId="53BC442D" w14:textId="77777777" w:rsidR="00532378" w:rsidRPr="009F227C" w:rsidRDefault="00532378" w:rsidP="002C0A45">
            <w:pPr>
              <w:rPr>
                <w:sz w:val="20"/>
                <w:szCs w:val="20"/>
              </w:rPr>
            </w:pPr>
            <w:r w:rsidRPr="009F227C">
              <w:rPr>
                <w:sz w:val="20"/>
                <w:szCs w:val="20"/>
              </w:rPr>
              <w:t>Eagle Ridge Headworks Improvements</w:t>
            </w:r>
          </w:p>
        </w:tc>
        <w:tc>
          <w:tcPr>
            <w:tcW w:w="1285" w:type="dxa"/>
          </w:tcPr>
          <w:p w14:paraId="7890534D" w14:textId="77777777" w:rsidR="00532378" w:rsidRPr="009F227C" w:rsidRDefault="00532378" w:rsidP="002C0A45">
            <w:pPr>
              <w:jc w:val="right"/>
              <w:rPr>
                <w:sz w:val="20"/>
                <w:szCs w:val="20"/>
              </w:rPr>
            </w:pPr>
            <w:r w:rsidRPr="009F227C">
              <w:rPr>
                <w:sz w:val="20"/>
                <w:szCs w:val="20"/>
              </w:rPr>
              <w:t>$1,006,114</w:t>
            </w:r>
          </w:p>
        </w:tc>
        <w:tc>
          <w:tcPr>
            <w:tcW w:w="1278" w:type="dxa"/>
            <w:shd w:val="clear" w:color="auto" w:fill="auto"/>
          </w:tcPr>
          <w:p w14:paraId="53D8B2D3" w14:textId="77777777" w:rsidR="00532378" w:rsidRPr="009F227C" w:rsidRDefault="00532378" w:rsidP="002C0A45">
            <w:pPr>
              <w:jc w:val="right"/>
              <w:rPr>
                <w:sz w:val="20"/>
                <w:szCs w:val="20"/>
              </w:rPr>
            </w:pPr>
            <w:r w:rsidRPr="009F227C">
              <w:rPr>
                <w:sz w:val="20"/>
                <w:szCs w:val="20"/>
              </w:rPr>
              <w:t>$1,020,618</w:t>
            </w:r>
          </w:p>
        </w:tc>
        <w:tc>
          <w:tcPr>
            <w:tcW w:w="1288" w:type="dxa"/>
            <w:shd w:val="clear" w:color="auto" w:fill="auto"/>
          </w:tcPr>
          <w:p w14:paraId="3B511A40" w14:textId="77777777" w:rsidR="00532378" w:rsidRPr="009F227C" w:rsidRDefault="00532378" w:rsidP="002C0A45">
            <w:pPr>
              <w:jc w:val="right"/>
              <w:rPr>
                <w:sz w:val="20"/>
                <w:szCs w:val="20"/>
              </w:rPr>
            </w:pPr>
            <w:r w:rsidRPr="009F227C">
              <w:rPr>
                <w:sz w:val="20"/>
                <w:szCs w:val="20"/>
              </w:rPr>
              <w:t>$14,504</w:t>
            </w:r>
          </w:p>
        </w:tc>
      </w:tr>
      <w:tr w:rsidR="00532378" w:rsidRPr="009F227C" w14:paraId="6D809633" w14:textId="77777777" w:rsidTr="002C0A45">
        <w:tc>
          <w:tcPr>
            <w:tcW w:w="766" w:type="dxa"/>
          </w:tcPr>
          <w:p w14:paraId="1EC027D5" w14:textId="77777777" w:rsidR="00532378" w:rsidRPr="009F227C" w:rsidRDefault="00532378" w:rsidP="002C0A45">
            <w:pPr>
              <w:rPr>
                <w:sz w:val="20"/>
                <w:szCs w:val="20"/>
              </w:rPr>
            </w:pPr>
            <w:r w:rsidRPr="009F227C">
              <w:rPr>
                <w:sz w:val="20"/>
                <w:szCs w:val="20"/>
              </w:rPr>
              <w:t>ST-7</w:t>
            </w:r>
          </w:p>
        </w:tc>
        <w:tc>
          <w:tcPr>
            <w:tcW w:w="4733" w:type="dxa"/>
          </w:tcPr>
          <w:p w14:paraId="4CC4E1C2" w14:textId="77777777" w:rsidR="00532378" w:rsidRPr="009F227C" w:rsidRDefault="00532378" w:rsidP="002C0A45">
            <w:pPr>
              <w:rPr>
                <w:sz w:val="20"/>
                <w:szCs w:val="20"/>
              </w:rPr>
            </w:pPr>
            <w:r w:rsidRPr="009F227C">
              <w:rPr>
                <w:sz w:val="20"/>
                <w:szCs w:val="20"/>
              </w:rPr>
              <w:t>Cross Creek – Compliance Improvements</w:t>
            </w:r>
          </w:p>
        </w:tc>
        <w:tc>
          <w:tcPr>
            <w:tcW w:w="1285" w:type="dxa"/>
          </w:tcPr>
          <w:p w14:paraId="38159EFA" w14:textId="77777777" w:rsidR="00532378" w:rsidRPr="009F227C" w:rsidRDefault="00532378" w:rsidP="002C0A45">
            <w:pPr>
              <w:jc w:val="right"/>
              <w:rPr>
                <w:sz w:val="20"/>
                <w:szCs w:val="20"/>
              </w:rPr>
            </w:pPr>
            <w:r w:rsidRPr="009F227C">
              <w:rPr>
                <w:sz w:val="20"/>
                <w:szCs w:val="20"/>
              </w:rPr>
              <w:t>$165,114</w:t>
            </w:r>
          </w:p>
        </w:tc>
        <w:tc>
          <w:tcPr>
            <w:tcW w:w="1278" w:type="dxa"/>
            <w:shd w:val="clear" w:color="auto" w:fill="auto"/>
          </w:tcPr>
          <w:p w14:paraId="3080ABF2" w14:textId="77777777" w:rsidR="00532378" w:rsidRPr="009F227C" w:rsidRDefault="00532378" w:rsidP="002C0A45">
            <w:pPr>
              <w:jc w:val="right"/>
              <w:rPr>
                <w:sz w:val="20"/>
                <w:szCs w:val="20"/>
              </w:rPr>
            </w:pPr>
            <w:r w:rsidRPr="009F227C">
              <w:rPr>
                <w:sz w:val="20"/>
                <w:szCs w:val="20"/>
              </w:rPr>
              <w:t>$157,445</w:t>
            </w:r>
          </w:p>
        </w:tc>
        <w:tc>
          <w:tcPr>
            <w:tcW w:w="1288" w:type="dxa"/>
            <w:shd w:val="clear" w:color="auto" w:fill="auto"/>
          </w:tcPr>
          <w:p w14:paraId="5351358F" w14:textId="77777777" w:rsidR="00532378" w:rsidRPr="009F227C" w:rsidRDefault="00532378" w:rsidP="002C0A45">
            <w:pPr>
              <w:jc w:val="right"/>
              <w:rPr>
                <w:sz w:val="20"/>
                <w:szCs w:val="20"/>
              </w:rPr>
            </w:pPr>
            <w:r w:rsidRPr="009F227C">
              <w:rPr>
                <w:sz w:val="20"/>
                <w:szCs w:val="20"/>
              </w:rPr>
              <w:t>($7,669)</w:t>
            </w:r>
          </w:p>
        </w:tc>
      </w:tr>
      <w:tr w:rsidR="00532378" w:rsidRPr="009F227C" w14:paraId="6EE60730" w14:textId="77777777" w:rsidTr="002C0A45">
        <w:tc>
          <w:tcPr>
            <w:tcW w:w="766" w:type="dxa"/>
          </w:tcPr>
          <w:p w14:paraId="790F07E7" w14:textId="77777777" w:rsidR="00532378" w:rsidRPr="009F227C" w:rsidRDefault="00532378" w:rsidP="002C0A45">
            <w:pPr>
              <w:rPr>
                <w:sz w:val="20"/>
                <w:szCs w:val="20"/>
              </w:rPr>
            </w:pPr>
            <w:r w:rsidRPr="009F227C">
              <w:rPr>
                <w:sz w:val="20"/>
                <w:szCs w:val="20"/>
              </w:rPr>
              <w:t>ST-8</w:t>
            </w:r>
          </w:p>
        </w:tc>
        <w:tc>
          <w:tcPr>
            <w:tcW w:w="4733" w:type="dxa"/>
          </w:tcPr>
          <w:p w14:paraId="50AF1FFA" w14:textId="77777777" w:rsidR="00532378" w:rsidRPr="009F227C" w:rsidRDefault="00532378" w:rsidP="002C0A45">
            <w:pPr>
              <w:rPr>
                <w:sz w:val="20"/>
                <w:szCs w:val="20"/>
              </w:rPr>
            </w:pPr>
            <w:r w:rsidRPr="009F227C">
              <w:rPr>
                <w:sz w:val="20"/>
                <w:szCs w:val="20"/>
              </w:rPr>
              <w:t>Mid-County - Riviera Estates LS, FM and GM Crossing Removal</w:t>
            </w:r>
          </w:p>
        </w:tc>
        <w:tc>
          <w:tcPr>
            <w:tcW w:w="1285" w:type="dxa"/>
          </w:tcPr>
          <w:p w14:paraId="696AABC9" w14:textId="77777777" w:rsidR="00532378" w:rsidRPr="009F227C" w:rsidRDefault="00532378" w:rsidP="002C0A45">
            <w:pPr>
              <w:jc w:val="right"/>
              <w:rPr>
                <w:sz w:val="20"/>
                <w:szCs w:val="20"/>
              </w:rPr>
            </w:pPr>
            <w:r w:rsidRPr="009F227C">
              <w:rPr>
                <w:sz w:val="20"/>
                <w:szCs w:val="20"/>
              </w:rPr>
              <w:t>$2,138,069</w:t>
            </w:r>
          </w:p>
        </w:tc>
        <w:tc>
          <w:tcPr>
            <w:tcW w:w="1278" w:type="dxa"/>
            <w:shd w:val="clear" w:color="auto" w:fill="auto"/>
          </w:tcPr>
          <w:p w14:paraId="3C4D226D" w14:textId="77777777" w:rsidR="00532378" w:rsidRPr="009F227C" w:rsidRDefault="00532378" w:rsidP="002C0A45">
            <w:pPr>
              <w:jc w:val="right"/>
              <w:rPr>
                <w:sz w:val="20"/>
                <w:szCs w:val="20"/>
              </w:rPr>
            </w:pPr>
            <w:r w:rsidRPr="009F227C">
              <w:rPr>
                <w:sz w:val="20"/>
                <w:szCs w:val="20"/>
              </w:rPr>
              <w:t>$2,130,672</w:t>
            </w:r>
          </w:p>
        </w:tc>
        <w:tc>
          <w:tcPr>
            <w:tcW w:w="1288" w:type="dxa"/>
            <w:shd w:val="clear" w:color="auto" w:fill="auto"/>
          </w:tcPr>
          <w:p w14:paraId="762E725B" w14:textId="77777777" w:rsidR="00532378" w:rsidRPr="009F227C" w:rsidRDefault="00532378" w:rsidP="002C0A45">
            <w:pPr>
              <w:jc w:val="right"/>
              <w:rPr>
                <w:sz w:val="20"/>
                <w:szCs w:val="20"/>
              </w:rPr>
            </w:pPr>
            <w:r w:rsidRPr="009F227C">
              <w:rPr>
                <w:sz w:val="20"/>
                <w:szCs w:val="20"/>
              </w:rPr>
              <w:t>($7,397)</w:t>
            </w:r>
          </w:p>
        </w:tc>
      </w:tr>
      <w:tr w:rsidR="00532378" w:rsidRPr="009F227C" w14:paraId="58BC5475" w14:textId="77777777" w:rsidTr="002C0A45">
        <w:tc>
          <w:tcPr>
            <w:tcW w:w="766" w:type="dxa"/>
          </w:tcPr>
          <w:p w14:paraId="09AEBFA4" w14:textId="77777777" w:rsidR="00532378" w:rsidRPr="009F227C" w:rsidRDefault="00532378" w:rsidP="002C0A45">
            <w:pPr>
              <w:rPr>
                <w:sz w:val="20"/>
                <w:szCs w:val="20"/>
              </w:rPr>
            </w:pPr>
            <w:r w:rsidRPr="009F227C">
              <w:rPr>
                <w:sz w:val="20"/>
                <w:szCs w:val="20"/>
              </w:rPr>
              <w:t>ST-9</w:t>
            </w:r>
          </w:p>
        </w:tc>
        <w:tc>
          <w:tcPr>
            <w:tcW w:w="4733" w:type="dxa"/>
          </w:tcPr>
          <w:p w14:paraId="0FFAAC28" w14:textId="77777777" w:rsidR="00532378" w:rsidRPr="009F227C" w:rsidRDefault="00532378" w:rsidP="002C0A45">
            <w:pPr>
              <w:rPr>
                <w:sz w:val="20"/>
                <w:szCs w:val="20"/>
              </w:rPr>
            </w:pPr>
            <w:r w:rsidRPr="009F227C">
              <w:rPr>
                <w:sz w:val="20"/>
                <w:szCs w:val="20"/>
              </w:rPr>
              <w:t>Mid-County – Wilshire Manhole Replacement</w:t>
            </w:r>
          </w:p>
        </w:tc>
        <w:tc>
          <w:tcPr>
            <w:tcW w:w="1285" w:type="dxa"/>
          </w:tcPr>
          <w:p w14:paraId="1EAB2924" w14:textId="77777777" w:rsidR="00532378" w:rsidRPr="009F227C" w:rsidRDefault="00532378" w:rsidP="002C0A45">
            <w:pPr>
              <w:jc w:val="right"/>
              <w:rPr>
                <w:sz w:val="20"/>
                <w:szCs w:val="20"/>
              </w:rPr>
            </w:pPr>
            <w:r w:rsidRPr="009F227C">
              <w:rPr>
                <w:sz w:val="20"/>
                <w:szCs w:val="20"/>
              </w:rPr>
              <w:t>$320,903</w:t>
            </w:r>
          </w:p>
        </w:tc>
        <w:tc>
          <w:tcPr>
            <w:tcW w:w="1278" w:type="dxa"/>
            <w:shd w:val="clear" w:color="auto" w:fill="auto"/>
          </w:tcPr>
          <w:p w14:paraId="2755FCCE" w14:textId="77777777" w:rsidR="00532378" w:rsidRPr="009F227C" w:rsidRDefault="00532378" w:rsidP="002C0A45">
            <w:pPr>
              <w:jc w:val="right"/>
              <w:rPr>
                <w:sz w:val="20"/>
                <w:szCs w:val="20"/>
              </w:rPr>
            </w:pPr>
            <w:r w:rsidRPr="009F227C">
              <w:rPr>
                <w:sz w:val="20"/>
                <w:szCs w:val="20"/>
              </w:rPr>
              <w:t>$315,101</w:t>
            </w:r>
          </w:p>
        </w:tc>
        <w:tc>
          <w:tcPr>
            <w:tcW w:w="1288" w:type="dxa"/>
            <w:shd w:val="clear" w:color="auto" w:fill="auto"/>
          </w:tcPr>
          <w:p w14:paraId="28D0438E" w14:textId="77777777" w:rsidR="00532378" w:rsidRPr="009F227C" w:rsidRDefault="00532378" w:rsidP="002C0A45">
            <w:pPr>
              <w:jc w:val="right"/>
              <w:rPr>
                <w:sz w:val="20"/>
                <w:szCs w:val="20"/>
              </w:rPr>
            </w:pPr>
            <w:r w:rsidRPr="009F227C">
              <w:rPr>
                <w:sz w:val="20"/>
                <w:szCs w:val="20"/>
              </w:rPr>
              <w:t>($5,802)</w:t>
            </w:r>
          </w:p>
        </w:tc>
      </w:tr>
      <w:tr w:rsidR="00532378" w:rsidRPr="009F227C" w14:paraId="1DCEF0B3" w14:textId="77777777" w:rsidTr="002C0A45">
        <w:tc>
          <w:tcPr>
            <w:tcW w:w="766" w:type="dxa"/>
          </w:tcPr>
          <w:p w14:paraId="4C00FD58" w14:textId="77777777" w:rsidR="00532378" w:rsidRPr="009F227C" w:rsidRDefault="00532378" w:rsidP="002C0A45">
            <w:pPr>
              <w:rPr>
                <w:sz w:val="20"/>
                <w:szCs w:val="20"/>
              </w:rPr>
            </w:pPr>
            <w:r w:rsidRPr="009F227C">
              <w:rPr>
                <w:sz w:val="20"/>
                <w:szCs w:val="20"/>
              </w:rPr>
              <w:t>ST-10</w:t>
            </w:r>
          </w:p>
        </w:tc>
        <w:tc>
          <w:tcPr>
            <w:tcW w:w="4733" w:type="dxa"/>
          </w:tcPr>
          <w:p w14:paraId="5D0407F0" w14:textId="77777777" w:rsidR="00532378" w:rsidRPr="009F227C" w:rsidRDefault="00532378" w:rsidP="002C0A45">
            <w:pPr>
              <w:rPr>
                <w:sz w:val="20"/>
                <w:szCs w:val="20"/>
              </w:rPr>
            </w:pPr>
            <w:r w:rsidRPr="009F227C">
              <w:rPr>
                <w:sz w:val="20"/>
                <w:szCs w:val="20"/>
              </w:rPr>
              <w:t>LUSI – Construction 2nd Lower Floridan Well</w:t>
            </w:r>
          </w:p>
        </w:tc>
        <w:tc>
          <w:tcPr>
            <w:tcW w:w="1285" w:type="dxa"/>
          </w:tcPr>
          <w:p w14:paraId="7EB15C66" w14:textId="77777777" w:rsidR="00532378" w:rsidRPr="009F227C" w:rsidRDefault="00532378" w:rsidP="002C0A45">
            <w:pPr>
              <w:jc w:val="right"/>
              <w:rPr>
                <w:sz w:val="20"/>
                <w:szCs w:val="20"/>
              </w:rPr>
            </w:pPr>
            <w:r w:rsidRPr="009F227C">
              <w:rPr>
                <w:sz w:val="20"/>
                <w:szCs w:val="20"/>
              </w:rPr>
              <w:t>$2,151,519</w:t>
            </w:r>
          </w:p>
        </w:tc>
        <w:tc>
          <w:tcPr>
            <w:tcW w:w="1278" w:type="dxa"/>
            <w:shd w:val="clear" w:color="auto" w:fill="auto"/>
          </w:tcPr>
          <w:p w14:paraId="7532A991" w14:textId="77777777" w:rsidR="00532378" w:rsidRPr="009F227C" w:rsidRDefault="00532378" w:rsidP="002C0A45">
            <w:pPr>
              <w:jc w:val="right"/>
              <w:rPr>
                <w:sz w:val="20"/>
                <w:szCs w:val="20"/>
              </w:rPr>
            </w:pPr>
            <w:r w:rsidRPr="009F227C">
              <w:rPr>
                <w:sz w:val="20"/>
                <w:szCs w:val="20"/>
              </w:rPr>
              <w:t>$1,958,967</w:t>
            </w:r>
          </w:p>
        </w:tc>
        <w:tc>
          <w:tcPr>
            <w:tcW w:w="1288" w:type="dxa"/>
            <w:shd w:val="clear" w:color="auto" w:fill="auto"/>
          </w:tcPr>
          <w:p w14:paraId="33A00AE6" w14:textId="77777777" w:rsidR="00532378" w:rsidRPr="009F227C" w:rsidRDefault="00532378" w:rsidP="002C0A45">
            <w:pPr>
              <w:jc w:val="right"/>
              <w:rPr>
                <w:sz w:val="20"/>
                <w:szCs w:val="20"/>
              </w:rPr>
            </w:pPr>
            <w:r w:rsidRPr="009F227C">
              <w:rPr>
                <w:sz w:val="20"/>
                <w:szCs w:val="20"/>
              </w:rPr>
              <w:t>($192,551)</w:t>
            </w:r>
          </w:p>
        </w:tc>
      </w:tr>
      <w:tr w:rsidR="00532378" w:rsidRPr="009F227C" w14:paraId="5B5BB76B" w14:textId="77777777" w:rsidTr="002C0A45">
        <w:tc>
          <w:tcPr>
            <w:tcW w:w="766" w:type="dxa"/>
          </w:tcPr>
          <w:p w14:paraId="26F4C005" w14:textId="77777777" w:rsidR="00532378" w:rsidRPr="009F227C" w:rsidRDefault="00532378" w:rsidP="002C0A45">
            <w:pPr>
              <w:rPr>
                <w:sz w:val="20"/>
                <w:szCs w:val="20"/>
              </w:rPr>
            </w:pPr>
            <w:r w:rsidRPr="009F227C">
              <w:rPr>
                <w:sz w:val="20"/>
                <w:szCs w:val="20"/>
              </w:rPr>
              <w:t>ST-11</w:t>
            </w:r>
          </w:p>
        </w:tc>
        <w:tc>
          <w:tcPr>
            <w:tcW w:w="4733" w:type="dxa"/>
          </w:tcPr>
          <w:p w14:paraId="1677541D" w14:textId="77777777" w:rsidR="00532378" w:rsidRPr="009F227C" w:rsidRDefault="00532378" w:rsidP="002C0A45">
            <w:pPr>
              <w:rPr>
                <w:sz w:val="20"/>
                <w:szCs w:val="20"/>
              </w:rPr>
            </w:pPr>
            <w:r w:rsidRPr="009F227C">
              <w:rPr>
                <w:sz w:val="20"/>
                <w:szCs w:val="20"/>
              </w:rPr>
              <w:t>LUSI CFX US 27 Sewer Relocates</w:t>
            </w:r>
          </w:p>
        </w:tc>
        <w:tc>
          <w:tcPr>
            <w:tcW w:w="1285" w:type="dxa"/>
            <w:shd w:val="clear" w:color="auto" w:fill="auto"/>
          </w:tcPr>
          <w:p w14:paraId="7AE29D45" w14:textId="77777777" w:rsidR="00532378" w:rsidRPr="009F227C" w:rsidRDefault="00532378" w:rsidP="002C0A45">
            <w:pPr>
              <w:jc w:val="right"/>
              <w:rPr>
                <w:sz w:val="20"/>
                <w:szCs w:val="20"/>
              </w:rPr>
            </w:pPr>
            <w:r w:rsidRPr="009F227C">
              <w:rPr>
                <w:sz w:val="20"/>
                <w:szCs w:val="20"/>
              </w:rPr>
              <w:t>$4,474,320</w:t>
            </w:r>
          </w:p>
        </w:tc>
        <w:tc>
          <w:tcPr>
            <w:tcW w:w="1278" w:type="dxa"/>
            <w:shd w:val="clear" w:color="auto" w:fill="auto"/>
          </w:tcPr>
          <w:p w14:paraId="62B85DDF" w14:textId="77777777" w:rsidR="00532378" w:rsidRPr="009F227C" w:rsidRDefault="00532378" w:rsidP="002C0A45">
            <w:pPr>
              <w:jc w:val="right"/>
              <w:rPr>
                <w:sz w:val="20"/>
                <w:szCs w:val="20"/>
              </w:rPr>
            </w:pPr>
            <w:r w:rsidRPr="009F227C">
              <w:rPr>
                <w:sz w:val="20"/>
                <w:szCs w:val="20"/>
              </w:rPr>
              <w:t>$4,612,569</w:t>
            </w:r>
          </w:p>
        </w:tc>
        <w:tc>
          <w:tcPr>
            <w:tcW w:w="1288" w:type="dxa"/>
            <w:shd w:val="clear" w:color="auto" w:fill="auto"/>
          </w:tcPr>
          <w:p w14:paraId="55F60CF3" w14:textId="77777777" w:rsidR="00532378" w:rsidRPr="009F227C" w:rsidRDefault="00532378" w:rsidP="002C0A45">
            <w:pPr>
              <w:jc w:val="right"/>
              <w:rPr>
                <w:sz w:val="20"/>
                <w:szCs w:val="20"/>
              </w:rPr>
            </w:pPr>
            <w:r w:rsidRPr="009F227C">
              <w:rPr>
                <w:sz w:val="20"/>
                <w:szCs w:val="20"/>
              </w:rPr>
              <w:t>$138,249</w:t>
            </w:r>
          </w:p>
        </w:tc>
      </w:tr>
      <w:tr w:rsidR="00532378" w:rsidRPr="009F227C" w14:paraId="27A97B37" w14:textId="77777777" w:rsidTr="002C0A45">
        <w:tc>
          <w:tcPr>
            <w:tcW w:w="766" w:type="dxa"/>
          </w:tcPr>
          <w:p w14:paraId="68986859" w14:textId="77777777" w:rsidR="00532378" w:rsidRPr="009F227C" w:rsidRDefault="00532378" w:rsidP="002C0A45">
            <w:pPr>
              <w:rPr>
                <w:sz w:val="20"/>
                <w:szCs w:val="20"/>
              </w:rPr>
            </w:pPr>
            <w:r w:rsidRPr="009F227C">
              <w:rPr>
                <w:sz w:val="20"/>
                <w:szCs w:val="20"/>
              </w:rPr>
              <w:t>ST-12</w:t>
            </w:r>
          </w:p>
        </w:tc>
        <w:tc>
          <w:tcPr>
            <w:tcW w:w="4733" w:type="dxa"/>
          </w:tcPr>
          <w:p w14:paraId="39E80E6D" w14:textId="77777777" w:rsidR="00532378" w:rsidRPr="009F227C" w:rsidRDefault="00532378" w:rsidP="002C0A45">
            <w:pPr>
              <w:rPr>
                <w:sz w:val="20"/>
                <w:szCs w:val="20"/>
              </w:rPr>
            </w:pPr>
            <w:r w:rsidRPr="009F227C">
              <w:rPr>
                <w:sz w:val="20"/>
                <w:szCs w:val="20"/>
              </w:rPr>
              <w:t>LUSI CFX US 27 Water Relocates</w:t>
            </w:r>
          </w:p>
        </w:tc>
        <w:tc>
          <w:tcPr>
            <w:tcW w:w="1285" w:type="dxa"/>
            <w:shd w:val="clear" w:color="auto" w:fill="auto"/>
          </w:tcPr>
          <w:p w14:paraId="167E3B40" w14:textId="77777777" w:rsidR="00532378" w:rsidRPr="009F227C" w:rsidRDefault="00532378" w:rsidP="002C0A45">
            <w:pPr>
              <w:jc w:val="right"/>
              <w:rPr>
                <w:sz w:val="20"/>
                <w:szCs w:val="20"/>
              </w:rPr>
            </w:pPr>
            <w:r w:rsidRPr="009F227C">
              <w:rPr>
                <w:sz w:val="20"/>
                <w:szCs w:val="20"/>
              </w:rPr>
              <w:t>$3,369,201</w:t>
            </w:r>
          </w:p>
        </w:tc>
        <w:tc>
          <w:tcPr>
            <w:tcW w:w="1278" w:type="dxa"/>
            <w:shd w:val="clear" w:color="auto" w:fill="auto"/>
          </w:tcPr>
          <w:p w14:paraId="03B3BCF4" w14:textId="77777777" w:rsidR="00532378" w:rsidRPr="009F227C" w:rsidRDefault="00532378" w:rsidP="002C0A45">
            <w:pPr>
              <w:jc w:val="right"/>
              <w:rPr>
                <w:sz w:val="20"/>
                <w:szCs w:val="20"/>
              </w:rPr>
            </w:pPr>
            <w:r w:rsidRPr="009F227C">
              <w:rPr>
                <w:sz w:val="20"/>
                <w:szCs w:val="20"/>
              </w:rPr>
              <w:t>$2,770,605</w:t>
            </w:r>
          </w:p>
        </w:tc>
        <w:tc>
          <w:tcPr>
            <w:tcW w:w="1288" w:type="dxa"/>
            <w:shd w:val="clear" w:color="auto" w:fill="auto"/>
          </w:tcPr>
          <w:p w14:paraId="216480AF" w14:textId="77777777" w:rsidR="00532378" w:rsidRPr="009F227C" w:rsidRDefault="00532378" w:rsidP="002C0A45">
            <w:pPr>
              <w:jc w:val="right"/>
              <w:rPr>
                <w:sz w:val="20"/>
                <w:szCs w:val="20"/>
              </w:rPr>
            </w:pPr>
            <w:r w:rsidRPr="009F227C">
              <w:rPr>
                <w:sz w:val="20"/>
                <w:szCs w:val="20"/>
              </w:rPr>
              <w:t>($598,596)</w:t>
            </w:r>
          </w:p>
        </w:tc>
      </w:tr>
      <w:tr w:rsidR="00532378" w:rsidRPr="009F227C" w14:paraId="160C1BC9" w14:textId="77777777" w:rsidTr="002C0A45">
        <w:tc>
          <w:tcPr>
            <w:tcW w:w="766" w:type="dxa"/>
          </w:tcPr>
          <w:p w14:paraId="2BE8A4F4" w14:textId="77777777" w:rsidR="00532378" w:rsidRPr="009F227C" w:rsidRDefault="00532378" w:rsidP="002C0A45">
            <w:pPr>
              <w:rPr>
                <w:sz w:val="20"/>
                <w:szCs w:val="20"/>
              </w:rPr>
            </w:pPr>
            <w:r w:rsidRPr="009F227C">
              <w:rPr>
                <w:sz w:val="20"/>
                <w:szCs w:val="20"/>
              </w:rPr>
              <w:t>ST-13</w:t>
            </w:r>
          </w:p>
        </w:tc>
        <w:tc>
          <w:tcPr>
            <w:tcW w:w="4733" w:type="dxa"/>
          </w:tcPr>
          <w:p w14:paraId="170CF26B" w14:textId="77777777" w:rsidR="00532378" w:rsidRPr="009F227C" w:rsidRDefault="00532378" w:rsidP="002C0A45">
            <w:pPr>
              <w:rPr>
                <w:sz w:val="20"/>
                <w:szCs w:val="20"/>
              </w:rPr>
            </w:pPr>
            <w:r w:rsidRPr="009F227C">
              <w:rPr>
                <w:sz w:val="20"/>
                <w:szCs w:val="20"/>
              </w:rPr>
              <w:t>LUSI – CR 561 WTP Improvements</w:t>
            </w:r>
          </w:p>
        </w:tc>
        <w:tc>
          <w:tcPr>
            <w:tcW w:w="1285" w:type="dxa"/>
          </w:tcPr>
          <w:p w14:paraId="66BCBB2D" w14:textId="77777777" w:rsidR="00532378" w:rsidRPr="009F227C" w:rsidRDefault="00532378" w:rsidP="002C0A45">
            <w:pPr>
              <w:jc w:val="right"/>
              <w:rPr>
                <w:sz w:val="20"/>
                <w:szCs w:val="20"/>
              </w:rPr>
            </w:pPr>
            <w:r w:rsidRPr="009F227C">
              <w:rPr>
                <w:sz w:val="20"/>
                <w:szCs w:val="20"/>
              </w:rPr>
              <w:t>$1,882,650</w:t>
            </w:r>
          </w:p>
        </w:tc>
        <w:tc>
          <w:tcPr>
            <w:tcW w:w="1278" w:type="dxa"/>
            <w:shd w:val="clear" w:color="auto" w:fill="auto"/>
          </w:tcPr>
          <w:p w14:paraId="7165920C" w14:textId="77777777" w:rsidR="00532378" w:rsidRPr="009F227C" w:rsidRDefault="00532378" w:rsidP="002C0A45">
            <w:pPr>
              <w:jc w:val="right"/>
              <w:rPr>
                <w:sz w:val="20"/>
                <w:szCs w:val="20"/>
              </w:rPr>
            </w:pPr>
            <w:r w:rsidRPr="009F227C">
              <w:rPr>
                <w:sz w:val="20"/>
                <w:szCs w:val="20"/>
              </w:rPr>
              <w:t>$2,534,217</w:t>
            </w:r>
          </w:p>
        </w:tc>
        <w:tc>
          <w:tcPr>
            <w:tcW w:w="1288" w:type="dxa"/>
            <w:shd w:val="clear" w:color="auto" w:fill="auto"/>
          </w:tcPr>
          <w:p w14:paraId="60A0DB5B" w14:textId="77777777" w:rsidR="00532378" w:rsidRPr="009F227C" w:rsidRDefault="00532378" w:rsidP="002C0A45">
            <w:pPr>
              <w:jc w:val="right"/>
              <w:rPr>
                <w:sz w:val="20"/>
                <w:szCs w:val="20"/>
              </w:rPr>
            </w:pPr>
            <w:r w:rsidRPr="009F227C">
              <w:rPr>
                <w:sz w:val="20"/>
                <w:szCs w:val="20"/>
              </w:rPr>
              <w:t>$651,567</w:t>
            </w:r>
          </w:p>
        </w:tc>
      </w:tr>
      <w:tr w:rsidR="00532378" w:rsidRPr="009F227C" w14:paraId="005B1267" w14:textId="77777777" w:rsidTr="002C0A45">
        <w:tc>
          <w:tcPr>
            <w:tcW w:w="766" w:type="dxa"/>
          </w:tcPr>
          <w:p w14:paraId="6992ACCF" w14:textId="77777777" w:rsidR="00532378" w:rsidRPr="009F227C" w:rsidRDefault="00532378" w:rsidP="002C0A45">
            <w:pPr>
              <w:rPr>
                <w:sz w:val="20"/>
                <w:szCs w:val="20"/>
              </w:rPr>
            </w:pPr>
            <w:r w:rsidRPr="009F227C">
              <w:rPr>
                <w:sz w:val="20"/>
                <w:szCs w:val="20"/>
              </w:rPr>
              <w:t>ST-14</w:t>
            </w:r>
          </w:p>
        </w:tc>
        <w:tc>
          <w:tcPr>
            <w:tcW w:w="4733" w:type="dxa"/>
          </w:tcPr>
          <w:p w14:paraId="3AFC6348" w14:textId="77777777" w:rsidR="00532378" w:rsidRPr="009F227C" w:rsidRDefault="00532378" w:rsidP="002C0A45">
            <w:pPr>
              <w:rPr>
                <w:sz w:val="20"/>
                <w:szCs w:val="20"/>
              </w:rPr>
            </w:pPr>
            <w:r w:rsidRPr="009F227C">
              <w:rPr>
                <w:sz w:val="20"/>
                <w:szCs w:val="20"/>
              </w:rPr>
              <w:t>UIF – Weathersfield WTP Generator Replacement</w:t>
            </w:r>
          </w:p>
        </w:tc>
        <w:tc>
          <w:tcPr>
            <w:tcW w:w="1285" w:type="dxa"/>
          </w:tcPr>
          <w:p w14:paraId="7F799213" w14:textId="77777777" w:rsidR="00532378" w:rsidRPr="009F227C" w:rsidRDefault="00532378" w:rsidP="002C0A45">
            <w:pPr>
              <w:jc w:val="right"/>
              <w:rPr>
                <w:sz w:val="20"/>
                <w:szCs w:val="20"/>
              </w:rPr>
            </w:pPr>
            <w:r w:rsidRPr="009F227C">
              <w:rPr>
                <w:sz w:val="20"/>
                <w:szCs w:val="20"/>
              </w:rPr>
              <w:t>$1,285,148</w:t>
            </w:r>
          </w:p>
        </w:tc>
        <w:tc>
          <w:tcPr>
            <w:tcW w:w="1278" w:type="dxa"/>
            <w:shd w:val="clear" w:color="auto" w:fill="auto"/>
          </w:tcPr>
          <w:p w14:paraId="75E5E9B2" w14:textId="77777777" w:rsidR="00532378" w:rsidRPr="009F227C" w:rsidRDefault="00532378" w:rsidP="002C0A45">
            <w:pPr>
              <w:jc w:val="right"/>
              <w:rPr>
                <w:sz w:val="20"/>
                <w:szCs w:val="20"/>
              </w:rPr>
            </w:pPr>
            <w:r w:rsidRPr="009F227C">
              <w:rPr>
                <w:sz w:val="20"/>
                <w:szCs w:val="20"/>
              </w:rPr>
              <w:t>$1,330,913</w:t>
            </w:r>
          </w:p>
        </w:tc>
        <w:tc>
          <w:tcPr>
            <w:tcW w:w="1288" w:type="dxa"/>
            <w:shd w:val="clear" w:color="auto" w:fill="auto"/>
          </w:tcPr>
          <w:p w14:paraId="1043492E" w14:textId="77777777" w:rsidR="00532378" w:rsidRPr="009F227C" w:rsidRDefault="00532378" w:rsidP="002C0A45">
            <w:pPr>
              <w:jc w:val="right"/>
              <w:rPr>
                <w:sz w:val="20"/>
                <w:szCs w:val="20"/>
              </w:rPr>
            </w:pPr>
            <w:r w:rsidRPr="009F227C">
              <w:rPr>
                <w:sz w:val="20"/>
                <w:szCs w:val="20"/>
              </w:rPr>
              <w:t>$45,765</w:t>
            </w:r>
          </w:p>
        </w:tc>
      </w:tr>
      <w:tr w:rsidR="00532378" w:rsidRPr="009F227C" w14:paraId="63F2D27E" w14:textId="77777777" w:rsidTr="002C0A45">
        <w:tc>
          <w:tcPr>
            <w:tcW w:w="766" w:type="dxa"/>
          </w:tcPr>
          <w:p w14:paraId="40DD9EBC" w14:textId="77777777" w:rsidR="00532378" w:rsidRPr="009F227C" w:rsidRDefault="00532378" w:rsidP="002C0A45">
            <w:pPr>
              <w:rPr>
                <w:sz w:val="20"/>
                <w:szCs w:val="20"/>
              </w:rPr>
            </w:pPr>
            <w:r w:rsidRPr="009F227C">
              <w:rPr>
                <w:sz w:val="20"/>
                <w:szCs w:val="20"/>
              </w:rPr>
              <w:t>ST-15</w:t>
            </w:r>
          </w:p>
        </w:tc>
        <w:tc>
          <w:tcPr>
            <w:tcW w:w="4733" w:type="dxa"/>
          </w:tcPr>
          <w:p w14:paraId="111F574F" w14:textId="77777777" w:rsidR="00532378" w:rsidRPr="009F227C" w:rsidRDefault="00532378" w:rsidP="002C0A45">
            <w:pPr>
              <w:rPr>
                <w:sz w:val="20"/>
                <w:szCs w:val="20"/>
              </w:rPr>
            </w:pPr>
            <w:r w:rsidRPr="009F227C">
              <w:rPr>
                <w:sz w:val="20"/>
                <w:szCs w:val="20"/>
              </w:rPr>
              <w:t>UIF – Weathersfield Hydro Tank Replacement</w:t>
            </w:r>
          </w:p>
        </w:tc>
        <w:tc>
          <w:tcPr>
            <w:tcW w:w="1285" w:type="dxa"/>
          </w:tcPr>
          <w:p w14:paraId="7A653EB9" w14:textId="77777777" w:rsidR="00532378" w:rsidRPr="009F227C" w:rsidRDefault="00532378" w:rsidP="002C0A45">
            <w:pPr>
              <w:jc w:val="right"/>
              <w:rPr>
                <w:sz w:val="20"/>
                <w:szCs w:val="20"/>
              </w:rPr>
            </w:pPr>
            <w:r w:rsidRPr="009F227C">
              <w:rPr>
                <w:sz w:val="20"/>
                <w:szCs w:val="20"/>
              </w:rPr>
              <w:t>$102,201</w:t>
            </w:r>
          </w:p>
        </w:tc>
        <w:tc>
          <w:tcPr>
            <w:tcW w:w="1278" w:type="dxa"/>
            <w:shd w:val="clear" w:color="auto" w:fill="auto"/>
          </w:tcPr>
          <w:p w14:paraId="192434EC" w14:textId="77777777" w:rsidR="00532378" w:rsidRPr="009F227C" w:rsidRDefault="00532378" w:rsidP="002C0A45">
            <w:pPr>
              <w:jc w:val="right"/>
              <w:rPr>
                <w:sz w:val="20"/>
                <w:szCs w:val="20"/>
              </w:rPr>
            </w:pPr>
            <w:r w:rsidRPr="009F227C">
              <w:rPr>
                <w:sz w:val="20"/>
                <w:szCs w:val="20"/>
              </w:rPr>
              <w:t>$102,201</w:t>
            </w:r>
          </w:p>
        </w:tc>
        <w:tc>
          <w:tcPr>
            <w:tcW w:w="1288" w:type="dxa"/>
            <w:shd w:val="clear" w:color="auto" w:fill="auto"/>
          </w:tcPr>
          <w:p w14:paraId="1D0F0300" w14:textId="77777777" w:rsidR="00532378" w:rsidRPr="009F227C" w:rsidRDefault="00532378" w:rsidP="002C0A45">
            <w:pPr>
              <w:jc w:val="right"/>
              <w:rPr>
                <w:sz w:val="20"/>
                <w:szCs w:val="20"/>
              </w:rPr>
            </w:pPr>
            <w:r w:rsidRPr="009F227C">
              <w:rPr>
                <w:sz w:val="20"/>
                <w:szCs w:val="20"/>
              </w:rPr>
              <w:t>$0</w:t>
            </w:r>
          </w:p>
        </w:tc>
      </w:tr>
      <w:tr w:rsidR="00532378" w:rsidRPr="009F227C" w14:paraId="0E1FFE6E" w14:textId="77777777" w:rsidTr="002C0A45">
        <w:tc>
          <w:tcPr>
            <w:tcW w:w="766" w:type="dxa"/>
          </w:tcPr>
          <w:p w14:paraId="75820E27" w14:textId="77777777" w:rsidR="00532378" w:rsidRPr="009F227C" w:rsidRDefault="00532378" w:rsidP="002C0A45">
            <w:pPr>
              <w:rPr>
                <w:sz w:val="20"/>
                <w:szCs w:val="20"/>
              </w:rPr>
            </w:pPr>
            <w:r w:rsidRPr="009F227C">
              <w:rPr>
                <w:sz w:val="20"/>
                <w:szCs w:val="20"/>
              </w:rPr>
              <w:t>ST-16</w:t>
            </w:r>
          </w:p>
        </w:tc>
        <w:tc>
          <w:tcPr>
            <w:tcW w:w="4733" w:type="dxa"/>
          </w:tcPr>
          <w:p w14:paraId="1965DAF7" w14:textId="77777777" w:rsidR="00532378" w:rsidRPr="009F227C" w:rsidRDefault="00532378" w:rsidP="002C0A45">
            <w:pPr>
              <w:rPr>
                <w:sz w:val="20"/>
                <w:szCs w:val="20"/>
              </w:rPr>
            </w:pPr>
            <w:r w:rsidRPr="009F227C">
              <w:rPr>
                <w:sz w:val="20"/>
                <w:szCs w:val="20"/>
              </w:rPr>
              <w:t>Golden Hills WTP Generator Replacement</w:t>
            </w:r>
          </w:p>
        </w:tc>
        <w:tc>
          <w:tcPr>
            <w:tcW w:w="1285" w:type="dxa"/>
          </w:tcPr>
          <w:p w14:paraId="738E05AD" w14:textId="77777777" w:rsidR="00532378" w:rsidRPr="009F227C" w:rsidRDefault="00532378" w:rsidP="002C0A45">
            <w:pPr>
              <w:jc w:val="right"/>
              <w:rPr>
                <w:sz w:val="20"/>
                <w:szCs w:val="20"/>
              </w:rPr>
            </w:pPr>
            <w:r w:rsidRPr="009F227C">
              <w:rPr>
                <w:sz w:val="20"/>
                <w:szCs w:val="20"/>
              </w:rPr>
              <w:t>$740,055</w:t>
            </w:r>
          </w:p>
        </w:tc>
        <w:tc>
          <w:tcPr>
            <w:tcW w:w="1278" w:type="dxa"/>
            <w:shd w:val="clear" w:color="auto" w:fill="auto"/>
          </w:tcPr>
          <w:p w14:paraId="2A7CB6C9" w14:textId="77777777" w:rsidR="00532378" w:rsidRPr="009F227C" w:rsidRDefault="00532378" w:rsidP="002C0A45">
            <w:pPr>
              <w:jc w:val="right"/>
              <w:rPr>
                <w:sz w:val="20"/>
                <w:szCs w:val="20"/>
              </w:rPr>
            </w:pPr>
            <w:r w:rsidRPr="009F227C">
              <w:rPr>
                <w:sz w:val="20"/>
                <w:szCs w:val="20"/>
              </w:rPr>
              <w:t>$1,233,180</w:t>
            </w:r>
          </w:p>
        </w:tc>
        <w:tc>
          <w:tcPr>
            <w:tcW w:w="1288" w:type="dxa"/>
            <w:shd w:val="clear" w:color="auto" w:fill="auto"/>
          </w:tcPr>
          <w:p w14:paraId="0D7CF718" w14:textId="77777777" w:rsidR="00532378" w:rsidRPr="009F227C" w:rsidRDefault="00532378" w:rsidP="002C0A45">
            <w:pPr>
              <w:jc w:val="right"/>
              <w:rPr>
                <w:sz w:val="20"/>
                <w:szCs w:val="20"/>
              </w:rPr>
            </w:pPr>
            <w:r w:rsidRPr="009F227C">
              <w:rPr>
                <w:sz w:val="20"/>
                <w:szCs w:val="20"/>
              </w:rPr>
              <w:t>$493,125</w:t>
            </w:r>
          </w:p>
        </w:tc>
      </w:tr>
      <w:tr w:rsidR="00532378" w:rsidRPr="009F227C" w14:paraId="674A8A0E" w14:textId="77777777" w:rsidTr="002C0A45">
        <w:tc>
          <w:tcPr>
            <w:tcW w:w="766" w:type="dxa"/>
          </w:tcPr>
          <w:p w14:paraId="7C7089F7" w14:textId="77777777" w:rsidR="00532378" w:rsidRPr="009F227C" w:rsidRDefault="00532378" w:rsidP="002C0A45">
            <w:pPr>
              <w:rPr>
                <w:sz w:val="20"/>
                <w:szCs w:val="20"/>
              </w:rPr>
            </w:pPr>
            <w:r w:rsidRPr="009F227C">
              <w:rPr>
                <w:sz w:val="20"/>
                <w:szCs w:val="20"/>
              </w:rPr>
              <w:t>ST-17</w:t>
            </w:r>
          </w:p>
        </w:tc>
        <w:tc>
          <w:tcPr>
            <w:tcW w:w="4733" w:type="dxa"/>
          </w:tcPr>
          <w:p w14:paraId="0469B7EE" w14:textId="77777777" w:rsidR="00532378" w:rsidRPr="009F227C" w:rsidRDefault="00532378" w:rsidP="002C0A45">
            <w:pPr>
              <w:rPr>
                <w:sz w:val="20"/>
                <w:szCs w:val="20"/>
              </w:rPr>
            </w:pPr>
            <w:r w:rsidRPr="009F227C">
              <w:rPr>
                <w:sz w:val="20"/>
                <w:szCs w:val="20"/>
              </w:rPr>
              <w:t>Sanlando – F5 FM</w:t>
            </w:r>
          </w:p>
        </w:tc>
        <w:tc>
          <w:tcPr>
            <w:tcW w:w="1285" w:type="dxa"/>
          </w:tcPr>
          <w:p w14:paraId="66C1C7DA" w14:textId="77777777" w:rsidR="00532378" w:rsidRPr="009F227C" w:rsidRDefault="00532378" w:rsidP="002C0A45">
            <w:pPr>
              <w:jc w:val="right"/>
              <w:rPr>
                <w:sz w:val="20"/>
                <w:szCs w:val="20"/>
              </w:rPr>
            </w:pPr>
            <w:r w:rsidRPr="009F227C">
              <w:rPr>
                <w:sz w:val="20"/>
                <w:szCs w:val="20"/>
              </w:rPr>
              <w:t>$3,811,775</w:t>
            </w:r>
          </w:p>
        </w:tc>
        <w:tc>
          <w:tcPr>
            <w:tcW w:w="1278" w:type="dxa"/>
            <w:shd w:val="clear" w:color="auto" w:fill="auto"/>
          </w:tcPr>
          <w:p w14:paraId="331CDE59" w14:textId="77777777" w:rsidR="00532378" w:rsidRPr="009F227C" w:rsidRDefault="00532378" w:rsidP="002C0A45">
            <w:pPr>
              <w:jc w:val="right"/>
              <w:rPr>
                <w:sz w:val="20"/>
                <w:szCs w:val="20"/>
              </w:rPr>
            </w:pPr>
            <w:r w:rsidRPr="009F227C">
              <w:rPr>
                <w:sz w:val="20"/>
                <w:szCs w:val="20"/>
              </w:rPr>
              <w:t>$5,006,397</w:t>
            </w:r>
          </w:p>
        </w:tc>
        <w:tc>
          <w:tcPr>
            <w:tcW w:w="1288" w:type="dxa"/>
            <w:shd w:val="clear" w:color="auto" w:fill="auto"/>
          </w:tcPr>
          <w:p w14:paraId="758AC23D" w14:textId="77777777" w:rsidR="00532378" w:rsidRPr="009F227C" w:rsidRDefault="00532378" w:rsidP="002C0A45">
            <w:pPr>
              <w:jc w:val="right"/>
              <w:rPr>
                <w:sz w:val="20"/>
                <w:szCs w:val="20"/>
              </w:rPr>
            </w:pPr>
            <w:r w:rsidRPr="009F227C">
              <w:rPr>
                <w:sz w:val="20"/>
                <w:szCs w:val="20"/>
              </w:rPr>
              <w:t>$1,194,622</w:t>
            </w:r>
          </w:p>
        </w:tc>
      </w:tr>
      <w:tr w:rsidR="00532378" w:rsidRPr="009F227C" w14:paraId="7A21A577" w14:textId="77777777" w:rsidTr="002C0A45">
        <w:tc>
          <w:tcPr>
            <w:tcW w:w="766" w:type="dxa"/>
          </w:tcPr>
          <w:p w14:paraId="319F2A81" w14:textId="77777777" w:rsidR="00532378" w:rsidRPr="009F227C" w:rsidRDefault="00532378" w:rsidP="002C0A45">
            <w:pPr>
              <w:rPr>
                <w:sz w:val="20"/>
                <w:szCs w:val="20"/>
              </w:rPr>
            </w:pPr>
            <w:r w:rsidRPr="009F227C">
              <w:rPr>
                <w:sz w:val="20"/>
                <w:szCs w:val="20"/>
              </w:rPr>
              <w:t>ST-18</w:t>
            </w:r>
          </w:p>
        </w:tc>
        <w:tc>
          <w:tcPr>
            <w:tcW w:w="4733" w:type="dxa"/>
          </w:tcPr>
          <w:p w14:paraId="422E7486" w14:textId="77777777" w:rsidR="00532378" w:rsidRPr="009F227C" w:rsidRDefault="00532378" w:rsidP="002C0A45">
            <w:pPr>
              <w:rPr>
                <w:sz w:val="20"/>
                <w:szCs w:val="20"/>
              </w:rPr>
            </w:pPr>
            <w:r w:rsidRPr="009F227C">
              <w:rPr>
                <w:sz w:val="20"/>
                <w:szCs w:val="20"/>
              </w:rPr>
              <w:t>Sanlando Wekiva EQ Aeration Improvements</w:t>
            </w:r>
          </w:p>
        </w:tc>
        <w:tc>
          <w:tcPr>
            <w:tcW w:w="1285" w:type="dxa"/>
          </w:tcPr>
          <w:p w14:paraId="0B391478" w14:textId="77777777" w:rsidR="00532378" w:rsidRPr="009F227C" w:rsidRDefault="00532378" w:rsidP="002C0A45">
            <w:pPr>
              <w:jc w:val="right"/>
              <w:rPr>
                <w:sz w:val="20"/>
                <w:szCs w:val="20"/>
              </w:rPr>
            </w:pPr>
            <w:r w:rsidRPr="009F227C">
              <w:rPr>
                <w:sz w:val="20"/>
                <w:szCs w:val="20"/>
              </w:rPr>
              <w:t>$139,854</w:t>
            </w:r>
          </w:p>
        </w:tc>
        <w:tc>
          <w:tcPr>
            <w:tcW w:w="1278" w:type="dxa"/>
            <w:shd w:val="clear" w:color="auto" w:fill="auto"/>
          </w:tcPr>
          <w:p w14:paraId="27D306A1" w14:textId="77777777" w:rsidR="00532378" w:rsidRPr="009F227C" w:rsidRDefault="00532378" w:rsidP="002C0A45">
            <w:pPr>
              <w:jc w:val="right"/>
              <w:rPr>
                <w:sz w:val="20"/>
                <w:szCs w:val="20"/>
              </w:rPr>
            </w:pPr>
            <w:r w:rsidRPr="009F227C">
              <w:rPr>
                <w:sz w:val="20"/>
                <w:szCs w:val="20"/>
              </w:rPr>
              <w:t>$280,367</w:t>
            </w:r>
          </w:p>
        </w:tc>
        <w:tc>
          <w:tcPr>
            <w:tcW w:w="1288" w:type="dxa"/>
            <w:shd w:val="clear" w:color="auto" w:fill="auto"/>
          </w:tcPr>
          <w:p w14:paraId="65B20974" w14:textId="77777777" w:rsidR="00532378" w:rsidRPr="009F227C" w:rsidRDefault="00532378" w:rsidP="002C0A45">
            <w:pPr>
              <w:jc w:val="right"/>
              <w:rPr>
                <w:sz w:val="20"/>
                <w:szCs w:val="20"/>
              </w:rPr>
            </w:pPr>
            <w:r w:rsidRPr="009F227C">
              <w:rPr>
                <w:sz w:val="20"/>
                <w:szCs w:val="20"/>
              </w:rPr>
              <w:t>$140,513</w:t>
            </w:r>
          </w:p>
        </w:tc>
      </w:tr>
      <w:tr w:rsidR="00532378" w:rsidRPr="009F227C" w14:paraId="06B243A1" w14:textId="77777777" w:rsidTr="002C0A45">
        <w:tc>
          <w:tcPr>
            <w:tcW w:w="766" w:type="dxa"/>
          </w:tcPr>
          <w:p w14:paraId="77D5CFDF" w14:textId="77777777" w:rsidR="00532378" w:rsidRPr="009F227C" w:rsidRDefault="00532378" w:rsidP="002C0A45">
            <w:pPr>
              <w:rPr>
                <w:sz w:val="20"/>
                <w:szCs w:val="20"/>
              </w:rPr>
            </w:pPr>
            <w:r w:rsidRPr="009F227C">
              <w:rPr>
                <w:sz w:val="20"/>
                <w:szCs w:val="20"/>
              </w:rPr>
              <w:t>ST-19</w:t>
            </w:r>
          </w:p>
        </w:tc>
        <w:tc>
          <w:tcPr>
            <w:tcW w:w="4733" w:type="dxa"/>
          </w:tcPr>
          <w:p w14:paraId="609491C6" w14:textId="77777777" w:rsidR="00532378" w:rsidRPr="009F227C" w:rsidRDefault="00532378" w:rsidP="002C0A45">
            <w:pPr>
              <w:rPr>
                <w:sz w:val="20"/>
                <w:szCs w:val="20"/>
              </w:rPr>
            </w:pPr>
            <w:r w:rsidRPr="009F227C">
              <w:rPr>
                <w:sz w:val="20"/>
                <w:szCs w:val="20"/>
              </w:rPr>
              <w:t>Pennbrooke – Water Quality Improvements</w:t>
            </w:r>
          </w:p>
        </w:tc>
        <w:tc>
          <w:tcPr>
            <w:tcW w:w="1285" w:type="dxa"/>
          </w:tcPr>
          <w:p w14:paraId="3EA94B32" w14:textId="77777777" w:rsidR="00532378" w:rsidRPr="009F227C" w:rsidRDefault="00532378" w:rsidP="002C0A45">
            <w:pPr>
              <w:jc w:val="right"/>
              <w:rPr>
                <w:sz w:val="20"/>
                <w:szCs w:val="20"/>
              </w:rPr>
            </w:pPr>
            <w:r w:rsidRPr="009F227C">
              <w:rPr>
                <w:sz w:val="20"/>
                <w:szCs w:val="20"/>
              </w:rPr>
              <w:t>$9,488,944</w:t>
            </w:r>
          </w:p>
        </w:tc>
        <w:tc>
          <w:tcPr>
            <w:tcW w:w="1278" w:type="dxa"/>
            <w:shd w:val="clear" w:color="auto" w:fill="auto"/>
          </w:tcPr>
          <w:p w14:paraId="7FB69713" w14:textId="77777777" w:rsidR="00532378" w:rsidRPr="009F227C" w:rsidRDefault="00532378" w:rsidP="002C0A45">
            <w:pPr>
              <w:jc w:val="right"/>
              <w:rPr>
                <w:sz w:val="20"/>
                <w:szCs w:val="20"/>
              </w:rPr>
            </w:pPr>
            <w:r w:rsidRPr="009F227C">
              <w:rPr>
                <w:sz w:val="20"/>
                <w:szCs w:val="20"/>
              </w:rPr>
              <w:t>$10,176,622</w:t>
            </w:r>
          </w:p>
        </w:tc>
        <w:tc>
          <w:tcPr>
            <w:tcW w:w="1288" w:type="dxa"/>
            <w:shd w:val="clear" w:color="auto" w:fill="auto"/>
          </w:tcPr>
          <w:p w14:paraId="1ACEB2E9" w14:textId="77777777" w:rsidR="00532378" w:rsidRPr="009F227C" w:rsidRDefault="00532378" w:rsidP="002C0A45">
            <w:pPr>
              <w:jc w:val="right"/>
              <w:rPr>
                <w:sz w:val="20"/>
                <w:szCs w:val="20"/>
              </w:rPr>
            </w:pPr>
            <w:r w:rsidRPr="009F227C">
              <w:rPr>
                <w:sz w:val="20"/>
                <w:szCs w:val="20"/>
              </w:rPr>
              <w:t>$687,678</w:t>
            </w:r>
          </w:p>
        </w:tc>
      </w:tr>
      <w:tr w:rsidR="00532378" w:rsidRPr="009F227C" w14:paraId="045F8A36" w14:textId="77777777" w:rsidTr="002C0A45">
        <w:tc>
          <w:tcPr>
            <w:tcW w:w="766" w:type="dxa"/>
          </w:tcPr>
          <w:p w14:paraId="7FD926B1" w14:textId="77777777" w:rsidR="00532378" w:rsidRPr="009F227C" w:rsidRDefault="00532378" w:rsidP="002C0A45">
            <w:pPr>
              <w:rPr>
                <w:sz w:val="20"/>
                <w:szCs w:val="20"/>
              </w:rPr>
            </w:pPr>
            <w:r w:rsidRPr="009F227C">
              <w:rPr>
                <w:sz w:val="20"/>
                <w:szCs w:val="20"/>
              </w:rPr>
              <w:t>ST-20</w:t>
            </w:r>
          </w:p>
        </w:tc>
        <w:tc>
          <w:tcPr>
            <w:tcW w:w="4733" w:type="dxa"/>
          </w:tcPr>
          <w:p w14:paraId="48AE3EC6" w14:textId="77777777" w:rsidR="00532378" w:rsidRPr="009F227C" w:rsidRDefault="00532378" w:rsidP="002C0A45">
            <w:pPr>
              <w:rPr>
                <w:sz w:val="20"/>
                <w:szCs w:val="20"/>
              </w:rPr>
            </w:pPr>
            <w:r w:rsidRPr="009F227C">
              <w:rPr>
                <w:sz w:val="20"/>
                <w:szCs w:val="20"/>
              </w:rPr>
              <w:t>AMI Meter Installation Project</w:t>
            </w:r>
            <w:r w:rsidRPr="009F227C">
              <w:rPr>
                <w:sz w:val="20"/>
                <w:szCs w:val="20"/>
                <w:vertAlign w:val="superscript"/>
              </w:rPr>
              <w:footnoteReference w:id="20"/>
            </w:r>
          </w:p>
        </w:tc>
        <w:tc>
          <w:tcPr>
            <w:tcW w:w="1285" w:type="dxa"/>
            <w:shd w:val="clear" w:color="auto" w:fill="auto"/>
          </w:tcPr>
          <w:p w14:paraId="5FAB101D" w14:textId="77777777" w:rsidR="00532378" w:rsidRPr="009F227C" w:rsidRDefault="00532378" w:rsidP="002C0A45">
            <w:pPr>
              <w:jc w:val="right"/>
              <w:rPr>
                <w:sz w:val="20"/>
                <w:szCs w:val="20"/>
              </w:rPr>
            </w:pPr>
            <w:r w:rsidRPr="009F227C">
              <w:rPr>
                <w:sz w:val="20"/>
                <w:szCs w:val="20"/>
              </w:rPr>
              <w:t>$20,071,423</w:t>
            </w:r>
          </w:p>
        </w:tc>
        <w:tc>
          <w:tcPr>
            <w:tcW w:w="1278" w:type="dxa"/>
            <w:shd w:val="clear" w:color="auto" w:fill="auto"/>
          </w:tcPr>
          <w:p w14:paraId="40960EBD" w14:textId="77777777" w:rsidR="00532378" w:rsidRPr="009F227C" w:rsidRDefault="00532378" w:rsidP="002C0A45">
            <w:pPr>
              <w:jc w:val="right"/>
              <w:rPr>
                <w:sz w:val="20"/>
                <w:szCs w:val="20"/>
              </w:rPr>
            </w:pPr>
            <w:r w:rsidRPr="009F227C">
              <w:rPr>
                <w:sz w:val="20"/>
                <w:szCs w:val="20"/>
              </w:rPr>
              <w:t>$17,432,623</w:t>
            </w:r>
          </w:p>
        </w:tc>
        <w:tc>
          <w:tcPr>
            <w:tcW w:w="1288" w:type="dxa"/>
            <w:shd w:val="clear" w:color="auto" w:fill="auto"/>
          </w:tcPr>
          <w:p w14:paraId="57C03935" w14:textId="77777777" w:rsidR="00532378" w:rsidRPr="009F227C" w:rsidRDefault="00532378" w:rsidP="002C0A45">
            <w:pPr>
              <w:jc w:val="right"/>
              <w:rPr>
                <w:sz w:val="20"/>
                <w:szCs w:val="20"/>
              </w:rPr>
            </w:pPr>
            <w:r w:rsidRPr="009F227C">
              <w:rPr>
                <w:sz w:val="20"/>
                <w:szCs w:val="20"/>
              </w:rPr>
              <w:t>($2,638,800)</w:t>
            </w:r>
          </w:p>
        </w:tc>
      </w:tr>
      <w:tr w:rsidR="00532378" w:rsidRPr="009F227C" w14:paraId="33ECA947" w14:textId="77777777" w:rsidTr="002C0A45">
        <w:tc>
          <w:tcPr>
            <w:tcW w:w="766" w:type="dxa"/>
          </w:tcPr>
          <w:p w14:paraId="6045F8EE" w14:textId="77777777" w:rsidR="00532378" w:rsidRPr="009F227C" w:rsidRDefault="00532378" w:rsidP="002C0A45">
            <w:pPr>
              <w:rPr>
                <w:sz w:val="20"/>
                <w:szCs w:val="20"/>
              </w:rPr>
            </w:pPr>
            <w:r w:rsidRPr="009F227C">
              <w:rPr>
                <w:sz w:val="20"/>
                <w:szCs w:val="20"/>
              </w:rPr>
              <w:t>ST-21</w:t>
            </w:r>
          </w:p>
        </w:tc>
        <w:tc>
          <w:tcPr>
            <w:tcW w:w="4733" w:type="dxa"/>
          </w:tcPr>
          <w:p w14:paraId="776BAEF4" w14:textId="77777777" w:rsidR="00532378" w:rsidRPr="009F227C" w:rsidRDefault="00532378" w:rsidP="002C0A45">
            <w:pPr>
              <w:rPr>
                <w:sz w:val="20"/>
                <w:szCs w:val="20"/>
              </w:rPr>
            </w:pPr>
            <w:r w:rsidRPr="009F227C">
              <w:rPr>
                <w:sz w:val="20"/>
                <w:szCs w:val="20"/>
              </w:rPr>
              <w:t>Vactor Truck Replacement</w:t>
            </w:r>
          </w:p>
        </w:tc>
        <w:tc>
          <w:tcPr>
            <w:tcW w:w="1285" w:type="dxa"/>
          </w:tcPr>
          <w:p w14:paraId="7923C770" w14:textId="77777777" w:rsidR="00532378" w:rsidRPr="009F227C" w:rsidRDefault="00532378" w:rsidP="002C0A45">
            <w:pPr>
              <w:jc w:val="right"/>
              <w:rPr>
                <w:sz w:val="20"/>
                <w:szCs w:val="20"/>
              </w:rPr>
            </w:pPr>
            <w:r w:rsidRPr="009F227C">
              <w:rPr>
                <w:sz w:val="20"/>
                <w:szCs w:val="20"/>
              </w:rPr>
              <w:t>$573,587</w:t>
            </w:r>
          </w:p>
        </w:tc>
        <w:tc>
          <w:tcPr>
            <w:tcW w:w="1278" w:type="dxa"/>
            <w:shd w:val="clear" w:color="auto" w:fill="auto"/>
          </w:tcPr>
          <w:p w14:paraId="6CA71D2E" w14:textId="77777777" w:rsidR="00532378" w:rsidRPr="009F227C" w:rsidRDefault="00532378" w:rsidP="002C0A45">
            <w:pPr>
              <w:jc w:val="right"/>
              <w:rPr>
                <w:sz w:val="20"/>
                <w:szCs w:val="20"/>
              </w:rPr>
            </w:pPr>
            <w:r w:rsidRPr="009F227C">
              <w:rPr>
                <w:sz w:val="20"/>
                <w:szCs w:val="20"/>
              </w:rPr>
              <w:t>$573,587</w:t>
            </w:r>
          </w:p>
        </w:tc>
        <w:tc>
          <w:tcPr>
            <w:tcW w:w="1288" w:type="dxa"/>
            <w:shd w:val="clear" w:color="auto" w:fill="auto"/>
          </w:tcPr>
          <w:p w14:paraId="62175389" w14:textId="77777777" w:rsidR="00532378" w:rsidRPr="009F227C" w:rsidRDefault="00532378" w:rsidP="002C0A45">
            <w:pPr>
              <w:jc w:val="right"/>
              <w:rPr>
                <w:sz w:val="20"/>
                <w:szCs w:val="20"/>
              </w:rPr>
            </w:pPr>
            <w:r w:rsidRPr="009F227C">
              <w:rPr>
                <w:sz w:val="20"/>
                <w:szCs w:val="20"/>
              </w:rPr>
              <w:t>$0</w:t>
            </w:r>
          </w:p>
        </w:tc>
      </w:tr>
      <w:tr w:rsidR="00532378" w:rsidRPr="009F227C" w14:paraId="554E62F9" w14:textId="77777777" w:rsidTr="002C0A45">
        <w:tc>
          <w:tcPr>
            <w:tcW w:w="766" w:type="dxa"/>
          </w:tcPr>
          <w:p w14:paraId="1926E1F6" w14:textId="77777777" w:rsidR="00532378" w:rsidRPr="009F227C" w:rsidRDefault="00532378" w:rsidP="002C0A45">
            <w:pPr>
              <w:rPr>
                <w:sz w:val="20"/>
                <w:szCs w:val="20"/>
              </w:rPr>
            </w:pPr>
            <w:r w:rsidRPr="009F227C">
              <w:rPr>
                <w:sz w:val="20"/>
                <w:szCs w:val="20"/>
              </w:rPr>
              <w:t>ST-22</w:t>
            </w:r>
          </w:p>
        </w:tc>
        <w:tc>
          <w:tcPr>
            <w:tcW w:w="4733" w:type="dxa"/>
          </w:tcPr>
          <w:p w14:paraId="03B753B1" w14:textId="77777777" w:rsidR="00532378" w:rsidRPr="009F227C" w:rsidRDefault="00532378" w:rsidP="002C0A45">
            <w:pPr>
              <w:rPr>
                <w:sz w:val="20"/>
                <w:szCs w:val="20"/>
              </w:rPr>
            </w:pPr>
            <w:r w:rsidRPr="009F227C">
              <w:rPr>
                <w:sz w:val="20"/>
                <w:szCs w:val="20"/>
              </w:rPr>
              <w:t>Sandalhaven Force Main Relocation</w:t>
            </w:r>
          </w:p>
        </w:tc>
        <w:tc>
          <w:tcPr>
            <w:tcW w:w="1285" w:type="dxa"/>
          </w:tcPr>
          <w:p w14:paraId="2B125F0E" w14:textId="77777777" w:rsidR="00532378" w:rsidRPr="009F227C" w:rsidRDefault="00532378" w:rsidP="002C0A45">
            <w:pPr>
              <w:jc w:val="right"/>
              <w:rPr>
                <w:sz w:val="20"/>
                <w:szCs w:val="20"/>
              </w:rPr>
            </w:pPr>
            <w:r w:rsidRPr="009F227C">
              <w:rPr>
                <w:sz w:val="20"/>
                <w:szCs w:val="20"/>
              </w:rPr>
              <w:t>$368,081</w:t>
            </w:r>
          </w:p>
        </w:tc>
        <w:tc>
          <w:tcPr>
            <w:tcW w:w="1278" w:type="dxa"/>
            <w:shd w:val="clear" w:color="auto" w:fill="auto"/>
          </w:tcPr>
          <w:p w14:paraId="7AD566F0" w14:textId="77777777" w:rsidR="00532378" w:rsidRPr="009F227C" w:rsidRDefault="00532378" w:rsidP="002C0A45">
            <w:pPr>
              <w:jc w:val="right"/>
              <w:rPr>
                <w:sz w:val="20"/>
                <w:szCs w:val="20"/>
              </w:rPr>
            </w:pPr>
            <w:r w:rsidRPr="009F227C">
              <w:rPr>
                <w:sz w:val="20"/>
                <w:szCs w:val="20"/>
              </w:rPr>
              <w:t>$316,027</w:t>
            </w:r>
          </w:p>
        </w:tc>
        <w:tc>
          <w:tcPr>
            <w:tcW w:w="1288" w:type="dxa"/>
            <w:shd w:val="clear" w:color="auto" w:fill="auto"/>
          </w:tcPr>
          <w:p w14:paraId="67DAF0A2" w14:textId="77777777" w:rsidR="00532378" w:rsidRPr="009F227C" w:rsidRDefault="00532378" w:rsidP="002C0A45">
            <w:pPr>
              <w:jc w:val="right"/>
              <w:rPr>
                <w:sz w:val="20"/>
                <w:szCs w:val="20"/>
              </w:rPr>
            </w:pPr>
            <w:r w:rsidRPr="009F227C">
              <w:rPr>
                <w:sz w:val="20"/>
                <w:szCs w:val="20"/>
              </w:rPr>
              <w:t>($52,054)</w:t>
            </w:r>
          </w:p>
        </w:tc>
      </w:tr>
      <w:tr w:rsidR="00532378" w:rsidRPr="009F227C" w14:paraId="69C4DF37" w14:textId="77777777" w:rsidTr="002C0A45">
        <w:tc>
          <w:tcPr>
            <w:tcW w:w="766" w:type="dxa"/>
          </w:tcPr>
          <w:p w14:paraId="3B37C86B" w14:textId="77777777" w:rsidR="00532378" w:rsidRPr="009F227C" w:rsidRDefault="00532378" w:rsidP="002C0A45">
            <w:pPr>
              <w:rPr>
                <w:sz w:val="20"/>
                <w:szCs w:val="20"/>
              </w:rPr>
            </w:pPr>
            <w:r w:rsidRPr="009F227C">
              <w:rPr>
                <w:sz w:val="20"/>
                <w:szCs w:val="20"/>
              </w:rPr>
              <w:t>ST-23</w:t>
            </w:r>
          </w:p>
        </w:tc>
        <w:tc>
          <w:tcPr>
            <w:tcW w:w="4733" w:type="dxa"/>
          </w:tcPr>
          <w:p w14:paraId="6610822B" w14:textId="77777777" w:rsidR="00532378" w:rsidRPr="009F227C" w:rsidRDefault="00532378" w:rsidP="002C0A45">
            <w:pPr>
              <w:rPr>
                <w:sz w:val="20"/>
                <w:szCs w:val="20"/>
              </w:rPr>
            </w:pPr>
            <w:r w:rsidRPr="009F227C">
              <w:rPr>
                <w:sz w:val="20"/>
                <w:szCs w:val="20"/>
              </w:rPr>
              <w:t>Buena Vista Lane Water Main Relocation</w:t>
            </w:r>
          </w:p>
        </w:tc>
        <w:tc>
          <w:tcPr>
            <w:tcW w:w="1285" w:type="dxa"/>
          </w:tcPr>
          <w:p w14:paraId="225E8889" w14:textId="77777777" w:rsidR="00532378" w:rsidRPr="009F227C" w:rsidRDefault="00532378" w:rsidP="002C0A45">
            <w:pPr>
              <w:jc w:val="right"/>
              <w:rPr>
                <w:sz w:val="20"/>
                <w:szCs w:val="20"/>
              </w:rPr>
            </w:pPr>
            <w:r w:rsidRPr="009F227C">
              <w:rPr>
                <w:sz w:val="20"/>
                <w:szCs w:val="20"/>
              </w:rPr>
              <w:t>$431,956</w:t>
            </w:r>
          </w:p>
        </w:tc>
        <w:tc>
          <w:tcPr>
            <w:tcW w:w="1278" w:type="dxa"/>
            <w:tcBorders>
              <w:bottom w:val="single" w:sz="4" w:space="0" w:color="auto"/>
            </w:tcBorders>
            <w:shd w:val="clear" w:color="auto" w:fill="auto"/>
          </w:tcPr>
          <w:p w14:paraId="1FA8AC3D" w14:textId="77777777" w:rsidR="00532378" w:rsidRPr="009F227C" w:rsidRDefault="00532378" w:rsidP="002C0A45">
            <w:pPr>
              <w:jc w:val="right"/>
              <w:rPr>
                <w:sz w:val="20"/>
                <w:szCs w:val="20"/>
              </w:rPr>
            </w:pPr>
            <w:r w:rsidRPr="009F227C">
              <w:rPr>
                <w:sz w:val="20"/>
                <w:szCs w:val="20"/>
              </w:rPr>
              <w:t>$588,851</w:t>
            </w:r>
          </w:p>
        </w:tc>
        <w:tc>
          <w:tcPr>
            <w:tcW w:w="1288" w:type="dxa"/>
            <w:tcBorders>
              <w:bottom w:val="single" w:sz="4" w:space="0" w:color="auto"/>
            </w:tcBorders>
            <w:shd w:val="clear" w:color="auto" w:fill="auto"/>
          </w:tcPr>
          <w:p w14:paraId="24E46A0B" w14:textId="77777777" w:rsidR="00532378" w:rsidRPr="009F227C" w:rsidRDefault="00532378" w:rsidP="002C0A45">
            <w:pPr>
              <w:jc w:val="right"/>
              <w:rPr>
                <w:sz w:val="20"/>
                <w:szCs w:val="20"/>
              </w:rPr>
            </w:pPr>
            <w:r w:rsidRPr="009F227C">
              <w:rPr>
                <w:sz w:val="20"/>
                <w:szCs w:val="20"/>
              </w:rPr>
              <w:t>$156,895</w:t>
            </w:r>
          </w:p>
        </w:tc>
      </w:tr>
      <w:tr w:rsidR="00532378" w:rsidRPr="009F227C" w14:paraId="6E494EC8" w14:textId="77777777" w:rsidTr="002C0A45">
        <w:tc>
          <w:tcPr>
            <w:tcW w:w="766" w:type="dxa"/>
          </w:tcPr>
          <w:p w14:paraId="40B43C2A" w14:textId="77777777" w:rsidR="00532378" w:rsidRPr="009F227C" w:rsidRDefault="00532378" w:rsidP="002C0A45">
            <w:pPr>
              <w:rPr>
                <w:sz w:val="20"/>
                <w:szCs w:val="20"/>
              </w:rPr>
            </w:pPr>
            <w:r w:rsidRPr="009F227C">
              <w:rPr>
                <w:sz w:val="20"/>
                <w:szCs w:val="20"/>
              </w:rPr>
              <w:t>ST-24</w:t>
            </w:r>
          </w:p>
        </w:tc>
        <w:tc>
          <w:tcPr>
            <w:tcW w:w="4733" w:type="dxa"/>
          </w:tcPr>
          <w:p w14:paraId="5D74E269" w14:textId="77777777" w:rsidR="00532378" w:rsidRPr="009F227C" w:rsidRDefault="00532378" w:rsidP="002C0A45">
            <w:pPr>
              <w:rPr>
                <w:sz w:val="20"/>
                <w:szCs w:val="20"/>
              </w:rPr>
            </w:pPr>
            <w:r w:rsidRPr="009F227C">
              <w:rPr>
                <w:sz w:val="20"/>
                <w:szCs w:val="20"/>
              </w:rPr>
              <w:t>OW Remediation PFAS BV Well 3</w:t>
            </w:r>
          </w:p>
        </w:tc>
        <w:tc>
          <w:tcPr>
            <w:tcW w:w="1285" w:type="dxa"/>
            <w:tcBorders>
              <w:bottom w:val="single" w:sz="4" w:space="0" w:color="auto"/>
            </w:tcBorders>
          </w:tcPr>
          <w:p w14:paraId="681EB71A" w14:textId="77777777" w:rsidR="00532378" w:rsidRPr="009F227C" w:rsidRDefault="00532378" w:rsidP="002C0A45">
            <w:pPr>
              <w:jc w:val="right"/>
              <w:rPr>
                <w:sz w:val="20"/>
                <w:szCs w:val="20"/>
              </w:rPr>
            </w:pPr>
            <w:r w:rsidRPr="009F227C">
              <w:rPr>
                <w:sz w:val="20"/>
                <w:szCs w:val="20"/>
              </w:rPr>
              <w:t>$1,837,292</w:t>
            </w:r>
          </w:p>
        </w:tc>
        <w:tc>
          <w:tcPr>
            <w:tcW w:w="1278" w:type="dxa"/>
            <w:tcBorders>
              <w:bottom w:val="single" w:sz="4" w:space="0" w:color="auto"/>
            </w:tcBorders>
            <w:shd w:val="clear" w:color="auto" w:fill="auto"/>
          </w:tcPr>
          <w:p w14:paraId="7D633BEE" w14:textId="77777777" w:rsidR="00532378" w:rsidRPr="009F227C" w:rsidRDefault="00532378" w:rsidP="002C0A45">
            <w:pPr>
              <w:jc w:val="right"/>
              <w:rPr>
                <w:sz w:val="20"/>
                <w:szCs w:val="20"/>
              </w:rPr>
            </w:pPr>
            <w:r w:rsidRPr="009F227C">
              <w:rPr>
                <w:sz w:val="20"/>
                <w:szCs w:val="20"/>
              </w:rPr>
              <w:t>$1,837,292</w:t>
            </w:r>
          </w:p>
        </w:tc>
        <w:tc>
          <w:tcPr>
            <w:tcW w:w="1288" w:type="dxa"/>
            <w:tcBorders>
              <w:bottom w:val="single" w:sz="4" w:space="0" w:color="auto"/>
            </w:tcBorders>
            <w:shd w:val="clear" w:color="auto" w:fill="auto"/>
          </w:tcPr>
          <w:p w14:paraId="62FF1158" w14:textId="77777777" w:rsidR="00532378" w:rsidRPr="009F227C" w:rsidRDefault="00532378" w:rsidP="002C0A45">
            <w:pPr>
              <w:jc w:val="right"/>
              <w:rPr>
                <w:sz w:val="20"/>
                <w:szCs w:val="20"/>
              </w:rPr>
            </w:pPr>
            <w:r w:rsidRPr="009F227C">
              <w:rPr>
                <w:sz w:val="20"/>
                <w:szCs w:val="20"/>
              </w:rPr>
              <w:t>$0</w:t>
            </w:r>
          </w:p>
        </w:tc>
      </w:tr>
      <w:tr w:rsidR="00532378" w:rsidRPr="009F227C" w14:paraId="423E72A0" w14:textId="77777777" w:rsidTr="002C0A45">
        <w:tc>
          <w:tcPr>
            <w:tcW w:w="766" w:type="dxa"/>
          </w:tcPr>
          <w:p w14:paraId="0D604B7D" w14:textId="77777777" w:rsidR="00532378" w:rsidRPr="009F227C" w:rsidRDefault="00532378" w:rsidP="002C0A45">
            <w:pPr>
              <w:rPr>
                <w:sz w:val="20"/>
                <w:szCs w:val="20"/>
              </w:rPr>
            </w:pPr>
            <w:r w:rsidRPr="009F227C">
              <w:rPr>
                <w:sz w:val="20"/>
                <w:szCs w:val="20"/>
              </w:rPr>
              <w:t>ST-25</w:t>
            </w:r>
          </w:p>
        </w:tc>
        <w:tc>
          <w:tcPr>
            <w:tcW w:w="4733" w:type="dxa"/>
          </w:tcPr>
          <w:p w14:paraId="423CC590" w14:textId="77777777" w:rsidR="00532378" w:rsidRPr="009F227C" w:rsidRDefault="00532378" w:rsidP="002C0A45">
            <w:pPr>
              <w:rPr>
                <w:sz w:val="20"/>
                <w:szCs w:val="20"/>
              </w:rPr>
            </w:pPr>
            <w:r w:rsidRPr="009F227C">
              <w:rPr>
                <w:sz w:val="20"/>
                <w:szCs w:val="20"/>
              </w:rPr>
              <w:t>Curlew Creek Lift Station Gravity Main Rehabilitation</w:t>
            </w:r>
          </w:p>
        </w:tc>
        <w:tc>
          <w:tcPr>
            <w:tcW w:w="1285" w:type="dxa"/>
            <w:tcBorders>
              <w:top w:val="single" w:sz="4" w:space="0" w:color="auto"/>
            </w:tcBorders>
          </w:tcPr>
          <w:p w14:paraId="30740645" w14:textId="77777777" w:rsidR="00532378" w:rsidRPr="009F227C" w:rsidRDefault="00532378" w:rsidP="002C0A45">
            <w:pPr>
              <w:jc w:val="right"/>
              <w:rPr>
                <w:sz w:val="20"/>
                <w:szCs w:val="20"/>
              </w:rPr>
            </w:pPr>
            <w:r w:rsidRPr="009F227C">
              <w:rPr>
                <w:sz w:val="20"/>
                <w:szCs w:val="20"/>
              </w:rPr>
              <w:t>$645,480</w:t>
            </w:r>
          </w:p>
        </w:tc>
        <w:tc>
          <w:tcPr>
            <w:tcW w:w="1278" w:type="dxa"/>
            <w:tcBorders>
              <w:top w:val="single" w:sz="4" w:space="0" w:color="auto"/>
            </w:tcBorders>
            <w:shd w:val="clear" w:color="auto" w:fill="auto"/>
          </w:tcPr>
          <w:p w14:paraId="6E21608D" w14:textId="77777777" w:rsidR="00532378" w:rsidRPr="009F227C" w:rsidRDefault="00532378" w:rsidP="002C0A45">
            <w:pPr>
              <w:jc w:val="right"/>
              <w:rPr>
                <w:sz w:val="20"/>
                <w:szCs w:val="20"/>
              </w:rPr>
            </w:pPr>
            <w:r w:rsidRPr="009F227C">
              <w:rPr>
                <w:sz w:val="20"/>
                <w:szCs w:val="20"/>
              </w:rPr>
              <w:t>$701,088</w:t>
            </w:r>
          </w:p>
        </w:tc>
        <w:tc>
          <w:tcPr>
            <w:tcW w:w="1288" w:type="dxa"/>
            <w:tcBorders>
              <w:top w:val="single" w:sz="4" w:space="0" w:color="auto"/>
            </w:tcBorders>
            <w:shd w:val="clear" w:color="auto" w:fill="auto"/>
          </w:tcPr>
          <w:p w14:paraId="1181F91C" w14:textId="77777777" w:rsidR="00532378" w:rsidRPr="009F227C" w:rsidRDefault="00532378" w:rsidP="002C0A45">
            <w:pPr>
              <w:jc w:val="right"/>
              <w:rPr>
                <w:sz w:val="20"/>
                <w:szCs w:val="20"/>
              </w:rPr>
            </w:pPr>
            <w:r w:rsidRPr="009F227C">
              <w:rPr>
                <w:sz w:val="20"/>
                <w:szCs w:val="20"/>
              </w:rPr>
              <w:t>$55,608</w:t>
            </w:r>
          </w:p>
        </w:tc>
      </w:tr>
      <w:tr w:rsidR="00532378" w:rsidRPr="009F227C" w14:paraId="0B0B4417" w14:textId="77777777" w:rsidTr="002C0A45">
        <w:tc>
          <w:tcPr>
            <w:tcW w:w="766" w:type="dxa"/>
          </w:tcPr>
          <w:p w14:paraId="70C03A97" w14:textId="77777777" w:rsidR="00532378" w:rsidRPr="009F227C" w:rsidRDefault="00532378" w:rsidP="002C0A45">
            <w:pPr>
              <w:rPr>
                <w:sz w:val="20"/>
                <w:szCs w:val="20"/>
              </w:rPr>
            </w:pPr>
            <w:r w:rsidRPr="009F227C">
              <w:rPr>
                <w:sz w:val="20"/>
                <w:szCs w:val="20"/>
              </w:rPr>
              <w:t>ST-26</w:t>
            </w:r>
          </w:p>
        </w:tc>
        <w:tc>
          <w:tcPr>
            <w:tcW w:w="4733" w:type="dxa"/>
          </w:tcPr>
          <w:p w14:paraId="1994A43A" w14:textId="77777777" w:rsidR="00532378" w:rsidRPr="009F227C" w:rsidRDefault="00532378" w:rsidP="002C0A45">
            <w:pPr>
              <w:rPr>
                <w:sz w:val="20"/>
                <w:szCs w:val="20"/>
              </w:rPr>
            </w:pPr>
            <w:r w:rsidRPr="009F227C">
              <w:rPr>
                <w:sz w:val="20"/>
                <w:szCs w:val="20"/>
              </w:rPr>
              <w:t>UIF Jansen Water Main Relocation</w:t>
            </w:r>
          </w:p>
        </w:tc>
        <w:tc>
          <w:tcPr>
            <w:tcW w:w="1285" w:type="dxa"/>
          </w:tcPr>
          <w:p w14:paraId="766CF1CD" w14:textId="77777777" w:rsidR="00532378" w:rsidRPr="009F227C" w:rsidRDefault="00532378" w:rsidP="002C0A45">
            <w:pPr>
              <w:jc w:val="right"/>
              <w:rPr>
                <w:sz w:val="20"/>
                <w:szCs w:val="20"/>
              </w:rPr>
            </w:pPr>
            <w:r w:rsidRPr="009F227C">
              <w:rPr>
                <w:sz w:val="20"/>
                <w:szCs w:val="20"/>
              </w:rPr>
              <w:t>$215,160</w:t>
            </w:r>
          </w:p>
        </w:tc>
        <w:tc>
          <w:tcPr>
            <w:tcW w:w="1278" w:type="dxa"/>
            <w:shd w:val="clear" w:color="auto" w:fill="auto"/>
          </w:tcPr>
          <w:p w14:paraId="4C85302C" w14:textId="77777777" w:rsidR="00532378" w:rsidRPr="009F227C" w:rsidRDefault="00532378" w:rsidP="002C0A45">
            <w:pPr>
              <w:jc w:val="right"/>
              <w:rPr>
                <w:sz w:val="20"/>
                <w:szCs w:val="20"/>
              </w:rPr>
            </w:pPr>
            <w:r w:rsidRPr="009F227C">
              <w:rPr>
                <w:sz w:val="20"/>
                <w:szCs w:val="20"/>
              </w:rPr>
              <w:t>$305,129</w:t>
            </w:r>
          </w:p>
        </w:tc>
        <w:tc>
          <w:tcPr>
            <w:tcW w:w="1288" w:type="dxa"/>
            <w:shd w:val="clear" w:color="auto" w:fill="auto"/>
          </w:tcPr>
          <w:p w14:paraId="2C95D4A3" w14:textId="77777777" w:rsidR="00532378" w:rsidRPr="009F227C" w:rsidRDefault="00532378" w:rsidP="002C0A45">
            <w:pPr>
              <w:jc w:val="right"/>
              <w:rPr>
                <w:sz w:val="20"/>
                <w:szCs w:val="20"/>
              </w:rPr>
            </w:pPr>
            <w:r w:rsidRPr="009F227C">
              <w:rPr>
                <w:sz w:val="20"/>
                <w:szCs w:val="20"/>
              </w:rPr>
              <w:t>$89,969</w:t>
            </w:r>
          </w:p>
        </w:tc>
      </w:tr>
      <w:tr w:rsidR="00532378" w:rsidRPr="009F227C" w14:paraId="264C6AAB" w14:textId="77777777" w:rsidTr="002C0A45">
        <w:tc>
          <w:tcPr>
            <w:tcW w:w="5499" w:type="dxa"/>
            <w:gridSpan w:val="2"/>
          </w:tcPr>
          <w:p w14:paraId="4A3FD5C9" w14:textId="77777777" w:rsidR="00532378" w:rsidRPr="009F227C" w:rsidRDefault="00532378" w:rsidP="002C0A45">
            <w:pPr>
              <w:jc w:val="right"/>
              <w:rPr>
                <w:b/>
                <w:sz w:val="20"/>
                <w:szCs w:val="20"/>
              </w:rPr>
            </w:pPr>
            <w:r w:rsidRPr="009F227C">
              <w:rPr>
                <w:b/>
                <w:sz w:val="20"/>
                <w:szCs w:val="20"/>
              </w:rPr>
              <w:t>Total</w:t>
            </w:r>
          </w:p>
        </w:tc>
        <w:tc>
          <w:tcPr>
            <w:tcW w:w="1285" w:type="dxa"/>
            <w:shd w:val="clear" w:color="auto" w:fill="auto"/>
          </w:tcPr>
          <w:p w14:paraId="0DF9590A" w14:textId="77777777" w:rsidR="00532378" w:rsidRPr="009F227C" w:rsidRDefault="00532378" w:rsidP="002C0A45">
            <w:pPr>
              <w:jc w:val="right"/>
              <w:rPr>
                <w:b/>
                <w:sz w:val="20"/>
                <w:szCs w:val="20"/>
              </w:rPr>
            </w:pPr>
            <w:r w:rsidRPr="009F227C">
              <w:rPr>
                <w:b/>
                <w:sz w:val="20"/>
                <w:szCs w:val="20"/>
              </w:rPr>
              <w:t>$56,500,161</w:t>
            </w:r>
          </w:p>
        </w:tc>
        <w:tc>
          <w:tcPr>
            <w:tcW w:w="1278" w:type="dxa"/>
            <w:shd w:val="clear" w:color="auto" w:fill="auto"/>
          </w:tcPr>
          <w:p w14:paraId="31D98004" w14:textId="77777777" w:rsidR="00532378" w:rsidRPr="009F227C" w:rsidRDefault="00532378" w:rsidP="002C0A45">
            <w:pPr>
              <w:jc w:val="right"/>
              <w:rPr>
                <w:b/>
                <w:sz w:val="20"/>
                <w:szCs w:val="20"/>
              </w:rPr>
            </w:pPr>
            <w:r w:rsidRPr="009F227C">
              <w:rPr>
                <w:b/>
                <w:sz w:val="20"/>
                <w:szCs w:val="20"/>
              </w:rPr>
              <w:t>$56,789,535</w:t>
            </w:r>
          </w:p>
        </w:tc>
        <w:tc>
          <w:tcPr>
            <w:tcW w:w="1288" w:type="dxa"/>
            <w:shd w:val="clear" w:color="auto" w:fill="auto"/>
          </w:tcPr>
          <w:p w14:paraId="0010F9D1" w14:textId="77777777" w:rsidR="00532378" w:rsidRPr="009F227C" w:rsidRDefault="00532378" w:rsidP="002C0A45">
            <w:pPr>
              <w:jc w:val="right"/>
              <w:rPr>
                <w:b/>
                <w:sz w:val="20"/>
                <w:szCs w:val="20"/>
              </w:rPr>
            </w:pPr>
            <w:r w:rsidRPr="009F227C">
              <w:rPr>
                <w:b/>
                <w:sz w:val="20"/>
                <w:szCs w:val="20"/>
              </w:rPr>
              <w:t>$289,374</w:t>
            </w:r>
          </w:p>
        </w:tc>
      </w:tr>
    </w:tbl>
    <w:p w14:paraId="5CA4EE40" w14:textId="77777777" w:rsidR="00532378" w:rsidRPr="009F227C" w:rsidRDefault="00532378" w:rsidP="00532378">
      <w:pPr>
        <w:pStyle w:val="OrderBody"/>
      </w:pPr>
    </w:p>
    <w:p w14:paraId="3E54E358" w14:textId="77777777" w:rsidR="00532378" w:rsidRPr="009F227C" w:rsidRDefault="00532378" w:rsidP="00532378">
      <w:pPr>
        <w:pStyle w:val="OrderBody"/>
      </w:pPr>
      <w:r w:rsidRPr="009F227C">
        <w:tab/>
        <w:t>With the exception of ST-20, the AMI project, and ST-24, the per- and poly-fluoroalky1 substances (PFAS) remediation project, OPC’s witness Smith did not raise objections to any of the pro forma projects. The adjustments contained in Table 2 reflect the Utility’s initial request in its MFRs. In his rebuttal testimony, witness Twomey updated the Utility’s request from a total of $56,500,161 to $61,018,405, an increase of $4,518,247, with additional requested activities and supporting documentation.</w:t>
      </w:r>
      <w:r w:rsidRPr="009F227C">
        <w:rPr>
          <w:vertAlign w:val="superscript"/>
        </w:rPr>
        <w:footnoteReference w:id="21"/>
      </w:r>
      <w:r w:rsidR="00F0528A">
        <w:t xml:space="preserve"> </w:t>
      </w:r>
      <w:r w:rsidRPr="009F227C">
        <w:t xml:space="preserve">The approved values summarized in Table 2 incorporated the </w:t>
      </w:r>
      <w:r w:rsidRPr="009F227C">
        <w:lastRenderedPageBreak/>
        <w:t>additional activities and supporting documentation for the pro forma projects, resulting in a net increase from the initial MFRs of $289,374, but a net decrease of ($4,228,870) from the Utility’s updated request.</w:t>
      </w:r>
    </w:p>
    <w:p w14:paraId="59A2757E" w14:textId="77777777" w:rsidR="00532378" w:rsidRPr="009F227C" w:rsidRDefault="00532378" w:rsidP="00532378">
      <w:pPr>
        <w:pStyle w:val="OrderBody"/>
      </w:pPr>
    </w:p>
    <w:p w14:paraId="48824A66" w14:textId="66526E5E" w:rsidR="00532378" w:rsidRPr="009F227C" w:rsidRDefault="00532378" w:rsidP="00532378">
      <w:pPr>
        <w:rPr>
          <w:b/>
          <w:bCs/>
          <w:iCs/>
          <w:szCs w:val="28"/>
        </w:rPr>
      </w:pPr>
      <w:r w:rsidRPr="009F227C">
        <w:rPr>
          <w:b/>
          <w:bCs/>
          <w:iCs/>
          <w:szCs w:val="28"/>
        </w:rPr>
        <w:t>Common Elements</w:t>
      </w:r>
    </w:p>
    <w:p w14:paraId="496D0CE9" w14:textId="77777777" w:rsidR="00532378" w:rsidRPr="000E1783" w:rsidRDefault="00532378" w:rsidP="00532378">
      <w:pPr>
        <w:jc w:val="both"/>
        <w:outlineLvl w:val="2"/>
        <w:rPr>
          <w:bCs/>
          <w:iCs/>
          <w:szCs w:val="28"/>
        </w:rPr>
      </w:pPr>
    </w:p>
    <w:p w14:paraId="77952906" w14:textId="77777777" w:rsidR="00532378" w:rsidRPr="009F227C" w:rsidRDefault="00532378" w:rsidP="00532378">
      <w:pPr>
        <w:ind w:left="720"/>
        <w:jc w:val="both"/>
        <w:outlineLvl w:val="3"/>
        <w:rPr>
          <w:b/>
          <w:bCs/>
          <w:i/>
          <w:iCs/>
          <w:szCs w:val="28"/>
        </w:rPr>
      </w:pPr>
      <w:r w:rsidRPr="009F227C">
        <w:rPr>
          <w:b/>
          <w:bCs/>
          <w:i/>
          <w:iCs/>
          <w:szCs w:val="28"/>
        </w:rPr>
        <w:t>Pro Forma Project Timelines</w:t>
      </w:r>
    </w:p>
    <w:p w14:paraId="3053B7FA" w14:textId="77777777" w:rsidR="00532378" w:rsidRPr="009F227C" w:rsidRDefault="00532378" w:rsidP="00532378">
      <w:pPr>
        <w:spacing w:after="240"/>
        <w:jc w:val="both"/>
      </w:pPr>
      <w:r w:rsidRPr="009F227C">
        <w:tab/>
        <w:t>Pro forma projects must be completed within 24 months of the end of the historic test year, or by December 31, 2025, in this case, unless a longer period is approved by us pursuant to Section 367.081(2)(a)(2), F.S. Sunshine asserted that all the pro forma projects will be completed no later than December 31, 2025, and has made no requests for an extension of the 24 month requirement. With the exception of ST-20, OPC’s witness Smith did not raise objections to any of the pro forma projects based upon the estimated completion date. We have reviewed the record and find that all of Sunshine’s pro forma projects discussed in this issue can reasonably be completed within the required period.</w:t>
      </w:r>
    </w:p>
    <w:p w14:paraId="16C5C1C6" w14:textId="77777777" w:rsidR="00532378" w:rsidRPr="009F227C" w:rsidRDefault="00532378" w:rsidP="00532378">
      <w:pPr>
        <w:ind w:left="720"/>
        <w:jc w:val="both"/>
        <w:outlineLvl w:val="3"/>
        <w:rPr>
          <w:b/>
          <w:bCs/>
          <w:i/>
          <w:iCs/>
          <w:szCs w:val="28"/>
        </w:rPr>
      </w:pPr>
      <w:r w:rsidRPr="009F227C">
        <w:rPr>
          <w:b/>
          <w:bCs/>
          <w:i/>
          <w:iCs/>
          <w:szCs w:val="28"/>
        </w:rPr>
        <w:t>Capitalized Time and Interest During Construction</w:t>
      </w:r>
    </w:p>
    <w:p w14:paraId="3BA77523" w14:textId="77777777" w:rsidR="00532378" w:rsidRPr="009F227C" w:rsidRDefault="00532378" w:rsidP="00532378">
      <w:pPr>
        <w:spacing w:after="240"/>
        <w:jc w:val="both"/>
      </w:pPr>
      <w:r w:rsidRPr="009F227C">
        <w:tab/>
        <w:t>Based on the combined construction and engineering costs, Sunshine assumes an additional 6.43 percent for interest during construction and 1.15 percent for capitalized time. The only exception to this is ST-21: Vactor Truck Replacement, which included only a replacement vehicle. For almost all projects, the Utility selected Kimley-Horn &amp; Associates (Kimley-Horn) as the primary engineering contractor. We have previously approved of Sunshine’s use of Kimley-Horn as a sole source for engineering services due to its familiarity with the Utility’s facilities and procedures.</w:t>
      </w:r>
      <w:r w:rsidRPr="009F227C">
        <w:rPr>
          <w:vertAlign w:val="superscript"/>
        </w:rPr>
        <w:footnoteReference w:id="22"/>
      </w:r>
    </w:p>
    <w:p w14:paraId="2245A000" w14:textId="77777777" w:rsidR="00532378" w:rsidRPr="009F227C" w:rsidRDefault="00532378" w:rsidP="00532378">
      <w:pPr>
        <w:jc w:val="both"/>
        <w:outlineLvl w:val="2"/>
        <w:rPr>
          <w:b/>
          <w:bCs/>
          <w:iCs/>
          <w:szCs w:val="28"/>
        </w:rPr>
      </w:pPr>
      <w:r w:rsidRPr="009F227C">
        <w:rPr>
          <w:b/>
          <w:bCs/>
          <w:iCs/>
          <w:szCs w:val="28"/>
        </w:rPr>
        <w:t>Review of the Pro Forma Projects</w:t>
      </w:r>
    </w:p>
    <w:p w14:paraId="6417E322" w14:textId="77777777" w:rsidR="00532378" w:rsidRPr="000E1783" w:rsidRDefault="00532378" w:rsidP="00532378">
      <w:pPr>
        <w:jc w:val="both"/>
        <w:outlineLvl w:val="2"/>
        <w:rPr>
          <w:bCs/>
          <w:iCs/>
          <w:szCs w:val="28"/>
        </w:rPr>
      </w:pPr>
    </w:p>
    <w:p w14:paraId="037185F8" w14:textId="77777777" w:rsidR="00532378" w:rsidRPr="009F227C" w:rsidRDefault="00532378" w:rsidP="00532378">
      <w:pPr>
        <w:ind w:left="720"/>
        <w:jc w:val="both"/>
        <w:outlineLvl w:val="3"/>
        <w:rPr>
          <w:b/>
          <w:bCs/>
          <w:i/>
          <w:iCs/>
          <w:szCs w:val="28"/>
        </w:rPr>
      </w:pPr>
      <w:r w:rsidRPr="009F227C">
        <w:rPr>
          <w:b/>
          <w:bCs/>
          <w:i/>
          <w:iCs/>
          <w:szCs w:val="28"/>
        </w:rPr>
        <w:t>ST-03: Tierra Verde – 13th Bridge FM Replacement</w:t>
      </w:r>
    </w:p>
    <w:p w14:paraId="352D1CD0" w14:textId="77777777" w:rsidR="00532378" w:rsidRPr="009F227C" w:rsidRDefault="00532378" w:rsidP="00532378">
      <w:pPr>
        <w:spacing w:after="240"/>
        <w:jc w:val="both"/>
      </w:pPr>
      <w:r w:rsidRPr="009F227C">
        <w:tab/>
        <w:t xml:space="preserve">Sunshine requested cost recovery for the replacement of the sewer force main attached to the 13th Street Bridge in Tierra Verde. This project is required to be completed as part of a Pinellas County project to replace the 13th Street Bridge, which serves as the only access to the Paradise Key community. As the existing bridge includes an aerial crossing of the force main along its length, this crossing must be replaced before Pinellas County begins construction of the new bridge. For this project, Sunshine will install an underwater crossing as Pinellas County has denied the construction of another aerial crossing. The project will include the removal of the existing aerial crossing attached to the bridge, the installation of the new underwater crossing, as well as the replacement of a damaged manhole and its associated piping which was found to be damaged following Hurricane Milton. As part of this project, Sunshine has opted to replace the existing 6-inch diameter piping with 8-inch diameter High Density Polyethylene (HDPE) piping as it provides a similar inside diameter, a higher working pressure rating, and requires less maintenance over time. The project had an initial estimated completion date of September 2024, but this was revised to March 2025, due to delays in approval of a DEP permit. </w:t>
      </w:r>
    </w:p>
    <w:p w14:paraId="1EB7275D" w14:textId="77777777" w:rsidR="00532378" w:rsidRPr="009F227C" w:rsidRDefault="00532378" w:rsidP="00532378">
      <w:pPr>
        <w:ind w:firstLine="720"/>
        <w:jc w:val="both"/>
      </w:pPr>
      <w:r w:rsidRPr="009F227C">
        <w:lastRenderedPageBreak/>
        <w:t xml:space="preserve">In its initial filing, Sunshine requested $514,923 for the project, including estimated project costs of $415,783 for construction, $55,710 for engineering, $5,504 in capitalized time, $30,777 for interest during construction, and $7,148 in contingency. Sunshine filed an updated request for $701,062 based on the delay of the project and the inclusion of additional costs associated with the manhole replacement. </w:t>
      </w:r>
    </w:p>
    <w:p w14:paraId="736DDF6B" w14:textId="77777777" w:rsidR="00532378" w:rsidRPr="009F227C" w:rsidRDefault="00532378" w:rsidP="00532378">
      <w:pPr>
        <w:pStyle w:val="OrderBody"/>
      </w:pPr>
    </w:p>
    <w:p w14:paraId="5920F465" w14:textId="77777777" w:rsidR="00532378" w:rsidRPr="009F227C" w:rsidRDefault="00532378" w:rsidP="00532378">
      <w:pPr>
        <w:spacing w:after="240"/>
        <w:jc w:val="both"/>
      </w:pPr>
      <w:r w:rsidRPr="009F227C">
        <w:tab/>
        <w:t xml:space="preserve">Sunshine underwent a formal bidding process and received bid proposals from two companies. Sunshine awarded the contract to Rowland, Inc. since it was the lowest bid. Rowland, Inc. was also contracted for the replacement of the damaged manhole, which was conducted on an emergency basis. </w:t>
      </w:r>
    </w:p>
    <w:p w14:paraId="604CAF84" w14:textId="77777777" w:rsidR="00532378" w:rsidRPr="009F227C" w:rsidRDefault="00532378" w:rsidP="00532378">
      <w:pPr>
        <w:spacing w:after="240"/>
        <w:jc w:val="both"/>
      </w:pPr>
      <w:r w:rsidRPr="009F227C">
        <w:tab/>
        <w:t xml:space="preserve">Sunshine provided contracts, task orders, and invoices for construction and engineering costs of $415,783 and $55,710 for the initial relocation and $116,649 and $14,385 for the manhole replacement, respectively. Including an additional $6,929 in capitalized time and $38,742 in interest during construction, the total project costs are $648,198. </w:t>
      </w:r>
    </w:p>
    <w:p w14:paraId="78F63936" w14:textId="77777777" w:rsidR="00532378" w:rsidRPr="009F227C" w:rsidRDefault="00532378" w:rsidP="00532378">
      <w:pPr>
        <w:spacing w:after="240"/>
        <w:jc w:val="both"/>
      </w:pPr>
      <w:r w:rsidRPr="009F227C">
        <w:tab/>
        <w:t>Based on the documentation provided by the Utility and the testimony of witness Twomey, we find that the project is a requirement of a governmental authority and that the inclusion of the manhole repair is reasonable to address the emergency failure due to storm damage and to prevent further environmental contamination of the sewer system. We also find that $648,198 is reasonable for the project. Sunshine recorded a cost of $514,923 in its MFRs; therefore, we approve an adjustment to increase the cost of ST-03 by $133,275. ($648,198 - $514,923)</w:t>
      </w:r>
    </w:p>
    <w:p w14:paraId="18FDB9CA" w14:textId="77777777" w:rsidR="00532378" w:rsidRPr="009F227C" w:rsidRDefault="00532378" w:rsidP="00532378">
      <w:pPr>
        <w:ind w:left="720"/>
        <w:jc w:val="both"/>
        <w:outlineLvl w:val="3"/>
        <w:rPr>
          <w:b/>
          <w:bCs/>
          <w:i/>
          <w:iCs/>
          <w:szCs w:val="28"/>
        </w:rPr>
      </w:pPr>
      <w:r w:rsidRPr="009F227C">
        <w:rPr>
          <w:b/>
          <w:bCs/>
          <w:i/>
          <w:iCs/>
          <w:szCs w:val="28"/>
        </w:rPr>
        <w:t>ST-04: Tierra Verde – Madonna Bridge Line Relocation</w:t>
      </w:r>
    </w:p>
    <w:p w14:paraId="58CD46E2" w14:textId="204BE769" w:rsidR="00532378" w:rsidRPr="009F227C" w:rsidRDefault="00532378" w:rsidP="00532378">
      <w:pPr>
        <w:spacing w:after="240"/>
        <w:jc w:val="both"/>
      </w:pPr>
      <w:r w:rsidRPr="009F227C">
        <w:tab/>
        <w:t xml:space="preserve">Sunshine requested cost recovery for the replacement of the underwater sewer force main running under the Madonna Boulevard Bridge in Tierra Verde. This project is required to be completed as part of a Pinellas County project to replace the Madonna Boulevard Bridge which serves as the only access to the Pine Key community. As the existing force main would impact service to the community, the crossing must be replaced before Pinellas County begins construction of the new bridge. The project will include the grouting of the existing underwater force main and the installation of the new underwater force main under Pine Key Cutoff. As part of this, Sunshine has opted to replace the existing 8-inch diameter piping with 10-inch diameter HDPE piping as it provides a similar inside diameter, a higher working pressure rating, and requires less maintenance over time. The project had an initial completion date of November 2024, but this was revised to March 2025 due to delays in approval of a DEP permit. </w:t>
      </w:r>
    </w:p>
    <w:p w14:paraId="56253766" w14:textId="77777777" w:rsidR="00532378" w:rsidRPr="009F227C" w:rsidRDefault="00532378" w:rsidP="00532378">
      <w:pPr>
        <w:spacing w:after="240"/>
        <w:jc w:val="both"/>
      </w:pPr>
      <w:r w:rsidRPr="009F227C">
        <w:tab/>
        <w:t xml:space="preserve">In its initial filing, Sunshine requested $503,709 for the project, including estimated project costs of $401,601 for construction, $63,386 for engineering, $5,385 in capitalized time, $30,106 for interest during construction, and $3,232 in contingency. </w:t>
      </w:r>
    </w:p>
    <w:p w14:paraId="6CCB2216" w14:textId="77777777" w:rsidR="00532378" w:rsidRPr="009F227C" w:rsidRDefault="00532378" w:rsidP="00532378">
      <w:pPr>
        <w:pStyle w:val="OrderBody"/>
      </w:pPr>
      <w:r w:rsidRPr="009F227C">
        <w:tab/>
        <w:t>Sunshine underwent a formal bidding process and only two companies responded and Sunshine selected Left Coast Utilities as the contractor for the project due to their lower bid price. Sunshine provided contracts, task orders, and invoices for $401,601 for construction and $63,386 for engineering. Including an additional $5,347 in capitalized time and $29,899 for interest during construction, the total project costs are $500,233.</w:t>
      </w:r>
    </w:p>
    <w:p w14:paraId="47E7A49F" w14:textId="77777777" w:rsidR="00532378" w:rsidRPr="009F227C" w:rsidRDefault="00532378" w:rsidP="00532378">
      <w:pPr>
        <w:pStyle w:val="OrderBody"/>
      </w:pPr>
    </w:p>
    <w:p w14:paraId="1CA340B4" w14:textId="77777777" w:rsidR="00532378" w:rsidRPr="009F227C" w:rsidRDefault="00532378" w:rsidP="00532378">
      <w:pPr>
        <w:spacing w:after="240"/>
        <w:jc w:val="both"/>
      </w:pPr>
      <w:r w:rsidRPr="009F227C">
        <w:tab/>
        <w:t>Based on the documentation provided by the Utility and the testimony of witness Twomey, we find that the project is a requirement of a governmental authority and that the $500,233 is reasonable for the project. Sunshine recorded a cost of $503,709 in its MFRs; therefore, we approve an adjustment to decrease the cost of ST-04 by $3,476 ($500,233 - $503,709).</w:t>
      </w:r>
    </w:p>
    <w:p w14:paraId="3DF6042B" w14:textId="77777777" w:rsidR="00532378" w:rsidRPr="009F227C" w:rsidRDefault="00532378" w:rsidP="00532378">
      <w:pPr>
        <w:ind w:left="720"/>
        <w:jc w:val="both"/>
        <w:outlineLvl w:val="3"/>
        <w:rPr>
          <w:b/>
          <w:bCs/>
          <w:i/>
          <w:iCs/>
          <w:szCs w:val="28"/>
        </w:rPr>
      </w:pPr>
      <w:r w:rsidRPr="009F227C">
        <w:rPr>
          <w:b/>
          <w:bCs/>
          <w:i/>
          <w:iCs/>
          <w:szCs w:val="28"/>
        </w:rPr>
        <w:t>ST-05: Cypress Lakes – VT SCADA 16 RTU Installations</w:t>
      </w:r>
    </w:p>
    <w:p w14:paraId="220ACA1A" w14:textId="77777777" w:rsidR="00532378" w:rsidRPr="009F227C" w:rsidRDefault="00532378" w:rsidP="00532378">
      <w:pPr>
        <w:spacing w:after="240"/>
        <w:jc w:val="both"/>
      </w:pPr>
      <w:r w:rsidRPr="009F227C">
        <w:tab/>
        <w:t xml:space="preserve">Sunshine requested cost recovery for the installation of 16 Remote Terminal Units (RTUs) using VT Supervisory Control and Data Acquisition (SCADA) technology within the Orangewood, Lake Tarpon, Cypress Lakes, Labrador, and Lake Placid systems. The existing SCADA systems are now obsolete, as the 3G network they require to function was decommissioned by the carrier in early 2022. The vendor of the existing monitoring systems, C&amp;A, has offered no solution and Sunshine has utilized additional onsite physical monitoring to resolve communication problems since the decommissioning. The new RTUs will align with the Utility’s efforts to standardize monitoring of its systems and cybersecurity standards across Florida. The project was completed in February 2024. </w:t>
      </w:r>
    </w:p>
    <w:p w14:paraId="12F8112E" w14:textId="77777777" w:rsidR="00532378" w:rsidRPr="009F227C" w:rsidRDefault="00532378" w:rsidP="00532378">
      <w:pPr>
        <w:spacing w:after="240"/>
        <w:jc w:val="both"/>
      </w:pPr>
      <w:r w:rsidRPr="009F227C">
        <w:tab/>
        <w:t xml:space="preserve">In its initial filing, Sunshine requested $262,681 for the project, including $238,550 in construction and engineering costs, $2,808 in capitalized time, $15,700 for interest during construction, and $5,623 in contingency. </w:t>
      </w:r>
    </w:p>
    <w:p w14:paraId="51B7BAFF" w14:textId="77777777" w:rsidR="00532378" w:rsidRPr="009F227C" w:rsidRDefault="00532378" w:rsidP="00532378">
      <w:pPr>
        <w:spacing w:after="240"/>
        <w:jc w:val="both"/>
      </w:pPr>
      <w:r w:rsidRPr="009F227C">
        <w:tab/>
        <w:t xml:space="preserve">Sunshine opted to forgo a formal bidding process and awarded the project to Barney’s Pumps, Inc. Sunshine stated this decision was made due to Barney’s Pumps’ knowledge and ability to integrate the effected systems to align with Sunshine’s statewide standardization efforts. </w:t>
      </w:r>
    </w:p>
    <w:p w14:paraId="108DA5B3" w14:textId="7AB6C4B3" w:rsidR="00532378" w:rsidRPr="009F227C" w:rsidRDefault="00532378" w:rsidP="00532378">
      <w:pPr>
        <w:spacing w:after="240"/>
        <w:jc w:val="both"/>
      </w:pPr>
      <w:r w:rsidRPr="009F227C">
        <w:tab/>
        <w:t>In response to discovery, the Utility stated the project was completed for a cost of $244,173, but the invoices submitted by the Utility support only a cost of $238,550, including an additional $2,743 in capitalized time and $15,339 for interest during construction, the total project costs are $256,632.</w:t>
      </w:r>
    </w:p>
    <w:p w14:paraId="251A8E6F" w14:textId="77777777" w:rsidR="00532378" w:rsidRPr="009F227C" w:rsidRDefault="00532378" w:rsidP="00532378">
      <w:pPr>
        <w:pStyle w:val="OrderBody"/>
      </w:pPr>
      <w:r w:rsidRPr="009F227C">
        <w:tab/>
        <w:t>Based on the documentation provided by the Utility and the testimony of witness Twomey, we find that the $256,632 is reasonable for the project as the prior SCADA system was obsolete. Sunshine recorded a cost of $262,681 for ST-05 in its MFRs; therefore, we approve an adjustment to decrease the cost of ST-05 by $6,049 ($262,681 - $256,632).</w:t>
      </w:r>
    </w:p>
    <w:p w14:paraId="06D6F9F7" w14:textId="77777777" w:rsidR="00532378" w:rsidRPr="009F227C" w:rsidRDefault="00532378" w:rsidP="00532378">
      <w:pPr>
        <w:pStyle w:val="OrderBody"/>
      </w:pPr>
    </w:p>
    <w:p w14:paraId="004030B5" w14:textId="77777777" w:rsidR="00532378" w:rsidRPr="009F227C" w:rsidRDefault="00532378" w:rsidP="00532378">
      <w:pPr>
        <w:ind w:left="720"/>
        <w:jc w:val="both"/>
        <w:outlineLvl w:val="3"/>
        <w:rPr>
          <w:b/>
          <w:bCs/>
          <w:i/>
          <w:iCs/>
          <w:szCs w:val="28"/>
        </w:rPr>
      </w:pPr>
      <w:r w:rsidRPr="009F227C">
        <w:rPr>
          <w:b/>
          <w:bCs/>
          <w:i/>
          <w:iCs/>
          <w:szCs w:val="28"/>
        </w:rPr>
        <w:t>ST-06: Eagle Ridge Headworks Improvements</w:t>
      </w:r>
    </w:p>
    <w:p w14:paraId="3999372B" w14:textId="6F4E2E3F" w:rsidR="00532378" w:rsidRPr="009F227C" w:rsidRDefault="00532378" w:rsidP="00532378">
      <w:pPr>
        <w:spacing w:after="240"/>
        <w:jc w:val="both"/>
      </w:pPr>
      <w:r w:rsidRPr="009F227C">
        <w:tab/>
        <w:t xml:space="preserve">Sunshine requested cost recovery for rectifying issues at the Eagle Ridge WWTP in order to maintain continuous operation. The most critical of which, is the replacement of a mechanical screen that has corroded into failure due to a high concentration of hydrogen sulfide in the water. The failure of this screen has allowed inorganic matter to build up within the facility’s surge tank which negatively impacts the wastewater treatment process and represents a risk to the facility’s continued operation and failure to comply with DEP’s wastewater treatment standards. Additionally, Sunshine has opted to replace the existing odor control system as it was originally installed in 2006 and has reached the end of its useful life. The project includes the bypass and </w:t>
      </w:r>
      <w:r w:rsidRPr="009F227C">
        <w:lastRenderedPageBreak/>
        <w:t xml:space="preserve">maintenance of the facility’s existing surge tank, the replacement of the failed mechanical screen and installation of a temporary bar screen, replacement of the existing odor control system as well as replacement of influent and effluent flow meters, associated piping, and electrical improvements to ensure the new equipment is supported by the existing SCADA system. The project is expected to be completed by June 2025. </w:t>
      </w:r>
    </w:p>
    <w:p w14:paraId="45E634EE" w14:textId="77777777" w:rsidR="00532378" w:rsidRPr="009F227C" w:rsidRDefault="00532378" w:rsidP="00532378">
      <w:pPr>
        <w:spacing w:after="240"/>
        <w:jc w:val="both"/>
      </w:pPr>
      <w:r w:rsidRPr="009F227C">
        <w:tab/>
        <w:t xml:space="preserve">In its initial filing, Sunshine requested $1,006,114, which included estimated project costs of $929,849 for construction and engineering, $10,755 in capitalized time, $60,135 for interest during construction, and $5,375 in contingency. Sunshine filed an updated request for $1,020,618 due to the unexpected buildup of inorganic matter in the WWTP’s surge tank. </w:t>
      </w:r>
    </w:p>
    <w:p w14:paraId="2B895B30" w14:textId="2A29FDF7" w:rsidR="00532378" w:rsidRPr="009F227C" w:rsidRDefault="00532378" w:rsidP="00532378">
      <w:pPr>
        <w:spacing w:after="240"/>
        <w:jc w:val="both"/>
      </w:pPr>
      <w:r w:rsidRPr="009F227C">
        <w:tab/>
        <w:t xml:space="preserve">Sunshine opted to forgo </w:t>
      </w:r>
      <w:r w:rsidR="00EA4130">
        <w:t>a</w:t>
      </w:r>
      <w:r w:rsidRPr="009F227C">
        <w:t xml:space="preserve"> formal bidding process and awarded the contract directly to Water Equipment Technologies of Southwest Florida, LLC in order to avoid a delay that could cause further damage or system failure and the facility falling out of compliance with DEP. In addition, the provider has existing knowledge of the electrical and mechanical workings of the Eagle Ridge facility. </w:t>
      </w:r>
    </w:p>
    <w:p w14:paraId="4F7C1A47" w14:textId="77777777" w:rsidR="00532378" w:rsidRPr="009F227C" w:rsidRDefault="00532378" w:rsidP="00532378">
      <w:pPr>
        <w:spacing w:after="240"/>
        <w:jc w:val="both"/>
      </w:pPr>
      <w:r w:rsidRPr="009F227C">
        <w:tab/>
        <w:t>Sunshine provided contracts, task orders, and invoices for $827,996 for construction and $120,710 for engineering. Including an additional $10,910 in capitalized time and $61,002 in interest during construction, the total project costs are $1,020,618.</w:t>
      </w:r>
    </w:p>
    <w:p w14:paraId="6708E776" w14:textId="77777777" w:rsidR="00532378" w:rsidRPr="009F227C" w:rsidRDefault="00532378" w:rsidP="00532378">
      <w:pPr>
        <w:spacing w:after="240"/>
        <w:jc w:val="both"/>
      </w:pPr>
      <w:r w:rsidRPr="009F227C">
        <w:tab/>
        <w:t>Based on the documentation provided by the Utility and the testimony of witness Twomey, we find that the $1,020,618 is reasonable for the project as delaying the replacement of the failed mechanical screen and the odor control system are a risk to the WWTP's ability to operate within DEP requirements. Sunshine recorded a cost of $1,006,114 in its MFRs; therefore, we approve an adjustment to increase the cost of ST-06 by $14,504 ($1,020,618 - $1,006,114).</w:t>
      </w:r>
    </w:p>
    <w:p w14:paraId="5BA4999E" w14:textId="77777777" w:rsidR="00532378" w:rsidRPr="009F227C" w:rsidRDefault="00532378" w:rsidP="00532378">
      <w:pPr>
        <w:ind w:left="720"/>
        <w:jc w:val="both"/>
        <w:outlineLvl w:val="3"/>
        <w:rPr>
          <w:b/>
          <w:bCs/>
          <w:i/>
          <w:iCs/>
          <w:szCs w:val="28"/>
        </w:rPr>
      </w:pPr>
      <w:r w:rsidRPr="009F227C">
        <w:rPr>
          <w:b/>
          <w:bCs/>
          <w:i/>
          <w:iCs/>
          <w:szCs w:val="28"/>
        </w:rPr>
        <w:t>ST-07: Cross Creek – Compliance Improvements</w:t>
      </w:r>
    </w:p>
    <w:p w14:paraId="54A636FC" w14:textId="77777777" w:rsidR="00532378" w:rsidRPr="009F227C" w:rsidRDefault="00532378" w:rsidP="00532378">
      <w:pPr>
        <w:spacing w:after="240"/>
        <w:jc w:val="both"/>
      </w:pPr>
      <w:r w:rsidRPr="009F227C">
        <w:tab/>
        <w:t xml:space="preserve">Sunshine requested cost recovery for a number of improvements to the Cross Creek WWTP effluent discharge system. DEP conducted a routine compliance inspection in December 2022 and served a warning letter to the facility, dated February 23, 2023, that noted multiple areas of improvement. The deficiencies found by DEP must be resolved for the Cross Creek facility to return to compliance. The project includes (1) the installation of an electrically actuated butterfly valve, (2) upgrades to the electrical and control systems, (3) replacement of an aluminum flap gate with inline check valve, (4) alterations to underground piping, (5) a new effluent flow meter, and (6) integration of level sensors into the ground storage tank. The project was completed February 2024. </w:t>
      </w:r>
    </w:p>
    <w:p w14:paraId="079853AB" w14:textId="77777777" w:rsidR="00532378" w:rsidRPr="009F227C" w:rsidRDefault="00532378" w:rsidP="00532378">
      <w:pPr>
        <w:pStyle w:val="OrderBody"/>
      </w:pPr>
      <w:r w:rsidRPr="009F227C">
        <w:tab/>
        <w:t xml:space="preserve">In its initial filing, Sunshine requested $165,114 for the project, including $146,352 for construction, $1,765 in capitalized time, $9,869 in interest during construction, and $7,129 in contingency. </w:t>
      </w:r>
    </w:p>
    <w:p w14:paraId="79CE6CBB" w14:textId="35650A26" w:rsidR="00532378" w:rsidRDefault="00532378" w:rsidP="00532378">
      <w:pPr>
        <w:pStyle w:val="OrderBody"/>
      </w:pPr>
    </w:p>
    <w:p w14:paraId="0043210F" w14:textId="0D1B6432" w:rsidR="000E1783" w:rsidRDefault="000E1783" w:rsidP="00532378">
      <w:pPr>
        <w:pStyle w:val="OrderBody"/>
      </w:pPr>
    </w:p>
    <w:p w14:paraId="6EDF8D21" w14:textId="77777777" w:rsidR="000E1783" w:rsidRPr="009F227C" w:rsidRDefault="000E1783" w:rsidP="00532378">
      <w:pPr>
        <w:pStyle w:val="OrderBody"/>
      </w:pPr>
    </w:p>
    <w:p w14:paraId="7F2E492D" w14:textId="071B2B3E" w:rsidR="00532378" w:rsidRPr="009F227C" w:rsidRDefault="00532378" w:rsidP="00611775">
      <w:pPr>
        <w:spacing w:after="240"/>
        <w:ind w:firstLine="720"/>
        <w:jc w:val="both"/>
      </w:pPr>
      <w:r w:rsidRPr="009F227C">
        <w:lastRenderedPageBreak/>
        <w:t xml:space="preserve">Sunshine opted to forgo a formal bidding process in order to expeditiously address DEP’s concerns. As such, Water Equipment Technologies of Southwest Florida, LLC was sole sourced for the project due to Sunshine having previously utilized its services and its knowledge of the Cross Creek facility. </w:t>
      </w:r>
    </w:p>
    <w:p w14:paraId="2DBA3E4E" w14:textId="77777777" w:rsidR="00532378" w:rsidRPr="009F227C" w:rsidRDefault="00532378" w:rsidP="00532378">
      <w:pPr>
        <w:spacing w:after="240"/>
        <w:jc w:val="both"/>
      </w:pPr>
      <w:r w:rsidRPr="009F227C">
        <w:tab/>
        <w:t>In response to discovery, the Utility stated the project was completed for a cost of $159,747, but the contracts and task orders submitted by the Utility support only a cost of $97,832 for construction and $48,520 for engineering. Including an additional $1,683 in capitalized time and $9,410 in interest during construction, the total project costs are $157,445.</w:t>
      </w:r>
    </w:p>
    <w:p w14:paraId="5CF51305" w14:textId="6A575F00" w:rsidR="00532378" w:rsidRPr="009F227C" w:rsidRDefault="00532378" w:rsidP="00532378">
      <w:pPr>
        <w:spacing w:after="240"/>
        <w:jc w:val="both"/>
      </w:pPr>
      <w:r w:rsidRPr="009F227C">
        <w:tab/>
        <w:t>Based on the documentation provided by the Utility and the testimony of witness Twomey, we find that $157,445 is reasonable for the project as the identified improvements are to return the Cross Creek facility to DEP compliance. Sunshine recorded a cost of $165,114 in its MFRs; therefore, an adjustment shall be made to decrease the cost of ST-07 by $7,669 ($165,114 - $157,445).</w:t>
      </w:r>
    </w:p>
    <w:p w14:paraId="40E79B1B" w14:textId="77777777" w:rsidR="00532378" w:rsidRPr="009F227C" w:rsidRDefault="00532378" w:rsidP="00532378">
      <w:pPr>
        <w:ind w:left="720"/>
        <w:jc w:val="both"/>
        <w:outlineLvl w:val="3"/>
        <w:rPr>
          <w:b/>
          <w:bCs/>
          <w:i/>
          <w:iCs/>
          <w:szCs w:val="28"/>
        </w:rPr>
      </w:pPr>
      <w:r w:rsidRPr="009F227C">
        <w:rPr>
          <w:b/>
          <w:bCs/>
          <w:i/>
          <w:iCs/>
          <w:szCs w:val="28"/>
        </w:rPr>
        <w:t>ST-08: Mid-County – Riviera Estates LS, FM, and GM Crossing Removal</w:t>
      </w:r>
    </w:p>
    <w:p w14:paraId="1036310E" w14:textId="77777777" w:rsidR="00532378" w:rsidRPr="009F227C" w:rsidRDefault="00532378" w:rsidP="00532378">
      <w:pPr>
        <w:spacing w:after="240"/>
        <w:jc w:val="both"/>
      </w:pPr>
      <w:r w:rsidRPr="009F227C">
        <w:tab/>
        <w:t xml:space="preserve">Sunshine requested cost recovery for the relocation of an existing sewer force main in the Mid-County service area. This project is required to be completed as part of a Florida Department of Transportation (FDOT) roadway improvement project in order to not delay the project and maintain sewer service during construction. Sunshine has divided the project into two separate phases. Phase one involves the installation of the replacement 8-inch gravity sewer, seven manholes, and associated restoration. The second phase involves the rehabilitation of Lift Station 4 which includes replacing pumps, valves, the valve vault, the valve vault top slab, wet well top slab, wet well piping, and wet well lining. Its initial completion date was November 2024, but due to delays caused by Hurricane Milton the Utility now estimates completion by April 2025. </w:t>
      </w:r>
    </w:p>
    <w:p w14:paraId="0A049C30" w14:textId="77777777" w:rsidR="00532378" w:rsidRPr="009F227C" w:rsidRDefault="00532378" w:rsidP="00532378">
      <w:pPr>
        <w:spacing w:after="240"/>
        <w:jc w:val="both"/>
      </w:pPr>
      <w:r w:rsidRPr="009F227C">
        <w:tab/>
        <w:t xml:space="preserve">In its initial filing, Sunshine requested $2,138,069, including $1,980,546 for construction, $22,855 in capitalized time, $127,791 for interest during construction, and $6,876 in contingency. Sunshine filed an updated request for $2,130,671 to correct the capitalized time and interest during construction values. </w:t>
      </w:r>
    </w:p>
    <w:p w14:paraId="6DE89675" w14:textId="13A260A4" w:rsidR="00532378" w:rsidRPr="009F227C" w:rsidRDefault="00532378" w:rsidP="00532378">
      <w:pPr>
        <w:spacing w:after="240"/>
        <w:jc w:val="both"/>
      </w:pPr>
      <w:r w:rsidRPr="009F227C">
        <w:tab/>
        <w:t xml:space="preserve">Sunshine awarded the contract for phase one to Left Coast Utilities without bidding in order to avoid delaying the roadway project and the fines associated with doing so. Sunshine underwent </w:t>
      </w:r>
      <w:r w:rsidR="00EA4130">
        <w:t>a</w:t>
      </w:r>
      <w:r w:rsidRPr="009F227C">
        <w:t xml:space="preserve"> formal bidding process for the second phase and received bid proposals from two of the three companies contacted. The contract for phase two was awarded to Rowland Inc., the lowest bidder. </w:t>
      </w:r>
    </w:p>
    <w:p w14:paraId="0EE0E91D" w14:textId="77777777" w:rsidR="00532378" w:rsidRPr="009F227C" w:rsidRDefault="00532378" w:rsidP="00532378">
      <w:pPr>
        <w:pStyle w:val="OrderBody"/>
      </w:pPr>
      <w:r w:rsidRPr="009F227C">
        <w:tab/>
        <w:t>Sunshine provided contracts, task orders, and invoices of $1,768,489 for construction and $212,058 for engineering. Including an additional $22,776 in capitalized time and $127,349 in interest during construction, the total project costs are $2,130,672.</w:t>
      </w:r>
    </w:p>
    <w:p w14:paraId="655BB282" w14:textId="77777777" w:rsidR="00D808D0" w:rsidRPr="009F227C" w:rsidRDefault="00D808D0" w:rsidP="00D808D0">
      <w:pPr>
        <w:pStyle w:val="OrderBody"/>
      </w:pPr>
    </w:p>
    <w:p w14:paraId="09DC0F2E" w14:textId="60EC1576" w:rsidR="00532378" w:rsidRPr="009F227C" w:rsidRDefault="00D808D0" w:rsidP="00532378">
      <w:pPr>
        <w:spacing w:after="240"/>
        <w:jc w:val="both"/>
      </w:pPr>
      <w:r w:rsidRPr="009F227C">
        <w:tab/>
        <w:t xml:space="preserve">Based on the documentation provided by the Utility and the testimony of witness Twomey, </w:t>
      </w:r>
      <w:r>
        <w:t xml:space="preserve">we recognize that </w:t>
      </w:r>
      <w:r w:rsidRPr="009F227C">
        <w:t xml:space="preserve">the project is a requirement of a governmental authority and </w:t>
      </w:r>
      <w:r w:rsidR="008344F9">
        <w:t xml:space="preserve">find </w:t>
      </w:r>
      <w:r w:rsidR="008344F9" w:rsidRPr="009F227C">
        <w:t>that</w:t>
      </w:r>
      <w:r w:rsidRPr="009F227C">
        <w:t xml:space="preserve"> $2,130,672 is reasonable for the project. Sunshine recorded a cost of $2,138,069 in its MFRs; </w:t>
      </w:r>
      <w:r w:rsidRPr="009F227C">
        <w:lastRenderedPageBreak/>
        <w:t>therefore, we approve an adjustment to decrease the cost of ST-08 by $7</w:t>
      </w:r>
      <w:r>
        <w:t>,397 ($2,138,069 - $2,130,672).</w:t>
      </w:r>
    </w:p>
    <w:p w14:paraId="5A3F050B" w14:textId="77777777" w:rsidR="00532378" w:rsidRPr="009F227C" w:rsidRDefault="00532378" w:rsidP="00532378">
      <w:pPr>
        <w:ind w:left="720"/>
        <w:jc w:val="both"/>
        <w:outlineLvl w:val="3"/>
        <w:rPr>
          <w:b/>
          <w:bCs/>
          <w:i/>
          <w:iCs/>
          <w:szCs w:val="28"/>
        </w:rPr>
      </w:pPr>
      <w:r w:rsidRPr="009F227C">
        <w:rPr>
          <w:b/>
          <w:bCs/>
          <w:i/>
          <w:iCs/>
          <w:szCs w:val="28"/>
        </w:rPr>
        <w:t>ST-09: Mid-County – Wilshire Manhole Replacement</w:t>
      </w:r>
    </w:p>
    <w:p w14:paraId="3EB14CB7" w14:textId="77777777" w:rsidR="00532378" w:rsidRPr="009F227C" w:rsidRDefault="00532378" w:rsidP="00532378">
      <w:pPr>
        <w:spacing w:after="240"/>
        <w:jc w:val="both"/>
      </w:pPr>
      <w:r w:rsidRPr="009F227C">
        <w:tab/>
        <w:t xml:space="preserve">Sunshine requested cost recovery for the rehabilitation of two existing manholes in the Mid-County service area that run parallel to the Curlew Creek. The creek bank has severely eroded and exposed the cone and part of the riser of the brick manholes that were once underground. This exposure leaves the Mid-County sewer system vulnerable to environmental contamination and/or the manholes collapsing into the creek. In response to this, Sunshine will contract for the replacement of the ring and cover, along with all necessary restoration, and the installation of sheet piles to prevent further damage to the surrounding infrastructure from occurring for both manholes. The project was completed as of March 2024. </w:t>
      </w:r>
    </w:p>
    <w:p w14:paraId="32D8DA87" w14:textId="77777777" w:rsidR="00532378" w:rsidRPr="009F227C" w:rsidRDefault="00532378" w:rsidP="00532378">
      <w:pPr>
        <w:spacing w:after="240"/>
        <w:jc w:val="both"/>
      </w:pPr>
      <w:r w:rsidRPr="009F227C">
        <w:tab/>
        <w:t xml:space="preserve">In its initial filing, Sunshine requested $320,903, including $292,900 for construction, $3,430 in capitalized time, $19,180 in interest during construction, and $5,393 in contingency. </w:t>
      </w:r>
    </w:p>
    <w:p w14:paraId="444442E9" w14:textId="77777777" w:rsidR="00532378" w:rsidRPr="009F227C" w:rsidRDefault="00532378" w:rsidP="00532378">
      <w:pPr>
        <w:spacing w:after="240"/>
        <w:jc w:val="both"/>
      </w:pPr>
      <w:r w:rsidRPr="009F227C">
        <w:tab/>
        <w:t xml:space="preserve">Sunshine opted to forgo a formal bidding process due to the urgent nature of the project, as the manholes were at risk of collapsing into the creek. Left Coast Utilities Corporation was sole sourced for the project as it was a previously utilized contractor with the capacity and knowledge to complete the project. </w:t>
      </w:r>
    </w:p>
    <w:p w14:paraId="09C7C4A2" w14:textId="0D4D36B6" w:rsidR="00532378" w:rsidRPr="009F227C" w:rsidRDefault="00532378" w:rsidP="00532378">
      <w:pPr>
        <w:spacing w:after="240"/>
        <w:jc w:val="both"/>
      </w:pPr>
      <w:r w:rsidRPr="009F227C">
        <w:tab/>
        <w:t xml:space="preserve">In response to discovery, the Utility stated the project was completed for </w:t>
      </w:r>
      <w:r w:rsidR="005029FC">
        <w:t xml:space="preserve">a </w:t>
      </w:r>
      <w:r w:rsidRPr="009F227C">
        <w:t>cost of $304,103</w:t>
      </w:r>
      <w:r w:rsidR="005029FC">
        <w:t>,</w:t>
      </w:r>
      <w:r w:rsidRPr="009F227C">
        <w:t xml:space="preserve"> but the contracts and task orders submitted by the Utility’s support only a cost of $234,400 for construction and $58,500 for engineering. Including an additional $3,368 in capitalized time and $18,833 in interest during construction, the total project costs are $315,101.</w:t>
      </w:r>
    </w:p>
    <w:p w14:paraId="4FCF221D" w14:textId="77777777" w:rsidR="00532378" w:rsidRDefault="00532378" w:rsidP="00532378">
      <w:pPr>
        <w:spacing w:after="240"/>
        <w:jc w:val="both"/>
      </w:pPr>
      <w:r w:rsidRPr="009F227C">
        <w:tab/>
      </w:r>
      <w:r w:rsidR="00D808D0" w:rsidRPr="009F227C">
        <w:t xml:space="preserve">Based on the documentation provided by the Utility and the testimony of witness Twomey, </w:t>
      </w:r>
      <w:r w:rsidR="00D808D0">
        <w:t xml:space="preserve">we find that </w:t>
      </w:r>
      <w:r w:rsidR="00D808D0" w:rsidRPr="009F227C">
        <w:t xml:space="preserve">$315,101 is reasonable for the project to prevent further environmental contamination and exposure of the Mid-County sewer system. Sunshine recorded a cost of $320,903 in its MFRs; therefore, </w:t>
      </w:r>
      <w:r w:rsidR="00D808D0">
        <w:t xml:space="preserve">we approve </w:t>
      </w:r>
      <w:r w:rsidR="00D808D0" w:rsidRPr="009F227C">
        <w:t>an adjustment to decrease the cost of ST-09 b</w:t>
      </w:r>
      <w:r w:rsidR="00D808D0">
        <w:t>y $5,802 ($320,903 - $315,101).</w:t>
      </w:r>
    </w:p>
    <w:p w14:paraId="470FB231" w14:textId="77777777" w:rsidR="00532378" w:rsidRPr="009F227C" w:rsidRDefault="00532378" w:rsidP="00532378">
      <w:pPr>
        <w:ind w:left="720"/>
        <w:jc w:val="both"/>
        <w:outlineLvl w:val="3"/>
        <w:rPr>
          <w:b/>
          <w:bCs/>
          <w:i/>
          <w:iCs/>
          <w:szCs w:val="28"/>
        </w:rPr>
      </w:pPr>
      <w:r w:rsidRPr="009F227C">
        <w:rPr>
          <w:b/>
          <w:bCs/>
          <w:i/>
          <w:iCs/>
          <w:szCs w:val="28"/>
        </w:rPr>
        <w:t>ST-10: LUSI – Construction of 2nd Lower Floridan Well</w:t>
      </w:r>
    </w:p>
    <w:p w14:paraId="4033CC34" w14:textId="77777777" w:rsidR="00532378" w:rsidRPr="009F227C" w:rsidRDefault="00532378" w:rsidP="00532378">
      <w:pPr>
        <w:pStyle w:val="OrderBody"/>
      </w:pPr>
      <w:r w:rsidRPr="009F227C">
        <w:tab/>
        <w:t xml:space="preserve">Sunshine requested cost recovery for the design and construction of a Lower Floridan Aquifer well in the LUSI North system adjacent to the Oranges subdivision. This new well will provide a higher capacity, mitigate minimum flow and levels of nearby lakes by drawing water from the Lower Floridan Aquifer. In addition, it will provide improved water quality as the nearby existing wells have a high total trihalomethanes formation potential. The project will include the design, permitting, construction, and water testing of the Lower Floridan Aquifer well. The initial project completion date was August 2024 but this was revised to April 2025 due to delays in the drilling process and Hurricanes Helene and Milton. </w:t>
      </w:r>
    </w:p>
    <w:p w14:paraId="1E2DCEE5" w14:textId="77777777" w:rsidR="00532378" w:rsidRPr="009F227C" w:rsidRDefault="00532378" w:rsidP="00532378">
      <w:pPr>
        <w:pStyle w:val="OrderBody"/>
      </w:pPr>
    </w:p>
    <w:p w14:paraId="5E66DF29" w14:textId="4FDB4D2E" w:rsidR="00532378" w:rsidRDefault="00532378" w:rsidP="007650C7">
      <w:pPr>
        <w:jc w:val="both"/>
      </w:pPr>
      <w:r w:rsidRPr="009F227C">
        <w:tab/>
        <w:t xml:space="preserve">In its initial filing, Sunshine requested $2,151,518 for the project, including $1,999,924 for construction, $22,999 in capitalized time, $128,595 in interest during construction, and $0 in contingency. Sunshine filed an updated request for $1,982,162. This change is due to a </w:t>
      </w:r>
      <w:r w:rsidRPr="009F227C">
        <w:lastRenderedPageBreak/>
        <w:t xml:space="preserve">combination of increased costs, some of which are offset by a grant from the St. John’s Water Management District as the well is considered an alternative water source. </w:t>
      </w:r>
    </w:p>
    <w:p w14:paraId="64BA5963" w14:textId="006F5FB0" w:rsidR="005C5958" w:rsidRPr="009F227C" w:rsidRDefault="005C5958" w:rsidP="007650C7">
      <w:pPr>
        <w:jc w:val="both"/>
      </w:pPr>
    </w:p>
    <w:p w14:paraId="2B8C1C09" w14:textId="66F719BD" w:rsidR="00532378" w:rsidRPr="009F227C" w:rsidRDefault="00532378" w:rsidP="007650C7">
      <w:pPr>
        <w:jc w:val="both"/>
      </w:pPr>
      <w:r w:rsidRPr="009F227C">
        <w:tab/>
        <w:t xml:space="preserve">Sunshine underwent </w:t>
      </w:r>
      <w:r w:rsidR="00EA4130">
        <w:t>a</w:t>
      </w:r>
      <w:r w:rsidRPr="009F227C">
        <w:t xml:space="preserve"> formal bidding process and received bid proposals from three companies. Sunshine awarded the contract to the lowest bidder, Parson Drilling. </w:t>
      </w:r>
    </w:p>
    <w:p w14:paraId="391C4D93" w14:textId="77777777" w:rsidR="00532378" w:rsidRPr="009F227C" w:rsidRDefault="00532378" w:rsidP="00532378">
      <w:pPr>
        <w:spacing w:after="240"/>
        <w:jc w:val="both"/>
      </w:pPr>
      <w:r w:rsidRPr="009F227C">
        <w:tab/>
        <w:t>Sunshine provided contracts, task orders, and invoices of $2,198,150 for construction and $55,790 for engineering. Including the awarded grant amount of $433,000, an additional $20,941 in capitalized time and $117,086 in interest during construction, the total project costs are $1,958,967.</w:t>
      </w:r>
    </w:p>
    <w:p w14:paraId="0DD8E51C" w14:textId="77777777" w:rsidR="00532378" w:rsidRPr="009F227C" w:rsidRDefault="00532378" w:rsidP="00532378">
      <w:pPr>
        <w:spacing w:after="240"/>
        <w:jc w:val="both"/>
      </w:pPr>
      <w:r w:rsidRPr="009F227C">
        <w:tab/>
        <w:t>Based on the documentation provided by the Utility and the testimony of witness Twomey, we find that $1,958,967 is reasonable for the project as the new well will ensure the Utility can continue to meet the demands of the service area's customers and provide improved water quality. Sunshine recorded a cost of $2,151,518 in its MFRs; therefore, we approve an adjustment to decrease the cost of ST-10 by $192,551 ($2,151,518 – $1,958,967).</w:t>
      </w:r>
    </w:p>
    <w:p w14:paraId="54DA1B71" w14:textId="77777777" w:rsidR="00532378" w:rsidRPr="009F227C" w:rsidRDefault="00532378" w:rsidP="00532378">
      <w:pPr>
        <w:ind w:left="720"/>
        <w:jc w:val="both"/>
        <w:outlineLvl w:val="3"/>
        <w:rPr>
          <w:b/>
          <w:bCs/>
          <w:i/>
          <w:iCs/>
          <w:szCs w:val="28"/>
        </w:rPr>
      </w:pPr>
      <w:r w:rsidRPr="009F227C">
        <w:rPr>
          <w:b/>
          <w:bCs/>
          <w:i/>
          <w:iCs/>
          <w:szCs w:val="28"/>
        </w:rPr>
        <w:t>ST-11: LUSI CFX US 27 Sewer Relocates</w:t>
      </w:r>
    </w:p>
    <w:p w14:paraId="4E5BA7B3" w14:textId="77777777" w:rsidR="00532378" w:rsidRPr="009F227C" w:rsidRDefault="00532378" w:rsidP="00532378">
      <w:pPr>
        <w:spacing w:after="240"/>
        <w:jc w:val="both"/>
      </w:pPr>
      <w:r w:rsidRPr="009F227C">
        <w:tab/>
        <w:t xml:space="preserve">Sunshine has requested cost recovery for the relocation of an existing 12-inch diameter sewer force main in the LUSI South service area. This project is required to be completed as part of a Central Florida Expressway Authority (CFX) project to construct a toll road that will cross US 27. As the existing force main intersects the boundary of the State Road’s construction, the relocation must be completed before CFX begins construction. This project will include the decommissioning of approximately 6,000 linear feet of existing 12-inch diameter pipeline through grout filling and abandoning in place and the installation of approximately 7,500 linear feet of piping to maintain service to the area. The project is expected to be completed by December 2025. </w:t>
      </w:r>
    </w:p>
    <w:p w14:paraId="2D3D5C37" w14:textId="77777777" w:rsidR="00532378" w:rsidRPr="009F227C" w:rsidRDefault="00532378" w:rsidP="00532378">
      <w:pPr>
        <w:spacing w:after="240"/>
        <w:jc w:val="both"/>
      </w:pPr>
      <w:r w:rsidRPr="009F227C">
        <w:tab/>
        <w:t xml:space="preserve">In its initial filing, Sunshine requested $4,474,320 for the project, including estimated project costs of $4,159,063 for construction, $47,829 in capitalized time, $267,428 for interest during construction, and $0 in contingency. Sunshine filed an updated request for $4,886,617 which is based on the contracted amount rather than the estimate provided by the engineering contractor. </w:t>
      </w:r>
    </w:p>
    <w:p w14:paraId="260769D2" w14:textId="77777777" w:rsidR="00532378" w:rsidRPr="009F227C" w:rsidRDefault="00532378" w:rsidP="00532378">
      <w:pPr>
        <w:spacing w:after="240"/>
        <w:jc w:val="both"/>
      </w:pPr>
      <w:r w:rsidRPr="009F227C">
        <w:tab/>
        <w:t xml:space="preserve">Sunshine underwent a formal bidding process for a combined contract for projects ST-11 and ST-12 and received bid proposals from three companies. Sunshine awarded the contract for both relocation projects to Tri-Sure Corporation as the lowest bidder and because this company has a history of completing similar projects with Sunshine. </w:t>
      </w:r>
    </w:p>
    <w:p w14:paraId="05736DD7" w14:textId="77777777" w:rsidR="00532378" w:rsidRPr="009F227C" w:rsidRDefault="00532378" w:rsidP="00532378">
      <w:pPr>
        <w:pStyle w:val="OrderBody"/>
      </w:pPr>
      <w:r w:rsidRPr="009F227C">
        <w:tab/>
        <w:t>Sunshine provided contracts, task orders, and invoices of $4,202,806 for construction and $84,765 for engineering. Including an additional $49,307 in capitalized time and $275,691 in interest during construction, the total project costs are $4,612,569.</w:t>
      </w:r>
    </w:p>
    <w:p w14:paraId="38498EB3" w14:textId="77777777" w:rsidR="00532378" w:rsidRPr="009F227C" w:rsidRDefault="00532378" w:rsidP="00532378">
      <w:pPr>
        <w:pStyle w:val="OrderBody"/>
      </w:pPr>
    </w:p>
    <w:p w14:paraId="78F42857" w14:textId="2FB87DCB" w:rsidR="00D808D0" w:rsidRDefault="00532378" w:rsidP="00D808D0">
      <w:pPr>
        <w:spacing w:after="240"/>
        <w:jc w:val="both"/>
      </w:pPr>
      <w:r w:rsidRPr="009F227C">
        <w:tab/>
      </w:r>
      <w:r w:rsidR="00D808D0" w:rsidRPr="009F227C">
        <w:t xml:space="preserve">Based on the documentation provided by the Utility and the testimony of witness Twomey, </w:t>
      </w:r>
      <w:r w:rsidR="00D808D0">
        <w:t xml:space="preserve">we find that </w:t>
      </w:r>
      <w:r w:rsidR="00D808D0" w:rsidRPr="009F227C">
        <w:t>the project is a requirement of a governmental authority and $4,612,569 is reasonable for the project. Sunshine recorded a cost of $4,474,320 in its MFRs; therefore, we approve an adjustment to increase the cost of ST-11 by $138,249. ($4,612,569 - $4,474,320)</w:t>
      </w:r>
    </w:p>
    <w:p w14:paraId="49BC7E1A" w14:textId="77777777" w:rsidR="00532378" w:rsidRPr="009F227C" w:rsidRDefault="00532378" w:rsidP="00D808D0">
      <w:pPr>
        <w:ind w:firstLine="720"/>
        <w:jc w:val="both"/>
        <w:rPr>
          <w:b/>
          <w:bCs/>
          <w:i/>
          <w:iCs/>
          <w:szCs w:val="28"/>
        </w:rPr>
      </w:pPr>
      <w:r w:rsidRPr="009F227C">
        <w:rPr>
          <w:b/>
          <w:bCs/>
          <w:i/>
          <w:iCs/>
          <w:szCs w:val="28"/>
        </w:rPr>
        <w:lastRenderedPageBreak/>
        <w:t>ST-12: LUSI CFX US 27 Water Relocates</w:t>
      </w:r>
    </w:p>
    <w:p w14:paraId="5F3E85E2" w14:textId="2ECF98B6" w:rsidR="00532378" w:rsidRDefault="00532378" w:rsidP="00D808D0">
      <w:pPr>
        <w:jc w:val="both"/>
      </w:pPr>
      <w:r w:rsidRPr="009F227C">
        <w:tab/>
        <w:t xml:space="preserve">Sunshine has requested cost recovery for the relocation of an existing 16-inch diameter water force main in the LUSI South service area. This project is required to be completed as part of a CFX project to construct a toll road that will cross US 27. As the existing force main intersects the boundary of the State Road’s construction, the relocation must be completed before CFX begins construction. This project will include the decommissioning </w:t>
      </w:r>
      <w:r w:rsidR="00627920">
        <w:t xml:space="preserve">and abandoning in place </w:t>
      </w:r>
      <w:r w:rsidRPr="009F227C">
        <w:t>of approximately 4,800 linear feet of existing pipeline through grout filling</w:t>
      </w:r>
      <w:r w:rsidR="00627920">
        <w:t>,</w:t>
      </w:r>
      <w:r w:rsidRPr="009F227C">
        <w:t xml:space="preserve"> and the installation of approximately 5,000 linear feet of piping to maintain service to the area. The project is expected to be completed by December 2025 </w:t>
      </w:r>
    </w:p>
    <w:p w14:paraId="3CA79A63" w14:textId="77777777" w:rsidR="00627920" w:rsidRPr="009F227C" w:rsidRDefault="00627920" w:rsidP="00D808D0">
      <w:pPr>
        <w:jc w:val="both"/>
      </w:pPr>
    </w:p>
    <w:p w14:paraId="16FC6752" w14:textId="2413C16C" w:rsidR="00532378" w:rsidRPr="009F227C" w:rsidRDefault="00532378" w:rsidP="00532378">
      <w:pPr>
        <w:spacing w:after="240"/>
        <w:jc w:val="both"/>
      </w:pPr>
      <w:r w:rsidRPr="009F227C">
        <w:tab/>
        <w:t>In its initial filing, Sunshine requested $3,369,201 for the project, including estimated project costs of $3,131,810 for construction, $36,015 in capitalized time, $201,375 for interest during construction, and $0 in contingency. Sunshine filed a revised request for $3,044,653 which is based on the contracted amount rather than the estimate provided by the engineering contractor</w:t>
      </w:r>
      <w:r w:rsidR="00627920">
        <w:t xml:space="preserve">. </w:t>
      </w:r>
      <w:r w:rsidRPr="009F227C">
        <w:t xml:space="preserve">As discussed above, Tri-Sure Corporation was chosen for ST-11 and ST-12 due to providing the lowest bid as well as its history of completing similar projects with Sunshine. </w:t>
      </w:r>
    </w:p>
    <w:p w14:paraId="6C145FB8" w14:textId="77777777" w:rsidR="00532378" w:rsidRPr="009F227C" w:rsidRDefault="00532378" w:rsidP="00532378">
      <w:pPr>
        <w:spacing w:after="240"/>
        <w:jc w:val="both"/>
      </w:pPr>
      <w:r w:rsidRPr="009F227C">
        <w:tab/>
        <w:t>Sunshine provided contracts, task orders, and invoices of $2,490,625 for construction and $84,765 for engineering. Including an additional $29,617 in capitalized time and $165,598 in interest during construction, the total project costs are $2,770,605.</w:t>
      </w:r>
    </w:p>
    <w:p w14:paraId="64A9191E" w14:textId="77777777" w:rsidR="00D808D0" w:rsidRPr="009F227C" w:rsidRDefault="00532378" w:rsidP="00D808D0">
      <w:pPr>
        <w:pStyle w:val="OrderBody"/>
      </w:pPr>
      <w:r w:rsidRPr="009F227C">
        <w:tab/>
      </w:r>
      <w:r w:rsidR="00D808D0" w:rsidRPr="009F227C">
        <w:t>Based on the documentation provided by the Utility and the testimony of witness Twomey,</w:t>
      </w:r>
      <w:r w:rsidR="00D808D0">
        <w:t xml:space="preserve"> we find that</w:t>
      </w:r>
      <w:r w:rsidR="00D808D0" w:rsidRPr="009F227C">
        <w:t xml:space="preserve"> the project is a requirement of a governmental authority and $2,770,605 is reasonable for the project. Sunshine recorded a cost of $3,369,201 in its MFRs; therefore, we approve an adjustment to decrease the cost of ST-12 by $598,596. ($3,369,201 - $2,770,605)</w:t>
      </w:r>
    </w:p>
    <w:p w14:paraId="463576BB" w14:textId="77777777" w:rsidR="00532378" w:rsidRPr="009F227C" w:rsidRDefault="00532378" w:rsidP="00532378">
      <w:pPr>
        <w:pStyle w:val="OrderBody"/>
      </w:pPr>
    </w:p>
    <w:p w14:paraId="0C18ADD1" w14:textId="77777777" w:rsidR="00532378" w:rsidRPr="009F227C" w:rsidRDefault="00532378" w:rsidP="00532378">
      <w:pPr>
        <w:ind w:left="720"/>
        <w:jc w:val="both"/>
        <w:outlineLvl w:val="3"/>
        <w:rPr>
          <w:b/>
          <w:bCs/>
          <w:i/>
          <w:iCs/>
          <w:szCs w:val="28"/>
        </w:rPr>
      </w:pPr>
      <w:r w:rsidRPr="009F227C">
        <w:rPr>
          <w:b/>
          <w:bCs/>
          <w:i/>
          <w:iCs/>
          <w:szCs w:val="28"/>
        </w:rPr>
        <w:t>ST-13: CR 561 WTP Improvements</w:t>
      </w:r>
    </w:p>
    <w:p w14:paraId="29D0E226" w14:textId="77777777" w:rsidR="00532378" w:rsidRPr="009F227C" w:rsidRDefault="00532378" w:rsidP="00532378">
      <w:pPr>
        <w:spacing w:after="240"/>
        <w:jc w:val="both"/>
      </w:pPr>
      <w:r w:rsidRPr="009F227C">
        <w:tab/>
        <w:t xml:space="preserve">Sunshine requested cost recovery for expansion of the CR 561 WTP in order to proactively increase the facility’s capacity to service new customers in the LUSI North service area. Kimley-Horn was contracted by Sunshine to prepare a Capacity Analysis Report (CAR) pursuant to Rule 62-555.348(3) F.A.C., requiring a CAR be submitted within six months after the month in which the total maximum-day quantity of finished water produced by the treatment plant(s) first exceeds 75 percent of the total permitted maximum-day operating capacity of the plant. The CAR, provided by Kimley-Horn in February 2024, evaluated the LUSI service area and recommended improvements to expand the capacity of the area’s facilities to meet future demands within the service area. This project includes the installation of an additional 750,000-gallon ground storage tank, high service pumping, and electrical and piping improvements necessary for these additions. The project had an initial estimated completion date of December 2025; however, this was revised to September 2025, by the selected contractor. </w:t>
      </w:r>
    </w:p>
    <w:p w14:paraId="4D80A09F" w14:textId="77777777" w:rsidR="00532378" w:rsidRPr="009F227C" w:rsidRDefault="00532378" w:rsidP="00532378">
      <w:pPr>
        <w:spacing w:after="240"/>
        <w:jc w:val="both"/>
      </w:pPr>
      <w:r w:rsidRPr="009F227C">
        <w:tab/>
        <w:t xml:space="preserve">In its initial filing, Sunshine requested $1,882,650 for the project, including estimated project costs of $1,750,000 for construction, $20,125 in capitalized time, $112,525 for interest during construction, and $0 in contingency. Sunshine filed an updated request for $2,534,217 which is now based on the contracted amount instead of the estimate provided by the engineering contractor. </w:t>
      </w:r>
    </w:p>
    <w:p w14:paraId="5A9EE547" w14:textId="77777777" w:rsidR="00532378" w:rsidRPr="009F227C" w:rsidRDefault="00532378" w:rsidP="00532378">
      <w:pPr>
        <w:spacing w:after="240"/>
        <w:jc w:val="both"/>
      </w:pPr>
      <w:r w:rsidRPr="009F227C">
        <w:lastRenderedPageBreak/>
        <w:tab/>
        <w:t xml:space="preserve">Sunshine underwent a formal bidding process and received bid proposals from three companies. Sunshine awarded the contract to Florida Environmental Construction, Inc. because it was the lowest bidder and for its successful work on projects of a similar nature. </w:t>
      </w:r>
    </w:p>
    <w:p w14:paraId="1CCEB5C1" w14:textId="77777777" w:rsidR="00532378" w:rsidRPr="009F227C" w:rsidRDefault="00532378" w:rsidP="00532378">
      <w:pPr>
        <w:spacing w:after="240"/>
        <w:jc w:val="both"/>
      </w:pPr>
      <w:r w:rsidRPr="009F227C">
        <w:tab/>
        <w:t>Sunshine provided contracts, task orders, and invoices of $2,196,808 for construction and $158,850 for engineering. Including an additional $27,090 in capitalized time and $151,469 in interest during construction, the project’s total costs are $2,534,217.</w:t>
      </w:r>
    </w:p>
    <w:p w14:paraId="411F623D" w14:textId="77777777" w:rsidR="00532378" w:rsidRPr="009F227C" w:rsidRDefault="00532378" w:rsidP="00532378">
      <w:pPr>
        <w:spacing w:after="240"/>
        <w:jc w:val="both"/>
      </w:pPr>
      <w:r w:rsidRPr="009F227C">
        <w:tab/>
        <w:t>Based on the documentation provided by the Utility and the testimony of witness Twomey, we find that the $2,534,217 is reasonable for the project as the new ground storage tank and high service pump are a prudent addition to ensure the WTP is capable of providing service to the area's growing population. Sunshine recorded a cost of $1,882,650 in its MFRs; therefore, we approve an adjustment to increase the cost of ST-13 by $651,567 ($2,534,217 - $1,882,650).</w:t>
      </w:r>
    </w:p>
    <w:p w14:paraId="6C088FAE" w14:textId="77777777" w:rsidR="00532378" w:rsidRPr="009F227C" w:rsidRDefault="00532378" w:rsidP="00532378">
      <w:pPr>
        <w:ind w:left="720"/>
        <w:jc w:val="both"/>
        <w:outlineLvl w:val="3"/>
        <w:rPr>
          <w:b/>
          <w:bCs/>
          <w:i/>
          <w:iCs/>
          <w:szCs w:val="28"/>
        </w:rPr>
      </w:pPr>
      <w:r w:rsidRPr="009F227C">
        <w:rPr>
          <w:b/>
          <w:bCs/>
          <w:i/>
          <w:iCs/>
          <w:szCs w:val="28"/>
        </w:rPr>
        <w:t>ST-14: UIF – Weathersfield WTP Generator Replacement</w:t>
      </w:r>
    </w:p>
    <w:p w14:paraId="1F7CF808" w14:textId="77777777" w:rsidR="00532378" w:rsidRPr="009F227C" w:rsidRDefault="00532378" w:rsidP="00532378">
      <w:pPr>
        <w:spacing w:after="240"/>
        <w:jc w:val="both"/>
      </w:pPr>
      <w:r w:rsidRPr="009F227C">
        <w:tab/>
        <w:t xml:space="preserve">Sunshine requested cost recovery for the replacement of the emergency generator at the Weathersfield WTP that has reached the end of its service life. The Weathersfield WTP serves approximately 1,200 connections that would lose access to potable water in the event of a power outage. The existing emergency generator was installed in 1998 and further repairs exceed the unit’s net book value due to the increasing lack of available parts and risk further damaging the unit. Sunshine has opted to retire the 26-year-old emergency generator and install a new generator with specifications consistent with other sites to allow for operational simplification and resiliency during severe weather events. The project consists of the installation of a new emergency generator, an upgrade to an underground 240V electrical service, as well as a new service disconnect, automatic transfer switch, controls, and instrumentation to implement the new generator to maintain backup generation as required by DEP. The estimated completion date of the project is December 2025. </w:t>
      </w:r>
    </w:p>
    <w:p w14:paraId="1843FB17" w14:textId="77777777" w:rsidR="00532378" w:rsidRPr="009F227C" w:rsidRDefault="00532378" w:rsidP="00532378">
      <w:pPr>
        <w:pStyle w:val="OrderBody"/>
      </w:pPr>
      <w:r w:rsidRPr="009F227C">
        <w:tab/>
        <w:t xml:space="preserve">In its initial filing, Sunshine requested $1,285,148 for the project, including $1,249,657 for construction, $5,385 in capitalized time, and $30,106 for interest during construction, and $0 in contingency. Sunshine filed a revised request for $1,492,404, an increase of $207,256, which is based on the contracted amount rather than the estimate provided by the engineering contractor. </w:t>
      </w:r>
    </w:p>
    <w:p w14:paraId="03044CF8" w14:textId="77777777" w:rsidR="00532378" w:rsidRPr="009F227C" w:rsidRDefault="00532378" w:rsidP="00532378">
      <w:pPr>
        <w:pStyle w:val="OrderBody"/>
      </w:pPr>
    </w:p>
    <w:p w14:paraId="57096EA1" w14:textId="77777777" w:rsidR="00532378" w:rsidRPr="009F227C" w:rsidRDefault="00532378" w:rsidP="00532378">
      <w:pPr>
        <w:spacing w:after="240"/>
        <w:jc w:val="both"/>
      </w:pPr>
      <w:r w:rsidRPr="009F227C">
        <w:tab/>
        <w:t xml:space="preserve">Sunshine originally underwent a formal bidding process for the purchase of a generator for the Weathersfield WTP along with two other generators as a group in 2022. However, Sunshine opted to rebid the purchase of the Weathersfield replacement generator separately in 2024 and selected Florida Environmental Construction Inc. as the general contractor and vendor of the replacement emergency generator. Sunshine underwent a formal bidding process for the installation of the replacement generator and received three bid proposals. Sunshine awarded the contract to Chinchor Electric Inc., the lowest bidder. </w:t>
      </w:r>
    </w:p>
    <w:p w14:paraId="1FE5FA99" w14:textId="77777777" w:rsidR="00532378" w:rsidRPr="009F227C" w:rsidRDefault="00532378" w:rsidP="00532378">
      <w:pPr>
        <w:spacing w:after="240"/>
        <w:jc w:val="both"/>
      </w:pPr>
      <w:r w:rsidRPr="009F227C">
        <w:tab/>
        <w:t>Sunshine provided contracts, task orders, and invoices of $1,184,888 for construction and $52,250 for engineering. Including an additional $14,227 in capitalized time and $79,548 in interest during construction, the total project costs are $1,330,913.</w:t>
      </w:r>
    </w:p>
    <w:p w14:paraId="54CB7D79" w14:textId="77777777" w:rsidR="00532378" w:rsidRPr="009F227C" w:rsidRDefault="00532378" w:rsidP="00532378">
      <w:pPr>
        <w:spacing w:after="240"/>
        <w:jc w:val="both"/>
      </w:pPr>
      <w:r w:rsidRPr="009F227C">
        <w:lastRenderedPageBreak/>
        <w:tab/>
        <w:t>Based on the documentation provided by the Utility and the testimony of witness Twomey, we find that $1,330,913 is reasonable for the project as the replacement of the 26-year-old emergency generator ensures water service is maintained in the event of a power outage at the WTP in compliance with DEP requirements. Sunshine recorded a cost of $1,285,148 in its MFRs; therefore, we approve an adjustment to increase the cost of ST-14 by $45,765 ($1,330,913 - $1,285,148).</w:t>
      </w:r>
    </w:p>
    <w:p w14:paraId="1D996626" w14:textId="77777777" w:rsidR="00532378" w:rsidRPr="009F227C" w:rsidRDefault="00532378" w:rsidP="00532378">
      <w:pPr>
        <w:ind w:left="720"/>
        <w:jc w:val="both"/>
        <w:outlineLvl w:val="3"/>
        <w:rPr>
          <w:b/>
          <w:bCs/>
          <w:i/>
          <w:iCs/>
          <w:szCs w:val="28"/>
        </w:rPr>
      </w:pPr>
      <w:r w:rsidRPr="009F227C">
        <w:rPr>
          <w:b/>
          <w:bCs/>
          <w:i/>
          <w:iCs/>
          <w:szCs w:val="28"/>
        </w:rPr>
        <w:t>ST-15: UIF – Weathersfield Hydro Tank Replacement</w:t>
      </w:r>
    </w:p>
    <w:p w14:paraId="20F07575" w14:textId="1448A020" w:rsidR="00532378" w:rsidRPr="009F227C" w:rsidRDefault="00532378" w:rsidP="00532378">
      <w:pPr>
        <w:spacing w:after="240"/>
        <w:jc w:val="both"/>
      </w:pPr>
      <w:r w:rsidRPr="009F227C">
        <w:tab/>
        <w:t xml:space="preserve">Sunshine requested cost recovery for the replacement of the 10,000-gallon hydropneumatic tank located at the Weathersfield WTP. During the most recent DEP inspection of the Weathersfield WTP, the tank was found to have failed the minimum steel shell thickness test and is considered unsafe to operate. Sunshine opted to retire the existing 17-year-old hydropneumatic tank and replace it with a new 10,000-gallon tank along with installation of all necessary piping and valves for the new tank in order to comply with DEP. The project was completed in April 2024. </w:t>
      </w:r>
    </w:p>
    <w:p w14:paraId="43D6BF14" w14:textId="77777777" w:rsidR="00532378" w:rsidRPr="009F227C" w:rsidRDefault="00532378" w:rsidP="00532378">
      <w:pPr>
        <w:spacing w:after="240"/>
        <w:jc w:val="both"/>
      </w:pPr>
      <w:r w:rsidRPr="009F227C">
        <w:tab/>
        <w:t xml:space="preserve">In its initial filing, Sunshine requested $102,201 for the project, including $95,000 for construction, $1,093 in capitalized time, and $6,108 for interest during construction, and $0 in contingency. </w:t>
      </w:r>
    </w:p>
    <w:p w14:paraId="206D373D" w14:textId="77777777" w:rsidR="00532378" w:rsidRPr="009F227C" w:rsidRDefault="00532378" w:rsidP="00532378">
      <w:pPr>
        <w:spacing w:after="240"/>
        <w:jc w:val="both"/>
      </w:pPr>
      <w:r w:rsidRPr="009F227C">
        <w:tab/>
        <w:t xml:space="preserve">Sunshine opted to forgo a formal bidding process due to the limited scope of the project and selected ECO-2000, Inc. as a contractor it believed could complete the project in a timely manner. </w:t>
      </w:r>
    </w:p>
    <w:p w14:paraId="18ECD1E4" w14:textId="77777777" w:rsidR="00532378" w:rsidRPr="009F227C" w:rsidRDefault="00532378" w:rsidP="00532378">
      <w:pPr>
        <w:spacing w:after="240"/>
        <w:jc w:val="both"/>
      </w:pPr>
      <w:r w:rsidRPr="009F227C">
        <w:tab/>
        <w:t xml:space="preserve">In response to discovery, the Utility stated the project was completed for a cost of $96,173 but our review of the invoices submitted by the Utility support only a cost of $95,000 in construction costs. Including an additional $1,093 in capitalized time and $6,108 in interest during construction, the total project costs are $102,201. </w:t>
      </w:r>
    </w:p>
    <w:p w14:paraId="503CCA2E" w14:textId="093F1192" w:rsidR="00532378" w:rsidRDefault="00532378" w:rsidP="00532378">
      <w:pPr>
        <w:pStyle w:val="OrderBody"/>
      </w:pPr>
      <w:r w:rsidRPr="009F227C">
        <w:tab/>
        <w:t>Based on the documentation provided by the Utility and the testimony of witness Twomey, we find that the $102,201 is reasonable for the project as the replacement of the existing hydro pneumatic tank is necessary to return the Weathersfield facility to DEP compliance. Sunshine recorded a cost of $102,201 for ST-15 in its MFRs; we find that no adjustment shall be made to ST-15.</w:t>
      </w:r>
    </w:p>
    <w:p w14:paraId="5391B60D" w14:textId="77777777" w:rsidR="00924429" w:rsidRPr="009F227C" w:rsidRDefault="00924429" w:rsidP="00532378">
      <w:pPr>
        <w:pStyle w:val="OrderBody"/>
      </w:pPr>
    </w:p>
    <w:p w14:paraId="76BA8EC1" w14:textId="77777777" w:rsidR="00532378" w:rsidRPr="009F227C" w:rsidRDefault="00532378" w:rsidP="00532378">
      <w:pPr>
        <w:ind w:left="720"/>
        <w:jc w:val="both"/>
        <w:outlineLvl w:val="3"/>
        <w:rPr>
          <w:b/>
          <w:bCs/>
          <w:i/>
          <w:iCs/>
          <w:szCs w:val="28"/>
        </w:rPr>
      </w:pPr>
      <w:r w:rsidRPr="009F227C">
        <w:rPr>
          <w:b/>
          <w:bCs/>
          <w:i/>
          <w:iCs/>
          <w:szCs w:val="28"/>
        </w:rPr>
        <w:t>ST-16: Golden Hills WTP Generator Replacement</w:t>
      </w:r>
    </w:p>
    <w:p w14:paraId="6E037114" w14:textId="7DAD5673" w:rsidR="00532378" w:rsidRPr="009F227C" w:rsidRDefault="00532378" w:rsidP="00532378">
      <w:pPr>
        <w:spacing w:after="240"/>
        <w:jc w:val="both"/>
      </w:pPr>
      <w:r w:rsidRPr="009F227C">
        <w:tab/>
        <w:t xml:space="preserve">Sunshine has requested cost recovery for the replacement of the emergency generator at the Golden Hills WTP that has reached the end of its service life. The Golden Hills WTP serves approximately 531 connections that would lose access to potable water in the event of a power outage. The existing propane gas emergency generator was originally installed in 1992 and further repairs exceed the unit’s net book value due to increasing lack of available parts and risk </w:t>
      </w:r>
      <w:r w:rsidR="00627920">
        <w:t xml:space="preserve">of </w:t>
      </w:r>
      <w:r w:rsidRPr="009F227C">
        <w:t xml:space="preserve">further damaging the unit. Sunshine has opted to retire the 32-year-old emergency generator and install a new unit with specifications consistent with other sites to allow for operational simplification and resiliency during severe weather events. The project consists of the installation of a new generator, remote terminal units with supervisorial control and data acquisition technology, as well as a new service disconnect, automatic transfer switch, controls, </w:t>
      </w:r>
      <w:r w:rsidRPr="009F227C">
        <w:lastRenderedPageBreak/>
        <w:t xml:space="preserve">and instrumentation to implement the new generator to maintain backup generation as required by DEP. The initial estimated completion date for the project was December 2024, but due to a significant lead time for electrical equipment, the project is now anticipated to be completed by December 2025. </w:t>
      </w:r>
    </w:p>
    <w:p w14:paraId="15160CEC" w14:textId="77777777" w:rsidR="00532378" w:rsidRPr="009F227C" w:rsidRDefault="00532378" w:rsidP="00532378">
      <w:pPr>
        <w:spacing w:after="240"/>
        <w:jc w:val="both"/>
      </w:pPr>
      <w:r w:rsidRPr="009F227C">
        <w:tab/>
        <w:t xml:space="preserve">In its initial filing, Sunshine requested $740,055 for the project, including $585,561 for construction, $102,350 for infrastructure, $7,911 in capitalized time, $44,233 for interest during construction, and $0 in contingency. Sunshine filed an updated request for $1,417,160 which is based on the contracted amount rather than the estimate provided by the engineering contractor. </w:t>
      </w:r>
    </w:p>
    <w:p w14:paraId="09FA6891" w14:textId="77777777" w:rsidR="00532378" w:rsidRPr="009F227C" w:rsidRDefault="00532378" w:rsidP="00532378">
      <w:pPr>
        <w:spacing w:after="240"/>
        <w:jc w:val="both"/>
      </w:pPr>
      <w:r w:rsidRPr="009F227C">
        <w:tab/>
        <w:t xml:space="preserve">As discussed for ST-14, Sunshine formally bid out all 3 needed generators together in 2022. However, Sunshine opted to rebid the purchase of the Golden Hills replacement generator separately in 2024 and selected Florida Environmental Construction Inc. as the general contractor and vendor of the replacement emergency generator. Florida Environmental then underwent a bidding process for electrical work required for the installation and received bid proposals from two companies. The electrical contract was awarded to Chinchor Electric Inc. after the competitor revised its bid to account for an error, making Chinchor the lowest cost bid. </w:t>
      </w:r>
    </w:p>
    <w:p w14:paraId="668A4A4E" w14:textId="77777777" w:rsidR="00532378" w:rsidRPr="009F227C" w:rsidRDefault="00532378" w:rsidP="00532378">
      <w:pPr>
        <w:spacing w:after="240"/>
        <w:jc w:val="both"/>
      </w:pPr>
      <w:r w:rsidRPr="009F227C">
        <w:tab/>
        <w:t>Sunshine provided contracts, task orders, and invoices of $1,064,041 for construction and $82,250 for engineering. Including an additional $13,182 in capitalized time and $73,707 in interest during construction, the total project costs are $1,233,180.</w:t>
      </w:r>
    </w:p>
    <w:p w14:paraId="6251850D" w14:textId="77777777" w:rsidR="00532378" w:rsidRPr="009F227C" w:rsidRDefault="00532378" w:rsidP="00532378">
      <w:pPr>
        <w:pStyle w:val="OrderBody"/>
      </w:pPr>
      <w:r w:rsidRPr="009F227C">
        <w:tab/>
        <w:t>Based on the documentation provided by the Utility and the testimony of witness Twomey, we find that $1,233,180 is reasonable for the project as the replacement of the 32-year-old emergency generator ensures water service is maintained in the event of a power outage at the WTP in compliance with DEP requirements. Sunshine recorded a cost of $740,055 in its MFRs; therefore, we approve an adjustment to increase the cost of ST-16 by $493,125 ($1,233,180 - $740,055).</w:t>
      </w:r>
    </w:p>
    <w:p w14:paraId="6C6A2115" w14:textId="77777777" w:rsidR="00532378" w:rsidRPr="009F227C" w:rsidRDefault="00532378" w:rsidP="00532378">
      <w:pPr>
        <w:pStyle w:val="OrderBody"/>
      </w:pPr>
    </w:p>
    <w:p w14:paraId="3E8408E8" w14:textId="77777777" w:rsidR="00532378" w:rsidRPr="009F227C" w:rsidRDefault="00532378" w:rsidP="00532378">
      <w:pPr>
        <w:ind w:left="720"/>
        <w:jc w:val="both"/>
        <w:outlineLvl w:val="3"/>
        <w:rPr>
          <w:b/>
          <w:bCs/>
          <w:i/>
          <w:iCs/>
          <w:szCs w:val="28"/>
        </w:rPr>
      </w:pPr>
      <w:r w:rsidRPr="009F227C">
        <w:rPr>
          <w:b/>
          <w:bCs/>
          <w:i/>
          <w:iCs/>
          <w:szCs w:val="28"/>
        </w:rPr>
        <w:t>ST-17: Sanlando – F5 FM</w:t>
      </w:r>
    </w:p>
    <w:p w14:paraId="6A5683DF" w14:textId="77777777" w:rsidR="00532378" w:rsidRPr="009F227C" w:rsidRDefault="00532378" w:rsidP="00532378">
      <w:pPr>
        <w:spacing w:after="240"/>
        <w:jc w:val="both"/>
      </w:pPr>
      <w:r w:rsidRPr="009F227C">
        <w:tab/>
        <w:t xml:space="preserve">Sunshine requested cost recovery for the replacement of the existing force main that connects the Sanlando F-5 lift station to the Wekiva WWTP with a force main of larger diameter and stronger material. As this force main sees approximately 40 percent of the Wekiva WWTP’s annual average daily flow pumped through it, Sunshine considers this pipeline a critical asset in the delivery of service. As part of a larger effort to modernize critical assets, Sunshine has opted to proactively upgrade the F5 force main from a 12-inch diameter PVC pipe to a 16-inch diameter pipe made of a more durable PVC material. The estimated completion date of the project was October 2025. </w:t>
      </w:r>
    </w:p>
    <w:p w14:paraId="140DE8D1" w14:textId="77777777" w:rsidR="00532378" w:rsidRPr="009F227C" w:rsidRDefault="00532378" w:rsidP="00532378">
      <w:pPr>
        <w:spacing w:after="240"/>
        <w:jc w:val="both"/>
      </w:pPr>
      <w:r w:rsidRPr="009F227C">
        <w:tab/>
        <w:t xml:space="preserve">In its initial filing, Sunshine requested $3,811,775 for the project, including $3,543,200 for construction, $40,747 in capitalized time, $227,828 for interest during construction, and $0 in contingency. Sunshine filed an updated request for $5,006,397 based on increases in material and labor costs since the preliminary 2022 estimate. </w:t>
      </w:r>
    </w:p>
    <w:p w14:paraId="74A9557E" w14:textId="139C9D61" w:rsidR="00532378" w:rsidRPr="009F227C" w:rsidRDefault="00532378" w:rsidP="00532378">
      <w:pPr>
        <w:spacing w:after="240"/>
        <w:jc w:val="both"/>
      </w:pPr>
      <w:r w:rsidRPr="009F227C">
        <w:tab/>
        <w:t xml:space="preserve">Sunshine underwent </w:t>
      </w:r>
      <w:r w:rsidR="00627920">
        <w:t>a</w:t>
      </w:r>
      <w:r w:rsidRPr="009F227C">
        <w:t xml:space="preserve"> formal bidding process and received bid proposals from three companies. Sunshine awarded the contract to Tri-Sure Corporation, the lowest bidder. Sunshine </w:t>
      </w:r>
      <w:r w:rsidRPr="009F227C">
        <w:lastRenderedPageBreak/>
        <w:t xml:space="preserve">provided contracts, task orders, and invoices of $4,496,450 for construction and $157,200 for </w:t>
      </w:r>
      <w:r w:rsidR="00D808D0" w:rsidRPr="009F227C">
        <w:t xml:space="preserve">engineering. </w:t>
      </w:r>
      <w:r w:rsidRPr="009F227C">
        <w:t>Including $53,517 in capitalized time and $299,230 in interest during construction, the total costs for the project are $5,006,397.</w:t>
      </w:r>
    </w:p>
    <w:p w14:paraId="1F41AC20" w14:textId="77777777" w:rsidR="00532378" w:rsidRPr="009F227C" w:rsidRDefault="00532378" w:rsidP="00532378">
      <w:pPr>
        <w:spacing w:after="240"/>
        <w:jc w:val="both"/>
      </w:pPr>
      <w:r w:rsidRPr="009F227C">
        <w:tab/>
        <w:t>Based on the documentation provided by the Utility and the testimony of witness Twomey, we find that $5,006,397 is reasonable for the project as the replacement piping of stronger material and larger diameter ensures the Wekiva WWTP continues providing service to the service area. Sunshine recorded a cost of $3,811,775 in its MFRs; therefore, we approve an adjustment to increase the cost of ST-17 by $1,194,622 ($5,006,397 - $3,811,775).</w:t>
      </w:r>
    </w:p>
    <w:p w14:paraId="35750A16" w14:textId="77777777" w:rsidR="00532378" w:rsidRPr="009F227C" w:rsidRDefault="00532378" w:rsidP="00532378">
      <w:pPr>
        <w:ind w:left="720"/>
        <w:jc w:val="both"/>
        <w:outlineLvl w:val="3"/>
        <w:rPr>
          <w:b/>
          <w:bCs/>
          <w:i/>
          <w:iCs/>
          <w:szCs w:val="28"/>
        </w:rPr>
      </w:pPr>
      <w:r w:rsidRPr="009F227C">
        <w:rPr>
          <w:b/>
          <w:bCs/>
          <w:i/>
          <w:iCs/>
          <w:szCs w:val="28"/>
        </w:rPr>
        <w:t>ST-18: Sanlando – Wekiva EQ Aeration Improvements</w:t>
      </w:r>
    </w:p>
    <w:p w14:paraId="6610CC40" w14:textId="77559336" w:rsidR="00532378" w:rsidRPr="009F227C" w:rsidRDefault="00532378" w:rsidP="00532378">
      <w:pPr>
        <w:spacing w:after="240"/>
        <w:jc w:val="both"/>
      </w:pPr>
      <w:r w:rsidRPr="009F227C">
        <w:tab/>
        <w:t xml:space="preserve">Sunshine requested cost recovery for the installation of a floating mixer in the Wekiva WWTP’s equalization tank and the installation of a permanent power source for the equalization tank. The existing aeration mixer was originally intended to be a temporary installation as part of a pilot test of the unit. For testing purposes, Sunshine rented the existing unit and powered it by a portable generator operated during the day when Utility staff was present. However, the unit was considered effective by Sunshine’s operators and the Utility opted to purchase and reinstall the aerator permanently. Additionally, Sunshine will construct a permanent power source for the mixer to extend its hours of operation. This project includes the purchase of the floating aeration mixer, the installation of the mixer, and the construction of a permanent power source for the equalization tank. The project had an initial estimated completion date of June 2025; but, this was revised to January 2025 after the electrical contractor was selected to complete the installation of the floating mixer. </w:t>
      </w:r>
    </w:p>
    <w:p w14:paraId="2D78A06C" w14:textId="77777777" w:rsidR="00532378" w:rsidRPr="009F227C" w:rsidRDefault="00532378" w:rsidP="00532378">
      <w:pPr>
        <w:pStyle w:val="OrderBody"/>
      </w:pPr>
      <w:r w:rsidRPr="009F227C">
        <w:tab/>
        <w:t xml:space="preserve">In its initial filing, Sunshine requested $139,854 for the project, including estimated project costs of $130,000 for construction and engineering, $1,495 in capitalized time, $8,359 for interest during construction, and $0 in contingency. Sunshine filed an updated request for $280,367 due to now having selected a contractor for the installation of the mixer, additional infrastructure needed for the aerator, and because the initial filing omitted the initial contractor work and the purchase of the floating mixer. </w:t>
      </w:r>
    </w:p>
    <w:p w14:paraId="07AF1BAA" w14:textId="77777777" w:rsidR="00532378" w:rsidRPr="009F227C" w:rsidRDefault="00532378" w:rsidP="00532378">
      <w:pPr>
        <w:pStyle w:val="OrderBody"/>
      </w:pPr>
    </w:p>
    <w:p w14:paraId="63C506B9" w14:textId="77777777" w:rsidR="00532378" w:rsidRPr="009F227C" w:rsidRDefault="00532378" w:rsidP="00532378">
      <w:pPr>
        <w:spacing w:after="240"/>
        <w:jc w:val="both"/>
      </w:pPr>
      <w:r w:rsidRPr="009F227C">
        <w:tab/>
        <w:t xml:space="preserve">Sunshine opted to forgo a formal bidding process and awarded the contract to Florida Environmental Construction, Inc. for the purchase and installation of the aeration equipment. Sunshine states this was to avoid delay in remedying the lack of aeration in the equalization tank and the Wekiva facility falling out of compliance. Sunshine did undergo a formal bidding process for the installation of the permanent power source and received only one bid proposal out of the three requested. Of the other companies, one declined, as the project would require a bond, and the other did not respond. As the only bid received, BMP Electric Inc. was selected as the project’s electric contractor. </w:t>
      </w:r>
    </w:p>
    <w:p w14:paraId="189FC95E" w14:textId="77777777" w:rsidR="00532378" w:rsidRPr="009F227C" w:rsidRDefault="00532378" w:rsidP="00532378">
      <w:pPr>
        <w:spacing w:after="240"/>
        <w:jc w:val="both"/>
      </w:pPr>
      <w:r w:rsidRPr="009F227C">
        <w:tab/>
        <w:t>Sunshine provided contracts, task orders, and invoices of $243,913 for construction and $16,700 for engineering. Including $2,997 in capitalized time and $16,757 in interest during construction, the total project costs are $280,367.</w:t>
      </w:r>
    </w:p>
    <w:p w14:paraId="44FCCCAD" w14:textId="77777777" w:rsidR="00D808D0" w:rsidRPr="009F227C" w:rsidRDefault="00D808D0" w:rsidP="00D808D0">
      <w:pPr>
        <w:spacing w:after="240"/>
        <w:jc w:val="both"/>
      </w:pPr>
      <w:r w:rsidRPr="009F227C">
        <w:tab/>
        <w:t xml:space="preserve">Based on the documentation provided by the Utility and the testimony of witness Twomey, </w:t>
      </w:r>
      <w:r>
        <w:t xml:space="preserve">we find that </w:t>
      </w:r>
      <w:r w:rsidRPr="009F227C">
        <w:t xml:space="preserve">the $280,367 is reasonable for the project as the permanent installation of </w:t>
      </w:r>
      <w:r w:rsidRPr="009F227C">
        <w:lastRenderedPageBreak/>
        <w:t>the floating mixer and the addition of a permanent power source for it to function outside of daylight hours will improve the aeration process of the WWTP. Sunshine recorded a cost of $139,854 in its MFRs; therefore, we approve an adjustment to increase the cost of ST-18 by $140,513 ($280,367 - $139,854).</w:t>
      </w:r>
    </w:p>
    <w:p w14:paraId="3144E529" w14:textId="77777777" w:rsidR="00532378" w:rsidRPr="009F227C" w:rsidRDefault="00532378" w:rsidP="00532378">
      <w:pPr>
        <w:ind w:left="720"/>
        <w:jc w:val="both"/>
        <w:outlineLvl w:val="3"/>
        <w:rPr>
          <w:b/>
          <w:bCs/>
          <w:i/>
          <w:iCs/>
          <w:szCs w:val="28"/>
        </w:rPr>
      </w:pPr>
      <w:r w:rsidRPr="009F227C">
        <w:rPr>
          <w:b/>
          <w:bCs/>
          <w:i/>
          <w:iCs/>
          <w:szCs w:val="28"/>
        </w:rPr>
        <w:t>ST-19: Pennbrooke – Water Quality Improvements</w:t>
      </w:r>
    </w:p>
    <w:p w14:paraId="3B182758" w14:textId="77777777" w:rsidR="00532378" w:rsidRPr="009F227C" w:rsidRDefault="00532378" w:rsidP="00532378">
      <w:pPr>
        <w:spacing w:after="240"/>
        <w:jc w:val="both"/>
      </w:pPr>
      <w:r w:rsidRPr="009F227C">
        <w:tab/>
        <w:t>Sunshine requested cost recovery for several improvements to the Pennbrooke WTP to resolve high levels of iron and hardness as well as other regulatory compliance issues. We found the quality of service to be unsatisfactory for Pennbrooke in its last rate case due to several concerns, including excessive levels of iron, other secondary water quality standards, and low water pressure.</w:t>
      </w:r>
      <w:r w:rsidRPr="009F227C">
        <w:rPr>
          <w:vertAlign w:val="superscript"/>
        </w:rPr>
        <w:footnoteReference w:id="23"/>
      </w:r>
      <w:r w:rsidRPr="009F227C">
        <w:t xml:space="preserve"> Kimley-Horn was contracted to evaluate treatment methods able to lower the facility’s iron and total hardness levels and evaluated multiple alternative methods. The Technical Memorandum provided by Kimley-Horn in 2021 recommended the ACTINA treatment system as the preferable method due to its lower capital cost and operating costs compared to other treatment methods, plus additional storage and pumping capacity. </w:t>
      </w:r>
    </w:p>
    <w:p w14:paraId="28AA1F74" w14:textId="3E13CE7B" w:rsidR="00532378" w:rsidRPr="009F227C" w:rsidRDefault="00532378" w:rsidP="00532378">
      <w:pPr>
        <w:pStyle w:val="OrderBody"/>
      </w:pPr>
      <w:r w:rsidRPr="009F227C">
        <w:tab/>
        <w:t>As part of this project, Sunshine has opted to also remedy other compliance issues within the Pennbrooke WTP. As such, this project includes the installation of</w:t>
      </w:r>
      <w:r w:rsidR="00024466">
        <w:t xml:space="preserve"> a</w:t>
      </w:r>
      <w:r w:rsidRPr="009F227C">
        <w:t xml:space="preserve"> high service pump station, </w:t>
      </w:r>
      <w:r w:rsidR="00024466">
        <w:t xml:space="preserve">a </w:t>
      </w:r>
      <w:r w:rsidRPr="009F227C">
        <w:t xml:space="preserve">generator, </w:t>
      </w:r>
      <w:r w:rsidR="00024466">
        <w:t>two</w:t>
      </w:r>
      <w:r w:rsidRPr="009F227C">
        <w:t xml:space="preserve"> ground storage tanks, and a replacement raw water well. The project had an initial completion date of December 2024, but this was delayed to March 2025 due to a delay in delivery of electrical equipment needed for the pumping equipment. </w:t>
      </w:r>
    </w:p>
    <w:p w14:paraId="21857FBB" w14:textId="77777777" w:rsidR="00532378" w:rsidRPr="009F227C" w:rsidRDefault="00532378" w:rsidP="00532378">
      <w:pPr>
        <w:pStyle w:val="OrderBody"/>
      </w:pPr>
    </w:p>
    <w:p w14:paraId="1981F391" w14:textId="77777777" w:rsidR="00532378" w:rsidRPr="009F227C" w:rsidRDefault="00532378" w:rsidP="00532378">
      <w:pPr>
        <w:spacing w:after="240"/>
        <w:jc w:val="both"/>
      </w:pPr>
      <w:r w:rsidRPr="009F227C">
        <w:tab/>
        <w:t xml:space="preserve">In its initial filing, Sunshine requested $9,488,944 for the project, including $8,820,360 for construction, $101,434 in capitalized time, $567,149 for interest during construction, and $0 in contingency. Sunshine filed an updated request for $9,966,596 due to a miscalculation in the total provided in the direct testimony being included, a change order being added to address several items needed during construction, and costs associated with the project’s delay. </w:t>
      </w:r>
    </w:p>
    <w:p w14:paraId="2969B1DB" w14:textId="1636F84A" w:rsidR="00532378" w:rsidRPr="009F227C" w:rsidRDefault="00532378" w:rsidP="00532378">
      <w:pPr>
        <w:spacing w:after="240"/>
        <w:jc w:val="both"/>
      </w:pPr>
      <w:r w:rsidRPr="009F227C">
        <w:tab/>
        <w:t xml:space="preserve">Sunshine underwent a formal bidding process and received two bid proposals. Sunshine awarded the contract to Florida Environmental Construction, Inc., the lowest bidder. </w:t>
      </w:r>
    </w:p>
    <w:p w14:paraId="56D8F087" w14:textId="77777777" w:rsidR="00532378" w:rsidRPr="009F227C" w:rsidRDefault="00532378" w:rsidP="00532378">
      <w:pPr>
        <w:spacing w:after="240"/>
        <w:jc w:val="both"/>
      </w:pPr>
      <w:r w:rsidRPr="009F227C">
        <w:tab/>
        <w:t>Sunshine provided contracts, task orders, and invoices of $8,898,059 for construction and $561,527 for engineering. Including an additional $108,785 in capitalized time and $608,251 in interest during construction, the total project costs are $10,176,622.</w:t>
      </w:r>
    </w:p>
    <w:p w14:paraId="5B90604E" w14:textId="3EDD99BF" w:rsidR="00532378" w:rsidRDefault="00532378" w:rsidP="00532378">
      <w:pPr>
        <w:spacing w:after="240"/>
        <w:jc w:val="both"/>
      </w:pPr>
      <w:r w:rsidRPr="009F227C">
        <w:tab/>
      </w:r>
      <w:r w:rsidR="00D808D0" w:rsidRPr="009F227C">
        <w:t xml:space="preserve">Based on the documentation provided by the Utility and the testimony of witness Twomey, </w:t>
      </w:r>
      <w:r w:rsidR="00D808D0">
        <w:t xml:space="preserve">we find that </w:t>
      </w:r>
      <w:r w:rsidR="00D808D0" w:rsidRPr="009F227C">
        <w:t>the $10,176,622 is reasonable for the project as the installation of the ACTINA treatment system is the most cost-effective method to the address water quality issues. Sunshine recorded a combined cost of $9,488,944 in its MFRs; therefore, we approve an adjustment to increase the cost of ST-19 by $687,678 ($10,176,622 - $9,488,944).</w:t>
      </w:r>
    </w:p>
    <w:p w14:paraId="56600EF9" w14:textId="77777777" w:rsidR="000E1783" w:rsidRPr="009F227C" w:rsidRDefault="000E1783" w:rsidP="00532378">
      <w:pPr>
        <w:spacing w:after="240"/>
        <w:jc w:val="both"/>
      </w:pPr>
    </w:p>
    <w:p w14:paraId="4CCB7471" w14:textId="5B1FD247" w:rsidR="00532378" w:rsidRPr="009F227C" w:rsidRDefault="00532378" w:rsidP="00532378">
      <w:pPr>
        <w:ind w:left="720"/>
        <w:jc w:val="both"/>
        <w:outlineLvl w:val="3"/>
        <w:rPr>
          <w:b/>
          <w:bCs/>
          <w:i/>
          <w:iCs/>
          <w:szCs w:val="28"/>
        </w:rPr>
      </w:pPr>
      <w:r w:rsidRPr="009F227C">
        <w:rPr>
          <w:b/>
          <w:bCs/>
          <w:i/>
          <w:iCs/>
          <w:szCs w:val="28"/>
        </w:rPr>
        <w:lastRenderedPageBreak/>
        <w:t>ST-21: Vactor Truck Replacement</w:t>
      </w:r>
    </w:p>
    <w:p w14:paraId="343EE04E" w14:textId="77777777" w:rsidR="00532378" w:rsidRPr="009F227C" w:rsidRDefault="00532378" w:rsidP="00532378">
      <w:pPr>
        <w:spacing w:after="240"/>
        <w:jc w:val="both"/>
      </w:pPr>
      <w:r w:rsidRPr="009F227C">
        <w:tab/>
        <w:t xml:space="preserve">Sunshine requested cost recovery for the purchase of a 2024 Kenworth tractor chassis and a 2024 Vactor 2100i (2024 Kenworth Vactor truck) to replace the existing 2007 International Vactor truck. The Vactor 2100i is sewer cleaning equipment that is mounted on the tractor chassis. It was determined that it is cost-prohibitive to repair the 2007 International Vactor. In addition, costs are incurred when hiring third-party contractors to complete the maintenance/emergency work that needs to be done when the 2007 truck is inoperable and being repaired. The purchase was completed February 2024. </w:t>
      </w:r>
    </w:p>
    <w:p w14:paraId="6B2FCE39" w14:textId="77777777" w:rsidR="00532378" w:rsidRPr="009F227C" w:rsidRDefault="00532378" w:rsidP="00532378">
      <w:pPr>
        <w:spacing w:after="240"/>
        <w:jc w:val="both"/>
      </w:pPr>
      <w:r w:rsidRPr="009F227C">
        <w:tab/>
        <w:t xml:space="preserve">In its initial filing, Sunshine requested $573,587 for this purchase. Sunshine underwent a formal bidding process and received bid proposals from two vendors, as the two vendors are the only ones that offer Vactor trucks matching Sunshine’s operational requirements. Environmental Products Group, Inc. was selected as the vendor of the new Vactor truck due to a lower selling price for the equipment. </w:t>
      </w:r>
    </w:p>
    <w:p w14:paraId="24076243" w14:textId="77777777" w:rsidR="00532378" w:rsidRPr="009F227C" w:rsidRDefault="00532378" w:rsidP="00532378">
      <w:pPr>
        <w:spacing w:after="240"/>
        <w:jc w:val="both"/>
      </w:pPr>
      <w:r w:rsidRPr="009F227C">
        <w:tab/>
        <w:t xml:space="preserve">In response to discovery, the Utility stated the purchase was completed for a total cost of $573,587 for the equipment. Our review of the invoice provided by the Utility supports this cost. </w:t>
      </w:r>
    </w:p>
    <w:p w14:paraId="4A515A10" w14:textId="77777777" w:rsidR="00532378" w:rsidRPr="009F227C" w:rsidRDefault="00532378" w:rsidP="00532378">
      <w:pPr>
        <w:pStyle w:val="OrderBody"/>
      </w:pPr>
      <w:r w:rsidRPr="009F227C">
        <w:tab/>
      </w:r>
      <w:r w:rsidR="00D808D0" w:rsidRPr="009F227C">
        <w:t xml:space="preserve">Based on the documentation provided and the testimony of witness Twomey, </w:t>
      </w:r>
      <w:r w:rsidR="00D808D0">
        <w:t xml:space="preserve">we find that </w:t>
      </w:r>
      <w:r w:rsidR="00D808D0" w:rsidRPr="009F227C">
        <w:t>$573,587 is reasonable for the project as the replacement of the existing 17-year-old Vactor allows continuous maintenance and cleaning of Utility owned facilities without reliance upon outside contractors. Sunshine recorded a cost of $573,587 in its MFRs; therefore, we find that no adjustment is necessary for ST-21.</w:t>
      </w:r>
    </w:p>
    <w:p w14:paraId="2DF8FAB8" w14:textId="77777777" w:rsidR="00532378" w:rsidRPr="009F227C" w:rsidRDefault="00532378" w:rsidP="00532378">
      <w:pPr>
        <w:pStyle w:val="OrderBody"/>
      </w:pPr>
    </w:p>
    <w:p w14:paraId="43B735B1" w14:textId="77777777" w:rsidR="00532378" w:rsidRPr="009F227C" w:rsidRDefault="00532378" w:rsidP="00532378">
      <w:pPr>
        <w:ind w:left="720"/>
        <w:jc w:val="both"/>
        <w:outlineLvl w:val="3"/>
        <w:rPr>
          <w:b/>
          <w:bCs/>
          <w:i/>
          <w:iCs/>
          <w:szCs w:val="28"/>
        </w:rPr>
      </w:pPr>
      <w:r w:rsidRPr="009F227C">
        <w:rPr>
          <w:b/>
          <w:bCs/>
          <w:i/>
          <w:iCs/>
          <w:szCs w:val="28"/>
        </w:rPr>
        <w:t>ST-22: Sandalhaven Force Main Relocation</w:t>
      </w:r>
    </w:p>
    <w:p w14:paraId="6693A0C3" w14:textId="77777777" w:rsidR="00532378" w:rsidRPr="009F227C" w:rsidRDefault="00532378" w:rsidP="00532378">
      <w:pPr>
        <w:spacing w:after="240"/>
        <w:jc w:val="both"/>
      </w:pPr>
      <w:r w:rsidRPr="009F227C">
        <w:tab/>
        <w:t xml:space="preserve">Sunshine requested cost recovery for the installation of a 4-inch sewer force main and the construction of above-grade air release valve (ARV) assemblies in the Sandalhaven service area. The owner of a private parcel in the Sandalhaven service area has requested Sunshine to provide wastewater service. Pursuant to Rule 25-30.230(2), F.A.C, each wastewater utility shall provide the service pipe to the service connection, and may locate the connection at or near the customer’s curb or property line. The original plan to connect the customer to the 12-inch force main adjacent to the property was revised by the engineering contractor due to the force main’s non-standard depth and instead recommended connecting approximately 830 linear feet away. The existing below-grade ARVs are located near the planned connection tie-in and are often inoperable due to frequent flooding of their enclosures. Sunshine has opted to replace the below-grade ARVs with above-grade ARVs to mitigate further flooding issues and ease future maintenance. This project will include the installation 830 linear feet of 4-inch HDPE piping, connection of the new piping to an existing 12-inch diameter force main, removal of the existing below-grade ARV assemblies, and the construction of the four new above-grade ARV assemblies. The project had an initial completion date of August 2024, but was delayed and completed October 2024. </w:t>
      </w:r>
    </w:p>
    <w:p w14:paraId="488B5465" w14:textId="77777777" w:rsidR="00532378" w:rsidRPr="009F227C" w:rsidRDefault="00532378" w:rsidP="00532378">
      <w:pPr>
        <w:spacing w:after="240"/>
        <w:jc w:val="both"/>
      </w:pPr>
      <w:r w:rsidRPr="009F227C">
        <w:tab/>
        <w:t xml:space="preserve">In its initial filing, Sunshine requested $368,081 for the project, including $244,794 for construction, $42,146 for engineering, $3,935 in capitalized time, $22,000 for interest during construction, and $55,207 in contingency. Sunshine filed an updated request for $313,496 due to the project being completed without the allocated contingency funds. </w:t>
      </w:r>
    </w:p>
    <w:p w14:paraId="243194B0" w14:textId="77777777" w:rsidR="00532378" w:rsidRPr="009F227C" w:rsidRDefault="00532378" w:rsidP="00532378">
      <w:pPr>
        <w:spacing w:after="240"/>
        <w:jc w:val="both"/>
      </w:pPr>
      <w:r w:rsidRPr="009F227C">
        <w:lastRenderedPageBreak/>
        <w:tab/>
        <w:t xml:space="preserve">Sunshine underwent a formal bidding process for the project but only received a bid proposal from one of the three companies it solicited. As the only bidder, Left Coast Utilities was selected as the general contractor. </w:t>
      </w:r>
    </w:p>
    <w:p w14:paraId="1D21F04B" w14:textId="77777777" w:rsidR="00532378" w:rsidRPr="009F227C" w:rsidRDefault="00532378" w:rsidP="00532378">
      <w:pPr>
        <w:spacing w:after="240"/>
        <w:jc w:val="both"/>
      </w:pPr>
      <w:r w:rsidRPr="009F227C">
        <w:tab/>
        <w:t>Sunshine provided contracts, task orders, and invoices of $293,760 for construction. Including an additional $3,378 in capitalized time and $18,889 in interest during construction, the total project costs are $316,027.</w:t>
      </w:r>
    </w:p>
    <w:p w14:paraId="3A0C243F" w14:textId="77777777" w:rsidR="00532378" w:rsidRPr="009F227C" w:rsidRDefault="00532378" w:rsidP="00532378">
      <w:pPr>
        <w:spacing w:after="240"/>
        <w:jc w:val="both"/>
      </w:pPr>
      <w:r w:rsidRPr="009F227C">
        <w:tab/>
        <w:t>Based on the documentation provided by the Utility and the testimony of witness Twomey, we find that the $316,027 is reasonable for the project as the service connection is necessary to provide wastewater service to a Utility customer and replacing the below-grade ARVs with above-grade ARVs improves system operations. Sunshine recorded a cost of $368,081 in its MFRs; therefore, we approve an adjustment to decrease the cost of ST-22 by $52,054 ($368,081 - $316,027).</w:t>
      </w:r>
    </w:p>
    <w:p w14:paraId="7ED744CC" w14:textId="77777777" w:rsidR="00532378" w:rsidRPr="009F227C" w:rsidRDefault="00532378" w:rsidP="00532378">
      <w:pPr>
        <w:ind w:left="720"/>
        <w:jc w:val="both"/>
        <w:outlineLvl w:val="3"/>
        <w:rPr>
          <w:b/>
          <w:bCs/>
          <w:i/>
          <w:iCs/>
          <w:szCs w:val="28"/>
        </w:rPr>
      </w:pPr>
      <w:r w:rsidRPr="009F227C">
        <w:rPr>
          <w:b/>
          <w:bCs/>
          <w:i/>
          <w:iCs/>
          <w:szCs w:val="28"/>
        </w:rPr>
        <w:t>ST-23: Buena Vista Lane Water Main Relocation</w:t>
      </w:r>
    </w:p>
    <w:p w14:paraId="237743FE" w14:textId="77777777" w:rsidR="00532378" w:rsidRPr="009F227C" w:rsidRDefault="00532378" w:rsidP="00532378">
      <w:pPr>
        <w:spacing w:after="240"/>
        <w:jc w:val="both"/>
      </w:pPr>
      <w:r w:rsidRPr="009F227C">
        <w:tab/>
        <w:t xml:space="preserve">Sunshine requested cost recovery for the relocation of an existing 6-inch diameter water main and an existing 2-inch water diameter in the Buena Vista service area of Pasco County. The project is required to be completed as part of a Pasco County project to improve drainage infrastructure along Buena Vista Lane. As the existing water mains conflict with the planned improvements, both must be relocated before Pasco County begins construction. This project includes the removal of the existing water mains, installation of 1,550 linear feet of 6-inch diameter water main, installation of 150 linear feet of 2-inch diameter water main, 18 service connections, approximately 15 tie-ins to existing water mains, and installation of new blow-off assembly. The project initially had a completion date of October 2024, but this was delayed to December 2024 due to hurricanes. </w:t>
      </w:r>
    </w:p>
    <w:p w14:paraId="0B6C21E3" w14:textId="213DE377" w:rsidR="00C376D5" w:rsidRDefault="00532378">
      <w:pPr>
        <w:spacing w:after="240"/>
        <w:jc w:val="both"/>
      </w:pPr>
      <w:r w:rsidRPr="009F227C">
        <w:tab/>
        <w:t xml:space="preserve">In its initial filing, Sunshine requested $431,956 for the project, including $401,521 for construction, $4,617 in capitalized time, $25,818 for interest during construction, and $0 in contingency. </w:t>
      </w:r>
      <w:r w:rsidR="00C376D5" w:rsidRPr="009F227C">
        <w:t xml:space="preserve">Sunshine underwent a formal bidding </w:t>
      </w:r>
      <w:r w:rsidR="00C376D5">
        <w:t xml:space="preserve">process </w:t>
      </w:r>
      <w:r w:rsidR="00C376D5" w:rsidRPr="009F227C">
        <w:t xml:space="preserve">and received bid proposals from two of the three companies contacted. Sunshine awarded Left Coast Utilities the contract as the lowest bidder. </w:t>
      </w:r>
      <w:r w:rsidRPr="009F227C">
        <w:t xml:space="preserve">Sunshine filed an updated request for $591,743 based on the results of </w:t>
      </w:r>
      <w:r w:rsidR="00F07E19">
        <w:t>its</w:t>
      </w:r>
      <w:r w:rsidRPr="009F227C">
        <w:t xml:space="preserve"> formal bidding process.</w:t>
      </w:r>
    </w:p>
    <w:p w14:paraId="042264E1" w14:textId="5F625D27" w:rsidR="00532378" w:rsidRPr="009F227C" w:rsidRDefault="00532378">
      <w:pPr>
        <w:spacing w:after="240"/>
        <w:jc w:val="both"/>
      </w:pPr>
      <w:r w:rsidRPr="009F227C">
        <w:tab/>
        <w:t>Sunshine provided contracts, task orders, and invoices of $495,840 for construction and $51,521 for engineering. Including an additional $6,295 in capitalized time and $35,195 in interest during construction, the total project costs are $588,851.</w:t>
      </w:r>
    </w:p>
    <w:p w14:paraId="3684D193" w14:textId="77777777" w:rsidR="00532378" w:rsidRDefault="00532378" w:rsidP="00532378">
      <w:pPr>
        <w:pStyle w:val="OrderBody"/>
      </w:pPr>
      <w:r w:rsidRPr="009F227C">
        <w:tab/>
      </w:r>
      <w:r w:rsidR="00D808D0" w:rsidRPr="009F227C">
        <w:t xml:space="preserve">Based on the documentation provided by the Utility and the testimony of witness Twomey, </w:t>
      </w:r>
      <w:r w:rsidR="00D808D0">
        <w:t xml:space="preserve">we recognize that </w:t>
      </w:r>
      <w:r w:rsidR="00D808D0" w:rsidRPr="009F227C">
        <w:t xml:space="preserve">this project is a requirement of a governmental authority and </w:t>
      </w:r>
      <w:r w:rsidR="00D808D0">
        <w:t>find</w:t>
      </w:r>
      <w:r w:rsidR="00D808D0" w:rsidRPr="009F227C">
        <w:t xml:space="preserve"> that the $588,851 is reasonable for the project. Sunshine recorded a cost of $431,956 in its MFRs; therefore, we approve an adjustment to increase the cost of ST-23 by $156,895 ($588,851 - $431,956).</w:t>
      </w:r>
    </w:p>
    <w:p w14:paraId="2068B2F8" w14:textId="2DEA98DF" w:rsidR="00D808D0" w:rsidRDefault="00D808D0" w:rsidP="00532378">
      <w:pPr>
        <w:pStyle w:val="OrderBody"/>
      </w:pPr>
    </w:p>
    <w:p w14:paraId="1BF76986" w14:textId="687D3BD8" w:rsidR="003E1B1C" w:rsidRDefault="003E1B1C" w:rsidP="00532378">
      <w:pPr>
        <w:pStyle w:val="OrderBody"/>
      </w:pPr>
    </w:p>
    <w:p w14:paraId="276DB120" w14:textId="77777777" w:rsidR="003E1B1C" w:rsidRPr="009F227C" w:rsidRDefault="003E1B1C" w:rsidP="00532378">
      <w:pPr>
        <w:pStyle w:val="OrderBody"/>
      </w:pPr>
    </w:p>
    <w:p w14:paraId="6BA6A144" w14:textId="77777777" w:rsidR="00532378" w:rsidRPr="009F227C" w:rsidRDefault="00532378" w:rsidP="00532378">
      <w:pPr>
        <w:ind w:left="720"/>
        <w:jc w:val="both"/>
        <w:outlineLvl w:val="3"/>
        <w:rPr>
          <w:b/>
          <w:bCs/>
          <w:i/>
          <w:iCs/>
          <w:szCs w:val="28"/>
        </w:rPr>
      </w:pPr>
      <w:r w:rsidRPr="009F227C">
        <w:rPr>
          <w:b/>
          <w:bCs/>
          <w:i/>
          <w:iCs/>
          <w:szCs w:val="28"/>
        </w:rPr>
        <w:lastRenderedPageBreak/>
        <w:t>ST-24: OW Remediation PFAS BV Well 3</w:t>
      </w:r>
    </w:p>
    <w:p w14:paraId="7285B159" w14:textId="77777777" w:rsidR="00532378" w:rsidRPr="009F227C" w:rsidRDefault="00532378" w:rsidP="00532378">
      <w:pPr>
        <w:spacing w:after="240"/>
        <w:jc w:val="both"/>
      </w:pPr>
      <w:r w:rsidRPr="009F227C">
        <w:tab/>
        <w:t xml:space="preserve">Sunshine requested cost recovery for the installation of ion exchange vessels at Well BV-3 in the Orangewood water system. This is needed to reduce levels of per- and poly-fluoroalkyl substances (PFAS) to below current Environmental Protection Agency (EPA) Maximum Contaminant Level (MCL). After a 2020 assessment, six of the seven wells in the Orangewood system were found to be in exceedance of the 2016 EPA MCL of 70 parts per trillion (ppt). This MCL was later further reduced to 4 ppt in April 2024. This project is a pilot test for Sunshine’s selected PFAS treatment method. The BV-3 well was selected as the initial pilot as it is the largest in the Orangewood system. Kimley-Horn was contracted to evaluate treatment methods for PFAS contamination and evaluated both Granular Activated Carbon and Selective Ion Exchange. The 2022 Technical Memorandum provided by Kimley-Horn recommended Ion Exchange as the preferable method due to higher bed volumes for PFAS removal, less capital costs for installation, lower empty bed contact time, less space required to implement, and lower operating costs. The project had an initial estimated completion date of August 2024, but this was delayed to December 2024 due to electrical issues and construction delays due to several hurricanes. In its briefs, OPC did not object to the costs associated with the project under the specific circumstances in this case. However, OPC believes that approval of this pilot program should not be a precedent for approval of additional PFAS remediation projects as this treatment method may not be best at other sites. </w:t>
      </w:r>
    </w:p>
    <w:p w14:paraId="0DF1A915" w14:textId="77777777" w:rsidR="00532378" w:rsidRPr="009F227C" w:rsidRDefault="00532378" w:rsidP="00532378">
      <w:pPr>
        <w:spacing w:after="240"/>
        <w:jc w:val="both"/>
      </w:pPr>
      <w:r w:rsidRPr="009F227C">
        <w:tab/>
        <w:t xml:space="preserve">In its initial filing, Sunshine requested $1,837,292 for the project, including $1,707,838 for construction and engineering, $19,640 in capitalized time, $109,814 for interest during construction, and $0 in contingency. </w:t>
      </w:r>
    </w:p>
    <w:p w14:paraId="0AF046F3" w14:textId="77777777" w:rsidR="00532378" w:rsidRPr="009F227C" w:rsidRDefault="00532378" w:rsidP="00532378">
      <w:pPr>
        <w:spacing w:after="240"/>
        <w:jc w:val="both"/>
      </w:pPr>
      <w:r w:rsidRPr="009F227C">
        <w:tab/>
        <w:t xml:space="preserve">Sunshine underwent a formal bidding process and received bid proposals from two companies of the five requested. Vogel Bros. Building Co. was selected as the general contractor due to providing the lowest bid price. </w:t>
      </w:r>
    </w:p>
    <w:p w14:paraId="3EDE9438" w14:textId="77777777" w:rsidR="00532378" w:rsidRPr="009F227C" w:rsidRDefault="00532378" w:rsidP="00532378">
      <w:pPr>
        <w:spacing w:after="240"/>
        <w:jc w:val="both"/>
      </w:pPr>
      <w:r w:rsidRPr="009F227C">
        <w:tab/>
        <w:t>Sunshine provided contracts, task orders, and invoices of $1,334,651 for construction and $373,187 for engineering. Including an additional $19,640 in capitalized time and $109,814 in interest during construction, the total project costs are $1,837,292.</w:t>
      </w:r>
    </w:p>
    <w:p w14:paraId="7BE90E2B" w14:textId="77777777" w:rsidR="00532378" w:rsidRPr="009F227C" w:rsidRDefault="00532378" w:rsidP="00532378">
      <w:pPr>
        <w:spacing w:after="240"/>
        <w:jc w:val="both"/>
      </w:pPr>
      <w:r w:rsidRPr="009F227C">
        <w:tab/>
      </w:r>
      <w:r w:rsidR="00D808D0" w:rsidRPr="009F227C">
        <w:t xml:space="preserve">Based on the documentation provided by the Utility and the testimony of witness Twomey, </w:t>
      </w:r>
      <w:r w:rsidR="00D808D0">
        <w:t xml:space="preserve">we find that </w:t>
      </w:r>
      <w:r w:rsidR="00D808D0" w:rsidRPr="009F227C">
        <w:t>the $1,837,292 is reasonable for the project as the project is the most cost-effective method to achieve the latest EPA requirements for PFAS. Sunshine recorded a cost of $1,837,292 in its MFRs; therefore, we find that no adj</w:t>
      </w:r>
      <w:r w:rsidR="00D808D0">
        <w:t>ustment is necessary for ST-24.</w:t>
      </w:r>
    </w:p>
    <w:p w14:paraId="36D1820E" w14:textId="77777777" w:rsidR="00532378" w:rsidRPr="009F227C" w:rsidRDefault="00532378" w:rsidP="00532378">
      <w:pPr>
        <w:ind w:left="720"/>
        <w:jc w:val="both"/>
        <w:outlineLvl w:val="3"/>
        <w:rPr>
          <w:b/>
          <w:bCs/>
          <w:i/>
          <w:iCs/>
          <w:szCs w:val="28"/>
        </w:rPr>
      </w:pPr>
      <w:r w:rsidRPr="009F227C">
        <w:rPr>
          <w:b/>
          <w:bCs/>
          <w:i/>
          <w:iCs/>
          <w:szCs w:val="28"/>
        </w:rPr>
        <w:t>ST-25: Curlew Creek Lift Station Gravity Main Rehabilitation</w:t>
      </w:r>
    </w:p>
    <w:p w14:paraId="1E77256F" w14:textId="77777777" w:rsidR="00532378" w:rsidRPr="009F227C" w:rsidRDefault="00532378" w:rsidP="00532378">
      <w:pPr>
        <w:spacing w:after="240"/>
        <w:jc w:val="both"/>
      </w:pPr>
      <w:r w:rsidRPr="009F227C">
        <w:tab/>
        <w:t xml:space="preserve">Sunshine requested cost recovery for the rehabilitation of two manholes and the section of gravity sewer main pipeline between them that runs parallel to the Curlew Creek. The creek bank has severely eroded and left the sewer system vulnerable to environmental contamination and/or the manholes collapsing into the creek. Due to the project being located within a Pinellas County drainage easement, Sunshine required a Right-of-Way Permit to complete the project. Sunshine will expand the existing sheet pile retaining wall and install upstream and downstream end walls to prevent further erosion before the necessary restoration. The project includes the construction of approximately 92 linear feet of sheet pile retaining wall and the subsequent </w:t>
      </w:r>
      <w:r w:rsidRPr="009F227C">
        <w:lastRenderedPageBreak/>
        <w:t xml:space="preserve">backfilling of the area behind the new retaining wall with flowable fill material. The initial completion date was August 2025, but this was revised to March 2025 due to the multiple hurricanes in 2024 worsening the damage and the project being declared an emergency by the Utility. </w:t>
      </w:r>
    </w:p>
    <w:p w14:paraId="5BE3DEB3" w14:textId="47C8CF6F" w:rsidR="00532378" w:rsidRPr="009F227C" w:rsidRDefault="00532378" w:rsidP="00532378">
      <w:pPr>
        <w:spacing w:after="240"/>
        <w:jc w:val="both"/>
      </w:pPr>
      <w:r w:rsidRPr="009F227C">
        <w:tab/>
        <w:t>In its initial filing, Sunshine requested $645,480, including $620,000 for construction, $6,900 in capitalized time, $38,580 for interest during construction, and $0 in contingency. This was corrected in response to discovery, as the actual costs for construction w</w:t>
      </w:r>
      <w:r w:rsidR="00C376D5">
        <w:t>ere</w:t>
      </w:r>
      <w:r w:rsidRPr="009F227C">
        <w:t xml:space="preserve"> only $600,000. However, Sunshine filed an updated request for $701,088 as the initial amount was based on the estimate of the construction vendor, additional material being needed, and the complexity of the work needing a second engineering opinion. </w:t>
      </w:r>
    </w:p>
    <w:p w14:paraId="4FE36EE4" w14:textId="77777777" w:rsidR="00532378" w:rsidRPr="009F227C" w:rsidRDefault="00532378" w:rsidP="00532378">
      <w:pPr>
        <w:spacing w:after="240"/>
        <w:jc w:val="both"/>
      </w:pPr>
      <w:r w:rsidRPr="009F227C">
        <w:tab/>
        <w:t xml:space="preserve">Sunshine underwent a formal bidding process and received bids from three companies. Sunshine awarded the project to Left Coast Utilities, the lowest bidder. </w:t>
      </w:r>
    </w:p>
    <w:p w14:paraId="6321EFF3" w14:textId="77777777" w:rsidR="00532378" w:rsidRPr="009F227C" w:rsidRDefault="00532378" w:rsidP="00532378">
      <w:pPr>
        <w:pStyle w:val="OrderBody"/>
      </w:pPr>
      <w:r w:rsidRPr="009F227C">
        <w:tab/>
        <w:t>Sunshine provided contracts, task orders, and invoices of $552,500 for construction and $99,190 for engineering. Including $7,494 in capitalized time and $41,904 in interest during construction, the total project costs are $701,088.</w:t>
      </w:r>
    </w:p>
    <w:p w14:paraId="27FF364A" w14:textId="77777777" w:rsidR="00532378" w:rsidRPr="009F227C" w:rsidRDefault="00532378" w:rsidP="00532378">
      <w:pPr>
        <w:pStyle w:val="OrderBody"/>
      </w:pPr>
    </w:p>
    <w:p w14:paraId="04D275C6" w14:textId="77777777" w:rsidR="00D808D0" w:rsidRPr="009F227C" w:rsidRDefault="00532378" w:rsidP="00D808D0">
      <w:pPr>
        <w:spacing w:after="240"/>
        <w:jc w:val="both"/>
      </w:pPr>
      <w:r w:rsidRPr="009F227C">
        <w:tab/>
      </w:r>
      <w:r w:rsidR="00D808D0" w:rsidRPr="009F227C">
        <w:t xml:space="preserve">Based on the documentation provided by the Utility and the testimony of witness Twomey, </w:t>
      </w:r>
      <w:r w:rsidR="00D808D0">
        <w:t xml:space="preserve">we find that </w:t>
      </w:r>
      <w:r w:rsidR="00D808D0" w:rsidRPr="009F227C">
        <w:t>$701,088 is reasonable for the project as the project is needed to prevent further environmental contamination and exposure of the sewer system. Sunshine recorded a cost of $645,480 in its MFRs; therefore, we approve an adjustment to increase the cost of ST-25 by $55,608 ($701,088 - $645,480).</w:t>
      </w:r>
    </w:p>
    <w:p w14:paraId="720139B1" w14:textId="77777777" w:rsidR="00532378" w:rsidRPr="009F227C" w:rsidRDefault="00532378" w:rsidP="00532378">
      <w:pPr>
        <w:ind w:left="720"/>
        <w:jc w:val="both"/>
        <w:outlineLvl w:val="3"/>
        <w:rPr>
          <w:b/>
          <w:bCs/>
          <w:i/>
          <w:iCs/>
          <w:szCs w:val="28"/>
        </w:rPr>
      </w:pPr>
      <w:r w:rsidRPr="009F227C">
        <w:rPr>
          <w:b/>
          <w:bCs/>
          <w:i/>
          <w:iCs/>
          <w:szCs w:val="28"/>
        </w:rPr>
        <w:t>ST-26: UIF Jansen Water Main Relocation</w:t>
      </w:r>
    </w:p>
    <w:p w14:paraId="340F1CDC" w14:textId="51271376" w:rsidR="00532378" w:rsidRPr="009F227C" w:rsidRDefault="00532378" w:rsidP="00532378">
      <w:pPr>
        <w:spacing w:after="240"/>
        <w:jc w:val="both"/>
      </w:pPr>
      <w:r w:rsidRPr="009F227C">
        <w:tab/>
        <w:t>Sunshine requested cost recovery for the relocation of an existing water main within the Jansen subdivision in Apopka, Florida. The project is required to be completed as part of a Seminole County project to construct a new sidewalk and gravity wall along Linneal Beach Drive. As the existing water main conflicts with the planned location of the new sidewalk, it must be relocated before Seminole County begins construction to maintain water service to customers. As part of this project, Sunshine has opted to replace the asbestos cement piping with a combination of HDPE and Polyethylene piping. This project includes the removal of approximately 700 linear feet of existing 4-inch diameter asbestos cement water main, installation of approximately 685 linear feet of 4-inch diameter HDPE piping, installation of approximately 150 linear feet of 4-inch diameter PVC piping, and service connections to the new water main. The initial completion date for the project was December 2024, but has been delayed until January 2025 due to a delay in receiving DEP potable water clearance.</w:t>
      </w:r>
    </w:p>
    <w:p w14:paraId="42D2EA94" w14:textId="77777777" w:rsidR="00532378" w:rsidRPr="009F227C" w:rsidRDefault="00532378" w:rsidP="00532378">
      <w:pPr>
        <w:spacing w:after="240"/>
        <w:jc w:val="both"/>
      </w:pPr>
      <w:r w:rsidRPr="009F227C">
        <w:tab/>
        <w:t xml:space="preserve">In its initial filing, Sunshine requested $215,160 for the project, including $200,000 for construction, $2,300 in capitalized time, $12,860 for interest during construction, and $0 in contingency. Sunshine provided an updated request for $362,268 due to previously unaccounted for survey work and locates done before project start date and to reflect the contracted amount rather than the estimated amount. </w:t>
      </w:r>
    </w:p>
    <w:p w14:paraId="307E149F" w14:textId="11E4270B" w:rsidR="00532378" w:rsidRPr="009F227C" w:rsidRDefault="00532378" w:rsidP="00532378">
      <w:pPr>
        <w:spacing w:after="240"/>
        <w:jc w:val="both"/>
      </w:pPr>
      <w:r w:rsidRPr="009F227C">
        <w:lastRenderedPageBreak/>
        <w:tab/>
        <w:t xml:space="preserve">Sunshine underwent </w:t>
      </w:r>
      <w:r w:rsidR="00F07E19">
        <w:t>a</w:t>
      </w:r>
      <w:r w:rsidRPr="009F227C">
        <w:t xml:space="preserve"> formal bidding process for the work where three companies responded with bids. Sunshine opted to award the contract to Central Florida Tapping and Construction Inc. due to providing the lowest bid. </w:t>
      </w:r>
    </w:p>
    <w:p w14:paraId="6FE9DDF8" w14:textId="77777777" w:rsidR="00532378" w:rsidRPr="009F227C" w:rsidRDefault="00532378" w:rsidP="00532378">
      <w:pPr>
        <w:spacing w:after="240"/>
        <w:jc w:val="both"/>
      </w:pPr>
      <w:r w:rsidRPr="009F227C">
        <w:tab/>
        <w:t>Sunshine provided contracts, task orders, and invoices for $255,930 for construction and $27,700 for engineering. Including an additional $3,262 for capitalized time and $18,237 for interest during construction, the total project costs are $305,129.</w:t>
      </w:r>
    </w:p>
    <w:p w14:paraId="79F5547F" w14:textId="77777777" w:rsidR="00532378" w:rsidRPr="009F227C" w:rsidRDefault="00532378" w:rsidP="00532378">
      <w:pPr>
        <w:spacing w:after="240"/>
        <w:jc w:val="both"/>
      </w:pPr>
      <w:r w:rsidRPr="009F227C">
        <w:tab/>
      </w:r>
      <w:r w:rsidR="00D808D0" w:rsidRPr="009F227C">
        <w:t xml:space="preserve">Based on the documentation provided by the Utility and the testimony of witness Twomey, </w:t>
      </w:r>
      <w:r w:rsidR="00D808D0">
        <w:t xml:space="preserve">we recognize that </w:t>
      </w:r>
      <w:r w:rsidR="00D808D0" w:rsidRPr="009F227C">
        <w:t xml:space="preserve">the project is a requirement </w:t>
      </w:r>
      <w:r w:rsidR="00D808D0">
        <w:t>of a governmental authority and find</w:t>
      </w:r>
      <w:r w:rsidR="00D808D0" w:rsidRPr="009F227C">
        <w:t xml:space="preserve"> that the $305,129 is reasonable for the project. Sunshine recorded a cost of $215,160 in its MFRs; therefore, we approve an adjustment to increase the cost of ST-26 by $89,969 ($305,129 - $215,160).</w:t>
      </w:r>
    </w:p>
    <w:p w14:paraId="53B7916F" w14:textId="77777777" w:rsidR="00532378" w:rsidRPr="009F227C" w:rsidRDefault="00532378" w:rsidP="00532378">
      <w:pPr>
        <w:jc w:val="both"/>
        <w:outlineLvl w:val="2"/>
        <w:rPr>
          <w:b/>
          <w:bCs/>
          <w:iCs/>
          <w:szCs w:val="28"/>
        </w:rPr>
      </w:pPr>
      <w:r w:rsidRPr="009F227C">
        <w:rPr>
          <w:b/>
          <w:bCs/>
          <w:iCs/>
          <w:szCs w:val="28"/>
        </w:rPr>
        <w:t>Total Pro Forma Adjustments</w:t>
      </w:r>
    </w:p>
    <w:p w14:paraId="44532E8F" w14:textId="77777777" w:rsidR="00532378" w:rsidRPr="009F227C" w:rsidRDefault="00532378" w:rsidP="00532378">
      <w:pPr>
        <w:spacing w:after="240"/>
        <w:jc w:val="both"/>
      </w:pPr>
      <w:r w:rsidRPr="009F227C">
        <w:tab/>
        <w:t>Based on our review of the water pro forma projects discussed in Issues 4 and 4A, we approve a total water pro forma value of $40,527,234, resulting in a reduction of $1,310,997 to the Utility’s initial request contained in its MFRs. Based on our review of the wastewater pro forma projects, we have determined that the total pro forma values shall be $16,262,302, resulting in an increase of $1,600,372 to the Utility’s initial request contained in its MFRs.</w:t>
      </w:r>
    </w:p>
    <w:p w14:paraId="462DF89E" w14:textId="77777777" w:rsidR="00532378" w:rsidRPr="009F227C" w:rsidRDefault="00532378" w:rsidP="00532378">
      <w:pPr>
        <w:spacing w:after="240"/>
        <w:jc w:val="both"/>
      </w:pPr>
      <w:r w:rsidRPr="009F227C">
        <w:tab/>
        <w:t xml:space="preserve">Corresponding adjustments </w:t>
      </w:r>
      <w:r w:rsidR="00F3268B" w:rsidRPr="009F227C">
        <w:t>shall</w:t>
      </w:r>
      <w:r w:rsidRPr="009F227C">
        <w:t xml:space="preserve"> also be made to decrease accumulated depreciation and depreciation expense by $116,370 for water and to increase accumulated depreciation and depreciation expense by $42,319 for wastewater. </w:t>
      </w:r>
    </w:p>
    <w:p w14:paraId="6CA7A8FA" w14:textId="77777777" w:rsidR="00532378" w:rsidRPr="009F227C" w:rsidRDefault="00532378" w:rsidP="00172BA1">
      <w:pPr>
        <w:pStyle w:val="ListParagraph"/>
        <w:numPr>
          <w:ilvl w:val="0"/>
          <w:numId w:val="7"/>
        </w:numPr>
        <w:ind w:hanging="720"/>
        <w:jc w:val="both"/>
      </w:pPr>
      <w:r w:rsidRPr="009F227C">
        <w:t xml:space="preserve">Conclusion </w:t>
      </w:r>
    </w:p>
    <w:p w14:paraId="770A6804" w14:textId="77777777" w:rsidR="00532378" w:rsidRPr="009F227C" w:rsidRDefault="00532378" w:rsidP="00532378">
      <w:pPr>
        <w:jc w:val="both"/>
      </w:pPr>
    </w:p>
    <w:p w14:paraId="6545628D" w14:textId="53283F55" w:rsidR="00532378" w:rsidRPr="009F227C" w:rsidRDefault="00532378" w:rsidP="00651D82">
      <w:pPr>
        <w:pStyle w:val="OrderBody"/>
      </w:pPr>
      <w:r w:rsidRPr="009F227C">
        <w:tab/>
        <w:t>Pro forma plant additions shall be decreased by $1,310,997 for water and increased by $1,600,372 for wastewater, which includes the adjustment for the proposed AMI project</w:t>
      </w:r>
      <w:r w:rsidR="00263C3B">
        <w:t xml:space="preserve"> (</w:t>
      </w:r>
      <w:r w:rsidRPr="009F227C">
        <w:t>Issue 4A</w:t>
      </w:r>
      <w:r w:rsidR="00263C3B">
        <w:t>)</w:t>
      </w:r>
      <w:r w:rsidRPr="009F227C">
        <w:t>. Corresponding adjustments shall also be made to decrease accumulated depreciation and depreciation expense by $116,370 for water and to increase accumulated depreciation and depreciation expense by $42,319 for wastewater. Adjustments to pro forma plant retirements and TOTI shall be made as set forth in Issues 5 and 29.</w:t>
      </w:r>
    </w:p>
    <w:p w14:paraId="35647885" w14:textId="77777777" w:rsidR="001138CF" w:rsidRPr="009F227C" w:rsidRDefault="001138CF" w:rsidP="00651D82">
      <w:pPr>
        <w:pStyle w:val="OrderBody"/>
      </w:pPr>
    </w:p>
    <w:p w14:paraId="620F1856" w14:textId="3BD016B7" w:rsidR="00361C00" w:rsidRPr="009F227C" w:rsidRDefault="00361C00" w:rsidP="00172BA1">
      <w:pPr>
        <w:pStyle w:val="ListParagraph"/>
        <w:numPr>
          <w:ilvl w:val="0"/>
          <w:numId w:val="39"/>
        </w:numPr>
        <w:ind w:left="720"/>
        <w:jc w:val="both"/>
        <w:outlineLvl w:val="0"/>
        <w:rPr>
          <w:bCs/>
          <w:kern w:val="32"/>
          <w:szCs w:val="32"/>
          <w:u w:val="single"/>
        </w:rPr>
      </w:pPr>
      <w:bookmarkStart w:id="15" w:name="_Toc199321443"/>
      <w:r w:rsidRPr="009F227C">
        <w:rPr>
          <w:bCs/>
          <w:kern w:val="32"/>
          <w:szCs w:val="32"/>
          <w:u w:val="single"/>
        </w:rPr>
        <w:t>Plant Retirement (Issue 5)</w:t>
      </w:r>
      <w:bookmarkEnd w:id="15"/>
    </w:p>
    <w:p w14:paraId="78259034" w14:textId="77777777" w:rsidR="00361C00" w:rsidRPr="009F227C" w:rsidRDefault="00361C00" w:rsidP="00361C00">
      <w:pPr>
        <w:jc w:val="both"/>
        <w:outlineLvl w:val="0"/>
        <w:rPr>
          <w:bCs/>
          <w:kern w:val="32"/>
          <w:szCs w:val="32"/>
        </w:rPr>
      </w:pPr>
    </w:p>
    <w:p w14:paraId="541A097C" w14:textId="77777777" w:rsidR="00361C00" w:rsidRPr="009F227C" w:rsidRDefault="00361C00" w:rsidP="00172BA1">
      <w:pPr>
        <w:pStyle w:val="ListParagraph"/>
        <w:numPr>
          <w:ilvl w:val="0"/>
          <w:numId w:val="9"/>
        </w:numPr>
        <w:ind w:hanging="720"/>
        <w:jc w:val="both"/>
      </w:pPr>
      <w:r w:rsidRPr="009F227C">
        <w:t>Analysis</w:t>
      </w:r>
    </w:p>
    <w:p w14:paraId="05EAB7C9" w14:textId="77777777" w:rsidR="00361C00" w:rsidRPr="009F227C" w:rsidRDefault="00361C00" w:rsidP="00361C00">
      <w:pPr>
        <w:jc w:val="both"/>
      </w:pPr>
    </w:p>
    <w:p w14:paraId="1899566A" w14:textId="77777777" w:rsidR="00361C00" w:rsidRPr="009F227C" w:rsidRDefault="00361C00" w:rsidP="00361C00">
      <w:pPr>
        <w:spacing w:after="240"/>
        <w:ind w:firstLine="720"/>
        <w:jc w:val="both"/>
      </w:pPr>
      <w:r w:rsidRPr="009F227C">
        <w:t xml:space="preserve">In its initial filing, Sunshine reflected pro forma retirements to plant and accumulated depreciation of $1,956,635 for water and $1,643,685 for wastewater, along with corresponding reductions of $73,122 and $51,319 to depreciation expense for water and wastewater, respectively. The Utility also identified contributed plant in the pro forma retirements and included corresponding adjustments to retire associated CIAC in the amounts of $451,677 for water and $240,934 for wastewater. An adjustment to decrease CIAC amortization expense for the pro forma contributed plant by $7,049 for wastewater was recorded in the initial filing. </w:t>
      </w:r>
    </w:p>
    <w:p w14:paraId="4D94E36B" w14:textId="77777777" w:rsidR="00361C00" w:rsidRPr="009F227C" w:rsidRDefault="00361C00" w:rsidP="00361C00">
      <w:pPr>
        <w:spacing w:after="240"/>
        <w:jc w:val="both"/>
      </w:pPr>
      <w:r w:rsidRPr="009F227C">
        <w:lastRenderedPageBreak/>
        <w:tab/>
        <w:t xml:space="preserve">Sunshine witness Swain subsequently updated the pro forma retirements in the MFRs with a revised schedule identified as Exhibit DDS-3. Per Sunshine, the correct plant retirements and accumulated depreciation to be made are $2,317,753 for water and $1,964,052 for wastewater. The amounts for retirements and included adjustments to retire associated CIAC were also updated to $267,850 for water and $270,445 for wastewater, along with a reduction to CIAC amortization expense of $8,015. </w:t>
      </w:r>
    </w:p>
    <w:p w14:paraId="63E56193" w14:textId="77777777" w:rsidR="00361C00" w:rsidRPr="009F227C" w:rsidRDefault="00361C00" w:rsidP="00361C00">
      <w:pPr>
        <w:spacing w:after="240"/>
        <w:jc w:val="both"/>
      </w:pPr>
      <w:r w:rsidRPr="009F227C">
        <w:tab/>
        <w:t xml:space="preserve">OPC argued that the entire cost of the pro forma AMI project should be disallowed as this is not a required project. OPC stated that retirements should be adjusted to reflect the reversal of the assumed test year retirements of existing meters upon the rejection of the proposed uninstalled AMI meters. </w:t>
      </w:r>
    </w:p>
    <w:p w14:paraId="71DD3F35" w14:textId="4A1287CE" w:rsidR="00361C00" w:rsidRPr="009F227C" w:rsidRDefault="00361C00" w:rsidP="00361C00">
      <w:pPr>
        <w:spacing w:after="240"/>
        <w:jc w:val="both"/>
      </w:pPr>
      <w:r w:rsidRPr="009F227C">
        <w:tab/>
        <w:t xml:space="preserve">Based on our approved adjustments </w:t>
      </w:r>
      <w:r w:rsidR="00263C3B">
        <w:t>to pro forma plant</w:t>
      </w:r>
      <w:r w:rsidR="00263C3B" w:rsidRPr="009F227C">
        <w:t xml:space="preserve"> </w:t>
      </w:r>
      <w:r w:rsidR="00263C3B">
        <w:t>(</w:t>
      </w:r>
      <w:r w:rsidRPr="009F227C">
        <w:t>Issue 4</w:t>
      </w:r>
      <w:r w:rsidR="00263C3B">
        <w:t>)</w:t>
      </w:r>
      <w:r w:rsidRPr="009F227C">
        <w:t xml:space="preserve">, we find that updated retirements are appropriate. However, the </w:t>
      </w:r>
      <w:r w:rsidR="00377B66">
        <w:t xml:space="preserve">Utility’s </w:t>
      </w:r>
      <w:r w:rsidRPr="009F227C">
        <w:t>initial and rebuttal filing did not include the corresponding adjustment to CIAC amortization expense for the pro forma contributed plant for water. We recalculated the corresponding adjustment to the CIAC amortization expense. Based on the appropriate pro forma retirements discussed above, CIAC amortization expense shall be decreased by $5,390 for water.</w:t>
      </w:r>
    </w:p>
    <w:p w14:paraId="4FCEC94B" w14:textId="77777777" w:rsidR="00361C00" w:rsidRPr="009F227C" w:rsidRDefault="00361C00" w:rsidP="00172BA1">
      <w:pPr>
        <w:pStyle w:val="ListParagraph"/>
        <w:numPr>
          <w:ilvl w:val="0"/>
          <w:numId w:val="9"/>
        </w:numPr>
        <w:ind w:hanging="720"/>
        <w:jc w:val="both"/>
      </w:pPr>
      <w:r w:rsidRPr="009F227C">
        <w:t xml:space="preserve">Conclusion </w:t>
      </w:r>
    </w:p>
    <w:p w14:paraId="4B0D1198" w14:textId="77777777" w:rsidR="007B5B46" w:rsidRPr="009F227C" w:rsidRDefault="007B5B46" w:rsidP="007B5B46">
      <w:pPr>
        <w:jc w:val="both"/>
      </w:pPr>
    </w:p>
    <w:p w14:paraId="4F68DBC5" w14:textId="77777777" w:rsidR="00361C00" w:rsidRPr="009F227C" w:rsidRDefault="00361C00" w:rsidP="00361C00">
      <w:pPr>
        <w:pStyle w:val="OrderBody"/>
      </w:pPr>
      <w:r w:rsidRPr="009F227C">
        <w:tab/>
        <w:t>Based on the information above, we find that the pro forma plant retirements and the associated accumulated depreciation amounts are $2,317,753 for water and $1,964,052 for wastewater. As such, plant and accumulated depreciation shall be decreased by $361,118 for water and $320,367 for wastewater, along with the following corresponding adjustments. CIAC and accumulated amortization of CIAC shall be increased by $183,827 for water and decreased by $29,511 for wastewater. Depreciation expense shall be decreased by $14,496 for water and $10,613 for wastewater. CIAC amortization shall be decreased by $5,390 for water and $966 for wastewater.</w:t>
      </w:r>
    </w:p>
    <w:p w14:paraId="3C957497" w14:textId="24FDE2C1" w:rsidR="00377B66" w:rsidRDefault="00377B66" w:rsidP="00361C00">
      <w:pPr>
        <w:pStyle w:val="OrderBody"/>
      </w:pPr>
    </w:p>
    <w:p w14:paraId="6BC61BA4" w14:textId="77777777" w:rsidR="0065102B" w:rsidRPr="009F227C" w:rsidRDefault="00B26D3E" w:rsidP="00172BA1">
      <w:pPr>
        <w:pStyle w:val="OrderBody"/>
        <w:numPr>
          <w:ilvl w:val="0"/>
          <w:numId w:val="40"/>
        </w:numPr>
        <w:ind w:hanging="720"/>
        <w:rPr>
          <w:b/>
        </w:rPr>
      </w:pPr>
      <w:r w:rsidRPr="009F227C">
        <w:rPr>
          <w:b/>
        </w:rPr>
        <w:t>Rate Base</w:t>
      </w:r>
    </w:p>
    <w:p w14:paraId="2A1F4F00" w14:textId="77777777" w:rsidR="00B26D3E" w:rsidRPr="009F227C" w:rsidRDefault="00B26D3E" w:rsidP="00B26D3E">
      <w:pPr>
        <w:pStyle w:val="OrderBody"/>
      </w:pPr>
    </w:p>
    <w:p w14:paraId="0E26868C" w14:textId="4680FE12" w:rsidR="00B26D3E" w:rsidRPr="009F227C" w:rsidRDefault="00B26D3E" w:rsidP="00172BA1">
      <w:pPr>
        <w:pStyle w:val="ListParagraph"/>
        <w:numPr>
          <w:ilvl w:val="0"/>
          <w:numId w:val="41"/>
        </w:numPr>
        <w:ind w:left="720"/>
        <w:jc w:val="both"/>
        <w:outlineLvl w:val="0"/>
        <w:rPr>
          <w:bCs/>
          <w:kern w:val="32"/>
          <w:szCs w:val="32"/>
          <w:u w:val="single"/>
        </w:rPr>
      </w:pPr>
      <w:bookmarkStart w:id="16" w:name="_Toc199321444"/>
      <w:r w:rsidRPr="009F227C">
        <w:rPr>
          <w:bCs/>
          <w:kern w:val="32"/>
          <w:szCs w:val="32"/>
          <w:u w:val="single"/>
        </w:rPr>
        <w:t>Test Year Plant-In-Service Adjustments (Issue 3)</w:t>
      </w:r>
      <w:bookmarkEnd w:id="16"/>
    </w:p>
    <w:p w14:paraId="770470A3" w14:textId="77777777" w:rsidR="00B26D3E" w:rsidRPr="009F227C" w:rsidRDefault="00B26D3E" w:rsidP="00B26D3E">
      <w:pPr>
        <w:jc w:val="both"/>
        <w:outlineLvl w:val="0"/>
        <w:rPr>
          <w:bCs/>
          <w:kern w:val="32"/>
          <w:szCs w:val="32"/>
        </w:rPr>
      </w:pPr>
    </w:p>
    <w:p w14:paraId="00621DDF" w14:textId="77777777" w:rsidR="00B26D3E" w:rsidRPr="009F227C" w:rsidRDefault="00B26D3E" w:rsidP="00172BA1">
      <w:pPr>
        <w:pStyle w:val="ListParagraph"/>
        <w:numPr>
          <w:ilvl w:val="0"/>
          <w:numId w:val="6"/>
        </w:numPr>
        <w:ind w:hanging="720"/>
        <w:jc w:val="both"/>
      </w:pPr>
      <w:r w:rsidRPr="009F227C">
        <w:t>Analysis</w:t>
      </w:r>
    </w:p>
    <w:p w14:paraId="4F20A2D7" w14:textId="77777777" w:rsidR="00B26D3E" w:rsidRPr="009F227C" w:rsidRDefault="00B26D3E" w:rsidP="00B26D3E">
      <w:pPr>
        <w:jc w:val="both"/>
      </w:pPr>
    </w:p>
    <w:p w14:paraId="3214001A" w14:textId="77777777" w:rsidR="00B26D3E" w:rsidRPr="009F227C" w:rsidRDefault="00B26D3E" w:rsidP="00B26D3E">
      <w:pPr>
        <w:spacing w:after="240"/>
        <w:ind w:firstLine="720"/>
        <w:jc w:val="both"/>
      </w:pPr>
      <w:r w:rsidRPr="009F227C">
        <w:t>Sunshine witness Swain made test year adjustments to the plant-in-service balance to correct allocations of common plant between water and wastewater and to reclassify plant accounts for the wastewater system. Although he addressed pro forma adjustments, OPC witness Smith did not dispute these test year adjustments in his testimony, nor did OPC dispute these specific adjustments in its post-hearing brief.</w:t>
      </w:r>
    </w:p>
    <w:p w14:paraId="4454C02F" w14:textId="7EFCA879" w:rsidR="00B26D3E" w:rsidRPr="009F227C" w:rsidRDefault="00B26D3E" w:rsidP="00B26D3E">
      <w:pPr>
        <w:spacing w:after="240"/>
        <w:jc w:val="both"/>
      </w:pPr>
      <w:r w:rsidRPr="009F227C">
        <w:tab/>
        <w:t xml:space="preserve">Further, staff witness Mouring’s testimony reflected audit adjustments to the test year balances of land in Audit Finding No. 7. After further research, Sunshine witness DeStefano confirmed the amount as $57,066, rather than the auditor’s finding of $35,590. As such, we find </w:t>
      </w:r>
      <w:r w:rsidRPr="009F227C">
        <w:lastRenderedPageBreak/>
        <w:t>that these test year adjustments are appropriate and adjustments are necessary to the test year land balances: a $29,570 decrease for water and a $27,496 decrease for wastewater.</w:t>
      </w:r>
    </w:p>
    <w:p w14:paraId="025DA3A5" w14:textId="43F0C134" w:rsidR="00B26D3E" w:rsidRPr="009F227C" w:rsidRDefault="00B26D3E" w:rsidP="00B26D3E">
      <w:pPr>
        <w:spacing w:after="240"/>
        <w:jc w:val="both"/>
      </w:pPr>
      <w:r w:rsidRPr="009F227C">
        <w:tab/>
        <w:t>As addressed in</w:t>
      </w:r>
      <w:r w:rsidR="00263C3B">
        <w:t xml:space="preserve"> our analysis of accumulated depreciation</w:t>
      </w:r>
      <w:r w:rsidRPr="009F227C">
        <w:t xml:space="preserve"> </w:t>
      </w:r>
      <w:r w:rsidR="00263C3B">
        <w:t>(</w:t>
      </w:r>
      <w:r w:rsidRPr="009F227C">
        <w:t>Issue 13</w:t>
      </w:r>
      <w:r w:rsidR="00263C3B">
        <w:t>)</w:t>
      </w:r>
      <w:r w:rsidRPr="009F227C">
        <w:t xml:space="preserve">, we approve of the Utility’s adjustments to annualize depreciation expense based on the corresponding plant assets being recognized in rate base. Based on the annualization calculated in the MFRs, our staff calculated the corresponding increase to test year plant-in-service balances. As such, we approve of increases of $3,918,720 and $8,285,365 to the test year plant-in-service balances for water and wastewater, respectively to reflect corresponding adjustments to annualization addressed in </w:t>
      </w:r>
      <w:r w:rsidR="00263C3B">
        <w:t>our analysis of accumulated depreciation</w:t>
      </w:r>
      <w:r w:rsidRPr="009F227C">
        <w:t>.</w:t>
      </w:r>
    </w:p>
    <w:p w14:paraId="5D5B98E0" w14:textId="77777777" w:rsidR="00B26D3E" w:rsidRPr="009F227C" w:rsidRDefault="00B26D3E" w:rsidP="00172BA1">
      <w:pPr>
        <w:pStyle w:val="ListParagraph"/>
        <w:numPr>
          <w:ilvl w:val="0"/>
          <w:numId w:val="6"/>
        </w:numPr>
        <w:jc w:val="both"/>
      </w:pPr>
      <w:r w:rsidRPr="009F227C">
        <w:t xml:space="preserve">Conclusion </w:t>
      </w:r>
    </w:p>
    <w:p w14:paraId="1E04C277" w14:textId="77777777" w:rsidR="00B26D3E" w:rsidRPr="009F227C" w:rsidRDefault="00B26D3E" w:rsidP="00B26D3E">
      <w:pPr>
        <w:jc w:val="both"/>
      </w:pPr>
    </w:p>
    <w:p w14:paraId="37A507BA" w14:textId="22C405D5" w:rsidR="00B26D3E" w:rsidRPr="009F227C" w:rsidRDefault="00B26D3E" w:rsidP="00B26D3E">
      <w:pPr>
        <w:pStyle w:val="OrderBody"/>
      </w:pPr>
      <w:r w:rsidRPr="009F227C">
        <w:tab/>
        <w:t xml:space="preserve">We approve decreases of $29,570 and $27,486 to the land balances for water and wastewater, respectively. We approve increases of $3,918,720 and $8,285,365 to the test year plant-in-service balances for water and wastewater, respectively to reflect corresponding adjustments to annualization addressed in </w:t>
      </w:r>
      <w:r w:rsidR="00263C3B">
        <w:t>our analysis of accumulated depreciation</w:t>
      </w:r>
      <w:r w:rsidR="00263C3B" w:rsidRPr="009F227C">
        <w:t xml:space="preserve"> </w:t>
      </w:r>
      <w:r w:rsidR="00263C3B">
        <w:t>(</w:t>
      </w:r>
      <w:r w:rsidRPr="009F227C">
        <w:t>Issue 13</w:t>
      </w:r>
      <w:r w:rsidR="00263C3B">
        <w:t>)</w:t>
      </w:r>
      <w:r w:rsidRPr="009F227C">
        <w:t>. Adjustments to pro forma plant (additions and retirements) shall be made as set forth and discussed in Issues 4 and 5.</w:t>
      </w:r>
    </w:p>
    <w:p w14:paraId="512642C3" w14:textId="77777777" w:rsidR="00361C00" w:rsidRPr="009F227C" w:rsidRDefault="00361C00" w:rsidP="00361C00">
      <w:pPr>
        <w:pStyle w:val="OrderBody"/>
      </w:pPr>
    </w:p>
    <w:p w14:paraId="43DC04A9" w14:textId="2BC6D3D0" w:rsidR="00361C00" w:rsidRPr="009F227C" w:rsidRDefault="00361C00" w:rsidP="00172BA1">
      <w:pPr>
        <w:pStyle w:val="ListParagraph"/>
        <w:numPr>
          <w:ilvl w:val="0"/>
          <w:numId w:val="41"/>
        </w:numPr>
        <w:ind w:left="720"/>
        <w:jc w:val="both"/>
        <w:outlineLvl w:val="0"/>
        <w:rPr>
          <w:bCs/>
          <w:kern w:val="32"/>
          <w:szCs w:val="32"/>
          <w:u w:val="single"/>
        </w:rPr>
      </w:pPr>
      <w:bookmarkStart w:id="17" w:name="_Toc199321445"/>
      <w:r w:rsidRPr="009F227C">
        <w:rPr>
          <w:u w:val="single"/>
        </w:rPr>
        <w:t>Excessive Unaccounted for Water</w:t>
      </w:r>
      <w:r w:rsidR="00DD48D2" w:rsidRPr="009F227C">
        <w:rPr>
          <w:u w:val="single"/>
        </w:rPr>
        <w:t xml:space="preserve"> (Issue 6)</w:t>
      </w:r>
      <w:bookmarkEnd w:id="17"/>
    </w:p>
    <w:p w14:paraId="6AABAEB8" w14:textId="77777777" w:rsidR="00361C00" w:rsidRPr="009F227C" w:rsidRDefault="00361C00" w:rsidP="00361C00">
      <w:pPr>
        <w:jc w:val="both"/>
        <w:outlineLvl w:val="0"/>
        <w:rPr>
          <w:bCs/>
          <w:kern w:val="32"/>
          <w:szCs w:val="32"/>
        </w:rPr>
      </w:pPr>
    </w:p>
    <w:p w14:paraId="575AB530" w14:textId="31C2A8F8" w:rsidR="00361C00" w:rsidRPr="009F227C" w:rsidRDefault="00361C00" w:rsidP="00703910">
      <w:pPr>
        <w:ind w:firstLine="720"/>
        <w:jc w:val="both"/>
      </w:pPr>
      <w:r w:rsidRPr="009F227C">
        <w:t xml:space="preserve">At the hearing, </w:t>
      </w:r>
      <w:r w:rsidR="00703910">
        <w:t>we approved a Type 2 stipulation as to the appropriate percentages of excessive unaccounted for water for certain Sunshine systems as follows</w:t>
      </w:r>
      <w:r w:rsidRPr="009F227C">
        <w:rPr>
          <w:sz w:val="23"/>
          <w:szCs w:val="23"/>
        </w:rPr>
        <w:t>: Lake Placid, 9.3 percent; LUSI (Four Lakes), 11.2 percent; Golden Hills, 0.9 percent; Labrador, 3.3 percent; Summertree, 4.5 percent; Orangewood, 8.7 percent; Bear Lake, 5.3 percent; Little Wekiva, 1.4 percent. Adjustments shall be made to purchased power, chemicals and purchased water as appropriate.</w:t>
      </w:r>
    </w:p>
    <w:p w14:paraId="4DE5E54D" w14:textId="77777777" w:rsidR="00361C00" w:rsidRPr="009F227C" w:rsidRDefault="00361C00" w:rsidP="00361C00">
      <w:pPr>
        <w:pStyle w:val="OrderBody"/>
        <w:rPr>
          <w:sz w:val="23"/>
          <w:szCs w:val="23"/>
        </w:rPr>
      </w:pPr>
    </w:p>
    <w:p w14:paraId="079AA646" w14:textId="0C5F5A04" w:rsidR="00361C00" w:rsidRPr="009F227C" w:rsidRDefault="00361C00" w:rsidP="00172BA1">
      <w:pPr>
        <w:pStyle w:val="ListParagraph"/>
        <w:numPr>
          <w:ilvl w:val="0"/>
          <w:numId w:val="41"/>
        </w:numPr>
        <w:ind w:left="720"/>
        <w:jc w:val="both"/>
        <w:outlineLvl w:val="0"/>
        <w:rPr>
          <w:bCs/>
          <w:kern w:val="32"/>
          <w:szCs w:val="32"/>
          <w:u w:val="single"/>
        </w:rPr>
      </w:pPr>
      <w:bookmarkStart w:id="18" w:name="_Toc199321446"/>
      <w:r w:rsidRPr="009F227C">
        <w:rPr>
          <w:u w:val="single"/>
        </w:rPr>
        <w:t>Excessive Infiltration and/or Inflow</w:t>
      </w:r>
      <w:r w:rsidR="00DD48D2" w:rsidRPr="009F227C">
        <w:rPr>
          <w:u w:val="single"/>
        </w:rPr>
        <w:t xml:space="preserve"> (Issue 7)</w:t>
      </w:r>
      <w:bookmarkEnd w:id="18"/>
    </w:p>
    <w:p w14:paraId="52E9831A" w14:textId="77777777" w:rsidR="00361C00" w:rsidRPr="009F227C" w:rsidRDefault="00361C00" w:rsidP="00361C00">
      <w:pPr>
        <w:jc w:val="both"/>
        <w:outlineLvl w:val="0"/>
        <w:rPr>
          <w:bCs/>
          <w:kern w:val="32"/>
          <w:szCs w:val="32"/>
        </w:rPr>
      </w:pPr>
    </w:p>
    <w:p w14:paraId="635754B6" w14:textId="2221CF16" w:rsidR="00361C00" w:rsidRPr="009F227C" w:rsidRDefault="00361C00" w:rsidP="00361C00">
      <w:pPr>
        <w:pStyle w:val="OrderBody"/>
        <w:ind w:firstLine="720"/>
        <w:rPr>
          <w:sz w:val="23"/>
          <w:szCs w:val="23"/>
        </w:rPr>
      </w:pPr>
      <w:r w:rsidRPr="009F227C">
        <w:t xml:space="preserve">At the hearing, </w:t>
      </w:r>
      <w:r w:rsidR="00703910">
        <w:t xml:space="preserve">we approved a Type 2 stipulation as to the appropriate percentages of </w:t>
      </w:r>
      <w:r w:rsidR="00703910" w:rsidRPr="00847B3F">
        <w:t>excessive infiltration and/or inflow</w:t>
      </w:r>
      <w:r w:rsidR="00703910">
        <w:t xml:space="preserve"> for certain Sunshine systems as follows</w:t>
      </w:r>
      <w:r w:rsidRPr="009F227C">
        <w:rPr>
          <w:sz w:val="23"/>
          <w:szCs w:val="23"/>
        </w:rPr>
        <w:t xml:space="preserve">: Ravenna Park, 41.27 percent. Adjustments </w:t>
      </w:r>
      <w:r w:rsidR="00B97D43" w:rsidRPr="009F227C">
        <w:rPr>
          <w:sz w:val="23"/>
          <w:szCs w:val="23"/>
        </w:rPr>
        <w:t>shall</w:t>
      </w:r>
      <w:r w:rsidRPr="009F227C">
        <w:rPr>
          <w:sz w:val="23"/>
          <w:szCs w:val="23"/>
        </w:rPr>
        <w:t xml:space="preserve"> be made to purchased power, chemicals, and purchased wastewater as appropriate.</w:t>
      </w:r>
    </w:p>
    <w:p w14:paraId="2859A2E9" w14:textId="41080854" w:rsidR="00361C00" w:rsidRPr="007E762C" w:rsidRDefault="00361C00" w:rsidP="00361C00">
      <w:pPr>
        <w:ind w:firstLine="720"/>
        <w:rPr>
          <w:bCs/>
          <w:kern w:val="32"/>
          <w:szCs w:val="32"/>
        </w:rPr>
      </w:pPr>
    </w:p>
    <w:p w14:paraId="11CB817D" w14:textId="4DE18E03" w:rsidR="00DD48D2" w:rsidRPr="009F227C" w:rsidRDefault="00DD48D2" w:rsidP="00172BA1">
      <w:pPr>
        <w:pStyle w:val="ListParagraph"/>
        <w:numPr>
          <w:ilvl w:val="0"/>
          <w:numId w:val="41"/>
        </w:numPr>
        <w:ind w:left="720"/>
        <w:jc w:val="both"/>
        <w:outlineLvl w:val="0"/>
        <w:rPr>
          <w:u w:val="single"/>
        </w:rPr>
      </w:pPr>
      <w:bookmarkStart w:id="19" w:name="_Toc199321447"/>
      <w:r w:rsidRPr="009F227C">
        <w:rPr>
          <w:u w:val="single"/>
        </w:rPr>
        <w:t>Used and Useful (U&amp;U) – Water Treatment (Issue 8)</w:t>
      </w:r>
      <w:bookmarkEnd w:id="19"/>
    </w:p>
    <w:p w14:paraId="47335EC5" w14:textId="77777777" w:rsidR="00361C00" w:rsidRPr="009F227C" w:rsidRDefault="00361C00" w:rsidP="00DD48D2">
      <w:pPr>
        <w:pStyle w:val="ListParagraph"/>
        <w:jc w:val="both"/>
        <w:outlineLvl w:val="0"/>
        <w:rPr>
          <w:bCs/>
          <w:kern w:val="32"/>
          <w:szCs w:val="32"/>
          <w:u w:val="single"/>
        </w:rPr>
      </w:pPr>
    </w:p>
    <w:p w14:paraId="18C7748D" w14:textId="6E5F0F20" w:rsidR="00361C00" w:rsidRPr="009F227C" w:rsidRDefault="00361C00" w:rsidP="00361C00">
      <w:pPr>
        <w:pStyle w:val="OrderBody"/>
        <w:ind w:firstLine="720"/>
        <w:rPr>
          <w:sz w:val="23"/>
          <w:szCs w:val="23"/>
        </w:rPr>
      </w:pPr>
      <w:r w:rsidRPr="009F227C">
        <w:t xml:space="preserve">At the hearing, we approved a </w:t>
      </w:r>
      <w:r w:rsidR="008E06EC">
        <w:t>T</w:t>
      </w:r>
      <w:r w:rsidRPr="009F227C">
        <w:t xml:space="preserve">ype 2 stipulation as </w:t>
      </w:r>
      <w:r w:rsidRPr="009F227C">
        <w:rPr>
          <w:sz w:val="23"/>
          <w:szCs w:val="23"/>
        </w:rPr>
        <w:t>follows: All water treatment and related facilities are 100 percent used and useful.</w:t>
      </w:r>
    </w:p>
    <w:p w14:paraId="36CEF58D" w14:textId="77777777" w:rsidR="00361C00" w:rsidRPr="007E762C" w:rsidRDefault="00361C00" w:rsidP="00361C00">
      <w:pPr>
        <w:pStyle w:val="OrderBody"/>
        <w:ind w:firstLine="720"/>
        <w:rPr>
          <w:bCs/>
          <w:kern w:val="32"/>
          <w:szCs w:val="32"/>
        </w:rPr>
      </w:pPr>
    </w:p>
    <w:p w14:paraId="3CAF0222" w14:textId="4ECFE853" w:rsidR="00361C00" w:rsidRPr="009F227C" w:rsidRDefault="00B73E78" w:rsidP="00172BA1">
      <w:pPr>
        <w:pStyle w:val="ListParagraph"/>
        <w:numPr>
          <w:ilvl w:val="0"/>
          <w:numId w:val="41"/>
        </w:numPr>
        <w:ind w:left="720"/>
        <w:jc w:val="both"/>
        <w:outlineLvl w:val="0"/>
        <w:rPr>
          <w:bCs/>
          <w:kern w:val="32"/>
          <w:szCs w:val="32"/>
          <w:u w:val="single"/>
        </w:rPr>
      </w:pPr>
      <w:bookmarkStart w:id="20" w:name="_Toc199321448"/>
      <w:r w:rsidRPr="009F227C">
        <w:rPr>
          <w:u w:val="single"/>
        </w:rPr>
        <w:t>U&amp;U</w:t>
      </w:r>
      <w:r w:rsidR="00361C00" w:rsidRPr="009F227C">
        <w:rPr>
          <w:u w:val="single"/>
        </w:rPr>
        <w:t xml:space="preserve"> Water Storage</w:t>
      </w:r>
      <w:r w:rsidRPr="009F227C">
        <w:rPr>
          <w:u w:val="single"/>
        </w:rPr>
        <w:t xml:space="preserve"> (Issue 9)</w:t>
      </w:r>
      <w:bookmarkEnd w:id="20"/>
    </w:p>
    <w:p w14:paraId="20F19903" w14:textId="77777777" w:rsidR="00361C00" w:rsidRPr="009F227C" w:rsidRDefault="00361C00" w:rsidP="00361C00">
      <w:pPr>
        <w:jc w:val="both"/>
        <w:outlineLvl w:val="0"/>
        <w:rPr>
          <w:bCs/>
          <w:kern w:val="32"/>
          <w:szCs w:val="32"/>
        </w:rPr>
      </w:pPr>
    </w:p>
    <w:p w14:paraId="6F87C694" w14:textId="2643C068" w:rsidR="00361C00" w:rsidRPr="009F227C" w:rsidRDefault="00361C00" w:rsidP="00361C00">
      <w:pPr>
        <w:pStyle w:val="OrderBody"/>
        <w:ind w:firstLine="720"/>
        <w:rPr>
          <w:sz w:val="23"/>
          <w:szCs w:val="23"/>
        </w:rPr>
      </w:pPr>
      <w:r w:rsidRPr="009F227C">
        <w:t xml:space="preserve">At the hearing, we approved a </w:t>
      </w:r>
      <w:r w:rsidR="008E06EC">
        <w:t>T</w:t>
      </w:r>
      <w:r w:rsidRPr="009F227C">
        <w:t xml:space="preserve">ype 2 stipulation as </w:t>
      </w:r>
      <w:r w:rsidRPr="009F227C">
        <w:rPr>
          <w:sz w:val="23"/>
          <w:szCs w:val="23"/>
        </w:rPr>
        <w:t>follows: All water storage and related facilities are 100 percent used and useful.</w:t>
      </w:r>
    </w:p>
    <w:p w14:paraId="46DA0856" w14:textId="77777777" w:rsidR="00361C00" w:rsidRPr="009F227C" w:rsidRDefault="00361C00" w:rsidP="00361C00">
      <w:pPr>
        <w:pStyle w:val="OrderBody"/>
        <w:ind w:firstLine="720"/>
        <w:rPr>
          <w:sz w:val="23"/>
          <w:szCs w:val="23"/>
        </w:rPr>
      </w:pPr>
    </w:p>
    <w:p w14:paraId="357EACBA" w14:textId="2D588831" w:rsidR="00361C00" w:rsidRPr="009F227C" w:rsidRDefault="00B73E78" w:rsidP="00172BA1">
      <w:pPr>
        <w:pStyle w:val="ListParagraph"/>
        <w:numPr>
          <w:ilvl w:val="0"/>
          <w:numId w:val="41"/>
        </w:numPr>
        <w:ind w:left="720"/>
        <w:jc w:val="both"/>
        <w:outlineLvl w:val="0"/>
        <w:rPr>
          <w:bCs/>
          <w:kern w:val="32"/>
          <w:szCs w:val="32"/>
          <w:u w:val="single"/>
        </w:rPr>
      </w:pPr>
      <w:bookmarkStart w:id="21" w:name="_Toc199321449"/>
      <w:r w:rsidRPr="009F227C">
        <w:rPr>
          <w:u w:val="single"/>
        </w:rPr>
        <w:lastRenderedPageBreak/>
        <w:t xml:space="preserve">U&amp;U </w:t>
      </w:r>
      <w:r w:rsidR="00361C00" w:rsidRPr="009F227C">
        <w:rPr>
          <w:u w:val="single"/>
        </w:rPr>
        <w:t>Water Distribution</w:t>
      </w:r>
      <w:r w:rsidRPr="009F227C">
        <w:rPr>
          <w:u w:val="single"/>
        </w:rPr>
        <w:t xml:space="preserve"> (Issue 10)</w:t>
      </w:r>
      <w:bookmarkEnd w:id="21"/>
    </w:p>
    <w:p w14:paraId="57B51B1C" w14:textId="77777777" w:rsidR="00361C00" w:rsidRPr="009F227C" w:rsidRDefault="00361C00" w:rsidP="00361C00">
      <w:pPr>
        <w:jc w:val="both"/>
        <w:outlineLvl w:val="0"/>
        <w:rPr>
          <w:bCs/>
          <w:kern w:val="32"/>
          <w:szCs w:val="32"/>
        </w:rPr>
      </w:pPr>
    </w:p>
    <w:p w14:paraId="2F55D1B2" w14:textId="06987B8F" w:rsidR="00361C00" w:rsidRPr="009F227C" w:rsidRDefault="00361C00" w:rsidP="00361C00">
      <w:pPr>
        <w:pStyle w:val="OrderBody"/>
        <w:rPr>
          <w:sz w:val="23"/>
          <w:szCs w:val="23"/>
        </w:rPr>
      </w:pPr>
      <w:r w:rsidRPr="009F227C">
        <w:t xml:space="preserve">At the hearing, we approved a </w:t>
      </w:r>
      <w:r w:rsidR="008E06EC">
        <w:t>T</w:t>
      </w:r>
      <w:r w:rsidRPr="009F227C">
        <w:t xml:space="preserve">ype 2 stipulation as </w:t>
      </w:r>
      <w:r w:rsidRPr="009F227C">
        <w:rPr>
          <w:sz w:val="23"/>
          <w:szCs w:val="23"/>
        </w:rPr>
        <w:t>follows: All water distribution and related facilities are 100 percent used and useful.</w:t>
      </w:r>
    </w:p>
    <w:p w14:paraId="0A5A577C" w14:textId="77777777" w:rsidR="00B73E78" w:rsidRPr="009F227C" w:rsidRDefault="00B73E78" w:rsidP="00361C00">
      <w:pPr>
        <w:pStyle w:val="OrderBody"/>
        <w:rPr>
          <w:sz w:val="23"/>
          <w:szCs w:val="23"/>
        </w:rPr>
      </w:pPr>
    </w:p>
    <w:p w14:paraId="46DADDE7" w14:textId="6664C45D" w:rsidR="00361C00" w:rsidRPr="009F227C" w:rsidRDefault="00B73E78" w:rsidP="00172BA1">
      <w:pPr>
        <w:pStyle w:val="ListParagraph"/>
        <w:numPr>
          <w:ilvl w:val="0"/>
          <w:numId w:val="41"/>
        </w:numPr>
        <w:ind w:left="720"/>
        <w:jc w:val="both"/>
        <w:outlineLvl w:val="0"/>
        <w:rPr>
          <w:bCs/>
          <w:kern w:val="32"/>
          <w:szCs w:val="32"/>
          <w:u w:val="single"/>
        </w:rPr>
      </w:pPr>
      <w:bookmarkStart w:id="22" w:name="_Toc199321450"/>
      <w:r w:rsidRPr="009F227C">
        <w:rPr>
          <w:u w:val="single"/>
        </w:rPr>
        <w:t>U&amp;U</w:t>
      </w:r>
      <w:r w:rsidR="00361C00" w:rsidRPr="009F227C">
        <w:rPr>
          <w:u w:val="single"/>
        </w:rPr>
        <w:t xml:space="preserve"> Wastewater Treatment</w:t>
      </w:r>
      <w:r w:rsidRPr="009F227C">
        <w:rPr>
          <w:u w:val="single"/>
        </w:rPr>
        <w:t xml:space="preserve"> (Issue 11)</w:t>
      </w:r>
      <w:bookmarkEnd w:id="22"/>
    </w:p>
    <w:p w14:paraId="557FC70D" w14:textId="77777777" w:rsidR="00361C00" w:rsidRPr="009F227C" w:rsidRDefault="00361C00" w:rsidP="00361C00">
      <w:pPr>
        <w:jc w:val="both"/>
        <w:outlineLvl w:val="0"/>
        <w:rPr>
          <w:bCs/>
          <w:kern w:val="32"/>
          <w:szCs w:val="32"/>
        </w:rPr>
      </w:pPr>
    </w:p>
    <w:p w14:paraId="124ADE03" w14:textId="22C8BE4B" w:rsidR="00361C00" w:rsidRPr="009F227C" w:rsidRDefault="00361C00" w:rsidP="00361C00">
      <w:pPr>
        <w:pStyle w:val="OrderBody"/>
        <w:rPr>
          <w:sz w:val="23"/>
          <w:szCs w:val="23"/>
        </w:rPr>
      </w:pPr>
      <w:r w:rsidRPr="009F227C">
        <w:t xml:space="preserve">At the hearing, we approved a </w:t>
      </w:r>
      <w:r w:rsidR="008E06EC">
        <w:t>T</w:t>
      </w:r>
      <w:r w:rsidRPr="009F227C">
        <w:t xml:space="preserve">ype 2 stipulation as </w:t>
      </w:r>
      <w:r w:rsidRPr="009F227C">
        <w:rPr>
          <w:sz w:val="23"/>
          <w:szCs w:val="23"/>
        </w:rPr>
        <w:t xml:space="preserve">follows: All wastewater treatment and related facilities are 100 percent used and useful except as follows: Crownwood, 74.78 percent. In Sandalhaven, the used and useful percentage of purchased capacity shall be 42.24 percent, the force main, master lift station structure, and the pumping equipment </w:t>
      </w:r>
      <w:r w:rsidR="00B97D43" w:rsidRPr="009F227C">
        <w:rPr>
          <w:sz w:val="23"/>
          <w:szCs w:val="23"/>
        </w:rPr>
        <w:t>shall</w:t>
      </w:r>
      <w:r w:rsidRPr="009F227C">
        <w:rPr>
          <w:sz w:val="23"/>
          <w:szCs w:val="23"/>
        </w:rPr>
        <w:t xml:space="preserve"> be 100 percent.</w:t>
      </w:r>
    </w:p>
    <w:p w14:paraId="5D33E06C" w14:textId="77777777" w:rsidR="00361C00" w:rsidRPr="009F227C" w:rsidRDefault="00361C00" w:rsidP="00361C00">
      <w:pPr>
        <w:pStyle w:val="OrderBody"/>
        <w:rPr>
          <w:sz w:val="23"/>
          <w:szCs w:val="23"/>
        </w:rPr>
      </w:pPr>
    </w:p>
    <w:p w14:paraId="2A356614" w14:textId="097B096E" w:rsidR="00361C00" w:rsidRPr="009F227C" w:rsidRDefault="00B73E78" w:rsidP="00172BA1">
      <w:pPr>
        <w:pStyle w:val="ListParagraph"/>
        <w:numPr>
          <w:ilvl w:val="0"/>
          <w:numId w:val="41"/>
        </w:numPr>
        <w:ind w:left="720"/>
        <w:jc w:val="both"/>
        <w:outlineLvl w:val="0"/>
        <w:rPr>
          <w:bCs/>
          <w:kern w:val="32"/>
          <w:szCs w:val="32"/>
          <w:u w:val="single"/>
        </w:rPr>
      </w:pPr>
      <w:bookmarkStart w:id="23" w:name="_Toc199321451"/>
      <w:r w:rsidRPr="009F227C">
        <w:rPr>
          <w:u w:val="single"/>
        </w:rPr>
        <w:t>U&amp;U</w:t>
      </w:r>
      <w:r w:rsidR="00361C00" w:rsidRPr="009F227C">
        <w:rPr>
          <w:u w:val="single"/>
        </w:rPr>
        <w:t xml:space="preserve"> for Collection</w:t>
      </w:r>
      <w:r w:rsidRPr="009F227C">
        <w:rPr>
          <w:u w:val="single"/>
        </w:rPr>
        <w:t xml:space="preserve"> (Issue 12)</w:t>
      </w:r>
      <w:bookmarkEnd w:id="23"/>
    </w:p>
    <w:p w14:paraId="5D99D4BF" w14:textId="77777777" w:rsidR="00361C00" w:rsidRPr="009F227C" w:rsidRDefault="00361C00" w:rsidP="00361C00">
      <w:pPr>
        <w:jc w:val="both"/>
        <w:outlineLvl w:val="0"/>
        <w:rPr>
          <w:bCs/>
          <w:kern w:val="32"/>
          <w:szCs w:val="32"/>
        </w:rPr>
      </w:pPr>
    </w:p>
    <w:p w14:paraId="5E0B98DC" w14:textId="0A391692" w:rsidR="00361C00" w:rsidRPr="009F227C" w:rsidRDefault="00361C00" w:rsidP="00361C00">
      <w:pPr>
        <w:pStyle w:val="OrderBody"/>
        <w:rPr>
          <w:sz w:val="23"/>
          <w:szCs w:val="23"/>
        </w:rPr>
      </w:pPr>
      <w:r w:rsidRPr="009F227C">
        <w:t xml:space="preserve">At the hearing, we approved a </w:t>
      </w:r>
      <w:r w:rsidR="008E06EC">
        <w:t>T</w:t>
      </w:r>
      <w:r w:rsidRPr="009F227C">
        <w:t xml:space="preserve">ype 2 stipulation as </w:t>
      </w:r>
      <w:r w:rsidRPr="009F227C">
        <w:rPr>
          <w:sz w:val="23"/>
          <w:szCs w:val="23"/>
        </w:rPr>
        <w:t>follows: All collection lines are 100 percent used and useful.</w:t>
      </w:r>
    </w:p>
    <w:p w14:paraId="7DF41572" w14:textId="77777777" w:rsidR="00361C00" w:rsidRPr="009F227C" w:rsidRDefault="00361C00" w:rsidP="00361C00">
      <w:pPr>
        <w:pStyle w:val="OrderBody"/>
        <w:rPr>
          <w:sz w:val="23"/>
          <w:szCs w:val="23"/>
        </w:rPr>
      </w:pPr>
    </w:p>
    <w:p w14:paraId="17E7BB57" w14:textId="33A5FFB5" w:rsidR="00361C00" w:rsidRPr="009F227C" w:rsidRDefault="00361C00" w:rsidP="00172BA1">
      <w:pPr>
        <w:pStyle w:val="ListParagraph"/>
        <w:numPr>
          <w:ilvl w:val="0"/>
          <w:numId w:val="41"/>
        </w:numPr>
        <w:ind w:left="720"/>
        <w:jc w:val="both"/>
        <w:outlineLvl w:val="0"/>
        <w:rPr>
          <w:bCs/>
          <w:kern w:val="32"/>
          <w:szCs w:val="32"/>
          <w:u w:val="single"/>
        </w:rPr>
      </w:pPr>
      <w:bookmarkStart w:id="24" w:name="_Toc199321452"/>
      <w:r w:rsidRPr="009F227C">
        <w:rPr>
          <w:bCs/>
          <w:kern w:val="32"/>
          <w:szCs w:val="32"/>
          <w:u w:val="single"/>
        </w:rPr>
        <w:t>Accumulated Depreciation</w:t>
      </w:r>
      <w:r w:rsidR="000C3822" w:rsidRPr="009F227C">
        <w:rPr>
          <w:bCs/>
          <w:kern w:val="32"/>
          <w:szCs w:val="32"/>
          <w:u w:val="single"/>
        </w:rPr>
        <w:t xml:space="preserve"> (Issue 13)</w:t>
      </w:r>
      <w:bookmarkEnd w:id="24"/>
    </w:p>
    <w:p w14:paraId="300AB513" w14:textId="77777777" w:rsidR="00361C00" w:rsidRPr="009F227C" w:rsidRDefault="00361C00" w:rsidP="00361C00">
      <w:pPr>
        <w:jc w:val="both"/>
        <w:outlineLvl w:val="0"/>
        <w:rPr>
          <w:bCs/>
          <w:kern w:val="32"/>
          <w:szCs w:val="32"/>
        </w:rPr>
      </w:pPr>
    </w:p>
    <w:p w14:paraId="25D163C9" w14:textId="77777777" w:rsidR="00361C00" w:rsidRPr="009F227C" w:rsidRDefault="00361C00" w:rsidP="00172BA1">
      <w:pPr>
        <w:pStyle w:val="ListParagraph"/>
        <w:numPr>
          <w:ilvl w:val="0"/>
          <w:numId w:val="10"/>
        </w:numPr>
        <w:ind w:hanging="810"/>
        <w:jc w:val="both"/>
      </w:pPr>
      <w:r w:rsidRPr="009F227C">
        <w:t>Analysis</w:t>
      </w:r>
    </w:p>
    <w:p w14:paraId="6CEDCD3D" w14:textId="77777777" w:rsidR="00361C00" w:rsidRPr="009F227C" w:rsidRDefault="00361C00" w:rsidP="00361C00">
      <w:pPr>
        <w:pStyle w:val="OrderBody"/>
        <w:rPr>
          <w:sz w:val="23"/>
          <w:szCs w:val="23"/>
        </w:rPr>
      </w:pPr>
    </w:p>
    <w:p w14:paraId="79E79857" w14:textId="77777777" w:rsidR="00361C00" w:rsidRPr="009F227C" w:rsidRDefault="00361C00" w:rsidP="00361C00">
      <w:pPr>
        <w:spacing w:after="240"/>
        <w:ind w:firstLine="720"/>
        <w:jc w:val="both"/>
      </w:pPr>
      <w:r w:rsidRPr="009F227C">
        <w:t>Sunshine witness Swain made test year adjustments to the accumulated depreciation balance to correct the allocation of common plant between water and wastewater and to correct the over amortization of Sandalhaven intangible plant. The Utility also made adjustments to annualize accumulated depreciation for test year plant additions. Pro forma adjustments to accumulated depreciation are addressed in Issues 4 and 5.</w:t>
      </w:r>
    </w:p>
    <w:p w14:paraId="44CC331F" w14:textId="77777777" w:rsidR="00361C00" w:rsidRPr="009F227C" w:rsidRDefault="00361C00" w:rsidP="00361C00">
      <w:pPr>
        <w:jc w:val="both"/>
        <w:outlineLvl w:val="2"/>
        <w:rPr>
          <w:b/>
          <w:bCs/>
          <w:iCs/>
          <w:szCs w:val="28"/>
        </w:rPr>
      </w:pPr>
      <w:r w:rsidRPr="009F227C">
        <w:rPr>
          <w:b/>
          <w:bCs/>
          <w:iCs/>
          <w:szCs w:val="28"/>
        </w:rPr>
        <w:t>Annualization</w:t>
      </w:r>
    </w:p>
    <w:p w14:paraId="68D20D4B" w14:textId="77777777" w:rsidR="00361C00" w:rsidRPr="009F227C" w:rsidRDefault="00361C00" w:rsidP="00361C00">
      <w:pPr>
        <w:spacing w:after="240"/>
        <w:jc w:val="both"/>
      </w:pPr>
      <w:r w:rsidRPr="009F227C">
        <w:tab/>
        <w:t xml:space="preserve">OPC argued that Sunshine incorrectly calculated rate base, as witness Swain stated that various factors are annualized rather than using a 13-month average. It specifically cited that Sunshine violated Rule 25-30.433(5), F.A.C., which requires the rate case filing to utilize the 13-month average for calculating rate base. Per witness Swain, Sunshine is not incorrectly calculating these values, as the Utility filed its rate case using all required 13-month averages, and made pro forma adjustments. She maintained that pro forma adjustments look to the future and apply the future as an adjustment to the test year, which is not a mismatch nor is it out of compliance with Rule 25-30.433(5), F.A.C. </w:t>
      </w:r>
    </w:p>
    <w:p w14:paraId="5D54D8B3" w14:textId="77777777" w:rsidR="00361C00" w:rsidRPr="009F227C" w:rsidRDefault="00361C00" w:rsidP="00361C00">
      <w:pPr>
        <w:spacing w:after="240"/>
        <w:jc w:val="both"/>
      </w:pPr>
      <w:r w:rsidRPr="009F227C">
        <w:tab/>
        <w:t xml:space="preserve">As explained by OPC witness Smith, depreciation is annualized for pro forma additions of plant that occur after the end of the test year. This is a convention of ratemaking, thus recognizing the full year of the asset in plant, accumulated depreciation, and depreciation expense. The Utility represented the adjustment as pro forma in its filing, or subsequent to the test year, based on the same convention. </w:t>
      </w:r>
    </w:p>
    <w:p w14:paraId="1B0A3ECB" w14:textId="0D15F0B2" w:rsidR="00361C00" w:rsidRPr="009F227C" w:rsidRDefault="00361C00" w:rsidP="00361C00">
      <w:pPr>
        <w:spacing w:after="240"/>
        <w:jc w:val="both"/>
      </w:pPr>
      <w:r w:rsidRPr="009F227C">
        <w:tab/>
      </w:r>
      <w:r w:rsidR="00377B66">
        <w:t>W</w:t>
      </w:r>
      <w:r w:rsidRPr="009F227C">
        <w:t xml:space="preserve">e agree with witness Swain in regard to the appropriateness of annualization as a pro forma adjustment. However, we also agree with OPC witness Smith’s argument that it was a mismatch to include the annualization on an asset recorded on a 13-month average basis. Thus, it </w:t>
      </w:r>
      <w:r w:rsidRPr="009F227C">
        <w:lastRenderedPageBreak/>
        <w:t xml:space="preserve">is also reasonable to include the annualization of the test year additions as a corresponding adjustment to eliminate the mismatch. As such, as reflected in Issue 3, we approve including a plant-in-service annualization adjustment to reflect the corresponding assets in rate base. </w:t>
      </w:r>
    </w:p>
    <w:p w14:paraId="7317BD92" w14:textId="77777777" w:rsidR="00361C00" w:rsidRPr="009F227C" w:rsidRDefault="00361C00" w:rsidP="00361C00">
      <w:pPr>
        <w:jc w:val="both"/>
        <w:outlineLvl w:val="2"/>
        <w:rPr>
          <w:b/>
          <w:bCs/>
          <w:iCs/>
          <w:szCs w:val="28"/>
        </w:rPr>
      </w:pPr>
      <w:r w:rsidRPr="009F227C">
        <w:rPr>
          <w:b/>
          <w:bCs/>
          <w:iCs/>
          <w:szCs w:val="28"/>
        </w:rPr>
        <w:t>Net Salvage Value</w:t>
      </w:r>
    </w:p>
    <w:p w14:paraId="70D08358" w14:textId="0A01F976" w:rsidR="00361C00" w:rsidRPr="009F227C" w:rsidRDefault="00361C00" w:rsidP="00361C00">
      <w:pPr>
        <w:spacing w:after="240"/>
        <w:jc w:val="both"/>
      </w:pPr>
      <w:r w:rsidRPr="009F227C">
        <w:tab/>
        <w:t>OPC also argues in its brief that Sunshine violated Rule 25-30.140(3)(a),</w:t>
      </w:r>
      <w:r w:rsidR="005B2734">
        <w:t xml:space="preserve"> </w:t>
      </w:r>
      <w:r w:rsidRPr="009F227C">
        <w:t>(6),</w:t>
      </w:r>
      <w:r w:rsidR="00377B66">
        <w:t xml:space="preserve"> and </w:t>
      </w:r>
      <w:r w:rsidRPr="009F227C">
        <w:t xml:space="preserve">(7), F.A.C., by not applying net salvage to six accounts (three each for water and wastewater). The Utility argued that we have consistently excluded the negative salvage value from depreciation rates for water and wastewater utilities. However, Sunshine did acknowledge that if this practice changes, it would be considered an accounting change and should only apply moving forward. </w:t>
      </w:r>
      <w:r w:rsidR="00377B66">
        <w:t>S</w:t>
      </w:r>
      <w:r w:rsidRPr="009F227C">
        <w:t>taff witness Mouring confirmed the accuracy of this historical practice, noting that, except for the Pluris 2023 Rate Case, he is not aware of any instance where we approved depreciation rates including net salvage value.</w:t>
      </w:r>
      <w:r w:rsidRPr="009F227C">
        <w:rPr>
          <w:vertAlign w:val="superscript"/>
        </w:rPr>
        <w:footnoteReference w:id="24"/>
      </w:r>
      <w:r w:rsidRPr="009F227C">
        <w:t xml:space="preserve">  Without a rule waiver or variance, the Utility sh</w:t>
      </w:r>
      <w:r w:rsidR="00377B66">
        <w:t>all</w:t>
      </w:r>
      <w:r w:rsidRPr="009F227C">
        <w:t xml:space="preserve"> be required to make this adjustment to conform to the Rule on a prospective basis. As such, accumulated depreciation shall be reduced by $35,830 for water and $37,410 for wastewater. The corresponding depreciation adjustments are reflected in</w:t>
      </w:r>
      <w:r w:rsidR="00263C3B">
        <w:t xml:space="preserve"> our test year depreciation expense calcu</w:t>
      </w:r>
      <w:r w:rsidR="003E1B1C">
        <w:t>l</w:t>
      </w:r>
      <w:r w:rsidR="00263C3B">
        <w:t>ations (</w:t>
      </w:r>
      <w:r w:rsidRPr="009F227C">
        <w:t>Issue 30</w:t>
      </w:r>
      <w:r w:rsidR="00263C3B">
        <w:t>)</w:t>
      </w:r>
      <w:r w:rsidRPr="009F227C">
        <w:t xml:space="preserve"> and our approved pro forma adjustments </w:t>
      </w:r>
      <w:r w:rsidR="00263C3B">
        <w:t>(</w:t>
      </w:r>
      <w:r w:rsidRPr="009F227C">
        <w:t>Issue 4</w:t>
      </w:r>
      <w:r w:rsidR="00263C3B">
        <w:t>)</w:t>
      </w:r>
      <w:r w:rsidRPr="009F227C">
        <w:t xml:space="preserve"> reflect the application of net salvage value to applicable plant accounts. </w:t>
      </w:r>
    </w:p>
    <w:p w14:paraId="0A4BCA2C" w14:textId="77777777" w:rsidR="00361C00" w:rsidRPr="009F227C" w:rsidRDefault="00361C00" w:rsidP="00361C00">
      <w:pPr>
        <w:jc w:val="both"/>
        <w:outlineLvl w:val="2"/>
        <w:rPr>
          <w:b/>
          <w:bCs/>
          <w:iCs/>
          <w:szCs w:val="28"/>
        </w:rPr>
      </w:pPr>
      <w:r w:rsidRPr="009F227C">
        <w:rPr>
          <w:b/>
          <w:bCs/>
          <w:iCs/>
          <w:szCs w:val="28"/>
        </w:rPr>
        <w:t>Audit Finding No. 6</w:t>
      </w:r>
    </w:p>
    <w:p w14:paraId="1897AF90" w14:textId="77777777" w:rsidR="00361C00" w:rsidRPr="009F227C" w:rsidRDefault="00361C00" w:rsidP="00361C00">
      <w:pPr>
        <w:spacing w:after="240"/>
        <w:jc w:val="both"/>
      </w:pPr>
      <w:r w:rsidRPr="009F227C">
        <w:tab/>
        <w:t xml:space="preserve">In witness Mouring’s testimony, Audit Finding No. 6 addressed the reclassification of wastewater plant projects, which had a resulting change in accumulated depreciation. The Utility agreed with the finding as well. Therefore, we approve reducing wastewater accumulated depreciation by $16,229. </w:t>
      </w:r>
    </w:p>
    <w:p w14:paraId="0E36D5EC" w14:textId="77777777" w:rsidR="00361C00" w:rsidRPr="009F227C" w:rsidRDefault="00361C00" w:rsidP="00172BA1">
      <w:pPr>
        <w:pStyle w:val="ListParagraph"/>
        <w:numPr>
          <w:ilvl w:val="0"/>
          <w:numId w:val="10"/>
        </w:numPr>
        <w:ind w:hanging="720"/>
        <w:jc w:val="both"/>
      </w:pPr>
      <w:r w:rsidRPr="009F227C">
        <w:t xml:space="preserve">Conclusion </w:t>
      </w:r>
    </w:p>
    <w:p w14:paraId="68B97175" w14:textId="77777777" w:rsidR="00361C00" w:rsidRPr="009F227C" w:rsidRDefault="00361C00" w:rsidP="00361C00">
      <w:pPr>
        <w:pStyle w:val="OrderBody"/>
      </w:pPr>
    </w:p>
    <w:p w14:paraId="2D429495" w14:textId="0DE1F3F0" w:rsidR="00361C00" w:rsidRDefault="00361C00" w:rsidP="00361C00">
      <w:pPr>
        <w:pStyle w:val="OrderBody"/>
      </w:pPr>
      <w:r w:rsidRPr="009F227C">
        <w:tab/>
        <w:t>We approve decreases to the test year accumulated depreciation of $35,830 for water and $53,639 ($37,410 + $16,229) for wastewater. All necessary adjustments to accumulated depreciation associated with pro forma additions and retirements shall be made as set forth and discussed in Issues 4 and 5.</w:t>
      </w:r>
    </w:p>
    <w:p w14:paraId="3058085E" w14:textId="77777777" w:rsidR="0073083B" w:rsidRDefault="0073083B" w:rsidP="00361C00">
      <w:pPr>
        <w:pStyle w:val="OrderBody"/>
      </w:pPr>
    </w:p>
    <w:p w14:paraId="4C8D84A0" w14:textId="66DADBDB" w:rsidR="008A33B8" w:rsidRPr="009F227C" w:rsidRDefault="008A33B8" w:rsidP="00172BA1">
      <w:pPr>
        <w:pStyle w:val="ListParagraph"/>
        <w:numPr>
          <w:ilvl w:val="0"/>
          <w:numId w:val="41"/>
        </w:numPr>
        <w:ind w:left="720"/>
        <w:jc w:val="both"/>
        <w:outlineLvl w:val="0"/>
        <w:rPr>
          <w:bCs/>
          <w:kern w:val="32"/>
          <w:szCs w:val="32"/>
          <w:u w:val="single"/>
        </w:rPr>
      </w:pPr>
      <w:bookmarkStart w:id="25" w:name="_Toc199321453"/>
      <w:r w:rsidRPr="009F227C">
        <w:rPr>
          <w:u w:val="single"/>
        </w:rPr>
        <w:t>Contributions-In-Aid-Of-Construction (CIAC) Balances</w:t>
      </w:r>
      <w:r w:rsidR="00CB590E" w:rsidRPr="009F227C">
        <w:rPr>
          <w:u w:val="single"/>
        </w:rPr>
        <w:t xml:space="preserve"> (Issue 14)</w:t>
      </w:r>
      <w:bookmarkEnd w:id="25"/>
    </w:p>
    <w:p w14:paraId="6C25DD3E" w14:textId="77777777" w:rsidR="008A33B8" w:rsidRPr="009F227C" w:rsidRDefault="008A33B8" w:rsidP="008A33B8">
      <w:pPr>
        <w:jc w:val="both"/>
      </w:pPr>
    </w:p>
    <w:p w14:paraId="03A57BAE" w14:textId="77777777" w:rsidR="008A33B8" w:rsidRPr="009F227C" w:rsidRDefault="008A33B8" w:rsidP="00172BA1">
      <w:pPr>
        <w:pStyle w:val="ListParagraph"/>
        <w:numPr>
          <w:ilvl w:val="0"/>
          <w:numId w:val="11"/>
        </w:numPr>
        <w:ind w:hanging="810"/>
        <w:jc w:val="both"/>
      </w:pPr>
      <w:r w:rsidRPr="009F227C">
        <w:t>Analysis</w:t>
      </w:r>
    </w:p>
    <w:p w14:paraId="7E8661E7" w14:textId="77777777" w:rsidR="008A33B8" w:rsidRPr="009F227C" w:rsidRDefault="008A33B8" w:rsidP="00847B3F">
      <w:pPr>
        <w:pStyle w:val="OrderBody"/>
      </w:pPr>
    </w:p>
    <w:p w14:paraId="0466D4C1" w14:textId="77777777" w:rsidR="00847B3F" w:rsidRPr="009F227C" w:rsidRDefault="00847B3F" w:rsidP="008A33B8">
      <w:pPr>
        <w:spacing w:after="240"/>
        <w:ind w:firstLine="630"/>
        <w:jc w:val="both"/>
      </w:pPr>
      <w:r w:rsidRPr="009F227C">
        <w:t>In its initial filing, the Utility’s only adjustments to CIAC were retirements associated with certain pro forma plant projects in the amounts of a decrease of $451,677 for water and a decrease of $240,934 for wastewater</w:t>
      </w:r>
      <w:r w:rsidR="00866056" w:rsidRPr="009F227C">
        <w:t xml:space="preserve">. </w:t>
      </w:r>
    </w:p>
    <w:p w14:paraId="77FCB113" w14:textId="77777777" w:rsidR="00847B3F" w:rsidRPr="009F227C" w:rsidRDefault="00541BCD" w:rsidP="00847B3F">
      <w:pPr>
        <w:spacing w:after="240"/>
        <w:jc w:val="both"/>
      </w:pPr>
      <w:r w:rsidRPr="009F227C">
        <w:tab/>
      </w:r>
      <w:r w:rsidR="007428E2" w:rsidRPr="009F227C">
        <w:t>S</w:t>
      </w:r>
      <w:r w:rsidR="001D3577" w:rsidRPr="009F227C">
        <w:t>taff</w:t>
      </w:r>
      <w:r w:rsidR="00847B3F" w:rsidRPr="009F227C">
        <w:t xml:space="preserve"> witness Mouring’s testimony reflected an audit finding of $19,395 that the Utility had booked to miscellaneous service revenues that should have been charged to CIAC, which resulted in an increase to CIAC for water in the amount of $10,050 and an increase to wastewater </w:t>
      </w:r>
      <w:r w:rsidR="00847B3F" w:rsidRPr="009F227C">
        <w:lastRenderedPageBreak/>
        <w:t>in the amount of $9,345, and a resulting decrease to miscellaneous revenues in the same amounts</w:t>
      </w:r>
      <w:r w:rsidR="00866056" w:rsidRPr="009F227C">
        <w:t xml:space="preserve">. </w:t>
      </w:r>
      <w:r w:rsidR="00847B3F" w:rsidRPr="009F227C">
        <w:t xml:space="preserve">This finding addressed planning and inspection fees for developer projects for which it was recommended that the fees be treated as CIAC as opposed to miscellaneous revenue. </w:t>
      </w:r>
    </w:p>
    <w:p w14:paraId="34221240" w14:textId="77777777" w:rsidR="00847B3F" w:rsidRPr="009F227C" w:rsidRDefault="00541BCD" w:rsidP="00847B3F">
      <w:pPr>
        <w:spacing w:after="240"/>
        <w:jc w:val="both"/>
      </w:pPr>
      <w:r w:rsidRPr="009F227C">
        <w:tab/>
      </w:r>
      <w:r w:rsidR="00847B3F" w:rsidRPr="009F227C">
        <w:t xml:space="preserve">Sunshine witness DeStefano agreed with the finding, and witness DeStefano’s rebuttal testimony described the reflection of the full test year activity as an addition to CIAC – reducing rate base – and an offsetting removal from miscellaneous revenues in the MFR Schedules. </w:t>
      </w:r>
    </w:p>
    <w:p w14:paraId="1A22EDE7" w14:textId="7DBF583A" w:rsidR="00847B3F" w:rsidRPr="009F227C" w:rsidRDefault="00541BCD" w:rsidP="00847B3F">
      <w:pPr>
        <w:spacing w:after="240"/>
        <w:jc w:val="both"/>
      </w:pPr>
      <w:r w:rsidRPr="009F227C">
        <w:tab/>
      </w:r>
      <w:r w:rsidR="00847B3F" w:rsidRPr="009F227C">
        <w:t>OPC stated that all CIAC should be calculated using a 13-month average</w:t>
      </w:r>
      <w:r w:rsidR="00866056" w:rsidRPr="009F227C">
        <w:t xml:space="preserve">. </w:t>
      </w:r>
      <w:r w:rsidR="00847B3F" w:rsidRPr="009F227C">
        <w:t>Pursuant to Rule 25-30.433(5), F.A.C., for Class A utilities, rate base is to be calculated using a 13-month average. As part of rate base, plant-in-service, accumulated depreciation, CIAC, and accumulated amortization of CIAC, should reflect 13-month average balances.</w:t>
      </w:r>
      <w:r w:rsidR="00847B3F" w:rsidRPr="009F227C">
        <w:rPr>
          <w:rFonts w:ascii="TimesNewRomanPSMT" w:hAnsi="TimesNewRomanPSMT" w:cs="TimesNewRomanPSMT"/>
          <w:vertAlign w:val="superscript"/>
        </w:rPr>
        <w:footnoteReference w:id="25"/>
      </w:r>
      <w:r w:rsidR="00847B3F" w:rsidRPr="009F227C">
        <w:t xml:space="preserve"> OPC believes </w:t>
      </w:r>
      <w:r w:rsidR="007428E2" w:rsidRPr="009F227C">
        <w:t>we</w:t>
      </w:r>
      <w:r w:rsidR="00847B3F" w:rsidRPr="009F227C">
        <w:t xml:space="preserve"> should make an adjustment to reflect a 13-month average for the miscellaneous revenue in Audit Finding No. 4 and reject the Utility’s proposed year-end method as it is inconsistent with </w:t>
      </w:r>
      <w:r w:rsidR="007428E2" w:rsidRPr="009F227C">
        <w:t>our</w:t>
      </w:r>
      <w:r w:rsidR="00847B3F" w:rsidRPr="009F227C">
        <w:t xml:space="preserve"> </w:t>
      </w:r>
      <w:r w:rsidR="00EC3976">
        <w:t>r</w:t>
      </w:r>
      <w:r w:rsidR="00847B3F" w:rsidRPr="009F227C">
        <w:t xml:space="preserve">ule and ratemaking. </w:t>
      </w:r>
    </w:p>
    <w:p w14:paraId="490D89CA" w14:textId="77777777" w:rsidR="00456B3B" w:rsidRPr="009F227C" w:rsidRDefault="00541BCD" w:rsidP="00847B3F">
      <w:pPr>
        <w:spacing w:after="240"/>
        <w:jc w:val="both"/>
      </w:pPr>
      <w:r w:rsidRPr="009F227C">
        <w:tab/>
      </w:r>
      <w:r w:rsidR="00847B3F" w:rsidRPr="009F227C">
        <w:t xml:space="preserve">A 13-month average was not calculated or provided through the audit or testimony of </w:t>
      </w:r>
      <w:r w:rsidR="001D3577" w:rsidRPr="009F227C">
        <w:t>our staff</w:t>
      </w:r>
      <w:r w:rsidR="00847B3F" w:rsidRPr="009F227C">
        <w:t xml:space="preserve"> witness Mouring, any Utility witness, nor any OPC witness. During the hearing, witness DeStefano stated that making the proposed adjustment on a full-year basis would be a larger decrease than if a 13-month average was used</w:t>
      </w:r>
      <w:r w:rsidR="00866056" w:rsidRPr="009F227C">
        <w:t xml:space="preserve">. </w:t>
      </w:r>
      <w:r w:rsidR="00847B3F" w:rsidRPr="009F227C">
        <w:t xml:space="preserve">Consequently, </w:t>
      </w:r>
      <w:r w:rsidR="00456B3B" w:rsidRPr="009F227C">
        <w:t>we accept</w:t>
      </w:r>
      <w:r w:rsidR="00847B3F" w:rsidRPr="009F227C">
        <w:t xml:space="preserve"> the adjustment to the test-year balance of CIAC as presented is appropriate. </w:t>
      </w:r>
    </w:p>
    <w:p w14:paraId="276BE02D" w14:textId="4A302BF7" w:rsidR="00456B3B" w:rsidRPr="009F227C" w:rsidRDefault="00456B3B" w:rsidP="00456B3B">
      <w:pPr>
        <w:keepNext/>
        <w:spacing w:after="240"/>
        <w:ind w:left="720"/>
        <w:outlineLvl w:val="0"/>
        <w:rPr>
          <w:bCs/>
          <w:kern w:val="32"/>
          <w:szCs w:val="32"/>
        </w:rPr>
      </w:pPr>
      <w:bookmarkStart w:id="26" w:name="_Toc199321454"/>
      <w:r w:rsidRPr="009F227C">
        <w:rPr>
          <w:bCs/>
          <w:kern w:val="32"/>
          <w:szCs w:val="32"/>
        </w:rPr>
        <w:t>C.</w:t>
      </w:r>
      <w:r w:rsidRPr="009F227C">
        <w:rPr>
          <w:bCs/>
          <w:kern w:val="32"/>
          <w:szCs w:val="32"/>
        </w:rPr>
        <w:tab/>
        <w:t>Conclusion</w:t>
      </w:r>
      <w:bookmarkEnd w:id="26"/>
    </w:p>
    <w:p w14:paraId="0A224092" w14:textId="2002E6C3" w:rsidR="00EC3976" w:rsidRPr="009F227C" w:rsidRDefault="00541BCD" w:rsidP="00847B3F">
      <w:pPr>
        <w:pStyle w:val="OrderBody"/>
        <w:rPr>
          <w:rFonts w:ascii="TimesNewRomanPSMT" w:hAnsi="TimesNewRomanPSMT" w:cs="TimesNewRomanPSMT"/>
        </w:rPr>
      </w:pPr>
      <w:r w:rsidRPr="009F227C">
        <w:rPr>
          <w:rFonts w:ascii="TimesNewRomanPSMT" w:hAnsi="TimesNewRomanPSMT" w:cs="TimesNewRomanPSMT"/>
        </w:rPr>
        <w:tab/>
      </w:r>
      <w:r w:rsidR="00456B3B" w:rsidRPr="009F227C">
        <w:rPr>
          <w:rFonts w:ascii="TimesNewRomanPSMT" w:hAnsi="TimesNewRomanPSMT" w:cs="TimesNewRomanPSMT"/>
        </w:rPr>
        <w:t xml:space="preserve">We approve </w:t>
      </w:r>
      <w:r w:rsidR="00847B3F" w:rsidRPr="009F227C">
        <w:rPr>
          <w:rFonts w:ascii="TimesNewRomanPSMT" w:hAnsi="TimesNewRomanPSMT" w:cs="TimesNewRomanPSMT"/>
        </w:rPr>
        <w:t xml:space="preserve">adjustments to increase the adjusted test year CIAC balances in the amount of $10,050 for water and in the amount of $9,345 for wastewater. All necessary adjustments to CIAC associated with pro forma additions and retirements </w:t>
      </w:r>
      <w:r w:rsidR="00456B3B" w:rsidRPr="009F227C">
        <w:rPr>
          <w:rFonts w:ascii="TimesNewRomanPSMT" w:hAnsi="TimesNewRomanPSMT" w:cs="TimesNewRomanPSMT"/>
        </w:rPr>
        <w:t>shall</w:t>
      </w:r>
      <w:r w:rsidR="00847B3F" w:rsidRPr="009F227C">
        <w:rPr>
          <w:rFonts w:ascii="TimesNewRomanPSMT" w:hAnsi="TimesNewRomanPSMT" w:cs="TimesNewRomanPSMT"/>
        </w:rPr>
        <w:t xml:space="preserve"> be made </w:t>
      </w:r>
      <w:r w:rsidR="00263C3B">
        <w:rPr>
          <w:rFonts w:ascii="TimesNewRomanPSMT" w:hAnsi="TimesNewRomanPSMT" w:cs="TimesNewRomanPSMT"/>
        </w:rPr>
        <w:t>(</w:t>
      </w:r>
      <w:r w:rsidR="00847B3F" w:rsidRPr="009F227C">
        <w:rPr>
          <w:rFonts w:ascii="TimesNewRomanPSMT" w:hAnsi="TimesNewRomanPSMT" w:cs="TimesNewRomanPSMT"/>
        </w:rPr>
        <w:t>Issue 5</w:t>
      </w:r>
      <w:r w:rsidR="00263C3B">
        <w:rPr>
          <w:rFonts w:ascii="TimesNewRomanPSMT" w:hAnsi="TimesNewRomanPSMT" w:cs="TimesNewRomanPSMT"/>
        </w:rPr>
        <w:t>)</w:t>
      </w:r>
      <w:r w:rsidR="00847B3F" w:rsidRPr="009F227C">
        <w:rPr>
          <w:rFonts w:ascii="TimesNewRomanPSMT" w:hAnsi="TimesNewRomanPSMT" w:cs="TimesNewRomanPSMT"/>
        </w:rPr>
        <w:t>.</w:t>
      </w:r>
    </w:p>
    <w:p w14:paraId="11B57C89" w14:textId="77777777" w:rsidR="00346F76" w:rsidRPr="009F227C" w:rsidRDefault="00346F76" w:rsidP="00847B3F">
      <w:pPr>
        <w:pStyle w:val="OrderBody"/>
        <w:rPr>
          <w:rFonts w:ascii="TimesNewRomanPSMT" w:hAnsi="TimesNewRomanPSMT" w:cs="TimesNewRomanPSMT"/>
        </w:rPr>
      </w:pPr>
    </w:p>
    <w:p w14:paraId="7A774DD6" w14:textId="799C5139" w:rsidR="00346F76" w:rsidRPr="009F227C" w:rsidRDefault="00346F76" w:rsidP="00172BA1">
      <w:pPr>
        <w:pStyle w:val="ListParagraph"/>
        <w:numPr>
          <w:ilvl w:val="0"/>
          <w:numId w:val="41"/>
        </w:numPr>
        <w:ind w:left="720"/>
        <w:jc w:val="both"/>
        <w:outlineLvl w:val="0"/>
        <w:rPr>
          <w:bCs/>
          <w:kern w:val="32"/>
          <w:szCs w:val="32"/>
          <w:u w:val="single"/>
        </w:rPr>
      </w:pPr>
      <w:bookmarkStart w:id="27" w:name="_Toc199321455"/>
      <w:r w:rsidRPr="009F227C">
        <w:rPr>
          <w:u w:val="single"/>
        </w:rPr>
        <w:t xml:space="preserve">Accumulated </w:t>
      </w:r>
      <w:r w:rsidR="000A51E3" w:rsidRPr="009F227C">
        <w:rPr>
          <w:u w:val="single"/>
        </w:rPr>
        <w:t xml:space="preserve">Amortization </w:t>
      </w:r>
      <w:r w:rsidRPr="009F227C">
        <w:rPr>
          <w:u w:val="single"/>
        </w:rPr>
        <w:t>of CIAC Balances</w:t>
      </w:r>
      <w:r w:rsidR="000A51E3" w:rsidRPr="009F227C">
        <w:rPr>
          <w:u w:val="single"/>
        </w:rPr>
        <w:t xml:space="preserve"> (Issue 15)</w:t>
      </w:r>
      <w:bookmarkEnd w:id="27"/>
    </w:p>
    <w:p w14:paraId="4DF2022D" w14:textId="77777777" w:rsidR="00346F76" w:rsidRPr="009F227C" w:rsidRDefault="00346F76" w:rsidP="00346F76">
      <w:pPr>
        <w:jc w:val="both"/>
        <w:outlineLvl w:val="0"/>
        <w:rPr>
          <w:bCs/>
          <w:kern w:val="32"/>
          <w:szCs w:val="32"/>
        </w:rPr>
      </w:pPr>
    </w:p>
    <w:p w14:paraId="584A66DE" w14:textId="77777777" w:rsidR="00346F76" w:rsidRPr="009F227C" w:rsidRDefault="00346F76" w:rsidP="00172BA1">
      <w:pPr>
        <w:pStyle w:val="ListParagraph"/>
        <w:numPr>
          <w:ilvl w:val="0"/>
          <w:numId w:val="12"/>
        </w:numPr>
        <w:ind w:hanging="810"/>
        <w:jc w:val="both"/>
      </w:pPr>
      <w:r w:rsidRPr="009F227C">
        <w:t>Analysis</w:t>
      </w:r>
    </w:p>
    <w:p w14:paraId="3959296B" w14:textId="77777777" w:rsidR="009826DC" w:rsidRPr="009F227C" w:rsidRDefault="009826DC" w:rsidP="009826DC">
      <w:pPr>
        <w:jc w:val="both"/>
      </w:pPr>
    </w:p>
    <w:p w14:paraId="2C96AE63" w14:textId="2479F98A" w:rsidR="000B5BC5" w:rsidRPr="009F227C" w:rsidRDefault="000B5BC5" w:rsidP="009826DC">
      <w:pPr>
        <w:ind w:firstLine="630"/>
        <w:jc w:val="both"/>
      </w:pPr>
      <w:r w:rsidRPr="009F227C">
        <w:t>In its initial filing, the Utility’s test year adjustment to the accumulated amortization of CIAC balance included a decrease to water in the amount of $5,360 and a decrease to the wastewater in the amount of $2,845,039 to correct the over amortization of CIAC</w:t>
      </w:r>
      <w:r w:rsidR="00866056" w:rsidRPr="009F227C">
        <w:t xml:space="preserve">. </w:t>
      </w:r>
      <w:r w:rsidRPr="009F227C">
        <w:t>This adjustment to correct the balance was a result of a determination of over-amortization of certain CIAC accounts.</w:t>
      </w:r>
      <w:r w:rsidRPr="009F227C">
        <w:rPr>
          <w:rFonts w:ascii="TimesNewRomanPSMT" w:hAnsi="TimesNewRomanPSMT" w:cs="TimesNewRomanPSMT"/>
          <w:vertAlign w:val="superscript"/>
        </w:rPr>
        <w:footnoteReference w:id="26"/>
      </w:r>
      <w:r w:rsidRPr="009F227C">
        <w:t xml:space="preserve">  </w:t>
      </w:r>
      <w:r w:rsidR="00263C3B">
        <w:t>We</w:t>
      </w:r>
      <w:r w:rsidR="00A37D60" w:rsidRPr="009F227C">
        <w:t xml:space="preserve"> approve</w:t>
      </w:r>
      <w:r w:rsidRPr="009F227C">
        <w:t xml:space="preserve"> additional adjustments to accumulated amortization of CIAC to capture the Utility’s retirements</w:t>
      </w:r>
      <w:r w:rsidR="00263C3B">
        <w:t xml:space="preserve"> (Issue 5)</w:t>
      </w:r>
      <w:r w:rsidRPr="009F227C">
        <w:t xml:space="preserve"> associated with certain pro forma contributed plant projects</w:t>
      </w:r>
      <w:r w:rsidR="00866056" w:rsidRPr="009F227C">
        <w:t xml:space="preserve">. </w:t>
      </w:r>
      <w:r w:rsidRPr="009F227C">
        <w:t xml:space="preserve">OPC stated that adjustments to accumulated amortization should be made consistent </w:t>
      </w:r>
      <w:r w:rsidRPr="009F227C">
        <w:lastRenderedPageBreak/>
        <w:t xml:space="preserve">with </w:t>
      </w:r>
      <w:r w:rsidR="00263C3B">
        <w:t>our</w:t>
      </w:r>
      <w:r w:rsidR="00263C3B" w:rsidRPr="009F227C">
        <w:t xml:space="preserve"> </w:t>
      </w:r>
      <w:r w:rsidRPr="009F227C">
        <w:t>adjustment to CIAC balances</w:t>
      </w:r>
      <w:r w:rsidR="00EE5C7E">
        <w:t xml:space="preserve"> </w:t>
      </w:r>
      <w:r w:rsidR="00263C3B">
        <w:t>(</w:t>
      </w:r>
      <w:r w:rsidRPr="009F227C">
        <w:t>Issues 13 and 14</w:t>
      </w:r>
      <w:r w:rsidR="00263C3B">
        <w:t>)</w:t>
      </w:r>
      <w:r w:rsidRPr="009F227C">
        <w:t>, but provided no specific testimony addressing the Utility’s balances</w:t>
      </w:r>
      <w:r w:rsidR="00866056" w:rsidRPr="009F227C">
        <w:t xml:space="preserve">. </w:t>
      </w:r>
      <w:r w:rsidRPr="009F227C">
        <w:t xml:space="preserve">Per Sunshine, the Test Year adjustments to Accumulated Amortization of CIAC reflect a correction to Test Year balances due to over amortization of fully amortized amounts. </w:t>
      </w:r>
    </w:p>
    <w:p w14:paraId="2BACCE81" w14:textId="77777777" w:rsidR="009826DC" w:rsidRPr="009F227C" w:rsidRDefault="009826DC" w:rsidP="009826DC">
      <w:pPr>
        <w:ind w:firstLine="630"/>
        <w:jc w:val="both"/>
      </w:pPr>
    </w:p>
    <w:p w14:paraId="1F7AE9BB" w14:textId="5EB63C75" w:rsidR="000B5BC5" w:rsidRPr="009F227C" w:rsidRDefault="00541BCD" w:rsidP="000B5BC5">
      <w:pPr>
        <w:spacing w:after="240"/>
        <w:jc w:val="both"/>
      </w:pPr>
      <w:r w:rsidRPr="009F227C">
        <w:tab/>
      </w:r>
      <w:r w:rsidR="000B5BC5" w:rsidRPr="009F227C">
        <w:t xml:space="preserve">All necessary pro forma adjustments to accumulated amortization of CIAC </w:t>
      </w:r>
      <w:r w:rsidR="00A37D60" w:rsidRPr="009F227C">
        <w:t>are</w:t>
      </w:r>
      <w:r w:rsidR="000B5BC5" w:rsidRPr="009F227C">
        <w:t xml:space="preserve"> made as set forth </w:t>
      </w:r>
      <w:r w:rsidR="00AA68D7">
        <w:t>in this Order (Issue 5)</w:t>
      </w:r>
      <w:r w:rsidR="000B5BC5" w:rsidRPr="009F227C">
        <w:t xml:space="preserve">. As a corresponding adjustment to </w:t>
      </w:r>
      <w:r w:rsidR="001D3577" w:rsidRPr="009F227C">
        <w:t>staff</w:t>
      </w:r>
      <w:r w:rsidR="000B5BC5" w:rsidRPr="009F227C">
        <w:t xml:space="preserve"> witness Mouring’s </w:t>
      </w:r>
      <w:r w:rsidR="007C168D">
        <w:t>recommended</w:t>
      </w:r>
      <w:r w:rsidR="000B5BC5" w:rsidRPr="009F227C">
        <w:t xml:space="preserve"> increase to CIAC, the Utility’s accumulated amortization of CIAC </w:t>
      </w:r>
      <w:r w:rsidR="00A37D60" w:rsidRPr="009F227C">
        <w:t>shall</w:t>
      </w:r>
      <w:r w:rsidR="000B5BC5" w:rsidRPr="009F227C">
        <w:t xml:space="preserve"> also be increased by $251 and $234 for water and wastewater, respectively. As such, </w:t>
      </w:r>
      <w:r w:rsidR="00A37D60" w:rsidRPr="009F227C">
        <w:t xml:space="preserve">we approve that </w:t>
      </w:r>
      <w:r w:rsidR="000B5BC5" w:rsidRPr="009F227C">
        <w:t>accumulated amortization of CIAC be increased by $251 for water and $234 for wastewater.</w:t>
      </w:r>
    </w:p>
    <w:p w14:paraId="49656D9F" w14:textId="77777777" w:rsidR="00A37D60" w:rsidRPr="009F227C" w:rsidRDefault="00A37D60" w:rsidP="00172BA1">
      <w:pPr>
        <w:pStyle w:val="ListParagraph"/>
        <w:numPr>
          <w:ilvl w:val="0"/>
          <w:numId w:val="12"/>
        </w:numPr>
        <w:ind w:hanging="720"/>
        <w:jc w:val="both"/>
      </w:pPr>
      <w:r w:rsidRPr="009F227C">
        <w:t>Conclusion</w:t>
      </w:r>
    </w:p>
    <w:p w14:paraId="532B3990" w14:textId="77777777" w:rsidR="00A37D60" w:rsidRPr="009F227C" w:rsidRDefault="00A37D60" w:rsidP="00A37D60">
      <w:pPr>
        <w:jc w:val="both"/>
      </w:pPr>
    </w:p>
    <w:p w14:paraId="3C4C2A1F" w14:textId="103A4A98" w:rsidR="007C579C" w:rsidRPr="009F227C" w:rsidRDefault="00541BCD" w:rsidP="000B5BC5">
      <w:pPr>
        <w:pStyle w:val="OrderBody"/>
        <w:rPr>
          <w:rFonts w:ascii="TimesNewRomanPSMT" w:hAnsi="TimesNewRomanPSMT" w:cs="TimesNewRomanPSMT"/>
        </w:rPr>
      </w:pPr>
      <w:r w:rsidRPr="009F227C">
        <w:rPr>
          <w:rFonts w:ascii="TimesNewRomanPSMT" w:hAnsi="TimesNewRomanPSMT" w:cs="TimesNewRomanPSMT"/>
        </w:rPr>
        <w:tab/>
      </w:r>
      <w:r w:rsidR="00A37D60" w:rsidRPr="009F227C">
        <w:rPr>
          <w:rFonts w:ascii="TimesNewRomanPSMT" w:hAnsi="TimesNewRomanPSMT" w:cs="TimesNewRomanPSMT"/>
        </w:rPr>
        <w:t>Based on the record as discussed herein</w:t>
      </w:r>
      <w:r w:rsidR="000B5BC5" w:rsidRPr="009F227C">
        <w:rPr>
          <w:rFonts w:ascii="TimesNewRomanPSMT" w:hAnsi="TimesNewRomanPSMT" w:cs="TimesNewRomanPSMT"/>
        </w:rPr>
        <w:t xml:space="preserve">, accumulated amortization of CIAC </w:t>
      </w:r>
      <w:r w:rsidR="00A37D60" w:rsidRPr="009F227C">
        <w:rPr>
          <w:rFonts w:ascii="TimesNewRomanPSMT" w:hAnsi="TimesNewRomanPSMT" w:cs="TimesNewRomanPSMT"/>
        </w:rPr>
        <w:t>shall</w:t>
      </w:r>
      <w:r w:rsidR="000B5BC5" w:rsidRPr="009F227C">
        <w:rPr>
          <w:rFonts w:ascii="TimesNewRomanPSMT" w:hAnsi="TimesNewRomanPSMT" w:cs="TimesNewRomanPSMT"/>
        </w:rPr>
        <w:t xml:space="preserve"> be increased by $251 for water and $234 for wastewater. All necessary adjustments to accumulated amortization of CIAC associated with pro forma retirements </w:t>
      </w:r>
      <w:r w:rsidR="00A37D60" w:rsidRPr="009F227C">
        <w:rPr>
          <w:rFonts w:ascii="TimesNewRomanPSMT" w:hAnsi="TimesNewRomanPSMT" w:cs="TimesNewRomanPSMT"/>
        </w:rPr>
        <w:t>shall</w:t>
      </w:r>
      <w:r w:rsidR="000B5BC5" w:rsidRPr="009F227C">
        <w:rPr>
          <w:rFonts w:ascii="TimesNewRomanPSMT" w:hAnsi="TimesNewRomanPSMT" w:cs="TimesNewRomanPSMT"/>
        </w:rPr>
        <w:t xml:space="preserve"> be made as set forth </w:t>
      </w:r>
      <w:r w:rsidR="00AA68D7">
        <w:t>in this Order (Issue 5)</w:t>
      </w:r>
      <w:r w:rsidR="000B5BC5" w:rsidRPr="009F227C">
        <w:rPr>
          <w:rFonts w:ascii="TimesNewRomanPSMT" w:hAnsi="TimesNewRomanPSMT" w:cs="TimesNewRomanPSMT"/>
        </w:rPr>
        <w:t>.</w:t>
      </w:r>
    </w:p>
    <w:p w14:paraId="50F8B4D0" w14:textId="77777777" w:rsidR="00E22FAA" w:rsidRPr="009F227C" w:rsidRDefault="00E22FAA" w:rsidP="00E22FAA">
      <w:pPr>
        <w:pStyle w:val="OrderBody"/>
        <w:rPr>
          <w:rFonts w:ascii="TimesNewRomanPSMT" w:hAnsi="TimesNewRomanPSMT" w:cs="TimesNewRomanPSMT"/>
        </w:rPr>
      </w:pPr>
    </w:p>
    <w:p w14:paraId="703D6953" w14:textId="13E1F819" w:rsidR="00E22FAA" w:rsidRPr="009F227C" w:rsidRDefault="00E22FAA" w:rsidP="00172BA1">
      <w:pPr>
        <w:pStyle w:val="ListParagraph"/>
        <w:numPr>
          <w:ilvl w:val="0"/>
          <w:numId w:val="41"/>
        </w:numPr>
        <w:ind w:left="720"/>
        <w:jc w:val="both"/>
        <w:outlineLvl w:val="0"/>
        <w:rPr>
          <w:bCs/>
          <w:kern w:val="32"/>
          <w:szCs w:val="32"/>
          <w:u w:val="single"/>
        </w:rPr>
      </w:pPr>
      <w:bookmarkStart w:id="28" w:name="_Toc199321456"/>
      <w:r w:rsidRPr="009F227C">
        <w:rPr>
          <w:u w:val="single"/>
        </w:rPr>
        <w:t>Working Capital</w:t>
      </w:r>
      <w:r w:rsidR="00422170" w:rsidRPr="009F227C">
        <w:rPr>
          <w:u w:val="single"/>
        </w:rPr>
        <w:t xml:space="preserve"> (Issue 16)</w:t>
      </w:r>
      <w:bookmarkEnd w:id="28"/>
    </w:p>
    <w:p w14:paraId="7EFE8637" w14:textId="77777777" w:rsidR="00E22FAA" w:rsidRPr="009F227C" w:rsidRDefault="00E22FAA" w:rsidP="00E22FAA">
      <w:pPr>
        <w:jc w:val="both"/>
        <w:outlineLvl w:val="0"/>
        <w:rPr>
          <w:bCs/>
          <w:kern w:val="32"/>
          <w:szCs w:val="32"/>
        </w:rPr>
      </w:pPr>
    </w:p>
    <w:p w14:paraId="056FEFEF" w14:textId="77777777" w:rsidR="007C0F23" w:rsidRPr="009F227C" w:rsidRDefault="007C0F23" w:rsidP="00172BA1">
      <w:pPr>
        <w:pStyle w:val="ListParagraph"/>
        <w:numPr>
          <w:ilvl w:val="0"/>
          <w:numId w:val="13"/>
        </w:numPr>
        <w:ind w:hanging="720"/>
        <w:jc w:val="both"/>
      </w:pPr>
      <w:r w:rsidRPr="009F227C">
        <w:t>A</w:t>
      </w:r>
      <w:r w:rsidR="00960FA5" w:rsidRPr="009F227C">
        <w:t>nalysis</w:t>
      </w:r>
    </w:p>
    <w:p w14:paraId="3254525B" w14:textId="77777777" w:rsidR="007C0F23" w:rsidRPr="009F227C" w:rsidRDefault="007C0F23" w:rsidP="007C0F23">
      <w:pPr>
        <w:jc w:val="both"/>
      </w:pPr>
    </w:p>
    <w:p w14:paraId="67E83F2E" w14:textId="77777777" w:rsidR="000B5BC5" w:rsidRPr="009F227C" w:rsidRDefault="000B5BC5" w:rsidP="007C0F23">
      <w:pPr>
        <w:spacing w:after="240"/>
        <w:ind w:firstLine="720"/>
        <w:jc w:val="both"/>
      </w:pPr>
      <w:r w:rsidRPr="009F227C">
        <w:t xml:space="preserve">Rule 25-30.433(3), F.A.C., requires that Class A Utilities use the balance sheet method to calculate the working capital allowance. In its MFRs, the Utility recorded a working capital allowance of $1,746,652 for water and $2,617,989 for wastewater. </w:t>
      </w:r>
    </w:p>
    <w:p w14:paraId="53CCA48C" w14:textId="77777777" w:rsidR="000B5BC5" w:rsidRPr="009F227C" w:rsidRDefault="00541BCD" w:rsidP="000B5BC5">
      <w:pPr>
        <w:spacing w:after="240"/>
        <w:jc w:val="both"/>
      </w:pPr>
      <w:r w:rsidRPr="009F227C">
        <w:tab/>
      </w:r>
      <w:r w:rsidR="000B5BC5" w:rsidRPr="009F227C">
        <w:t>In rebuttal testimony, Sunshine witness DeStefano stated that “the Company agrees that the GL (General Ledger) account should be associated with NARUC 253.2” in his response to Audit Finding 2</w:t>
      </w:r>
      <w:r w:rsidR="00866056" w:rsidRPr="009F227C">
        <w:t xml:space="preserve">. </w:t>
      </w:r>
      <w:r w:rsidR="000B5BC5" w:rsidRPr="009F227C">
        <w:t xml:space="preserve">Witness DeStefano went on to say “the GL account balance was not mapped to the working capital calculation on MFR Schedule A-17 and therefore has no impact on the filing or proposed revenue requirement.”  </w:t>
      </w:r>
      <w:r w:rsidR="007C0F23" w:rsidRPr="009F227C">
        <w:t>Therefore, we find it unnecessary to make</w:t>
      </w:r>
      <w:r w:rsidR="000B5BC5" w:rsidRPr="009F227C">
        <w:t xml:space="preserve"> adjustments to working capital allowance in connection to Audit Finding 2, Notes and Accounts Payable for Associated Companies. </w:t>
      </w:r>
    </w:p>
    <w:p w14:paraId="6CD16AB8" w14:textId="79DB6AD4" w:rsidR="000B5BC5" w:rsidRPr="009F227C" w:rsidRDefault="00541BCD" w:rsidP="000B5BC5">
      <w:pPr>
        <w:spacing w:after="240"/>
        <w:jc w:val="both"/>
      </w:pPr>
      <w:r w:rsidRPr="009F227C">
        <w:tab/>
      </w:r>
      <w:r w:rsidR="000B5BC5" w:rsidRPr="009F227C">
        <w:t>In response to Audit Finding 3, Sunshine witness DeStefano acknowledged that the Utility “incorrectly mapped the water Accrued Revenues to wastewater and vice versa.”  In its filing, the Utility recorded $213,140 for water and $267,030 for wastewater as Accrued Revenues</w:t>
      </w:r>
      <w:r w:rsidR="00866056" w:rsidRPr="009F227C">
        <w:t xml:space="preserve">. </w:t>
      </w:r>
      <w:r w:rsidR="000B5BC5" w:rsidRPr="009F227C">
        <w:t xml:space="preserve">Based on Audit Finding 3, </w:t>
      </w:r>
      <w:r w:rsidR="00CD05CD" w:rsidRPr="009F227C">
        <w:t xml:space="preserve">we approve </w:t>
      </w:r>
      <w:r w:rsidR="000B5BC5" w:rsidRPr="009F227C">
        <w:t>decreasing Accrued Revenues by $6,017 for water and increasing this account by $6,017 for wastewater. OPC witness Smith presented adjustments related to various legal proceedings</w:t>
      </w:r>
      <w:r w:rsidR="00866056" w:rsidRPr="009F227C">
        <w:t xml:space="preserve">. </w:t>
      </w:r>
      <w:r w:rsidR="000B5BC5" w:rsidRPr="009F227C">
        <w:t>In response, witness DeStefano included adjustments to defer and amortize legal expenses associated with the Wekiva WWTP legal proceeding as working capital costs in his rebuttal testimony</w:t>
      </w:r>
      <w:r w:rsidR="00866056" w:rsidRPr="009F227C">
        <w:t xml:space="preserve">. </w:t>
      </w:r>
      <w:r w:rsidR="000B5BC5" w:rsidRPr="009F227C">
        <w:t xml:space="preserve">These adjustments included increases of $411,356 and $382,462, or $793,818 in total, for water and wastewater, respectively, to defer </w:t>
      </w:r>
      <w:r w:rsidR="007C168D">
        <w:t>Utility</w:t>
      </w:r>
      <w:r w:rsidR="000B5BC5" w:rsidRPr="009F227C">
        <w:t xml:space="preserve"> legal expenses from 2022 through 2024</w:t>
      </w:r>
      <w:r w:rsidR="00866056" w:rsidRPr="009F227C">
        <w:t xml:space="preserve">. </w:t>
      </w:r>
      <w:r w:rsidR="000B5BC5" w:rsidRPr="009F227C">
        <w:t xml:space="preserve">Additionally, the Utility made adjustments reducing working capital allowance by $82,271 for water and $76,492 for </w:t>
      </w:r>
      <w:r w:rsidR="000B5BC5" w:rsidRPr="009F227C">
        <w:lastRenderedPageBreak/>
        <w:t>wastewater to reflect a one year amortization of legal expense</w:t>
      </w:r>
      <w:r w:rsidR="00866056" w:rsidRPr="009F227C">
        <w:t xml:space="preserve">. </w:t>
      </w:r>
      <w:r w:rsidR="000B5BC5" w:rsidRPr="009F227C">
        <w:t>In total, the Utility increased working capital allowance by $329,085 ($411,356 - $82,271) for water and $305,969 ($382,462 - $76,492) for wastewater</w:t>
      </w:r>
      <w:r w:rsidR="00866056" w:rsidRPr="009F227C">
        <w:t xml:space="preserve">. </w:t>
      </w:r>
    </w:p>
    <w:p w14:paraId="38F80935" w14:textId="77777777" w:rsidR="000B5BC5" w:rsidRPr="009F227C" w:rsidRDefault="00541BCD" w:rsidP="000B5BC5">
      <w:pPr>
        <w:spacing w:after="240"/>
        <w:jc w:val="both"/>
      </w:pPr>
      <w:r w:rsidRPr="009F227C">
        <w:tab/>
      </w:r>
      <w:r w:rsidR="000B5BC5" w:rsidRPr="009F227C">
        <w:t>As part of his testimony, OPC witness Smith testified that adjustments increasing working capital allowance by $132,580 for water and $123,267 for wastewater should be made to reflect the impact of operating expense adjustments on miscellaneous deferred debits</w:t>
      </w:r>
      <w:r w:rsidR="00866056" w:rsidRPr="009F227C">
        <w:t xml:space="preserve">. </w:t>
      </w:r>
      <w:r w:rsidR="000B5BC5" w:rsidRPr="009F227C">
        <w:t>These adjustments by OPC reflect corresponding miscellaneous deferred debits for prior legal expenses and weather costs; allocated at 51.82 percent to water and 48.18 percent to wastewater</w:t>
      </w:r>
      <w:r w:rsidR="00866056" w:rsidRPr="009F227C">
        <w:t xml:space="preserve">. </w:t>
      </w:r>
    </w:p>
    <w:p w14:paraId="1E86138B" w14:textId="5855FBC3" w:rsidR="000B5BC5" w:rsidRPr="009F227C" w:rsidRDefault="00541BCD" w:rsidP="000B5BC5">
      <w:pPr>
        <w:spacing w:after="240"/>
        <w:jc w:val="both"/>
      </w:pPr>
      <w:r w:rsidRPr="009F227C">
        <w:tab/>
      </w:r>
      <w:r w:rsidR="000B5BC5" w:rsidRPr="009F227C">
        <w:t xml:space="preserve">As </w:t>
      </w:r>
      <w:r w:rsidR="00AA68D7">
        <w:t>set forth in our analysis of test year O&amp;M expense</w:t>
      </w:r>
      <w:r w:rsidR="000B5BC5" w:rsidRPr="009F227C">
        <w:t xml:space="preserve"> </w:t>
      </w:r>
      <w:r w:rsidR="00AA68D7">
        <w:t>(</w:t>
      </w:r>
      <w:r w:rsidR="000B5BC5" w:rsidRPr="009F227C">
        <w:t>Issue 28</w:t>
      </w:r>
      <w:r w:rsidR="00AA68D7">
        <w:t>)</w:t>
      </w:r>
      <w:r w:rsidR="000B5BC5" w:rsidRPr="009F227C">
        <w:t xml:space="preserve">, </w:t>
      </w:r>
      <w:r w:rsidR="00CD05CD" w:rsidRPr="009F227C">
        <w:t>we do</w:t>
      </w:r>
      <w:r w:rsidR="000B5BC5" w:rsidRPr="009F227C">
        <w:t xml:space="preserve"> not </w:t>
      </w:r>
      <w:r w:rsidR="00B5287E" w:rsidRPr="009F227C">
        <w:t>find</w:t>
      </w:r>
      <w:r w:rsidR="000B5BC5" w:rsidRPr="009F227C">
        <w:t xml:space="preserve"> it is appropriate to include any legal expenses related to the Wekiva WWTP legal proceeding. Also</w:t>
      </w:r>
      <w:r w:rsidR="00AA68D7">
        <w:t xml:space="preserve">, </w:t>
      </w:r>
      <w:r w:rsidR="00EE5C7E">
        <w:t>as</w:t>
      </w:r>
      <w:r w:rsidR="00EE5C7E" w:rsidRPr="009F227C">
        <w:t xml:space="preserve"> discussed</w:t>
      </w:r>
      <w:r w:rsidR="000B5BC5" w:rsidRPr="009F227C">
        <w:t xml:space="preserve"> </w:t>
      </w:r>
      <w:r w:rsidR="00AA68D7">
        <w:t>in our analysis of test year O&amp;M expense</w:t>
      </w:r>
      <w:r w:rsidR="000B5BC5" w:rsidRPr="009F227C">
        <w:t xml:space="preserve">, </w:t>
      </w:r>
      <w:r w:rsidR="00CD05CD" w:rsidRPr="009F227C">
        <w:t>we do not approve of</w:t>
      </w:r>
      <w:r w:rsidR="000B5BC5" w:rsidRPr="009F227C">
        <w:t xml:space="preserve"> an adjustment related to weather and hurricane costs. As such, </w:t>
      </w:r>
      <w:r w:rsidR="00CD05CD" w:rsidRPr="009F227C">
        <w:t xml:space="preserve">we find that </w:t>
      </w:r>
      <w:r w:rsidR="000B5BC5" w:rsidRPr="009F227C">
        <w:t>no adjustment</w:t>
      </w:r>
      <w:r w:rsidR="00CD05CD" w:rsidRPr="009F227C">
        <w:t xml:space="preserve"> shall</w:t>
      </w:r>
      <w:r w:rsidR="000B5BC5" w:rsidRPr="009F227C">
        <w:t xml:space="preserve"> be made to working capital allowance in connection to the legal proceedings or weather costs. </w:t>
      </w:r>
    </w:p>
    <w:p w14:paraId="18A87472" w14:textId="77777777" w:rsidR="00960FA5" w:rsidRPr="009F227C" w:rsidRDefault="00960FA5" w:rsidP="00172BA1">
      <w:pPr>
        <w:pStyle w:val="ListParagraph"/>
        <w:numPr>
          <w:ilvl w:val="0"/>
          <w:numId w:val="13"/>
        </w:numPr>
        <w:ind w:hanging="720"/>
        <w:jc w:val="both"/>
      </w:pPr>
      <w:r w:rsidRPr="009F227C">
        <w:t>Conclusion</w:t>
      </w:r>
    </w:p>
    <w:p w14:paraId="1187EEB1" w14:textId="77777777" w:rsidR="00960FA5" w:rsidRPr="009F227C" w:rsidRDefault="00960FA5" w:rsidP="000B5BC5">
      <w:pPr>
        <w:pStyle w:val="OrderBody"/>
      </w:pPr>
    </w:p>
    <w:p w14:paraId="26DCB566" w14:textId="77777777" w:rsidR="007C0F23" w:rsidRPr="009F227C" w:rsidRDefault="00541BCD" w:rsidP="000B5BC5">
      <w:pPr>
        <w:pStyle w:val="OrderBody"/>
      </w:pPr>
      <w:r w:rsidRPr="009F227C">
        <w:tab/>
      </w:r>
      <w:r w:rsidR="000B5BC5" w:rsidRPr="009F227C">
        <w:t>The appropriate working capital allowance is $1,740,635 for water and $2,624,006 for wastewater. Thus,</w:t>
      </w:r>
      <w:r w:rsidR="00960FA5" w:rsidRPr="009F227C">
        <w:t xml:space="preserve"> we approve of</w:t>
      </w:r>
      <w:r w:rsidR="000B5BC5" w:rsidRPr="009F227C">
        <w:t xml:space="preserve"> a decrease of $6,017 for water and an increase of $6,017 for wastewater.</w:t>
      </w:r>
    </w:p>
    <w:p w14:paraId="7C27CD43" w14:textId="77777777" w:rsidR="005C7B66" w:rsidRPr="009F227C" w:rsidRDefault="005C7B66" w:rsidP="000B5BC5">
      <w:pPr>
        <w:pStyle w:val="OrderBody"/>
      </w:pPr>
    </w:p>
    <w:p w14:paraId="1DFA80EC" w14:textId="6CB75AB6" w:rsidR="005C7B66" w:rsidRPr="009F227C" w:rsidRDefault="00422170" w:rsidP="00172BA1">
      <w:pPr>
        <w:pStyle w:val="ListParagraph"/>
        <w:numPr>
          <w:ilvl w:val="0"/>
          <w:numId w:val="41"/>
        </w:numPr>
        <w:ind w:left="720"/>
        <w:jc w:val="both"/>
        <w:outlineLvl w:val="0"/>
        <w:rPr>
          <w:bCs/>
          <w:kern w:val="32"/>
          <w:szCs w:val="32"/>
          <w:u w:val="single"/>
        </w:rPr>
      </w:pPr>
      <w:bookmarkStart w:id="29" w:name="_Toc199321457"/>
      <w:r w:rsidRPr="009F227C">
        <w:rPr>
          <w:u w:val="single"/>
        </w:rPr>
        <w:t xml:space="preserve">Test Year </w:t>
      </w:r>
      <w:r w:rsidR="005C7B66" w:rsidRPr="009F227C">
        <w:rPr>
          <w:u w:val="single"/>
        </w:rPr>
        <w:t>Rate Base</w:t>
      </w:r>
      <w:bookmarkEnd w:id="29"/>
    </w:p>
    <w:p w14:paraId="2E30A1B2" w14:textId="77777777" w:rsidR="005C7B66" w:rsidRPr="009F227C" w:rsidRDefault="005C7B66" w:rsidP="005C7B66">
      <w:pPr>
        <w:jc w:val="both"/>
        <w:outlineLvl w:val="0"/>
        <w:rPr>
          <w:bCs/>
          <w:kern w:val="32"/>
          <w:szCs w:val="32"/>
        </w:rPr>
      </w:pPr>
    </w:p>
    <w:p w14:paraId="1AB7F9D7" w14:textId="77777777" w:rsidR="00440985" w:rsidRPr="009F227C" w:rsidRDefault="005C7B66" w:rsidP="00172BA1">
      <w:pPr>
        <w:pStyle w:val="ListParagraph"/>
        <w:numPr>
          <w:ilvl w:val="0"/>
          <w:numId w:val="14"/>
        </w:numPr>
        <w:ind w:hanging="720"/>
        <w:jc w:val="both"/>
      </w:pPr>
      <w:r w:rsidRPr="009F227C">
        <w:t>Analysis</w:t>
      </w:r>
    </w:p>
    <w:p w14:paraId="1EF86E38" w14:textId="77777777" w:rsidR="00440985" w:rsidRPr="009F227C" w:rsidRDefault="00440985" w:rsidP="00440985">
      <w:pPr>
        <w:jc w:val="both"/>
      </w:pPr>
    </w:p>
    <w:p w14:paraId="3BA92E44" w14:textId="77777777" w:rsidR="000B5BC5" w:rsidRPr="009F227C" w:rsidRDefault="000B5BC5" w:rsidP="00440985">
      <w:pPr>
        <w:spacing w:after="240"/>
        <w:ind w:firstLine="720"/>
        <w:jc w:val="both"/>
      </w:pPr>
      <w:r w:rsidRPr="009F227C">
        <w:t>In Sunshine’s initial submission, the Utility stated that the appropriate rate base is $83,244,667 for water and $101,573,042 for wastewater</w:t>
      </w:r>
      <w:r w:rsidR="00866056" w:rsidRPr="009F227C">
        <w:t xml:space="preserve">. </w:t>
      </w:r>
      <w:r w:rsidRPr="009F227C">
        <w:rPr>
          <w:bCs/>
        </w:rPr>
        <w:t>Per OPC, the appropriate rate base for the December 31, 2023 test year is a fallout issue pending the resolution of all other issues</w:t>
      </w:r>
      <w:r w:rsidRPr="009F227C">
        <w:t xml:space="preserve">. </w:t>
      </w:r>
    </w:p>
    <w:p w14:paraId="6460AAF6" w14:textId="4B5BF771" w:rsidR="000B5BC5" w:rsidRPr="009F227C" w:rsidRDefault="00541BCD" w:rsidP="000B5BC5">
      <w:pPr>
        <w:spacing w:after="240"/>
        <w:jc w:val="both"/>
      </w:pPr>
      <w:r w:rsidRPr="009F227C">
        <w:tab/>
      </w:r>
      <w:r w:rsidR="000B5BC5" w:rsidRPr="009F227C">
        <w:t xml:space="preserve">Based upon the Utility’s adjusted 13-month average test year balances and </w:t>
      </w:r>
      <w:r w:rsidR="001D3577" w:rsidRPr="009F227C">
        <w:t xml:space="preserve">our </w:t>
      </w:r>
      <w:r w:rsidR="00085722" w:rsidRPr="009F227C">
        <w:t>approved</w:t>
      </w:r>
      <w:r w:rsidR="000B5BC5" w:rsidRPr="009F227C">
        <w:t xml:space="preserve"> adjustments, the appropriate 13-month average rate base is $85,959,204 for water and $111,439,518 for wastewater. Schedule Nos. 1-A and 1-B</w:t>
      </w:r>
      <w:r w:rsidR="00085722" w:rsidRPr="009F227C">
        <w:t>, attached herein,</w:t>
      </w:r>
      <w:r w:rsidR="000B5BC5" w:rsidRPr="009F227C">
        <w:t xml:space="preserve"> reflect </w:t>
      </w:r>
      <w:r w:rsidR="001D3577" w:rsidRPr="009F227C">
        <w:t xml:space="preserve">our </w:t>
      </w:r>
      <w:r w:rsidR="00085722" w:rsidRPr="009F227C">
        <w:t>approved</w:t>
      </w:r>
      <w:r w:rsidR="000B5BC5" w:rsidRPr="009F227C">
        <w:t xml:space="preserve"> rate base calculations for each system. </w:t>
      </w:r>
      <w:r w:rsidR="001D3577" w:rsidRPr="009F227C">
        <w:t xml:space="preserve">Our </w:t>
      </w:r>
      <w:r w:rsidR="000B5BC5" w:rsidRPr="009F227C">
        <w:t>adjustments to rate base for each system are shown on Schedule No. 1-C.</w:t>
      </w:r>
    </w:p>
    <w:p w14:paraId="6B8B8B69" w14:textId="77777777" w:rsidR="00FD5F2F" w:rsidRPr="009F227C" w:rsidRDefault="00FD5F2F" w:rsidP="00172BA1">
      <w:pPr>
        <w:pStyle w:val="ListParagraph"/>
        <w:numPr>
          <w:ilvl w:val="0"/>
          <w:numId w:val="14"/>
        </w:numPr>
        <w:ind w:hanging="720"/>
        <w:jc w:val="both"/>
      </w:pPr>
      <w:r w:rsidRPr="009F227C">
        <w:t>Conclusion</w:t>
      </w:r>
    </w:p>
    <w:p w14:paraId="6370387F" w14:textId="125404EA" w:rsidR="00FD5F2F" w:rsidRPr="009F227C" w:rsidRDefault="00FD5F2F" w:rsidP="000B5BC5">
      <w:pPr>
        <w:pStyle w:val="OrderBody"/>
      </w:pPr>
    </w:p>
    <w:p w14:paraId="63345BFE" w14:textId="77777777" w:rsidR="00843B00" w:rsidRPr="009F227C" w:rsidRDefault="000B5BC5" w:rsidP="00843B00">
      <w:pPr>
        <w:pStyle w:val="OrderBody"/>
        <w:ind w:firstLine="720"/>
      </w:pPr>
      <w:r w:rsidRPr="009F227C">
        <w:t xml:space="preserve">Consistent with </w:t>
      </w:r>
      <w:r w:rsidR="00FD5F2F" w:rsidRPr="009F227C">
        <w:t>our approved</w:t>
      </w:r>
      <w:r w:rsidRPr="009F227C">
        <w:t xml:space="preserve"> adjustments, the appropriate rate base is $85,959,204 for water and $111,439,518 for wastewater.</w:t>
      </w:r>
    </w:p>
    <w:p w14:paraId="6ABA02C7" w14:textId="51481F1E" w:rsidR="00843B00" w:rsidRDefault="00843B00" w:rsidP="00843B00">
      <w:pPr>
        <w:pStyle w:val="OrderBody"/>
      </w:pPr>
    </w:p>
    <w:p w14:paraId="56DE9571" w14:textId="0EE53F44" w:rsidR="0073083B" w:rsidRDefault="0073083B" w:rsidP="00843B00">
      <w:pPr>
        <w:pStyle w:val="OrderBody"/>
      </w:pPr>
    </w:p>
    <w:p w14:paraId="0BB8D44B" w14:textId="0A575882" w:rsidR="0073083B" w:rsidRDefault="0073083B" w:rsidP="00843B00">
      <w:pPr>
        <w:pStyle w:val="OrderBody"/>
      </w:pPr>
    </w:p>
    <w:p w14:paraId="53EB1E89" w14:textId="43591ECD" w:rsidR="0073083B" w:rsidRDefault="0073083B" w:rsidP="00843B00">
      <w:pPr>
        <w:pStyle w:val="OrderBody"/>
      </w:pPr>
    </w:p>
    <w:p w14:paraId="4CFF7C35" w14:textId="77777777" w:rsidR="0073083B" w:rsidRPr="009F227C" w:rsidRDefault="0073083B" w:rsidP="00843B00">
      <w:pPr>
        <w:pStyle w:val="OrderBody"/>
      </w:pPr>
    </w:p>
    <w:p w14:paraId="7D096E85" w14:textId="77777777" w:rsidR="00843B00" w:rsidRPr="0030501A" w:rsidRDefault="00843B00" w:rsidP="00172BA1">
      <w:pPr>
        <w:pStyle w:val="OrderBody"/>
        <w:numPr>
          <w:ilvl w:val="0"/>
          <w:numId w:val="40"/>
        </w:numPr>
        <w:ind w:hanging="720"/>
        <w:rPr>
          <w:b/>
        </w:rPr>
      </w:pPr>
      <w:r w:rsidRPr="0030501A">
        <w:rPr>
          <w:b/>
        </w:rPr>
        <w:t xml:space="preserve">Cost of Capital </w:t>
      </w:r>
    </w:p>
    <w:p w14:paraId="6DE1E989" w14:textId="77777777" w:rsidR="00843B00" w:rsidRPr="009F227C" w:rsidRDefault="00843B00" w:rsidP="00843B00">
      <w:pPr>
        <w:pStyle w:val="OrderBody"/>
      </w:pPr>
    </w:p>
    <w:p w14:paraId="0EC92B7A" w14:textId="38FE4DA8" w:rsidR="00612614" w:rsidRPr="009F227C" w:rsidRDefault="00612614" w:rsidP="00172BA1">
      <w:pPr>
        <w:pStyle w:val="ListParagraph"/>
        <w:numPr>
          <w:ilvl w:val="0"/>
          <w:numId w:val="42"/>
        </w:numPr>
        <w:ind w:left="720"/>
        <w:jc w:val="both"/>
        <w:outlineLvl w:val="0"/>
        <w:rPr>
          <w:bCs/>
          <w:kern w:val="32"/>
          <w:szCs w:val="32"/>
          <w:u w:val="single"/>
        </w:rPr>
      </w:pPr>
      <w:bookmarkStart w:id="30" w:name="_Toc199321458"/>
      <w:r w:rsidRPr="009F227C">
        <w:rPr>
          <w:u w:val="single"/>
        </w:rPr>
        <w:t>Accum</w:t>
      </w:r>
      <w:r w:rsidR="00602622" w:rsidRPr="009F227C">
        <w:rPr>
          <w:u w:val="single"/>
        </w:rPr>
        <w:t>ulated Deferred Taxes</w:t>
      </w:r>
      <w:r w:rsidR="00570CDA" w:rsidRPr="009F227C">
        <w:rPr>
          <w:u w:val="single"/>
        </w:rPr>
        <w:t xml:space="preserve"> (Issue 18)</w:t>
      </w:r>
      <w:bookmarkEnd w:id="30"/>
    </w:p>
    <w:p w14:paraId="5695A0CA" w14:textId="77777777" w:rsidR="00612614" w:rsidRPr="009F227C" w:rsidRDefault="00612614" w:rsidP="00612614">
      <w:pPr>
        <w:jc w:val="both"/>
        <w:outlineLvl w:val="0"/>
        <w:rPr>
          <w:bCs/>
          <w:kern w:val="32"/>
          <w:szCs w:val="32"/>
        </w:rPr>
      </w:pPr>
    </w:p>
    <w:p w14:paraId="45464B6F" w14:textId="77777777" w:rsidR="00612614" w:rsidRPr="009F227C" w:rsidRDefault="00612614" w:rsidP="00172BA1">
      <w:pPr>
        <w:pStyle w:val="ListParagraph"/>
        <w:numPr>
          <w:ilvl w:val="0"/>
          <w:numId w:val="15"/>
        </w:numPr>
        <w:spacing w:after="240"/>
        <w:ind w:hanging="720"/>
        <w:jc w:val="both"/>
      </w:pPr>
      <w:r w:rsidRPr="009F227C">
        <w:t>Analysis</w:t>
      </w:r>
    </w:p>
    <w:p w14:paraId="34C8CA4D" w14:textId="32F7C583" w:rsidR="000B5BC5" w:rsidRPr="009F227C" w:rsidRDefault="000B5BC5" w:rsidP="00612614">
      <w:pPr>
        <w:spacing w:after="240"/>
        <w:ind w:firstLine="720"/>
        <w:jc w:val="both"/>
      </w:pPr>
      <w:r w:rsidRPr="009F227C">
        <w:t xml:space="preserve">The </w:t>
      </w:r>
      <w:r w:rsidR="007C168D">
        <w:t>Accumulated Deferred Taxes (</w:t>
      </w:r>
      <w:r w:rsidRPr="009F227C">
        <w:t>ADIT</w:t>
      </w:r>
      <w:r w:rsidR="007C168D">
        <w:t>)</w:t>
      </w:r>
      <w:r w:rsidRPr="009F227C">
        <w:t xml:space="preserve"> balance for the historic test year ended December 31, 2023, as reflected on MFR Schedule D-1 was $5,833,302, along with a decrease of $10,469 to reflect pro forma plant additions, resulting in an adjusted total balance of $5,822,833</w:t>
      </w:r>
      <w:r w:rsidR="00866056" w:rsidRPr="009F227C">
        <w:t xml:space="preserve">. </w:t>
      </w:r>
      <w:r w:rsidRPr="009F227C">
        <w:t>In rebuttal testimony, the pro forma adjustment was revised to reflect a decrease of $4,099</w:t>
      </w:r>
      <w:r w:rsidR="00866056" w:rsidRPr="009F227C">
        <w:t xml:space="preserve">. </w:t>
      </w:r>
      <w:r w:rsidRPr="009F227C">
        <w:t>Sunshine also included an additional amount of $4,969,273 to reflect the protected ADITs that were created as a result of the TCJA, approved in the Utility’s 2020 Rate Case as a liability to amortize over the remaining life of the associated assets.</w:t>
      </w:r>
      <w:r w:rsidRPr="009F227C">
        <w:rPr>
          <w:vertAlign w:val="superscript"/>
        </w:rPr>
        <w:footnoteReference w:id="27"/>
      </w:r>
      <w:r w:rsidRPr="009F227C">
        <w:t xml:space="preserve"> </w:t>
      </w:r>
    </w:p>
    <w:p w14:paraId="1605B1CF" w14:textId="28B15A78" w:rsidR="000B5BC5" w:rsidRPr="009F227C" w:rsidRDefault="00541BCD" w:rsidP="000B5BC5">
      <w:pPr>
        <w:spacing w:after="240"/>
        <w:jc w:val="both"/>
      </w:pPr>
      <w:r w:rsidRPr="009F227C">
        <w:tab/>
      </w:r>
      <w:r w:rsidR="000B5BC5" w:rsidRPr="009F227C">
        <w:t>Although OPC did not provide any testimony contesting the ADIT balance, it argued in its brief that the balance should reflect a non-used and useful adjustment to the balance pursuant to Rule 25-30.433, F.A.C</w:t>
      </w:r>
      <w:r w:rsidR="00866056" w:rsidRPr="009F227C">
        <w:t xml:space="preserve">. </w:t>
      </w:r>
      <w:r w:rsidR="000B5BC5" w:rsidRPr="009F227C">
        <w:t>This same adjustment was reflected in the Utility’s 2016 Rate Case.</w:t>
      </w:r>
      <w:r w:rsidR="000B5BC5" w:rsidRPr="009F227C">
        <w:rPr>
          <w:vertAlign w:val="superscript"/>
        </w:rPr>
        <w:footnoteReference w:id="28"/>
      </w:r>
      <w:r w:rsidR="000B5BC5" w:rsidRPr="009F227C">
        <w:t xml:space="preserve"> Consistent with </w:t>
      </w:r>
      <w:r w:rsidR="00FB30CE">
        <w:t>our</w:t>
      </w:r>
      <w:r w:rsidR="000B5BC5" w:rsidRPr="009F227C">
        <w:t xml:space="preserve"> decision made in that rate case, </w:t>
      </w:r>
      <w:r w:rsidR="0074408F" w:rsidRPr="009F227C">
        <w:t>we agree</w:t>
      </w:r>
      <w:r w:rsidR="000B5BC5" w:rsidRPr="009F227C">
        <w:t xml:space="preserve"> with OPC and</w:t>
      </w:r>
      <w:r w:rsidR="00B76C61" w:rsidRPr="009F227C">
        <w:t xml:space="preserve"> have</w:t>
      </w:r>
      <w:r w:rsidR="000B5BC5" w:rsidRPr="009F227C">
        <w:t xml:space="preserve"> calculated the ADIT impact of the non-U&amp;U adjustment for the Golden Hills/Crownwood and Sandalhaven systems. This results in a decrease of $5,218. </w:t>
      </w:r>
      <w:r w:rsidR="00B76C61" w:rsidRPr="009F227C">
        <w:t>We</w:t>
      </w:r>
      <w:r w:rsidR="000B5BC5" w:rsidRPr="009F227C">
        <w:t xml:space="preserve"> also calculated the fallout impact of the </w:t>
      </w:r>
      <w:r w:rsidR="00FB30CE">
        <w:t>approved</w:t>
      </w:r>
      <w:r w:rsidR="000B5BC5" w:rsidRPr="009F227C">
        <w:t xml:space="preserve"> pro forma plant additions reflected in Issues 4. The updated pro forma plant additions result in an increase of $13,508. In total, the Utility’s ADIT balance </w:t>
      </w:r>
      <w:r w:rsidR="00B76C61" w:rsidRPr="009F227C">
        <w:t>shall</w:t>
      </w:r>
      <w:r w:rsidR="000B5BC5" w:rsidRPr="009F227C">
        <w:t xml:space="preserve"> be increased by $8,290, resulting in a total balance of $5,841,592, not inclusive of the TCJA liability.</w:t>
      </w:r>
    </w:p>
    <w:p w14:paraId="738310C3" w14:textId="77777777" w:rsidR="00B76C61" w:rsidRPr="009F227C" w:rsidRDefault="00B76C61" w:rsidP="00172BA1">
      <w:pPr>
        <w:pStyle w:val="ListParagraph"/>
        <w:numPr>
          <w:ilvl w:val="0"/>
          <w:numId w:val="15"/>
        </w:numPr>
        <w:spacing w:after="240"/>
        <w:ind w:hanging="720"/>
        <w:jc w:val="both"/>
      </w:pPr>
      <w:r w:rsidRPr="009F227C">
        <w:t xml:space="preserve">Conclusion </w:t>
      </w:r>
    </w:p>
    <w:p w14:paraId="0626FC62" w14:textId="77777777" w:rsidR="00612614" w:rsidRPr="009F227C" w:rsidRDefault="00541BCD" w:rsidP="000B5BC5">
      <w:pPr>
        <w:pStyle w:val="OrderBody"/>
      </w:pPr>
      <w:r w:rsidRPr="009F227C">
        <w:tab/>
      </w:r>
      <w:r w:rsidR="000B5BC5" w:rsidRPr="009F227C">
        <w:t>The appropriate amount of ADITS to include in the capital structure is $5,841,592, plus $4,969,273 in TCJA-related liability. This reflects an increase of $13,508 related to pro forma plant additions and a decrease of $5,218 for a corresponding adjustment related to U&amp;U, for a net increase of $7,640.</w:t>
      </w:r>
    </w:p>
    <w:p w14:paraId="20ACF2AD" w14:textId="77777777" w:rsidR="00170633" w:rsidRPr="009F227C" w:rsidRDefault="00170633" w:rsidP="000B5BC5">
      <w:pPr>
        <w:pStyle w:val="OrderBody"/>
      </w:pPr>
    </w:p>
    <w:p w14:paraId="25E69DBB" w14:textId="5D34D7D8" w:rsidR="00170633" w:rsidRPr="009F227C" w:rsidRDefault="00F27D69" w:rsidP="00172BA1">
      <w:pPr>
        <w:pStyle w:val="ListParagraph"/>
        <w:numPr>
          <w:ilvl w:val="0"/>
          <w:numId w:val="42"/>
        </w:numPr>
        <w:ind w:left="720"/>
        <w:jc w:val="both"/>
        <w:outlineLvl w:val="0"/>
        <w:rPr>
          <w:bCs/>
          <w:kern w:val="32"/>
          <w:szCs w:val="32"/>
          <w:u w:val="single"/>
        </w:rPr>
      </w:pPr>
      <w:bookmarkStart w:id="31" w:name="_Toc199321459"/>
      <w:r w:rsidRPr="009F227C">
        <w:rPr>
          <w:u w:val="single"/>
        </w:rPr>
        <w:t>Customer Deposits (Issue 19)</w:t>
      </w:r>
      <w:bookmarkEnd w:id="31"/>
    </w:p>
    <w:p w14:paraId="1B3DE255" w14:textId="77777777" w:rsidR="00170633" w:rsidRPr="009F227C" w:rsidRDefault="00170633" w:rsidP="00170633">
      <w:pPr>
        <w:jc w:val="both"/>
        <w:outlineLvl w:val="0"/>
        <w:rPr>
          <w:bCs/>
          <w:kern w:val="32"/>
          <w:szCs w:val="32"/>
        </w:rPr>
      </w:pPr>
    </w:p>
    <w:p w14:paraId="6C5CEBBC" w14:textId="04D285EA" w:rsidR="00443BF5" w:rsidRDefault="00703910" w:rsidP="00170633">
      <w:pPr>
        <w:pStyle w:val="OrderBody"/>
        <w:ind w:firstLine="720"/>
      </w:pPr>
      <w:r>
        <w:t xml:space="preserve">At hearing, we approved a Type 2 Stipulation that the appropriate amount of </w:t>
      </w:r>
      <w:r w:rsidRPr="000B5BC5">
        <w:t>customer deposits to include in the capital structure</w:t>
      </w:r>
      <w:r>
        <w:t xml:space="preserve"> shall be $319,453.</w:t>
      </w:r>
    </w:p>
    <w:p w14:paraId="1B6823A6" w14:textId="0EDEED86" w:rsidR="00703910" w:rsidRPr="009F227C" w:rsidRDefault="00703910" w:rsidP="00170633">
      <w:pPr>
        <w:pStyle w:val="OrderBody"/>
        <w:ind w:firstLine="720"/>
      </w:pPr>
    </w:p>
    <w:p w14:paraId="43CC8608" w14:textId="754AFDA7" w:rsidR="00443BF5" w:rsidRPr="009F227C" w:rsidRDefault="00443BF5" w:rsidP="00172BA1">
      <w:pPr>
        <w:pStyle w:val="ListParagraph"/>
        <w:numPr>
          <w:ilvl w:val="0"/>
          <w:numId w:val="42"/>
        </w:numPr>
        <w:ind w:left="720"/>
        <w:jc w:val="both"/>
        <w:outlineLvl w:val="0"/>
        <w:rPr>
          <w:bCs/>
          <w:kern w:val="32"/>
          <w:szCs w:val="32"/>
          <w:u w:val="single"/>
        </w:rPr>
      </w:pPr>
      <w:bookmarkStart w:id="32" w:name="_Toc199321460"/>
      <w:r w:rsidRPr="009F227C">
        <w:rPr>
          <w:u w:val="single"/>
        </w:rPr>
        <w:t xml:space="preserve">Short-Term Debt Rate  </w:t>
      </w:r>
      <w:r w:rsidR="00F27D69" w:rsidRPr="009F227C">
        <w:rPr>
          <w:u w:val="single"/>
        </w:rPr>
        <w:t>(Issue 20)</w:t>
      </w:r>
      <w:bookmarkEnd w:id="32"/>
    </w:p>
    <w:p w14:paraId="183EA8C4" w14:textId="77777777" w:rsidR="00443BF5" w:rsidRPr="009F227C" w:rsidRDefault="00443BF5" w:rsidP="00443BF5">
      <w:pPr>
        <w:jc w:val="both"/>
        <w:outlineLvl w:val="0"/>
        <w:rPr>
          <w:bCs/>
          <w:kern w:val="32"/>
          <w:szCs w:val="32"/>
        </w:rPr>
      </w:pPr>
    </w:p>
    <w:p w14:paraId="7C8DF60B" w14:textId="0E1B3DEA" w:rsidR="00703910" w:rsidRDefault="00703910" w:rsidP="00703910">
      <w:pPr>
        <w:pStyle w:val="OrderBody"/>
        <w:ind w:firstLine="720"/>
      </w:pPr>
      <w:r>
        <w:t xml:space="preserve">At hearing, we approved a Type 2 Stipulation that the </w:t>
      </w:r>
      <w:r w:rsidRPr="000B5BC5">
        <w:t>appropriate cost rate for short-term debt for the test year</w:t>
      </w:r>
      <w:r>
        <w:t xml:space="preserve"> shall be </w:t>
      </w:r>
      <w:r w:rsidRPr="009F227C">
        <w:t>8.25%.</w:t>
      </w:r>
    </w:p>
    <w:p w14:paraId="5C71EA14" w14:textId="7EA88569" w:rsidR="00443BF5" w:rsidRDefault="00443BF5" w:rsidP="00703910">
      <w:pPr>
        <w:pStyle w:val="OrderBody"/>
      </w:pPr>
    </w:p>
    <w:p w14:paraId="22130E66" w14:textId="6C782935" w:rsidR="00900808" w:rsidRDefault="00900808" w:rsidP="00703910">
      <w:pPr>
        <w:pStyle w:val="OrderBody"/>
      </w:pPr>
    </w:p>
    <w:p w14:paraId="58D1C299" w14:textId="77777777" w:rsidR="00900808" w:rsidRPr="009F227C" w:rsidRDefault="00900808" w:rsidP="00703910">
      <w:pPr>
        <w:pStyle w:val="OrderBody"/>
      </w:pPr>
    </w:p>
    <w:p w14:paraId="192DE8AB" w14:textId="447A48C5" w:rsidR="00443BF5" w:rsidRPr="009F227C" w:rsidRDefault="00443BF5" w:rsidP="00172BA1">
      <w:pPr>
        <w:pStyle w:val="ListParagraph"/>
        <w:numPr>
          <w:ilvl w:val="0"/>
          <w:numId w:val="42"/>
        </w:numPr>
        <w:ind w:left="720"/>
        <w:jc w:val="both"/>
        <w:outlineLvl w:val="0"/>
        <w:rPr>
          <w:bCs/>
          <w:kern w:val="32"/>
          <w:szCs w:val="32"/>
          <w:u w:val="single"/>
        </w:rPr>
      </w:pPr>
      <w:bookmarkStart w:id="33" w:name="_Toc199321461"/>
      <w:r w:rsidRPr="009F227C">
        <w:rPr>
          <w:u w:val="single"/>
        </w:rPr>
        <w:t xml:space="preserve">Long-Term Debt Rate  </w:t>
      </w:r>
      <w:r w:rsidR="00F27D69" w:rsidRPr="009F227C">
        <w:rPr>
          <w:u w:val="single"/>
        </w:rPr>
        <w:t>(Issue 21)</w:t>
      </w:r>
      <w:bookmarkEnd w:id="33"/>
    </w:p>
    <w:p w14:paraId="1143B513" w14:textId="77777777" w:rsidR="00443BF5" w:rsidRPr="009F227C" w:rsidRDefault="00443BF5" w:rsidP="00443BF5">
      <w:pPr>
        <w:jc w:val="both"/>
        <w:outlineLvl w:val="0"/>
        <w:rPr>
          <w:bCs/>
          <w:kern w:val="32"/>
          <w:szCs w:val="32"/>
        </w:rPr>
      </w:pPr>
    </w:p>
    <w:p w14:paraId="6457AA34" w14:textId="70BA9E94" w:rsidR="00703910" w:rsidRPr="009F227C" w:rsidRDefault="00703910" w:rsidP="00703910">
      <w:pPr>
        <w:pStyle w:val="OrderBody"/>
        <w:ind w:firstLine="720"/>
        <w:rPr>
          <w:sz w:val="23"/>
          <w:szCs w:val="23"/>
        </w:rPr>
      </w:pPr>
      <w:r>
        <w:t xml:space="preserve">At hearing, we approved a Type 2 Stipulation that the </w:t>
      </w:r>
      <w:r w:rsidRPr="000B5BC5">
        <w:t xml:space="preserve">appropriate cost rate for </w:t>
      </w:r>
      <w:r>
        <w:t>long</w:t>
      </w:r>
      <w:r w:rsidRPr="000B5BC5">
        <w:t>-term debt for the test year</w:t>
      </w:r>
      <w:r>
        <w:t xml:space="preserve"> shall be as follows: </w:t>
      </w:r>
      <w:r w:rsidRPr="009F227C">
        <w:rPr>
          <w:sz w:val="23"/>
          <w:szCs w:val="23"/>
        </w:rPr>
        <w:t>Fixed: 4.92%, Variable: 7.51%.</w:t>
      </w:r>
    </w:p>
    <w:p w14:paraId="4A84529B" w14:textId="77777777" w:rsidR="00443BF5" w:rsidRPr="009F227C" w:rsidRDefault="00443BF5" w:rsidP="000B5BC5">
      <w:pPr>
        <w:pStyle w:val="OrderBody"/>
        <w:rPr>
          <w:sz w:val="23"/>
          <w:szCs w:val="23"/>
        </w:rPr>
      </w:pPr>
    </w:p>
    <w:p w14:paraId="5161CEF0" w14:textId="061E9348" w:rsidR="00443BF5" w:rsidRPr="009F227C" w:rsidRDefault="00443BF5" w:rsidP="00172BA1">
      <w:pPr>
        <w:pStyle w:val="ListParagraph"/>
        <w:numPr>
          <w:ilvl w:val="0"/>
          <w:numId w:val="42"/>
        </w:numPr>
        <w:ind w:left="720"/>
        <w:jc w:val="both"/>
        <w:outlineLvl w:val="0"/>
        <w:rPr>
          <w:bCs/>
          <w:kern w:val="32"/>
          <w:szCs w:val="32"/>
          <w:u w:val="single"/>
        </w:rPr>
      </w:pPr>
      <w:bookmarkStart w:id="34" w:name="_Toc199321462"/>
      <w:r w:rsidRPr="009F227C">
        <w:rPr>
          <w:u w:val="single"/>
        </w:rPr>
        <w:t>Return on Equity (ROE)</w:t>
      </w:r>
      <w:r w:rsidR="007874CC" w:rsidRPr="009F227C">
        <w:rPr>
          <w:u w:val="single"/>
        </w:rPr>
        <w:t xml:space="preserve"> (Issue 22)</w:t>
      </w:r>
      <w:bookmarkEnd w:id="34"/>
    </w:p>
    <w:p w14:paraId="304CA3BB" w14:textId="77777777" w:rsidR="00443BF5" w:rsidRPr="009F227C" w:rsidRDefault="00443BF5" w:rsidP="00443BF5">
      <w:pPr>
        <w:jc w:val="both"/>
        <w:outlineLvl w:val="0"/>
        <w:rPr>
          <w:bCs/>
          <w:kern w:val="32"/>
          <w:szCs w:val="32"/>
        </w:rPr>
      </w:pPr>
    </w:p>
    <w:p w14:paraId="127DB1A6" w14:textId="42933C9E" w:rsidR="00703910" w:rsidRPr="009F227C" w:rsidRDefault="00703910" w:rsidP="00703910">
      <w:pPr>
        <w:pStyle w:val="OrderBody"/>
        <w:ind w:firstLine="720"/>
        <w:rPr>
          <w:sz w:val="23"/>
          <w:szCs w:val="23"/>
        </w:rPr>
      </w:pPr>
      <w:r>
        <w:t xml:space="preserve">At hearing, we approved a Type 2 Stipulation that the </w:t>
      </w:r>
      <w:r w:rsidRPr="000B5BC5">
        <w:t xml:space="preserve">appropriate </w:t>
      </w:r>
      <w:r>
        <w:t>ROE shall be 10.35%</w:t>
      </w:r>
    </w:p>
    <w:p w14:paraId="17D12DD1" w14:textId="77777777" w:rsidR="000B5BC5" w:rsidRPr="009F227C" w:rsidRDefault="000B5BC5" w:rsidP="000B5BC5">
      <w:pPr>
        <w:pStyle w:val="OrderBody"/>
      </w:pPr>
    </w:p>
    <w:p w14:paraId="4ED7782D" w14:textId="6AA6126C" w:rsidR="00100804" w:rsidRPr="009F227C" w:rsidRDefault="00EA1BDB" w:rsidP="00172BA1">
      <w:pPr>
        <w:pStyle w:val="ListParagraph"/>
        <w:numPr>
          <w:ilvl w:val="0"/>
          <w:numId w:val="42"/>
        </w:numPr>
        <w:ind w:hanging="1080"/>
        <w:jc w:val="both"/>
        <w:outlineLvl w:val="0"/>
        <w:rPr>
          <w:bCs/>
          <w:kern w:val="32"/>
          <w:szCs w:val="32"/>
          <w:u w:val="single"/>
        </w:rPr>
      </w:pPr>
      <w:bookmarkStart w:id="35" w:name="_Toc199321463"/>
      <w:r w:rsidRPr="009F227C">
        <w:rPr>
          <w:u w:val="single"/>
        </w:rPr>
        <w:t>Weighted Average Cost of Capital</w:t>
      </w:r>
      <w:r w:rsidR="007874CC" w:rsidRPr="009F227C">
        <w:rPr>
          <w:u w:val="single"/>
        </w:rPr>
        <w:t xml:space="preserve"> (Issue 23)</w:t>
      </w:r>
      <w:bookmarkEnd w:id="35"/>
    </w:p>
    <w:p w14:paraId="3B2A3A9A" w14:textId="77777777" w:rsidR="00100804" w:rsidRPr="009F227C" w:rsidRDefault="00100804" w:rsidP="00100804">
      <w:pPr>
        <w:jc w:val="both"/>
      </w:pPr>
    </w:p>
    <w:p w14:paraId="5E170122" w14:textId="77777777" w:rsidR="00100804" w:rsidRPr="009F227C" w:rsidRDefault="00100804" w:rsidP="00172BA1">
      <w:pPr>
        <w:pStyle w:val="ListParagraph"/>
        <w:numPr>
          <w:ilvl w:val="0"/>
          <w:numId w:val="16"/>
        </w:numPr>
        <w:spacing w:after="240"/>
        <w:ind w:hanging="720"/>
        <w:jc w:val="both"/>
      </w:pPr>
      <w:r w:rsidRPr="009F227C">
        <w:t>Analysis</w:t>
      </w:r>
    </w:p>
    <w:p w14:paraId="3393515D" w14:textId="63AA4E88" w:rsidR="000B5BC5" w:rsidRPr="009F227C" w:rsidRDefault="000B5BC5" w:rsidP="00987220">
      <w:pPr>
        <w:pStyle w:val="Heading3"/>
      </w:pPr>
      <w:r w:rsidRPr="009F227C">
        <w:t>Sunshine stated the weighted average cost of capital (WACC) is a fallout from the determinations of other issues</w:t>
      </w:r>
      <w:r w:rsidR="00866056" w:rsidRPr="009F227C">
        <w:t xml:space="preserve">. </w:t>
      </w:r>
      <w:r w:rsidRPr="009F227C">
        <w:t xml:space="preserve">Similarly, adjustments to WACC presented by OPC witness Smith were a fallout from his recommended adjustments in other issues. </w:t>
      </w:r>
    </w:p>
    <w:p w14:paraId="35A538B9" w14:textId="77777777" w:rsidR="000B5BC5" w:rsidRPr="009F227C" w:rsidRDefault="00541BCD" w:rsidP="000B5BC5">
      <w:pPr>
        <w:pStyle w:val="OrderBody"/>
      </w:pPr>
      <w:r w:rsidRPr="009F227C">
        <w:tab/>
      </w:r>
      <w:r w:rsidR="000B5BC5" w:rsidRPr="009F227C">
        <w:t>In its MFRs, Sunshine requested a capital structure based on a 13-month average as of December 31, 2023, consisting of common equity in the amount of $87,447,369 (50.36 percent), long-term debt in the amount of $67,478,252 (38.86 percent), variable long-term debt in the amount of $14,725,053 (8.48 percent) and short-term debt in the amount of $3,993,823 (2.30 percent) as a percentage of investor supplied capital</w:t>
      </w:r>
      <w:r w:rsidR="00866056" w:rsidRPr="009F227C">
        <w:t xml:space="preserve">. </w:t>
      </w:r>
      <w:r w:rsidR="000B5BC5" w:rsidRPr="009F227C">
        <w:t>The ratio of the Utility’s investor supplied capital is based on the actual capital structure</w:t>
      </w:r>
      <w:r w:rsidR="00136FA3" w:rsidRPr="009F227C">
        <w:t xml:space="preserve"> of Sunshine’s parent company. </w:t>
      </w:r>
      <w:r w:rsidR="000B5BC5" w:rsidRPr="009F227C">
        <w:t>The Utility appropriately used the 13-month average to determine the capital structure for Class A utilities as required by Rule 25-30.433(5), F.A.C., with a pro forma reduction to ADITs to reflect pro forma plant projects. Sunshine reconciled the capital structure to the rate base using only its investor sources of capital</w:t>
      </w:r>
      <w:r w:rsidR="00866056" w:rsidRPr="009F227C">
        <w:t xml:space="preserve">. </w:t>
      </w:r>
      <w:r w:rsidR="000B5BC5" w:rsidRPr="009F227C">
        <w:t>The Utility’s request in its origina</w:t>
      </w:r>
      <w:r w:rsidR="00136FA3" w:rsidRPr="009F227C">
        <w:t>l filing is reflected in Table 3</w:t>
      </w:r>
      <w:r w:rsidR="000B5BC5" w:rsidRPr="009F227C">
        <w:t>, including the ROE initially reflected in the filing.</w:t>
      </w:r>
    </w:p>
    <w:p w14:paraId="1E7DE62E" w14:textId="1BCA2B9B" w:rsidR="000B5BC5" w:rsidRDefault="000B5BC5" w:rsidP="000B5BC5">
      <w:pPr>
        <w:pStyle w:val="OrderBody"/>
      </w:pPr>
    </w:p>
    <w:p w14:paraId="5EF42570" w14:textId="2CFAA0CA" w:rsidR="000B5BC5" w:rsidRPr="009F227C" w:rsidRDefault="000B5BC5" w:rsidP="00611775">
      <w:pPr>
        <w:jc w:val="center"/>
        <w:rPr>
          <w:b/>
        </w:rPr>
      </w:pPr>
      <w:r w:rsidRPr="009F227C">
        <w:rPr>
          <w:b/>
        </w:rPr>
        <w:t xml:space="preserve">Table </w:t>
      </w:r>
      <w:r w:rsidR="00EE01EB" w:rsidRPr="009F227C">
        <w:rPr>
          <w:b/>
        </w:rPr>
        <w:t>3</w:t>
      </w:r>
    </w:p>
    <w:p w14:paraId="574D1267" w14:textId="77777777" w:rsidR="000B5BC5" w:rsidRPr="009F227C" w:rsidRDefault="000B5BC5" w:rsidP="000B5BC5">
      <w:pPr>
        <w:keepNext/>
        <w:jc w:val="center"/>
        <w:rPr>
          <w:b/>
        </w:rPr>
      </w:pPr>
      <w:r w:rsidRPr="009F227C">
        <w:rPr>
          <w:b/>
        </w:rPr>
        <w:t>Sunshine Requested Weighted Average Cost of Capital</w:t>
      </w:r>
    </w:p>
    <w:tbl>
      <w:tblPr>
        <w:tblStyle w:val="TableGrid"/>
        <w:tblW w:w="0" w:type="auto"/>
        <w:jc w:val="center"/>
        <w:tblLook w:val="04A0" w:firstRow="1" w:lastRow="0" w:firstColumn="1" w:lastColumn="0" w:noHBand="0" w:noVBand="1"/>
      </w:tblPr>
      <w:tblGrid>
        <w:gridCol w:w="3004"/>
        <w:gridCol w:w="1536"/>
        <w:gridCol w:w="1440"/>
        <w:gridCol w:w="1440"/>
        <w:gridCol w:w="1791"/>
      </w:tblGrid>
      <w:tr w:rsidR="000B5BC5" w:rsidRPr="009F227C" w14:paraId="55235E1D" w14:textId="77777777" w:rsidTr="00F36ABC">
        <w:trPr>
          <w:jc w:val="center"/>
        </w:trPr>
        <w:tc>
          <w:tcPr>
            <w:tcW w:w="3004" w:type="dxa"/>
          </w:tcPr>
          <w:p w14:paraId="42C7D5A8" w14:textId="77777777" w:rsidR="000B5BC5" w:rsidRPr="009F227C" w:rsidRDefault="000B5BC5" w:rsidP="000B5BC5">
            <w:pPr>
              <w:rPr>
                <w:b/>
              </w:rPr>
            </w:pPr>
            <w:r w:rsidRPr="009F227C">
              <w:rPr>
                <w:b/>
              </w:rPr>
              <w:t xml:space="preserve">Capital Component </w:t>
            </w:r>
          </w:p>
        </w:tc>
        <w:tc>
          <w:tcPr>
            <w:tcW w:w="1392" w:type="dxa"/>
          </w:tcPr>
          <w:p w14:paraId="075C5884" w14:textId="77777777" w:rsidR="000B5BC5" w:rsidRPr="009F227C" w:rsidRDefault="000B5BC5" w:rsidP="000B5BC5">
            <w:pPr>
              <w:jc w:val="center"/>
              <w:rPr>
                <w:b/>
              </w:rPr>
            </w:pPr>
            <w:r w:rsidRPr="009F227C">
              <w:rPr>
                <w:b/>
              </w:rPr>
              <w:t>Amount</w:t>
            </w:r>
          </w:p>
        </w:tc>
        <w:tc>
          <w:tcPr>
            <w:tcW w:w="1440" w:type="dxa"/>
          </w:tcPr>
          <w:p w14:paraId="7CBC6231" w14:textId="77777777" w:rsidR="000B5BC5" w:rsidRPr="009F227C" w:rsidRDefault="000B5BC5" w:rsidP="000B5BC5">
            <w:pPr>
              <w:jc w:val="center"/>
              <w:rPr>
                <w:b/>
              </w:rPr>
            </w:pPr>
            <w:r w:rsidRPr="009F227C">
              <w:rPr>
                <w:b/>
              </w:rPr>
              <w:t>Percentage</w:t>
            </w:r>
          </w:p>
        </w:tc>
        <w:tc>
          <w:tcPr>
            <w:tcW w:w="1440" w:type="dxa"/>
          </w:tcPr>
          <w:p w14:paraId="620FF260" w14:textId="77777777" w:rsidR="000B5BC5" w:rsidRPr="009F227C" w:rsidRDefault="000B5BC5" w:rsidP="000B5BC5">
            <w:pPr>
              <w:jc w:val="center"/>
              <w:rPr>
                <w:b/>
              </w:rPr>
            </w:pPr>
            <w:r w:rsidRPr="009F227C">
              <w:rPr>
                <w:b/>
              </w:rPr>
              <w:t>Cost Rate</w:t>
            </w:r>
          </w:p>
        </w:tc>
        <w:tc>
          <w:tcPr>
            <w:tcW w:w="1791" w:type="dxa"/>
          </w:tcPr>
          <w:p w14:paraId="18D24164" w14:textId="77777777" w:rsidR="000B5BC5" w:rsidRPr="009F227C" w:rsidRDefault="000B5BC5" w:rsidP="000B5BC5">
            <w:pPr>
              <w:jc w:val="center"/>
              <w:rPr>
                <w:b/>
              </w:rPr>
            </w:pPr>
            <w:r w:rsidRPr="009F227C">
              <w:rPr>
                <w:b/>
              </w:rPr>
              <w:t>Weighted Cost</w:t>
            </w:r>
          </w:p>
        </w:tc>
      </w:tr>
      <w:tr w:rsidR="000B5BC5" w:rsidRPr="009F227C" w14:paraId="496C4C0B" w14:textId="77777777" w:rsidTr="00F36ABC">
        <w:trPr>
          <w:jc w:val="center"/>
        </w:trPr>
        <w:tc>
          <w:tcPr>
            <w:tcW w:w="3004" w:type="dxa"/>
          </w:tcPr>
          <w:p w14:paraId="48DE4EA2" w14:textId="77777777" w:rsidR="000B5BC5" w:rsidRPr="009F227C" w:rsidRDefault="000B5BC5" w:rsidP="000B5BC5">
            <w:r w:rsidRPr="009F227C">
              <w:t>Long-Term Debt</w:t>
            </w:r>
          </w:p>
        </w:tc>
        <w:tc>
          <w:tcPr>
            <w:tcW w:w="1392" w:type="dxa"/>
          </w:tcPr>
          <w:p w14:paraId="137B7D5D" w14:textId="77777777" w:rsidR="000B5BC5" w:rsidRPr="009F227C" w:rsidRDefault="000B5BC5" w:rsidP="000B5BC5">
            <w:pPr>
              <w:jc w:val="right"/>
            </w:pPr>
            <w:r w:rsidRPr="009F227C">
              <w:t>$67,478,252</w:t>
            </w:r>
          </w:p>
        </w:tc>
        <w:tc>
          <w:tcPr>
            <w:tcW w:w="1440" w:type="dxa"/>
          </w:tcPr>
          <w:p w14:paraId="03850A77" w14:textId="77777777" w:rsidR="000B5BC5" w:rsidRPr="009F227C" w:rsidRDefault="000B5BC5" w:rsidP="000B5BC5">
            <w:pPr>
              <w:jc w:val="right"/>
            </w:pPr>
            <w:r w:rsidRPr="009F227C">
              <w:t>36.51%</w:t>
            </w:r>
          </w:p>
        </w:tc>
        <w:tc>
          <w:tcPr>
            <w:tcW w:w="1440" w:type="dxa"/>
          </w:tcPr>
          <w:p w14:paraId="21EF3B1E" w14:textId="77777777" w:rsidR="000B5BC5" w:rsidRPr="009F227C" w:rsidRDefault="000B5BC5" w:rsidP="000B5BC5">
            <w:pPr>
              <w:jc w:val="right"/>
            </w:pPr>
            <w:r w:rsidRPr="009F227C">
              <w:t>4.92%</w:t>
            </w:r>
          </w:p>
        </w:tc>
        <w:tc>
          <w:tcPr>
            <w:tcW w:w="1791" w:type="dxa"/>
          </w:tcPr>
          <w:p w14:paraId="71BBB71A" w14:textId="77777777" w:rsidR="000B5BC5" w:rsidRPr="009F227C" w:rsidRDefault="000B5BC5" w:rsidP="000B5BC5">
            <w:pPr>
              <w:jc w:val="right"/>
            </w:pPr>
            <w:r w:rsidRPr="009F227C">
              <w:t>1.796%</w:t>
            </w:r>
          </w:p>
        </w:tc>
      </w:tr>
      <w:tr w:rsidR="000B5BC5" w:rsidRPr="009F227C" w14:paraId="2CE2EDFB" w14:textId="77777777" w:rsidTr="00F36ABC">
        <w:trPr>
          <w:jc w:val="center"/>
        </w:trPr>
        <w:tc>
          <w:tcPr>
            <w:tcW w:w="3004" w:type="dxa"/>
          </w:tcPr>
          <w:p w14:paraId="5AAE158A" w14:textId="77777777" w:rsidR="000B5BC5" w:rsidRPr="009F227C" w:rsidRDefault="000B5BC5" w:rsidP="000B5BC5">
            <w:r w:rsidRPr="009F227C">
              <w:t xml:space="preserve">Long-Term Debt – Variable </w:t>
            </w:r>
          </w:p>
        </w:tc>
        <w:tc>
          <w:tcPr>
            <w:tcW w:w="1392" w:type="dxa"/>
          </w:tcPr>
          <w:p w14:paraId="637D3D47" w14:textId="77777777" w:rsidR="000B5BC5" w:rsidRPr="009F227C" w:rsidRDefault="000B5BC5" w:rsidP="000B5BC5">
            <w:pPr>
              <w:jc w:val="right"/>
            </w:pPr>
            <w:r w:rsidRPr="009F227C">
              <w:t>14,725,053</w:t>
            </w:r>
          </w:p>
        </w:tc>
        <w:tc>
          <w:tcPr>
            <w:tcW w:w="1440" w:type="dxa"/>
          </w:tcPr>
          <w:p w14:paraId="56A4A715" w14:textId="77777777" w:rsidR="000B5BC5" w:rsidRPr="009F227C" w:rsidRDefault="000B5BC5" w:rsidP="000B5BC5">
            <w:pPr>
              <w:jc w:val="right"/>
            </w:pPr>
            <w:r w:rsidRPr="009F227C">
              <w:t>7.97%</w:t>
            </w:r>
          </w:p>
        </w:tc>
        <w:tc>
          <w:tcPr>
            <w:tcW w:w="1440" w:type="dxa"/>
          </w:tcPr>
          <w:p w14:paraId="05AAA5C0" w14:textId="77777777" w:rsidR="000B5BC5" w:rsidRPr="009F227C" w:rsidRDefault="000B5BC5" w:rsidP="000B5BC5">
            <w:pPr>
              <w:jc w:val="right"/>
            </w:pPr>
            <w:r w:rsidRPr="009F227C">
              <w:t>7.51%</w:t>
            </w:r>
          </w:p>
        </w:tc>
        <w:tc>
          <w:tcPr>
            <w:tcW w:w="1791" w:type="dxa"/>
          </w:tcPr>
          <w:p w14:paraId="7EA57769" w14:textId="77777777" w:rsidR="000B5BC5" w:rsidRPr="009F227C" w:rsidRDefault="000B5BC5" w:rsidP="000B5BC5">
            <w:pPr>
              <w:jc w:val="right"/>
            </w:pPr>
            <w:r w:rsidRPr="009F227C">
              <w:t>0.599%</w:t>
            </w:r>
          </w:p>
        </w:tc>
      </w:tr>
      <w:tr w:rsidR="000B5BC5" w:rsidRPr="009F227C" w14:paraId="5BDD3271" w14:textId="77777777" w:rsidTr="00F36ABC">
        <w:trPr>
          <w:jc w:val="center"/>
        </w:trPr>
        <w:tc>
          <w:tcPr>
            <w:tcW w:w="3004" w:type="dxa"/>
          </w:tcPr>
          <w:p w14:paraId="18D09352" w14:textId="77777777" w:rsidR="000B5BC5" w:rsidRPr="009F227C" w:rsidRDefault="000B5BC5" w:rsidP="000B5BC5">
            <w:r w:rsidRPr="009F227C">
              <w:t>Short-Term Debt</w:t>
            </w:r>
          </w:p>
        </w:tc>
        <w:tc>
          <w:tcPr>
            <w:tcW w:w="1392" w:type="dxa"/>
          </w:tcPr>
          <w:p w14:paraId="14B0822A" w14:textId="77777777" w:rsidR="000B5BC5" w:rsidRPr="009F227C" w:rsidRDefault="000B5BC5" w:rsidP="000B5BC5">
            <w:pPr>
              <w:jc w:val="right"/>
            </w:pPr>
            <w:r w:rsidRPr="009F227C">
              <w:t>3,993,823</w:t>
            </w:r>
          </w:p>
        </w:tc>
        <w:tc>
          <w:tcPr>
            <w:tcW w:w="1440" w:type="dxa"/>
          </w:tcPr>
          <w:p w14:paraId="527E42C6" w14:textId="77777777" w:rsidR="000B5BC5" w:rsidRPr="009F227C" w:rsidRDefault="000B5BC5" w:rsidP="000B5BC5">
            <w:pPr>
              <w:jc w:val="right"/>
            </w:pPr>
            <w:r w:rsidRPr="009F227C">
              <w:t>2.16%</w:t>
            </w:r>
          </w:p>
        </w:tc>
        <w:tc>
          <w:tcPr>
            <w:tcW w:w="1440" w:type="dxa"/>
          </w:tcPr>
          <w:p w14:paraId="50D484A3" w14:textId="77777777" w:rsidR="000B5BC5" w:rsidRPr="009F227C" w:rsidRDefault="000B5BC5" w:rsidP="000B5BC5">
            <w:pPr>
              <w:jc w:val="right"/>
            </w:pPr>
            <w:r w:rsidRPr="009F227C">
              <w:t>8.25%</w:t>
            </w:r>
          </w:p>
        </w:tc>
        <w:tc>
          <w:tcPr>
            <w:tcW w:w="1791" w:type="dxa"/>
          </w:tcPr>
          <w:p w14:paraId="03F151D6" w14:textId="77777777" w:rsidR="000B5BC5" w:rsidRPr="009F227C" w:rsidRDefault="000B5BC5" w:rsidP="000B5BC5">
            <w:pPr>
              <w:jc w:val="right"/>
            </w:pPr>
            <w:r w:rsidRPr="009F227C">
              <w:t>0.178%</w:t>
            </w:r>
          </w:p>
        </w:tc>
      </w:tr>
      <w:tr w:rsidR="000B5BC5" w:rsidRPr="009F227C" w14:paraId="05966FEC" w14:textId="77777777" w:rsidTr="00F36ABC">
        <w:trPr>
          <w:jc w:val="center"/>
        </w:trPr>
        <w:tc>
          <w:tcPr>
            <w:tcW w:w="3004" w:type="dxa"/>
          </w:tcPr>
          <w:p w14:paraId="4FE4FFA1" w14:textId="77777777" w:rsidR="000B5BC5" w:rsidRPr="009F227C" w:rsidRDefault="000B5BC5" w:rsidP="000B5BC5">
            <w:r w:rsidRPr="009F227C">
              <w:t>Common Equity</w:t>
            </w:r>
            <w:r w:rsidRPr="009F227C">
              <w:rPr>
                <w:vertAlign w:val="superscript"/>
              </w:rPr>
              <w:footnoteReference w:id="29"/>
            </w:r>
          </w:p>
        </w:tc>
        <w:tc>
          <w:tcPr>
            <w:tcW w:w="1392" w:type="dxa"/>
          </w:tcPr>
          <w:p w14:paraId="1F2F9084" w14:textId="77777777" w:rsidR="000B5BC5" w:rsidRPr="009F227C" w:rsidRDefault="000B5BC5" w:rsidP="000B5BC5">
            <w:pPr>
              <w:jc w:val="right"/>
            </w:pPr>
            <w:r w:rsidRPr="009F227C">
              <w:t>87,447,369</w:t>
            </w:r>
          </w:p>
        </w:tc>
        <w:tc>
          <w:tcPr>
            <w:tcW w:w="1440" w:type="dxa"/>
          </w:tcPr>
          <w:p w14:paraId="7EC7E74C" w14:textId="77777777" w:rsidR="000B5BC5" w:rsidRPr="009F227C" w:rsidRDefault="000B5BC5" w:rsidP="000B5BC5">
            <w:pPr>
              <w:jc w:val="right"/>
            </w:pPr>
            <w:r w:rsidRPr="009F227C">
              <w:t>47.32%</w:t>
            </w:r>
          </w:p>
        </w:tc>
        <w:tc>
          <w:tcPr>
            <w:tcW w:w="1440" w:type="dxa"/>
          </w:tcPr>
          <w:p w14:paraId="56015C86" w14:textId="77777777" w:rsidR="000B5BC5" w:rsidRPr="009F227C" w:rsidRDefault="000B5BC5" w:rsidP="000B5BC5">
            <w:pPr>
              <w:jc w:val="right"/>
            </w:pPr>
            <w:r w:rsidRPr="009F227C">
              <w:t>10.36%</w:t>
            </w:r>
          </w:p>
        </w:tc>
        <w:tc>
          <w:tcPr>
            <w:tcW w:w="1791" w:type="dxa"/>
          </w:tcPr>
          <w:p w14:paraId="0D475BB9" w14:textId="77777777" w:rsidR="000B5BC5" w:rsidRPr="009F227C" w:rsidRDefault="000B5BC5" w:rsidP="000B5BC5">
            <w:pPr>
              <w:jc w:val="right"/>
            </w:pPr>
            <w:r w:rsidRPr="009F227C">
              <w:t>4.902%</w:t>
            </w:r>
          </w:p>
        </w:tc>
      </w:tr>
      <w:tr w:rsidR="000B5BC5" w:rsidRPr="009F227C" w14:paraId="36347416" w14:textId="77777777" w:rsidTr="00F36ABC">
        <w:trPr>
          <w:jc w:val="center"/>
        </w:trPr>
        <w:tc>
          <w:tcPr>
            <w:tcW w:w="3004" w:type="dxa"/>
          </w:tcPr>
          <w:p w14:paraId="77506E8C" w14:textId="77777777" w:rsidR="000B5BC5" w:rsidRPr="009F227C" w:rsidRDefault="000B5BC5" w:rsidP="000B5BC5">
            <w:r w:rsidRPr="009F227C">
              <w:t>Customer Deposits</w:t>
            </w:r>
          </w:p>
        </w:tc>
        <w:tc>
          <w:tcPr>
            <w:tcW w:w="1392" w:type="dxa"/>
          </w:tcPr>
          <w:p w14:paraId="63ADEB71" w14:textId="77777777" w:rsidR="000B5BC5" w:rsidRPr="009F227C" w:rsidRDefault="000B5BC5" w:rsidP="000B5BC5">
            <w:pPr>
              <w:jc w:val="right"/>
            </w:pPr>
            <w:r w:rsidRPr="009F227C">
              <w:t>319,453</w:t>
            </w:r>
          </w:p>
        </w:tc>
        <w:tc>
          <w:tcPr>
            <w:tcW w:w="1440" w:type="dxa"/>
          </w:tcPr>
          <w:p w14:paraId="222E2E30" w14:textId="77777777" w:rsidR="000B5BC5" w:rsidRPr="009F227C" w:rsidRDefault="000B5BC5" w:rsidP="000B5BC5">
            <w:pPr>
              <w:jc w:val="right"/>
            </w:pPr>
            <w:r w:rsidRPr="009F227C">
              <w:t>0.17%</w:t>
            </w:r>
          </w:p>
        </w:tc>
        <w:tc>
          <w:tcPr>
            <w:tcW w:w="1440" w:type="dxa"/>
          </w:tcPr>
          <w:p w14:paraId="60AE9CA3" w14:textId="77777777" w:rsidR="000B5BC5" w:rsidRPr="009F227C" w:rsidRDefault="000B5BC5" w:rsidP="000B5BC5">
            <w:pPr>
              <w:jc w:val="right"/>
            </w:pPr>
            <w:r w:rsidRPr="009F227C">
              <w:t>2.00%</w:t>
            </w:r>
          </w:p>
        </w:tc>
        <w:tc>
          <w:tcPr>
            <w:tcW w:w="1791" w:type="dxa"/>
          </w:tcPr>
          <w:p w14:paraId="25BBF1B5" w14:textId="77777777" w:rsidR="000B5BC5" w:rsidRPr="009F227C" w:rsidRDefault="000B5BC5" w:rsidP="000B5BC5">
            <w:pPr>
              <w:jc w:val="right"/>
            </w:pPr>
            <w:r w:rsidRPr="009F227C">
              <w:t>0.003%</w:t>
            </w:r>
          </w:p>
        </w:tc>
      </w:tr>
      <w:tr w:rsidR="000B5BC5" w:rsidRPr="009F227C" w14:paraId="70424703" w14:textId="77777777" w:rsidTr="00F36ABC">
        <w:trPr>
          <w:jc w:val="center"/>
        </w:trPr>
        <w:tc>
          <w:tcPr>
            <w:tcW w:w="3004" w:type="dxa"/>
          </w:tcPr>
          <w:p w14:paraId="155646D6" w14:textId="77777777" w:rsidR="000B5BC5" w:rsidRPr="009F227C" w:rsidRDefault="000B5BC5" w:rsidP="000B5BC5">
            <w:r w:rsidRPr="009F227C">
              <w:t>Accum. Deferred ITCs</w:t>
            </w:r>
          </w:p>
        </w:tc>
        <w:tc>
          <w:tcPr>
            <w:tcW w:w="1392" w:type="dxa"/>
          </w:tcPr>
          <w:p w14:paraId="29E8473A" w14:textId="77777777" w:rsidR="000B5BC5" w:rsidRPr="009F227C" w:rsidRDefault="000B5BC5" w:rsidP="000B5BC5">
            <w:pPr>
              <w:jc w:val="right"/>
            </w:pPr>
            <w:r w:rsidRPr="009F227C">
              <w:t>61,653</w:t>
            </w:r>
          </w:p>
        </w:tc>
        <w:tc>
          <w:tcPr>
            <w:tcW w:w="1440" w:type="dxa"/>
          </w:tcPr>
          <w:p w14:paraId="4F013A7C" w14:textId="77777777" w:rsidR="000B5BC5" w:rsidRPr="009F227C" w:rsidRDefault="000B5BC5" w:rsidP="000B5BC5">
            <w:pPr>
              <w:jc w:val="right"/>
            </w:pPr>
            <w:r w:rsidRPr="009F227C">
              <w:t>0.03%</w:t>
            </w:r>
          </w:p>
        </w:tc>
        <w:tc>
          <w:tcPr>
            <w:tcW w:w="1440" w:type="dxa"/>
          </w:tcPr>
          <w:p w14:paraId="7D2D8CA5" w14:textId="77777777" w:rsidR="000B5BC5" w:rsidRPr="009F227C" w:rsidRDefault="000B5BC5" w:rsidP="000B5BC5">
            <w:pPr>
              <w:jc w:val="right"/>
            </w:pPr>
            <w:r w:rsidRPr="009F227C">
              <w:t>0.00%</w:t>
            </w:r>
          </w:p>
        </w:tc>
        <w:tc>
          <w:tcPr>
            <w:tcW w:w="1791" w:type="dxa"/>
          </w:tcPr>
          <w:p w14:paraId="5779A1D5" w14:textId="77777777" w:rsidR="000B5BC5" w:rsidRPr="009F227C" w:rsidRDefault="000B5BC5" w:rsidP="000B5BC5">
            <w:pPr>
              <w:jc w:val="right"/>
            </w:pPr>
            <w:r w:rsidRPr="009F227C">
              <w:t>0.000%</w:t>
            </w:r>
          </w:p>
        </w:tc>
      </w:tr>
      <w:tr w:rsidR="000B5BC5" w:rsidRPr="009F227C" w14:paraId="2E2F8C1F" w14:textId="77777777" w:rsidTr="00F36ABC">
        <w:trPr>
          <w:jc w:val="center"/>
        </w:trPr>
        <w:tc>
          <w:tcPr>
            <w:tcW w:w="3004" w:type="dxa"/>
          </w:tcPr>
          <w:p w14:paraId="39AB27BD" w14:textId="77777777" w:rsidR="000B5BC5" w:rsidRPr="009F227C" w:rsidRDefault="000B5BC5" w:rsidP="000B5BC5">
            <w:r w:rsidRPr="009F227C">
              <w:t>ADITs</w:t>
            </w:r>
          </w:p>
        </w:tc>
        <w:tc>
          <w:tcPr>
            <w:tcW w:w="1392" w:type="dxa"/>
          </w:tcPr>
          <w:p w14:paraId="76205BFE" w14:textId="77777777" w:rsidR="000B5BC5" w:rsidRPr="009F227C" w:rsidRDefault="000B5BC5" w:rsidP="000B5BC5">
            <w:pPr>
              <w:jc w:val="right"/>
            </w:pPr>
            <w:r w:rsidRPr="009F227C">
              <w:t>5,822,833</w:t>
            </w:r>
          </w:p>
        </w:tc>
        <w:tc>
          <w:tcPr>
            <w:tcW w:w="1440" w:type="dxa"/>
          </w:tcPr>
          <w:p w14:paraId="52761369" w14:textId="77777777" w:rsidR="000B5BC5" w:rsidRPr="009F227C" w:rsidRDefault="000B5BC5" w:rsidP="000B5BC5">
            <w:pPr>
              <w:jc w:val="right"/>
            </w:pPr>
            <w:r w:rsidRPr="009F227C">
              <w:t>3.15%</w:t>
            </w:r>
          </w:p>
        </w:tc>
        <w:tc>
          <w:tcPr>
            <w:tcW w:w="1440" w:type="dxa"/>
          </w:tcPr>
          <w:p w14:paraId="16D391F7" w14:textId="77777777" w:rsidR="000B5BC5" w:rsidRPr="009F227C" w:rsidRDefault="000B5BC5" w:rsidP="000B5BC5">
            <w:pPr>
              <w:jc w:val="right"/>
            </w:pPr>
            <w:r w:rsidRPr="009F227C">
              <w:t>0.00%</w:t>
            </w:r>
          </w:p>
        </w:tc>
        <w:tc>
          <w:tcPr>
            <w:tcW w:w="1791" w:type="dxa"/>
          </w:tcPr>
          <w:p w14:paraId="4D937D02" w14:textId="77777777" w:rsidR="000B5BC5" w:rsidRPr="009F227C" w:rsidRDefault="000B5BC5" w:rsidP="000B5BC5">
            <w:pPr>
              <w:jc w:val="right"/>
            </w:pPr>
            <w:r w:rsidRPr="009F227C">
              <w:t>0.000%</w:t>
            </w:r>
          </w:p>
        </w:tc>
      </w:tr>
      <w:tr w:rsidR="000B5BC5" w:rsidRPr="009F227C" w14:paraId="5B0A663E" w14:textId="77777777" w:rsidTr="00F36ABC">
        <w:trPr>
          <w:jc w:val="center"/>
        </w:trPr>
        <w:tc>
          <w:tcPr>
            <w:tcW w:w="3004" w:type="dxa"/>
          </w:tcPr>
          <w:p w14:paraId="711F454B" w14:textId="77777777" w:rsidR="000B5BC5" w:rsidRPr="009F227C" w:rsidRDefault="000B5BC5" w:rsidP="000B5BC5">
            <w:r w:rsidRPr="009F227C">
              <w:t>ADITs – TCJA</w:t>
            </w:r>
          </w:p>
        </w:tc>
        <w:tc>
          <w:tcPr>
            <w:tcW w:w="1392" w:type="dxa"/>
          </w:tcPr>
          <w:p w14:paraId="57B24BC0" w14:textId="77777777" w:rsidR="000B5BC5" w:rsidRPr="009F227C" w:rsidRDefault="000B5BC5" w:rsidP="000B5BC5">
            <w:pPr>
              <w:jc w:val="right"/>
              <w:rPr>
                <w:u w:val="single"/>
              </w:rPr>
            </w:pPr>
            <w:r w:rsidRPr="009F227C">
              <w:rPr>
                <w:u w:val="single"/>
              </w:rPr>
              <w:t>4,969,273</w:t>
            </w:r>
          </w:p>
        </w:tc>
        <w:tc>
          <w:tcPr>
            <w:tcW w:w="1440" w:type="dxa"/>
          </w:tcPr>
          <w:p w14:paraId="6E10E82D" w14:textId="77777777" w:rsidR="000B5BC5" w:rsidRPr="009F227C" w:rsidRDefault="000B5BC5" w:rsidP="000B5BC5">
            <w:pPr>
              <w:jc w:val="right"/>
            </w:pPr>
            <w:r w:rsidRPr="009F227C">
              <w:t>2.69%</w:t>
            </w:r>
          </w:p>
        </w:tc>
        <w:tc>
          <w:tcPr>
            <w:tcW w:w="1440" w:type="dxa"/>
          </w:tcPr>
          <w:p w14:paraId="19A807FA" w14:textId="77777777" w:rsidR="000B5BC5" w:rsidRPr="009F227C" w:rsidRDefault="000B5BC5" w:rsidP="000B5BC5">
            <w:pPr>
              <w:jc w:val="right"/>
            </w:pPr>
            <w:r w:rsidRPr="009F227C">
              <w:t>0.00%</w:t>
            </w:r>
          </w:p>
        </w:tc>
        <w:tc>
          <w:tcPr>
            <w:tcW w:w="1791" w:type="dxa"/>
          </w:tcPr>
          <w:p w14:paraId="5E46BE96" w14:textId="77777777" w:rsidR="000B5BC5" w:rsidRPr="009F227C" w:rsidRDefault="000B5BC5" w:rsidP="000B5BC5">
            <w:pPr>
              <w:jc w:val="right"/>
            </w:pPr>
            <w:r w:rsidRPr="009F227C">
              <w:t>0.000%</w:t>
            </w:r>
          </w:p>
        </w:tc>
      </w:tr>
      <w:tr w:rsidR="000B5BC5" w:rsidRPr="009F227C" w14:paraId="18B9BB68" w14:textId="77777777" w:rsidTr="00F36ABC">
        <w:trPr>
          <w:jc w:val="center"/>
        </w:trPr>
        <w:tc>
          <w:tcPr>
            <w:tcW w:w="3004" w:type="dxa"/>
          </w:tcPr>
          <w:p w14:paraId="39014BFD" w14:textId="77777777" w:rsidR="000B5BC5" w:rsidRPr="009F227C" w:rsidRDefault="000B5BC5" w:rsidP="000B5BC5">
            <w:pPr>
              <w:rPr>
                <w:b/>
              </w:rPr>
            </w:pPr>
            <w:r w:rsidRPr="009F227C">
              <w:rPr>
                <w:b/>
              </w:rPr>
              <w:t xml:space="preserve">Total </w:t>
            </w:r>
          </w:p>
        </w:tc>
        <w:tc>
          <w:tcPr>
            <w:tcW w:w="1392" w:type="dxa"/>
          </w:tcPr>
          <w:p w14:paraId="01CCFF3B" w14:textId="77777777" w:rsidR="000B5BC5" w:rsidRPr="009F227C" w:rsidRDefault="000B5BC5" w:rsidP="000B5BC5">
            <w:pPr>
              <w:rPr>
                <w:b/>
                <w:u w:val="double"/>
              </w:rPr>
            </w:pPr>
            <w:r w:rsidRPr="009F227C">
              <w:rPr>
                <w:b/>
                <w:u w:val="double"/>
              </w:rPr>
              <w:t>$184,817,710</w:t>
            </w:r>
          </w:p>
        </w:tc>
        <w:tc>
          <w:tcPr>
            <w:tcW w:w="1440" w:type="dxa"/>
          </w:tcPr>
          <w:p w14:paraId="30683780" w14:textId="77777777" w:rsidR="000B5BC5" w:rsidRPr="009F227C" w:rsidRDefault="000B5BC5" w:rsidP="000B5BC5">
            <w:pPr>
              <w:jc w:val="right"/>
              <w:rPr>
                <w:b/>
              </w:rPr>
            </w:pPr>
            <w:r w:rsidRPr="009F227C">
              <w:rPr>
                <w:b/>
              </w:rPr>
              <w:t>100%</w:t>
            </w:r>
          </w:p>
        </w:tc>
        <w:tc>
          <w:tcPr>
            <w:tcW w:w="1440" w:type="dxa"/>
          </w:tcPr>
          <w:p w14:paraId="292604C4" w14:textId="77777777" w:rsidR="000B5BC5" w:rsidRPr="009F227C" w:rsidRDefault="000B5BC5" w:rsidP="000B5BC5"/>
        </w:tc>
        <w:tc>
          <w:tcPr>
            <w:tcW w:w="1791" w:type="dxa"/>
          </w:tcPr>
          <w:p w14:paraId="3291A6D3" w14:textId="77777777" w:rsidR="000B5BC5" w:rsidRPr="009F227C" w:rsidRDefault="000B5BC5" w:rsidP="000B5BC5">
            <w:pPr>
              <w:jc w:val="right"/>
              <w:rPr>
                <w:b/>
              </w:rPr>
            </w:pPr>
            <w:r w:rsidRPr="009F227C">
              <w:rPr>
                <w:b/>
              </w:rPr>
              <w:t>7.478%</w:t>
            </w:r>
          </w:p>
        </w:tc>
      </w:tr>
    </w:tbl>
    <w:p w14:paraId="28573496" w14:textId="77777777" w:rsidR="00136FA3" w:rsidRPr="009F227C" w:rsidRDefault="00136FA3" w:rsidP="000B5BC5">
      <w:pPr>
        <w:spacing w:after="240"/>
        <w:jc w:val="both"/>
      </w:pPr>
    </w:p>
    <w:p w14:paraId="348933FD" w14:textId="4256B6A7" w:rsidR="000B5BC5" w:rsidRPr="009F227C" w:rsidRDefault="00541BCD" w:rsidP="000B5BC5">
      <w:pPr>
        <w:spacing w:after="240"/>
        <w:jc w:val="both"/>
      </w:pPr>
      <w:r w:rsidRPr="009F227C">
        <w:lastRenderedPageBreak/>
        <w:tab/>
      </w:r>
      <w:r w:rsidR="000B5BC5" w:rsidRPr="009F227C">
        <w:t xml:space="preserve">The weighted average cost of capital is a fallout issue that combines the cost rates and amounts of the capital components into a final rate of return. For Issues 19 through 22, the cost rates for customer deposit (2.00 percent), short-term debt (8.25 percent), long term debt (4.92 percent fixed, 7.51 percent variable), and ROE (10.35 percent) are stipulated. However, as addressed in </w:t>
      </w:r>
      <w:r w:rsidR="00AA68D7">
        <w:t>our analysis of quality of service (</w:t>
      </w:r>
      <w:r w:rsidR="000B5BC5" w:rsidRPr="009F227C">
        <w:t>Issue 1</w:t>
      </w:r>
      <w:r w:rsidR="00AA68D7">
        <w:t>)</w:t>
      </w:r>
      <w:r w:rsidR="000B5BC5" w:rsidRPr="009F227C">
        <w:t xml:space="preserve">, </w:t>
      </w:r>
      <w:r w:rsidR="00136FA3" w:rsidRPr="009F227C">
        <w:t>we approved</w:t>
      </w:r>
      <w:r w:rsidR="000B5BC5" w:rsidRPr="009F227C">
        <w:t xml:space="preserve"> a </w:t>
      </w:r>
      <w:r w:rsidR="00136FA3" w:rsidRPr="009F227C">
        <w:t xml:space="preserve">30 </w:t>
      </w:r>
      <w:r w:rsidR="000B5BC5" w:rsidRPr="009F227C">
        <w:t xml:space="preserve">basis point penalty. Consistent with </w:t>
      </w:r>
      <w:r w:rsidR="00136FA3" w:rsidRPr="009F227C">
        <w:t xml:space="preserve">our </w:t>
      </w:r>
      <w:r w:rsidR="000B5BC5" w:rsidRPr="009F227C">
        <w:t xml:space="preserve">recent decisions, </w:t>
      </w:r>
      <w:r w:rsidR="00136FA3" w:rsidRPr="009F227C">
        <w:t>we</w:t>
      </w:r>
      <w:r w:rsidR="000B5BC5" w:rsidRPr="009F227C">
        <w:t xml:space="preserve"> has reconciled the capital structure to the rate base using all sources of capital.</w:t>
      </w:r>
      <w:r w:rsidR="000B5BC5" w:rsidRPr="009F227C">
        <w:rPr>
          <w:vertAlign w:val="superscript"/>
        </w:rPr>
        <w:footnoteReference w:id="30"/>
      </w:r>
      <w:r w:rsidR="000B5BC5" w:rsidRPr="009F227C">
        <w:t xml:space="preserve"> The appropriate WACC is presented in </w:t>
      </w:r>
      <w:r w:rsidR="005A423C" w:rsidRPr="009F227C">
        <w:t>Schedule No. 2 and in Table 4</w:t>
      </w:r>
      <w:r w:rsidR="000B5BC5" w:rsidRPr="009F227C">
        <w:t xml:space="preserve"> below.</w:t>
      </w:r>
    </w:p>
    <w:p w14:paraId="0E9C2E0E" w14:textId="77777777" w:rsidR="000B5BC5" w:rsidRPr="009F227C" w:rsidRDefault="000B5BC5" w:rsidP="000B5BC5">
      <w:pPr>
        <w:keepNext/>
        <w:jc w:val="center"/>
        <w:rPr>
          <w:b/>
        </w:rPr>
      </w:pPr>
      <w:r w:rsidRPr="009F227C">
        <w:rPr>
          <w:b/>
        </w:rPr>
        <w:t xml:space="preserve">Table </w:t>
      </w:r>
      <w:r w:rsidR="005A423C" w:rsidRPr="009F227C">
        <w:rPr>
          <w:b/>
        </w:rPr>
        <w:t>4</w:t>
      </w:r>
    </w:p>
    <w:p w14:paraId="189F8AF5" w14:textId="77777777" w:rsidR="000B5BC5" w:rsidRPr="009F227C" w:rsidRDefault="004D45B4" w:rsidP="000B5BC5">
      <w:pPr>
        <w:keepNext/>
        <w:jc w:val="center"/>
        <w:rPr>
          <w:b/>
        </w:rPr>
      </w:pPr>
      <w:r w:rsidRPr="009F227C">
        <w:rPr>
          <w:b/>
        </w:rPr>
        <w:t>Approved</w:t>
      </w:r>
      <w:r w:rsidR="000B5BC5" w:rsidRPr="009F227C">
        <w:rPr>
          <w:b/>
        </w:rPr>
        <w:t xml:space="preserve"> Weighted Average Cost of Capital</w:t>
      </w:r>
    </w:p>
    <w:tbl>
      <w:tblPr>
        <w:tblStyle w:val="TableGrid"/>
        <w:tblW w:w="0" w:type="auto"/>
        <w:jc w:val="center"/>
        <w:tblLook w:val="04A0" w:firstRow="1" w:lastRow="0" w:firstColumn="1" w:lastColumn="0" w:noHBand="0" w:noVBand="1"/>
      </w:tblPr>
      <w:tblGrid>
        <w:gridCol w:w="3004"/>
        <w:gridCol w:w="1536"/>
        <w:gridCol w:w="1440"/>
        <w:gridCol w:w="1440"/>
        <w:gridCol w:w="1791"/>
      </w:tblGrid>
      <w:tr w:rsidR="000B5BC5" w:rsidRPr="009F227C" w14:paraId="1B5FD99C" w14:textId="77777777" w:rsidTr="00C85E21">
        <w:trPr>
          <w:jc w:val="center"/>
        </w:trPr>
        <w:tc>
          <w:tcPr>
            <w:tcW w:w="3004" w:type="dxa"/>
          </w:tcPr>
          <w:p w14:paraId="3BA29180" w14:textId="77777777" w:rsidR="000B5BC5" w:rsidRPr="009F227C" w:rsidRDefault="000B5BC5" w:rsidP="000B5BC5">
            <w:pPr>
              <w:rPr>
                <w:b/>
              </w:rPr>
            </w:pPr>
            <w:r w:rsidRPr="009F227C">
              <w:rPr>
                <w:b/>
              </w:rPr>
              <w:t xml:space="preserve">Capital Component </w:t>
            </w:r>
          </w:p>
        </w:tc>
        <w:tc>
          <w:tcPr>
            <w:tcW w:w="1536" w:type="dxa"/>
          </w:tcPr>
          <w:p w14:paraId="66B4B3B0" w14:textId="77777777" w:rsidR="000B5BC5" w:rsidRPr="009F227C" w:rsidRDefault="000B5BC5" w:rsidP="000B5BC5">
            <w:pPr>
              <w:jc w:val="center"/>
              <w:rPr>
                <w:b/>
              </w:rPr>
            </w:pPr>
            <w:r w:rsidRPr="009F227C">
              <w:rPr>
                <w:b/>
              </w:rPr>
              <w:t>Amount</w:t>
            </w:r>
          </w:p>
        </w:tc>
        <w:tc>
          <w:tcPr>
            <w:tcW w:w="1440" w:type="dxa"/>
          </w:tcPr>
          <w:p w14:paraId="3D5E5F1F" w14:textId="77777777" w:rsidR="000B5BC5" w:rsidRPr="009F227C" w:rsidRDefault="000B5BC5" w:rsidP="000B5BC5">
            <w:pPr>
              <w:jc w:val="center"/>
              <w:rPr>
                <w:b/>
              </w:rPr>
            </w:pPr>
            <w:r w:rsidRPr="009F227C">
              <w:rPr>
                <w:b/>
              </w:rPr>
              <w:t>Percentage</w:t>
            </w:r>
          </w:p>
        </w:tc>
        <w:tc>
          <w:tcPr>
            <w:tcW w:w="1440" w:type="dxa"/>
          </w:tcPr>
          <w:p w14:paraId="68740F96" w14:textId="77777777" w:rsidR="000B5BC5" w:rsidRPr="009F227C" w:rsidRDefault="000B5BC5" w:rsidP="000B5BC5">
            <w:pPr>
              <w:jc w:val="center"/>
              <w:rPr>
                <w:b/>
              </w:rPr>
            </w:pPr>
            <w:r w:rsidRPr="009F227C">
              <w:rPr>
                <w:b/>
              </w:rPr>
              <w:t>Cost Rate</w:t>
            </w:r>
          </w:p>
        </w:tc>
        <w:tc>
          <w:tcPr>
            <w:tcW w:w="1791" w:type="dxa"/>
          </w:tcPr>
          <w:p w14:paraId="4786D9D7" w14:textId="77777777" w:rsidR="000B5BC5" w:rsidRPr="009F227C" w:rsidRDefault="000B5BC5" w:rsidP="000B5BC5">
            <w:pPr>
              <w:jc w:val="center"/>
              <w:rPr>
                <w:b/>
              </w:rPr>
            </w:pPr>
            <w:r w:rsidRPr="009F227C">
              <w:rPr>
                <w:b/>
              </w:rPr>
              <w:t>Weighted Cost</w:t>
            </w:r>
          </w:p>
        </w:tc>
      </w:tr>
      <w:tr w:rsidR="006826A6" w:rsidRPr="009F227C" w14:paraId="5FAE6E51" w14:textId="77777777" w:rsidTr="00866056">
        <w:trPr>
          <w:jc w:val="center"/>
        </w:trPr>
        <w:tc>
          <w:tcPr>
            <w:tcW w:w="3004" w:type="dxa"/>
          </w:tcPr>
          <w:p w14:paraId="472BFA9B" w14:textId="77777777" w:rsidR="006826A6" w:rsidRPr="009F227C" w:rsidRDefault="006826A6" w:rsidP="006826A6">
            <w:r w:rsidRPr="009F227C">
              <w:t>Long-Term Debt</w:t>
            </w:r>
          </w:p>
        </w:tc>
        <w:tc>
          <w:tcPr>
            <w:tcW w:w="1536" w:type="dxa"/>
            <w:vAlign w:val="bottom"/>
          </w:tcPr>
          <w:p w14:paraId="7D39EA57" w14:textId="77777777" w:rsidR="006826A6" w:rsidRPr="009F227C" w:rsidRDefault="006826A6" w:rsidP="006826A6">
            <w:pPr>
              <w:jc w:val="right"/>
            </w:pPr>
            <w:r w:rsidRPr="009F227C">
              <w:t>$75,688,021</w:t>
            </w:r>
          </w:p>
        </w:tc>
        <w:tc>
          <w:tcPr>
            <w:tcW w:w="1440" w:type="dxa"/>
            <w:vAlign w:val="bottom"/>
          </w:tcPr>
          <w:p w14:paraId="31E00A3C" w14:textId="77777777" w:rsidR="006826A6" w:rsidRPr="009F227C" w:rsidRDefault="006826A6" w:rsidP="006826A6">
            <w:pPr>
              <w:jc w:val="right"/>
            </w:pPr>
            <w:r w:rsidRPr="009F227C">
              <w:t>38.34%</w:t>
            </w:r>
          </w:p>
        </w:tc>
        <w:tc>
          <w:tcPr>
            <w:tcW w:w="1440" w:type="dxa"/>
            <w:vAlign w:val="bottom"/>
          </w:tcPr>
          <w:p w14:paraId="7AF578BC" w14:textId="77777777" w:rsidR="006826A6" w:rsidRPr="009F227C" w:rsidRDefault="006826A6" w:rsidP="006826A6">
            <w:pPr>
              <w:jc w:val="right"/>
            </w:pPr>
            <w:r w:rsidRPr="009F227C">
              <w:t>4.92%</w:t>
            </w:r>
          </w:p>
        </w:tc>
        <w:tc>
          <w:tcPr>
            <w:tcW w:w="1791" w:type="dxa"/>
            <w:vAlign w:val="bottom"/>
          </w:tcPr>
          <w:p w14:paraId="3625B571" w14:textId="77777777" w:rsidR="006826A6" w:rsidRPr="009F227C" w:rsidRDefault="006826A6" w:rsidP="006826A6">
            <w:pPr>
              <w:jc w:val="right"/>
            </w:pPr>
            <w:r w:rsidRPr="009F227C">
              <w:t>1.89%</w:t>
            </w:r>
          </w:p>
        </w:tc>
      </w:tr>
      <w:tr w:rsidR="006826A6" w:rsidRPr="009F227C" w14:paraId="398786D2" w14:textId="77777777" w:rsidTr="00866056">
        <w:trPr>
          <w:jc w:val="center"/>
        </w:trPr>
        <w:tc>
          <w:tcPr>
            <w:tcW w:w="3004" w:type="dxa"/>
          </w:tcPr>
          <w:p w14:paraId="41CAF118" w14:textId="77777777" w:rsidR="006826A6" w:rsidRPr="009F227C" w:rsidRDefault="006826A6" w:rsidP="006826A6">
            <w:r w:rsidRPr="009F227C">
              <w:t xml:space="preserve">Long-Term Debt – Variable </w:t>
            </w:r>
          </w:p>
        </w:tc>
        <w:tc>
          <w:tcPr>
            <w:tcW w:w="1536" w:type="dxa"/>
            <w:vAlign w:val="bottom"/>
          </w:tcPr>
          <w:p w14:paraId="218FED21" w14:textId="77777777" w:rsidR="006826A6" w:rsidRPr="009F227C" w:rsidRDefault="006826A6" w:rsidP="006826A6">
            <w:pPr>
              <w:jc w:val="right"/>
            </w:pPr>
            <w:r w:rsidRPr="009F227C">
              <w:t xml:space="preserve">16,507,007 </w:t>
            </w:r>
          </w:p>
        </w:tc>
        <w:tc>
          <w:tcPr>
            <w:tcW w:w="1440" w:type="dxa"/>
            <w:vAlign w:val="bottom"/>
          </w:tcPr>
          <w:p w14:paraId="2988C270" w14:textId="77777777" w:rsidR="006826A6" w:rsidRPr="009F227C" w:rsidRDefault="006826A6" w:rsidP="006826A6">
            <w:pPr>
              <w:jc w:val="right"/>
            </w:pPr>
            <w:r w:rsidRPr="009F227C">
              <w:t>8.36%</w:t>
            </w:r>
          </w:p>
        </w:tc>
        <w:tc>
          <w:tcPr>
            <w:tcW w:w="1440" w:type="dxa"/>
            <w:vAlign w:val="bottom"/>
          </w:tcPr>
          <w:p w14:paraId="7E98060B" w14:textId="77777777" w:rsidR="006826A6" w:rsidRPr="009F227C" w:rsidRDefault="006826A6" w:rsidP="006826A6">
            <w:pPr>
              <w:jc w:val="right"/>
            </w:pPr>
            <w:r w:rsidRPr="009F227C">
              <w:t>7.51%</w:t>
            </w:r>
          </w:p>
        </w:tc>
        <w:tc>
          <w:tcPr>
            <w:tcW w:w="1791" w:type="dxa"/>
            <w:vAlign w:val="bottom"/>
          </w:tcPr>
          <w:p w14:paraId="292CDF84" w14:textId="77777777" w:rsidR="006826A6" w:rsidRPr="009F227C" w:rsidRDefault="006826A6" w:rsidP="006826A6">
            <w:pPr>
              <w:jc w:val="right"/>
            </w:pPr>
            <w:r w:rsidRPr="009F227C">
              <w:t>0.63%</w:t>
            </w:r>
          </w:p>
        </w:tc>
      </w:tr>
      <w:tr w:rsidR="006826A6" w:rsidRPr="009F227C" w14:paraId="1101D24A" w14:textId="77777777" w:rsidTr="00866056">
        <w:trPr>
          <w:jc w:val="center"/>
        </w:trPr>
        <w:tc>
          <w:tcPr>
            <w:tcW w:w="3004" w:type="dxa"/>
          </w:tcPr>
          <w:p w14:paraId="1F4C0527" w14:textId="77777777" w:rsidR="006826A6" w:rsidRPr="009F227C" w:rsidRDefault="006826A6" w:rsidP="006826A6">
            <w:r w:rsidRPr="009F227C">
              <w:t>Short-Term Debt</w:t>
            </w:r>
          </w:p>
        </w:tc>
        <w:tc>
          <w:tcPr>
            <w:tcW w:w="1536" w:type="dxa"/>
            <w:vAlign w:val="bottom"/>
          </w:tcPr>
          <w:p w14:paraId="426E5AFF" w14:textId="77777777" w:rsidR="006826A6" w:rsidRPr="009F227C" w:rsidRDefault="006826A6" w:rsidP="006826A6">
            <w:pPr>
              <w:jc w:val="right"/>
            </w:pPr>
            <w:r w:rsidRPr="009F227C">
              <w:t xml:space="preserve">4,486,288 </w:t>
            </w:r>
          </w:p>
        </w:tc>
        <w:tc>
          <w:tcPr>
            <w:tcW w:w="1440" w:type="dxa"/>
            <w:vAlign w:val="bottom"/>
          </w:tcPr>
          <w:p w14:paraId="1EA5BA76" w14:textId="77777777" w:rsidR="006826A6" w:rsidRPr="009F227C" w:rsidRDefault="006826A6" w:rsidP="006826A6">
            <w:pPr>
              <w:jc w:val="right"/>
            </w:pPr>
            <w:r w:rsidRPr="009F227C">
              <w:t>2.27%</w:t>
            </w:r>
          </w:p>
        </w:tc>
        <w:tc>
          <w:tcPr>
            <w:tcW w:w="1440" w:type="dxa"/>
            <w:vAlign w:val="bottom"/>
          </w:tcPr>
          <w:p w14:paraId="56EF01D4" w14:textId="77777777" w:rsidR="006826A6" w:rsidRPr="009F227C" w:rsidRDefault="006826A6" w:rsidP="006826A6">
            <w:pPr>
              <w:jc w:val="right"/>
            </w:pPr>
            <w:r w:rsidRPr="009F227C">
              <w:t>8.25%</w:t>
            </w:r>
          </w:p>
        </w:tc>
        <w:tc>
          <w:tcPr>
            <w:tcW w:w="1791" w:type="dxa"/>
            <w:vAlign w:val="bottom"/>
          </w:tcPr>
          <w:p w14:paraId="2A260E5D" w14:textId="77777777" w:rsidR="006826A6" w:rsidRPr="009F227C" w:rsidRDefault="006826A6" w:rsidP="006826A6">
            <w:pPr>
              <w:jc w:val="right"/>
            </w:pPr>
            <w:r w:rsidRPr="009F227C">
              <w:t>0.19%</w:t>
            </w:r>
          </w:p>
        </w:tc>
      </w:tr>
      <w:tr w:rsidR="006826A6" w:rsidRPr="009F227C" w14:paraId="74664360" w14:textId="77777777" w:rsidTr="00866056">
        <w:trPr>
          <w:jc w:val="center"/>
        </w:trPr>
        <w:tc>
          <w:tcPr>
            <w:tcW w:w="3004" w:type="dxa"/>
          </w:tcPr>
          <w:p w14:paraId="0DED25D2" w14:textId="77777777" w:rsidR="006826A6" w:rsidRPr="009F227C" w:rsidRDefault="006826A6" w:rsidP="006826A6">
            <w:r w:rsidRPr="009F227C">
              <w:t>Common Equity</w:t>
            </w:r>
          </w:p>
        </w:tc>
        <w:tc>
          <w:tcPr>
            <w:tcW w:w="1536" w:type="dxa"/>
            <w:vAlign w:val="bottom"/>
          </w:tcPr>
          <w:p w14:paraId="5DD0A0F6" w14:textId="77777777" w:rsidR="006826A6" w:rsidRPr="009F227C" w:rsidRDefault="006826A6" w:rsidP="006826A6">
            <w:pPr>
              <w:jc w:val="right"/>
            </w:pPr>
            <w:r w:rsidRPr="009F227C">
              <w:t xml:space="preserve">98,085,409 </w:t>
            </w:r>
          </w:p>
        </w:tc>
        <w:tc>
          <w:tcPr>
            <w:tcW w:w="1440" w:type="dxa"/>
            <w:vAlign w:val="bottom"/>
          </w:tcPr>
          <w:p w14:paraId="27BBD5A2" w14:textId="77777777" w:rsidR="006826A6" w:rsidRPr="009F227C" w:rsidRDefault="006826A6" w:rsidP="006826A6">
            <w:pPr>
              <w:jc w:val="right"/>
            </w:pPr>
            <w:r w:rsidRPr="009F227C">
              <w:t>49.69%</w:t>
            </w:r>
          </w:p>
        </w:tc>
        <w:tc>
          <w:tcPr>
            <w:tcW w:w="1440" w:type="dxa"/>
            <w:vAlign w:val="bottom"/>
          </w:tcPr>
          <w:p w14:paraId="6BFF80A4" w14:textId="77777777" w:rsidR="006826A6" w:rsidRPr="009F227C" w:rsidRDefault="006826A6" w:rsidP="006826A6">
            <w:pPr>
              <w:jc w:val="right"/>
            </w:pPr>
            <w:r w:rsidRPr="009F227C">
              <w:t>10.05%</w:t>
            </w:r>
          </w:p>
        </w:tc>
        <w:tc>
          <w:tcPr>
            <w:tcW w:w="1791" w:type="dxa"/>
            <w:vAlign w:val="bottom"/>
          </w:tcPr>
          <w:p w14:paraId="43F6F6C9" w14:textId="77777777" w:rsidR="006826A6" w:rsidRPr="009F227C" w:rsidRDefault="006826A6" w:rsidP="006826A6">
            <w:pPr>
              <w:jc w:val="right"/>
            </w:pPr>
            <w:r w:rsidRPr="009F227C">
              <w:t>4.99%</w:t>
            </w:r>
          </w:p>
        </w:tc>
      </w:tr>
      <w:tr w:rsidR="006826A6" w:rsidRPr="009F227C" w14:paraId="2CDECA50" w14:textId="77777777" w:rsidTr="00866056">
        <w:trPr>
          <w:jc w:val="center"/>
        </w:trPr>
        <w:tc>
          <w:tcPr>
            <w:tcW w:w="3004" w:type="dxa"/>
          </w:tcPr>
          <w:p w14:paraId="1233A939" w14:textId="77777777" w:rsidR="006826A6" w:rsidRPr="009F227C" w:rsidRDefault="006826A6" w:rsidP="006826A6">
            <w:r w:rsidRPr="009F227C">
              <w:t>Customer Deposits</w:t>
            </w:r>
          </w:p>
        </w:tc>
        <w:tc>
          <w:tcPr>
            <w:tcW w:w="1536" w:type="dxa"/>
            <w:vAlign w:val="bottom"/>
          </w:tcPr>
          <w:p w14:paraId="62EFA02F" w14:textId="77777777" w:rsidR="006826A6" w:rsidRPr="009F227C" w:rsidRDefault="006826A6" w:rsidP="006826A6">
            <w:pPr>
              <w:jc w:val="right"/>
            </w:pPr>
            <w:r w:rsidRPr="009F227C">
              <w:t xml:space="preserve">75,125 </w:t>
            </w:r>
          </w:p>
        </w:tc>
        <w:tc>
          <w:tcPr>
            <w:tcW w:w="1440" w:type="dxa"/>
            <w:vAlign w:val="bottom"/>
          </w:tcPr>
          <w:p w14:paraId="1DE118EC" w14:textId="77777777" w:rsidR="006826A6" w:rsidRPr="009F227C" w:rsidRDefault="006826A6" w:rsidP="006826A6">
            <w:pPr>
              <w:jc w:val="right"/>
            </w:pPr>
            <w:r w:rsidRPr="009F227C">
              <w:t>0.04%</w:t>
            </w:r>
          </w:p>
        </w:tc>
        <w:tc>
          <w:tcPr>
            <w:tcW w:w="1440" w:type="dxa"/>
            <w:vAlign w:val="bottom"/>
          </w:tcPr>
          <w:p w14:paraId="5F85D426" w14:textId="77777777" w:rsidR="006826A6" w:rsidRPr="009F227C" w:rsidRDefault="006826A6" w:rsidP="006826A6">
            <w:pPr>
              <w:jc w:val="right"/>
            </w:pPr>
            <w:r w:rsidRPr="009F227C">
              <w:t>2.00%</w:t>
            </w:r>
          </w:p>
        </w:tc>
        <w:tc>
          <w:tcPr>
            <w:tcW w:w="1791" w:type="dxa"/>
            <w:vAlign w:val="bottom"/>
          </w:tcPr>
          <w:p w14:paraId="2C289B69" w14:textId="77777777" w:rsidR="006826A6" w:rsidRPr="009F227C" w:rsidRDefault="006826A6" w:rsidP="006826A6">
            <w:pPr>
              <w:jc w:val="right"/>
            </w:pPr>
            <w:r w:rsidRPr="009F227C">
              <w:t>0.00%</w:t>
            </w:r>
          </w:p>
        </w:tc>
      </w:tr>
      <w:tr w:rsidR="006826A6" w:rsidRPr="009F227C" w14:paraId="49013E25" w14:textId="77777777" w:rsidTr="00866056">
        <w:trPr>
          <w:jc w:val="center"/>
        </w:trPr>
        <w:tc>
          <w:tcPr>
            <w:tcW w:w="3004" w:type="dxa"/>
          </w:tcPr>
          <w:p w14:paraId="7A041741" w14:textId="77777777" w:rsidR="006826A6" w:rsidRPr="009F227C" w:rsidRDefault="006826A6" w:rsidP="006826A6">
            <w:r w:rsidRPr="009F227C">
              <w:t>Accum. Deferred ITCs</w:t>
            </w:r>
          </w:p>
        </w:tc>
        <w:tc>
          <w:tcPr>
            <w:tcW w:w="1536" w:type="dxa"/>
            <w:vAlign w:val="bottom"/>
          </w:tcPr>
          <w:p w14:paraId="09FD21A9" w14:textId="77777777" w:rsidR="006826A6" w:rsidRPr="009F227C" w:rsidRDefault="006826A6" w:rsidP="006826A6">
            <w:pPr>
              <w:jc w:val="right"/>
            </w:pPr>
            <w:r w:rsidRPr="009F227C">
              <w:t xml:space="preserve">14,499 </w:t>
            </w:r>
          </w:p>
        </w:tc>
        <w:tc>
          <w:tcPr>
            <w:tcW w:w="1440" w:type="dxa"/>
            <w:vAlign w:val="bottom"/>
          </w:tcPr>
          <w:p w14:paraId="4F010C69" w14:textId="77777777" w:rsidR="006826A6" w:rsidRPr="009F227C" w:rsidRDefault="006826A6" w:rsidP="006826A6">
            <w:pPr>
              <w:jc w:val="right"/>
            </w:pPr>
            <w:r w:rsidRPr="009F227C">
              <w:t>0.01%</w:t>
            </w:r>
          </w:p>
        </w:tc>
        <w:tc>
          <w:tcPr>
            <w:tcW w:w="1440" w:type="dxa"/>
            <w:vAlign w:val="bottom"/>
          </w:tcPr>
          <w:p w14:paraId="764604F0" w14:textId="77777777" w:rsidR="006826A6" w:rsidRPr="009F227C" w:rsidRDefault="006826A6" w:rsidP="006826A6">
            <w:pPr>
              <w:jc w:val="right"/>
            </w:pPr>
            <w:r w:rsidRPr="009F227C">
              <w:t>0.00%</w:t>
            </w:r>
          </w:p>
        </w:tc>
        <w:tc>
          <w:tcPr>
            <w:tcW w:w="1791" w:type="dxa"/>
            <w:vAlign w:val="bottom"/>
          </w:tcPr>
          <w:p w14:paraId="7738617F" w14:textId="77777777" w:rsidR="006826A6" w:rsidRPr="009F227C" w:rsidRDefault="006826A6" w:rsidP="006826A6">
            <w:pPr>
              <w:jc w:val="right"/>
            </w:pPr>
            <w:r w:rsidRPr="009F227C">
              <w:t>0.00%</w:t>
            </w:r>
          </w:p>
        </w:tc>
      </w:tr>
      <w:tr w:rsidR="006826A6" w:rsidRPr="009F227C" w14:paraId="501AB1D2" w14:textId="77777777" w:rsidTr="00866056">
        <w:trPr>
          <w:jc w:val="center"/>
        </w:trPr>
        <w:tc>
          <w:tcPr>
            <w:tcW w:w="3004" w:type="dxa"/>
          </w:tcPr>
          <w:p w14:paraId="4FB9F8C4" w14:textId="77777777" w:rsidR="006826A6" w:rsidRPr="009F227C" w:rsidRDefault="006826A6" w:rsidP="006826A6">
            <w:r w:rsidRPr="009F227C">
              <w:t>ADITs</w:t>
            </w:r>
          </w:p>
        </w:tc>
        <w:tc>
          <w:tcPr>
            <w:tcW w:w="1536" w:type="dxa"/>
            <w:vAlign w:val="bottom"/>
          </w:tcPr>
          <w:p w14:paraId="2C89638D" w14:textId="77777777" w:rsidR="006826A6" w:rsidRPr="009F227C" w:rsidRDefault="006826A6" w:rsidP="006826A6">
            <w:pPr>
              <w:jc w:val="right"/>
            </w:pPr>
            <w:r w:rsidRPr="009F227C">
              <w:t xml:space="preserve">1,373,757 </w:t>
            </w:r>
          </w:p>
        </w:tc>
        <w:tc>
          <w:tcPr>
            <w:tcW w:w="1440" w:type="dxa"/>
            <w:vAlign w:val="bottom"/>
          </w:tcPr>
          <w:p w14:paraId="2DBCE4BA" w14:textId="77777777" w:rsidR="006826A6" w:rsidRPr="009F227C" w:rsidRDefault="006826A6" w:rsidP="006826A6">
            <w:pPr>
              <w:jc w:val="right"/>
            </w:pPr>
            <w:r w:rsidRPr="009F227C">
              <w:t>0.70%</w:t>
            </w:r>
          </w:p>
        </w:tc>
        <w:tc>
          <w:tcPr>
            <w:tcW w:w="1440" w:type="dxa"/>
            <w:vAlign w:val="bottom"/>
          </w:tcPr>
          <w:p w14:paraId="429F7881" w14:textId="77777777" w:rsidR="006826A6" w:rsidRPr="009F227C" w:rsidRDefault="006826A6" w:rsidP="006826A6">
            <w:pPr>
              <w:jc w:val="right"/>
            </w:pPr>
            <w:r w:rsidRPr="009F227C">
              <w:t>0.00%</w:t>
            </w:r>
          </w:p>
        </w:tc>
        <w:tc>
          <w:tcPr>
            <w:tcW w:w="1791" w:type="dxa"/>
            <w:vAlign w:val="bottom"/>
          </w:tcPr>
          <w:p w14:paraId="7ADECAE5" w14:textId="77777777" w:rsidR="006826A6" w:rsidRPr="009F227C" w:rsidRDefault="006826A6" w:rsidP="006826A6">
            <w:pPr>
              <w:jc w:val="right"/>
            </w:pPr>
            <w:r w:rsidRPr="009F227C">
              <w:t>0.00%</w:t>
            </w:r>
          </w:p>
        </w:tc>
      </w:tr>
      <w:tr w:rsidR="006826A6" w:rsidRPr="009F227C" w14:paraId="57C25FAD" w14:textId="77777777" w:rsidTr="00866056">
        <w:trPr>
          <w:jc w:val="center"/>
        </w:trPr>
        <w:tc>
          <w:tcPr>
            <w:tcW w:w="3004" w:type="dxa"/>
          </w:tcPr>
          <w:p w14:paraId="2B249E3B" w14:textId="77777777" w:rsidR="006826A6" w:rsidRPr="009F227C" w:rsidRDefault="006826A6" w:rsidP="006826A6">
            <w:r w:rsidRPr="009F227C">
              <w:t>ADITs – TCJA</w:t>
            </w:r>
          </w:p>
        </w:tc>
        <w:tc>
          <w:tcPr>
            <w:tcW w:w="1536" w:type="dxa"/>
            <w:vAlign w:val="bottom"/>
          </w:tcPr>
          <w:p w14:paraId="36D70837" w14:textId="77777777" w:rsidR="006826A6" w:rsidRPr="009F227C" w:rsidRDefault="006826A6" w:rsidP="006826A6">
            <w:pPr>
              <w:jc w:val="right"/>
              <w:rPr>
                <w:u w:val="single"/>
              </w:rPr>
            </w:pPr>
            <w:r w:rsidRPr="009F227C">
              <w:rPr>
                <w:u w:val="single"/>
              </w:rPr>
              <w:t>1,168,616</w:t>
            </w:r>
          </w:p>
        </w:tc>
        <w:tc>
          <w:tcPr>
            <w:tcW w:w="1440" w:type="dxa"/>
            <w:vAlign w:val="bottom"/>
          </w:tcPr>
          <w:p w14:paraId="7262E418" w14:textId="77777777" w:rsidR="006826A6" w:rsidRPr="009F227C" w:rsidRDefault="006826A6" w:rsidP="006826A6">
            <w:pPr>
              <w:jc w:val="right"/>
            </w:pPr>
            <w:r w:rsidRPr="009F227C">
              <w:t>0.59%</w:t>
            </w:r>
          </w:p>
        </w:tc>
        <w:tc>
          <w:tcPr>
            <w:tcW w:w="1440" w:type="dxa"/>
            <w:vAlign w:val="bottom"/>
          </w:tcPr>
          <w:p w14:paraId="56D55CCF" w14:textId="77777777" w:rsidR="006826A6" w:rsidRPr="009F227C" w:rsidRDefault="006826A6" w:rsidP="006826A6">
            <w:pPr>
              <w:jc w:val="right"/>
            </w:pPr>
            <w:r w:rsidRPr="009F227C">
              <w:t>0.00%</w:t>
            </w:r>
          </w:p>
        </w:tc>
        <w:tc>
          <w:tcPr>
            <w:tcW w:w="1791" w:type="dxa"/>
            <w:vAlign w:val="bottom"/>
          </w:tcPr>
          <w:p w14:paraId="52566736" w14:textId="77777777" w:rsidR="006826A6" w:rsidRPr="009F227C" w:rsidRDefault="006826A6" w:rsidP="006826A6">
            <w:pPr>
              <w:jc w:val="right"/>
              <w:rPr>
                <w:u w:val="single"/>
              </w:rPr>
            </w:pPr>
            <w:r w:rsidRPr="009F227C">
              <w:rPr>
                <w:u w:val="single"/>
              </w:rPr>
              <w:t>0.00%</w:t>
            </w:r>
          </w:p>
        </w:tc>
      </w:tr>
      <w:tr w:rsidR="006826A6" w:rsidRPr="009F227C" w14:paraId="1A326651" w14:textId="77777777" w:rsidTr="00866056">
        <w:trPr>
          <w:trHeight w:val="54"/>
          <w:jc w:val="center"/>
        </w:trPr>
        <w:tc>
          <w:tcPr>
            <w:tcW w:w="3004" w:type="dxa"/>
          </w:tcPr>
          <w:p w14:paraId="56DD609D" w14:textId="77777777" w:rsidR="006826A6" w:rsidRPr="009F227C" w:rsidRDefault="006826A6" w:rsidP="006826A6">
            <w:pPr>
              <w:rPr>
                <w:b/>
              </w:rPr>
            </w:pPr>
            <w:r w:rsidRPr="009F227C">
              <w:rPr>
                <w:b/>
              </w:rPr>
              <w:t xml:space="preserve">Total </w:t>
            </w:r>
          </w:p>
        </w:tc>
        <w:tc>
          <w:tcPr>
            <w:tcW w:w="1536" w:type="dxa"/>
            <w:vAlign w:val="bottom"/>
          </w:tcPr>
          <w:p w14:paraId="05D04F0A" w14:textId="77777777" w:rsidR="006826A6" w:rsidRPr="009F227C" w:rsidRDefault="006826A6" w:rsidP="006826A6">
            <w:pPr>
              <w:jc w:val="right"/>
              <w:rPr>
                <w:b/>
                <w:u w:val="single"/>
              </w:rPr>
            </w:pPr>
            <w:r w:rsidRPr="009F227C">
              <w:rPr>
                <w:b/>
                <w:u w:val="single"/>
              </w:rPr>
              <w:t xml:space="preserve">$197,398,722 </w:t>
            </w:r>
          </w:p>
        </w:tc>
        <w:tc>
          <w:tcPr>
            <w:tcW w:w="1440" w:type="dxa"/>
            <w:vAlign w:val="bottom"/>
          </w:tcPr>
          <w:p w14:paraId="2374EA9B" w14:textId="77777777" w:rsidR="006826A6" w:rsidRPr="009F227C" w:rsidRDefault="006826A6" w:rsidP="006826A6">
            <w:pPr>
              <w:jc w:val="right"/>
              <w:rPr>
                <w:b/>
              </w:rPr>
            </w:pPr>
            <w:r w:rsidRPr="009F227C">
              <w:rPr>
                <w:b/>
              </w:rPr>
              <w:t>100.00%</w:t>
            </w:r>
          </w:p>
        </w:tc>
        <w:tc>
          <w:tcPr>
            <w:tcW w:w="1440" w:type="dxa"/>
            <w:vAlign w:val="bottom"/>
          </w:tcPr>
          <w:p w14:paraId="57590A15" w14:textId="77777777" w:rsidR="006826A6" w:rsidRPr="009F227C" w:rsidRDefault="006826A6" w:rsidP="006826A6">
            <w:pPr>
              <w:rPr>
                <w:b/>
              </w:rPr>
            </w:pPr>
            <w:r w:rsidRPr="009F227C">
              <w:rPr>
                <w:b/>
              </w:rPr>
              <w:t> </w:t>
            </w:r>
          </w:p>
        </w:tc>
        <w:tc>
          <w:tcPr>
            <w:tcW w:w="1791" w:type="dxa"/>
            <w:vAlign w:val="bottom"/>
          </w:tcPr>
          <w:p w14:paraId="0DE4B64D" w14:textId="77777777" w:rsidR="006826A6" w:rsidRPr="009F227C" w:rsidRDefault="006826A6" w:rsidP="006826A6">
            <w:pPr>
              <w:jc w:val="right"/>
              <w:rPr>
                <w:b/>
              </w:rPr>
            </w:pPr>
            <w:r w:rsidRPr="009F227C">
              <w:rPr>
                <w:b/>
              </w:rPr>
              <w:t>7.70%</w:t>
            </w:r>
          </w:p>
        </w:tc>
      </w:tr>
    </w:tbl>
    <w:p w14:paraId="626EB741" w14:textId="77777777" w:rsidR="00427BD3" w:rsidRDefault="00427BD3" w:rsidP="00781568">
      <w:pPr>
        <w:pStyle w:val="ListParagraph"/>
        <w:spacing w:after="240"/>
        <w:ind w:left="1440"/>
        <w:jc w:val="both"/>
      </w:pPr>
    </w:p>
    <w:p w14:paraId="1A8BE9B3" w14:textId="2865BF75" w:rsidR="00C85E21" w:rsidRPr="009F227C" w:rsidRDefault="00C85E21" w:rsidP="00172BA1">
      <w:pPr>
        <w:pStyle w:val="ListParagraph"/>
        <w:numPr>
          <w:ilvl w:val="0"/>
          <w:numId w:val="16"/>
        </w:numPr>
        <w:spacing w:after="240"/>
        <w:ind w:hanging="720"/>
        <w:jc w:val="both"/>
      </w:pPr>
      <w:r w:rsidRPr="009F227C">
        <w:t>Conclusion</w:t>
      </w:r>
    </w:p>
    <w:p w14:paraId="04913B51" w14:textId="77777777" w:rsidR="00EA1BDB" w:rsidRPr="009F227C" w:rsidRDefault="00541BCD" w:rsidP="000B5BC5">
      <w:pPr>
        <w:pStyle w:val="OrderBody"/>
      </w:pPr>
      <w:r w:rsidRPr="009F227C">
        <w:tab/>
      </w:r>
      <w:r w:rsidR="000B5BC5" w:rsidRPr="009F227C">
        <w:t xml:space="preserve">Based on the proper components, amounts, and cost rates associated with the capital structure for the 13-month average test year ended December 31, 2023, as discussed in Issues 18 through 22, the appropriate weighted average cost of capital for Sunshine for purposes of setting </w:t>
      </w:r>
      <w:r w:rsidR="00474CD3" w:rsidRPr="009F227C">
        <w:t>rates in this proceeding is 7.70</w:t>
      </w:r>
      <w:r w:rsidR="000B5BC5" w:rsidRPr="009F227C">
        <w:t xml:space="preserve"> percent,</w:t>
      </w:r>
      <w:r w:rsidR="00C85E21" w:rsidRPr="009F227C">
        <w:t xml:space="preserve"> as reflected in Schedule No. 2, attached herein.</w:t>
      </w:r>
    </w:p>
    <w:p w14:paraId="529D4A3F" w14:textId="77777777" w:rsidR="000B5BC5" w:rsidRPr="009F227C" w:rsidRDefault="000B5BC5" w:rsidP="000B5BC5">
      <w:pPr>
        <w:pStyle w:val="OrderBody"/>
      </w:pPr>
    </w:p>
    <w:p w14:paraId="77363916" w14:textId="77777777" w:rsidR="00BC4930" w:rsidRPr="009F227C" w:rsidRDefault="007500B2" w:rsidP="00172BA1">
      <w:pPr>
        <w:pStyle w:val="OrderBody"/>
        <w:numPr>
          <w:ilvl w:val="0"/>
          <w:numId w:val="44"/>
        </w:numPr>
        <w:ind w:left="720" w:hanging="720"/>
      </w:pPr>
      <w:r w:rsidRPr="009F227C">
        <w:rPr>
          <w:b/>
        </w:rPr>
        <w:t>Test Year Revenues</w:t>
      </w:r>
    </w:p>
    <w:p w14:paraId="7638F7E7" w14:textId="77777777" w:rsidR="007500B2" w:rsidRPr="009F227C" w:rsidRDefault="007500B2" w:rsidP="007500B2">
      <w:pPr>
        <w:pStyle w:val="OrderBody"/>
      </w:pPr>
    </w:p>
    <w:p w14:paraId="028B3CF4" w14:textId="3C942962" w:rsidR="00BC4930" w:rsidRPr="009F227C" w:rsidRDefault="00BC4930" w:rsidP="00172BA1">
      <w:pPr>
        <w:pStyle w:val="ListParagraph"/>
        <w:numPr>
          <w:ilvl w:val="0"/>
          <w:numId w:val="43"/>
        </w:numPr>
        <w:ind w:left="720"/>
        <w:jc w:val="both"/>
        <w:outlineLvl w:val="0"/>
        <w:rPr>
          <w:bCs/>
          <w:kern w:val="32"/>
          <w:szCs w:val="32"/>
          <w:u w:val="single"/>
        </w:rPr>
      </w:pPr>
      <w:bookmarkStart w:id="36" w:name="_Toc199321464"/>
      <w:r w:rsidRPr="009F227C">
        <w:rPr>
          <w:u w:val="single"/>
        </w:rPr>
        <w:t>Test Year Revenues</w:t>
      </w:r>
      <w:r w:rsidR="00E74EBD" w:rsidRPr="009F227C">
        <w:rPr>
          <w:u w:val="single"/>
        </w:rPr>
        <w:t xml:space="preserve"> (Issue 24)</w:t>
      </w:r>
      <w:bookmarkEnd w:id="36"/>
    </w:p>
    <w:p w14:paraId="32ADFCA3" w14:textId="77777777" w:rsidR="00BC4930" w:rsidRPr="009F227C" w:rsidRDefault="00BC4930" w:rsidP="00BC4930">
      <w:pPr>
        <w:jc w:val="both"/>
        <w:outlineLvl w:val="0"/>
        <w:rPr>
          <w:bCs/>
          <w:kern w:val="32"/>
          <w:szCs w:val="32"/>
        </w:rPr>
      </w:pPr>
    </w:p>
    <w:p w14:paraId="57C1C232" w14:textId="77777777" w:rsidR="00BC4930" w:rsidRPr="009F227C" w:rsidRDefault="00BC4930" w:rsidP="00172BA1">
      <w:pPr>
        <w:pStyle w:val="ListParagraph"/>
        <w:numPr>
          <w:ilvl w:val="0"/>
          <w:numId w:val="17"/>
        </w:numPr>
        <w:spacing w:after="240"/>
        <w:ind w:hanging="720"/>
        <w:jc w:val="both"/>
      </w:pPr>
      <w:r w:rsidRPr="009F227C">
        <w:t>Analysis</w:t>
      </w:r>
    </w:p>
    <w:p w14:paraId="3F43E5DC" w14:textId="766F307E" w:rsidR="000B5BC5" w:rsidRPr="009F227C" w:rsidRDefault="000B5BC5" w:rsidP="00BC4930">
      <w:pPr>
        <w:spacing w:after="240"/>
        <w:jc w:val="both"/>
        <w:outlineLvl w:val="1"/>
      </w:pPr>
      <w:bookmarkStart w:id="37" w:name="_Toc199321465"/>
      <w:r w:rsidRPr="009F227C">
        <w:rPr>
          <w:b/>
          <w:bCs/>
          <w:iCs/>
          <w:szCs w:val="28"/>
        </w:rPr>
        <w:t>Water</w:t>
      </w:r>
      <w:bookmarkEnd w:id="37"/>
    </w:p>
    <w:p w14:paraId="2AD5FFC4" w14:textId="77777777" w:rsidR="000B5BC5" w:rsidRPr="009F227C" w:rsidRDefault="00541BCD" w:rsidP="000B5BC5">
      <w:pPr>
        <w:spacing w:after="240"/>
        <w:jc w:val="both"/>
      </w:pPr>
      <w:r w:rsidRPr="009F227C">
        <w:tab/>
      </w:r>
      <w:r w:rsidR="000B5BC5" w:rsidRPr="009F227C">
        <w:t>In its revised MFRs, the Utility reflected adjusted test year revenues of $22,920,518. The test year revenues consisted of service revenues of $22,649,755 and miscellaneous revenues of $270,764 for water</w:t>
      </w:r>
      <w:r w:rsidR="00866056" w:rsidRPr="009F227C">
        <w:t xml:space="preserve">. </w:t>
      </w:r>
      <w:r w:rsidR="000B5BC5" w:rsidRPr="009F227C">
        <w:t xml:space="preserve">The Utility’s service revenues included a decrease of $715,273 to reflect the reversal of an accrual. In addition, the Utility’s service revenues included an increase of </w:t>
      </w:r>
      <w:r w:rsidR="000B5BC5" w:rsidRPr="009F227C">
        <w:lastRenderedPageBreak/>
        <w:t xml:space="preserve">$1,103,616 to account for annualizing a price index increase implemented subsequent to the test year. By annualizing the service revenues, </w:t>
      </w:r>
      <w:r w:rsidR="001D3577" w:rsidRPr="009F227C">
        <w:t>our staff</w:t>
      </w:r>
      <w:r w:rsidR="000B5BC5" w:rsidRPr="009F227C">
        <w:t xml:space="preserve"> determined the Utility’s adjustment to be appropriate and agrees that the service revenues are $22,649,755.</w:t>
      </w:r>
    </w:p>
    <w:p w14:paraId="6EC1C9AF" w14:textId="17DF37FD" w:rsidR="000B5BC5" w:rsidRPr="009F227C" w:rsidRDefault="00541BCD" w:rsidP="000B5BC5">
      <w:pPr>
        <w:spacing w:after="240"/>
        <w:jc w:val="both"/>
      </w:pPr>
      <w:r w:rsidRPr="009F227C">
        <w:tab/>
      </w:r>
      <w:r w:rsidR="000B5BC5" w:rsidRPr="009F227C">
        <w:t>OPC Witness Smith stated that Sunshine’s test year miscellaneous service charges were based on rates set years ago and did not reflect in</w:t>
      </w:r>
      <w:r w:rsidR="00BC4930" w:rsidRPr="009F227C">
        <w:t xml:space="preserve">creases related to inflation. </w:t>
      </w:r>
      <w:r w:rsidR="000B5BC5" w:rsidRPr="009F227C">
        <w:t>According to witness Swain’s rebuttal testimony, the Utility was not entitled to price index increases in 2020 or 2021</w:t>
      </w:r>
      <w:r w:rsidR="00866056" w:rsidRPr="009F227C">
        <w:t xml:space="preserve">. </w:t>
      </w:r>
      <w:r w:rsidR="000B5BC5" w:rsidRPr="009F227C">
        <w:t>However, the Utility indicated that price index increases were approved each year since Su</w:t>
      </w:r>
      <w:r w:rsidR="00866056" w:rsidRPr="009F227C">
        <w:t>nshine’s last rate case in 2020</w:t>
      </w:r>
      <w:r w:rsidR="000B5BC5" w:rsidRPr="009F227C">
        <w:t xml:space="preserve">. The Utility had a price index increase that became effective on June 2, 2024, subsequent to the test year, which resulted in an increase to rates and miscellaneous service charges. Witness Swain’s rebuttal testimony indicated that the Utility annualized service revenues; however, the </w:t>
      </w:r>
      <w:r w:rsidR="00427BD3">
        <w:t>U</w:t>
      </w:r>
      <w:r w:rsidR="000B5BC5" w:rsidRPr="009F227C">
        <w:t>tility did not annualize the impact of the price index rate changes for miscellaneous service charges. The Utility made an adjustment to increase miscellaneous revenues by $7,817 for water to reflect annualizing the increase in miscellaneous service charges</w:t>
      </w:r>
      <w:r w:rsidR="00866056" w:rsidRPr="009F227C">
        <w:t xml:space="preserve">. </w:t>
      </w:r>
      <w:r w:rsidR="000B5BC5" w:rsidRPr="009F227C">
        <w:t>In its brief, OPC indicated water miscellaneous revenues should be increased by $7,817 as reflected in its exhibit and is consistent with witness Swain’s adjustment</w:t>
      </w:r>
      <w:r w:rsidR="00866056" w:rsidRPr="009F227C">
        <w:t xml:space="preserve">. </w:t>
      </w:r>
      <w:r w:rsidR="00427BD3">
        <w:t>We</w:t>
      </w:r>
      <w:r w:rsidR="000B5BC5" w:rsidRPr="009F227C">
        <w:t xml:space="preserve"> agree with the Utility’s adjustment and </w:t>
      </w:r>
      <w:r w:rsidR="00427BD3">
        <w:t>find</w:t>
      </w:r>
      <w:r w:rsidR="000B5BC5" w:rsidRPr="009F227C">
        <w:t xml:space="preserve"> that miscellaneous revenues for water </w:t>
      </w:r>
      <w:r w:rsidR="00427BD3">
        <w:t xml:space="preserve">shall </w:t>
      </w:r>
      <w:r w:rsidR="000B5BC5" w:rsidRPr="009F227C">
        <w:t>be increased by $7,817.</w:t>
      </w:r>
    </w:p>
    <w:p w14:paraId="1B63235B" w14:textId="77777777" w:rsidR="000B5BC5" w:rsidRPr="009F227C" w:rsidRDefault="00541BCD" w:rsidP="000B5BC5">
      <w:pPr>
        <w:spacing w:after="240"/>
        <w:jc w:val="both"/>
      </w:pPr>
      <w:r w:rsidRPr="009F227C">
        <w:tab/>
      </w:r>
      <w:r w:rsidR="000B5BC5" w:rsidRPr="009F227C">
        <w:t xml:space="preserve">Further, pursuant to </w:t>
      </w:r>
      <w:r w:rsidR="001D3577" w:rsidRPr="009F227C">
        <w:t>our staff</w:t>
      </w:r>
      <w:r w:rsidR="000B5BC5" w:rsidRPr="009F227C">
        <w:t>’s audit report, planning and inspection charges of $10,050 were included in miscellaneous revenues, which should have been classified as CIAC</w:t>
      </w:r>
      <w:r w:rsidR="00866056" w:rsidRPr="009F227C">
        <w:t xml:space="preserve">. </w:t>
      </w:r>
      <w:r w:rsidR="000B5BC5" w:rsidRPr="009F227C">
        <w:t xml:space="preserve">The Utility agreed with </w:t>
      </w:r>
      <w:r w:rsidR="001D3577" w:rsidRPr="009F227C">
        <w:t>our staff</w:t>
      </w:r>
      <w:r w:rsidR="000B5BC5" w:rsidRPr="009F227C">
        <w:t>’s audit finding</w:t>
      </w:r>
      <w:r w:rsidR="00866056" w:rsidRPr="009F227C">
        <w:t xml:space="preserve">. </w:t>
      </w:r>
      <w:r w:rsidR="000B5BC5" w:rsidRPr="009F227C">
        <w:t>The adjustment to remove CIAC from miscellaneous revenues reflects a decrease of $10,050</w:t>
      </w:r>
      <w:r w:rsidR="00866056" w:rsidRPr="009F227C">
        <w:t xml:space="preserve">. </w:t>
      </w:r>
      <w:r w:rsidR="000B5BC5" w:rsidRPr="009F227C">
        <w:t>The net adjustment to miscellaneous revenues is a decrease of $2,234 ($7,817-$10,050), resulting in test year miscellaneous revenues of $268,530 ($270,764 - $2,234).</w:t>
      </w:r>
    </w:p>
    <w:p w14:paraId="4550195F" w14:textId="1961C891" w:rsidR="000B5BC5" w:rsidRDefault="000B5BC5" w:rsidP="00611775">
      <w:pPr>
        <w:rPr>
          <w:b/>
          <w:bCs/>
          <w:iCs/>
          <w:szCs w:val="28"/>
        </w:rPr>
      </w:pPr>
      <w:r w:rsidRPr="009F227C">
        <w:rPr>
          <w:b/>
          <w:bCs/>
          <w:iCs/>
          <w:szCs w:val="28"/>
        </w:rPr>
        <w:t>Wastewater</w:t>
      </w:r>
    </w:p>
    <w:p w14:paraId="5E43034D" w14:textId="77777777" w:rsidR="00427BD3" w:rsidRPr="009F227C" w:rsidRDefault="00427BD3" w:rsidP="000B5BC5">
      <w:pPr>
        <w:jc w:val="both"/>
        <w:outlineLvl w:val="2"/>
        <w:rPr>
          <w:b/>
          <w:bCs/>
          <w:iCs/>
          <w:szCs w:val="28"/>
        </w:rPr>
      </w:pPr>
    </w:p>
    <w:p w14:paraId="2CEA3E02" w14:textId="77777777" w:rsidR="000B5BC5" w:rsidRPr="009F227C" w:rsidRDefault="00541BCD" w:rsidP="000B5BC5">
      <w:pPr>
        <w:spacing w:after="240"/>
        <w:jc w:val="both"/>
      </w:pPr>
      <w:r w:rsidRPr="009F227C">
        <w:tab/>
      </w:r>
      <w:r w:rsidR="000B5BC5" w:rsidRPr="009F227C">
        <w:t>In its revised MFRs, the Utility reflected test year revenues of $29,619,077. The test year revenues consisted of service revenues of $29,367,332 and miscellaneous revenues of $251,744</w:t>
      </w:r>
      <w:r w:rsidR="00866056" w:rsidRPr="009F227C">
        <w:t xml:space="preserve">. </w:t>
      </w:r>
      <w:r w:rsidR="000B5BC5" w:rsidRPr="009F227C">
        <w:t>The Utility’s service revenues included an adjustments to reverse an accrual of $79,153</w:t>
      </w:r>
      <w:r w:rsidR="00866056" w:rsidRPr="009F227C">
        <w:t xml:space="preserve">. </w:t>
      </w:r>
      <w:r w:rsidR="000B5BC5" w:rsidRPr="009F227C">
        <w:t xml:space="preserve">In addition, the Utility’s adjusted service revenues included an increase of $1,469,073 to account for annualizing a price index increase implemented subsequent to the test year. By annualizing the service revenues, </w:t>
      </w:r>
      <w:r w:rsidR="001D3577" w:rsidRPr="009F227C">
        <w:t>our staff</w:t>
      </w:r>
      <w:r w:rsidR="000B5BC5" w:rsidRPr="009F227C">
        <w:t xml:space="preserve"> determined the annualized revenue adjustment to be to be $1,469,105. As a result, service revenues </w:t>
      </w:r>
      <w:r w:rsidR="0004237D" w:rsidRPr="009F227C">
        <w:t>shall</w:t>
      </w:r>
      <w:r w:rsidR="000B5BC5" w:rsidRPr="009F227C">
        <w:t xml:space="preserve"> be increased by $32, resulting in adjusted test year service revenues of $29,367,364. </w:t>
      </w:r>
    </w:p>
    <w:p w14:paraId="3159AD2B" w14:textId="47672AE3" w:rsidR="000B5BC5" w:rsidRPr="009F227C" w:rsidRDefault="00541BCD" w:rsidP="000B5BC5">
      <w:pPr>
        <w:spacing w:after="240"/>
        <w:jc w:val="both"/>
      </w:pPr>
      <w:r w:rsidRPr="009F227C">
        <w:tab/>
      </w:r>
      <w:r w:rsidR="000B5BC5" w:rsidRPr="009F227C">
        <w:t>As discussed above for the water system, the Utility made an adjustment to account for the impact of the price index increase that became effective on June 2, 2024, subsequent to the test year. The Utility made an adjustment to increase miscellaneous revenues by $7,268 for wastewater to reflect annualizing the increase in miscellaneous service charges</w:t>
      </w:r>
      <w:r w:rsidR="00866056" w:rsidRPr="009F227C">
        <w:t xml:space="preserve">. </w:t>
      </w:r>
      <w:r w:rsidR="000B5BC5" w:rsidRPr="009F227C">
        <w:t>In its brief, OPC indicated wastewater miscellaneous revenues should be increased by $7,268 as reflected in its exhibit and is consistent with witness Swain’s adjustment</w:t>
      </w:r>
      <w:r w:rsidR="00866056" w:rsidRPr="009F227C">
        <w:t xml:space="preserve">. </w:t>
      </w:r>
      <w:r w:rsidR="009E55FA">
        <w:t>We</w:t>
      </w:r>
      <w:r w:rsidR="000B5BC5" w:rsidRPr="009F227C">
        <w:t xml:space="preserve"> also agree with the Utility’s adjustment and </w:t>
      </w:r>
      <w:r w:rsidR="009E55FA">
        <w:t xml:space="preserve">find </w:t>
      </w:r>
      <w:r w:rsidR="000B5BC5" w:rsidRPr="009F227C">
        <w:t xml:space="preserve">that miscellaneous revenues for wastewater </w:t>
      </w:r>
      <w:r w:rsidR="009E55FA">
        <w:t xml:space="preserve">shall </w:t>
      </w:r>
      <w:r w:rsidR="000B5BC5" w:rsidRPr="009F227C">
        <w:t>be increased by $7,268.</w:t>
      </w:r>
    </w:p>
    <w:p w14:paraId="58550750" w14:textId="77777777" w:rsidR="000B5BC5" w:rsidRPr="009F227C" w:rsidRDefault="00541BCD" w:rsidP="000B5BC5">
      <w:pPr>
        <w:spacing w:after="240"/>
        <w:jc w:val="both"/>
      </w:pPr>
      <w:r w:rsidRPr="009F227C">
        <w:lastRenderedPageBreak/>
        <w:tab/>
      </w:r>
      <w:r w:rsidR="000B5BC5" w:rsidRPr="009F227C">
        <w:t xml:space="preserve">Further, pursuant to </w:t>
      </w:r>
      <w:r w:rsidR="001D3577" w:rsidRPr="009F227C">
        <w:t>our staff</w:t>
      </w:r>
      <w:r w:rsidR="000B5BC5" w:rsidRPr="009F227C">
        <w:t>’s audit report, planning and inspection charges of $9,345 were included in miscellaneous revenues, which should have been classified as CIAC</w:t>
      </w:r>
      <w:r w:rsidR="00866056" w:rsidRPr="009F227C">
        <w:t xml:space="preserve">. </w:t>
      </w:r>
      <w:r w:rsidR="000B5BC5" w:rsidRPr="009F227C">
        <w:t xml:space="preserve">The Utility agrees with </w:t>
      </w:r>
      <w:r w:rsidR="001D3577" w:rsidRPr="009F227C">
        <w:t>our staff</w:t>
      </w:r>
      <w:r w:rsidR="000B5BC5" w:rsidRPr="009F227C">
        <w:t>’s audit finding</w:t>
      </w:r>
      <w:r w:rsidR="00866056" w:rsidRPr="009F227C">
        <w:t xml:space="preserve">. </w:t>
      </w:r>
      <w:r w:rsidR="000B5BC5" w:rsidRPr="009F227C">
        <w:t>The adjustment to remove CIAC from miscellaneous revenues reflect a decrease of $9,345</w:t>
      </w:r>
      <w:r w:rsidR="00866056" w:rsidRPr="009F227C">
        <w:t xml:space="preserve">. </w:t>
      </w:r>
      <w:r w:rsidR="000B5BC5" w:rsidRPr="009F227C">
        <w:t>The net adjustment to miscellaneous revenues is a decrease of $2,077 ($7,268 - $9,345), resulting in test year miscellaneous revenues of $249,667 ($251,744 - $2,077).</w:t>
      </w:r>
    </w:p>
    <w:p w14:paraId="510666D9" w14:textId="7F70BDB5" w:rsidR="000B5BC5" w:rsidRPr="009F227C" w:rsidRDefault="00541BCD" w:rsidP="000B5BC5">
      <w:pPr>
        <w:spacing w:after="240"/>
        <w:jc w:val="both"/>
      </w:pPr>
      <w:r w:rsidRPr="009F227C">
        <w:tab/>
      </w:r>
      <w:r w:rsidR="000B5BC5" w:rsidRPr="009F227C">
        <w:t>Finally, the Utility removed allowance for funds prudently invested (AFPI) of $38,529 and guaranteed revenues of $8,903 from its test year revenues, which totaled $47,333</w:t>
      </w:r>
      <w:r w:rsidR="00866056" w:rsidRPr="009F227C">
        <w:t xml:space="preserve">. </w:t>
      </w:r>
      <w:r w:rsidR="000B5BC5" w:rsidRPr="009F227C">
        <w:t>In witness Smith’s testimony, OPC increased wastewater test year revenues by $47,333 to add AFPI and guaranteed revenue back to test year revenues</w:t>
      </w:r>
      <w:r w:rsidR="00866056" w:rsidRPr="009F227C">
        <w:t xml:space="preserve">. </w:t>
      </w:r>
      <w:r w:rsidR="000B5BC5" w:rsidRPr="009F227C">
        <w:t>In its brief, the Utility indicated that AFPI and guaranteed revenues are associated with non-used and useful plant costs and should not be included in operating revenue</w:t>
      </w:r>
      <w:r w:rsidR="00866056" w:rsidRPr="009F227C">
        <w:t xml:space="preserve">. </w:t>
      </w:r>
      <w:r w:rsidR="000B5BC5" w:rsidRPr="009F227C">
        <w:t>Although OPC witness Smith subsequently agreed with witness Swain’s approach of not including AFPI in operating revenues</w:t>
      </w:r>
      <w:r w:rsidR="009E55FA">
        <w:t>,</w:t>
      </w:r>
      <w:r w:rsidR="000B5BC5" w:rsidRPr="009F227C">
        <w:t xml:space="preserve"> OPC witness Smith indicated that guaranteed revenues should be recorded above the line as operating revenues</w:t>
      </w:r>
      <w:r w:rsidR="00866056" w:rsidRPr="009F227C">
        <w:t xml:space="preserve">. </w:t>
      </w:r>
    </w:p>
    <w:p w14:paraId="7DA4640D" w14:textId="77777777" w:rsidR="000B5BC5" w:rsidRPr="009F227C" w:rsidRDefault="00541BCD" w:rsidP="000B5BC5">
      <w:pPr>
        <w:spacing w:after="240"/>
        <w:jc w:val="both"/>
      </w:pPr>
      <w:r w:rsidRPr="009F227C">
        <w:tab/>
      </w:r>
      <w:r w:rsidR="000B5BC5" w:rsidRPr="009F227C">
        <w:t>Furthermore, witness Smith agreed that guaranteed revenues had been treated below the line in other Sunshine rate cases, but believes it is appropriate to record these revenues above the line. Witness Smith said, “…</w:t>
      </w:r>
      <w:r w:rsidR="0004237D" w:rsidRPr="009F227C">
        <w:t>the Commission</w:t>
      </w:r>
      <w:r w:rsidR="000B5BC5" w:rsidRPr="009F227C">
        <w:t xml:space="preserve"> hasn’t been totally consistent among all water utilities that have guaranteed revenues as to how they should be treated in the revenue requirement. And had it not been for that recent case that treated it above the line, I think we probably would not have been recommending that it be treated above the line in the current case.” </w:t>
      </w:r>
    </w:p>
    <w:p w14:paraId="269F4308" w14:textId="63595133" w:rsidR="00BC4930" w:rsidRPr="009F227C" w:rsidRDefault="00541BCD" w:rsidP="00611775">
      <w:pPr>
        <w:spacing w:after="240"/>
        <w:jc w:val="both"/>
      </w:pPr>
      <w:r w:rsidRPr="009F227C">
        <w:tab/>
      </w:r>
      <w:r w:rsidR="000B5BC5" w:rsidRPr="009F227C">
        <w:t xml:space="preserve">Rule 25-30.515, F.A.C., defines a guaranteed revenue charge as a charge designed to cover the utility’s costs including, but not limited to the costs of operation, maintenance, depreciation, and any taxes, and to provide a reasonable return to the utility for facilities, a portion of which may not be used and useful to the utility or its existing customers and are not included in rates. By definition, the guaranteed revenue charge is similar to AFPI charge in that it is designed to recover non-used and useful components that are not part of the revenue requirement. </w:t>
      </w:r>
      <w:r w:rsidR="0004237D" w:rsidRPr="009F227C">
        <w:t>I</w:t>
      </w:r>
      <w:r w:rsidR="000B5BC5" w:rsidRPr="009F227C">
        <w:t xml:space="preserve">t is appropriate to maintain the same ratemaking treatment for guaranteed revenue as for AFPI revenue. Therefore, </w:t>
      </w:r>
      <w:r w:rsidR="0004237D" w:rsidRPr="009F227C">
        <w:t>we agree</w:t>
      </w:r>
      <w:r w:rsidR="000B5BC5" w:rsidRPr="009F227C">
        <w:t xml:space="preserve"> with the Utility that guaranteed revenues </w:t>
      </w:r>
      <w:r w:rsidR="0004237D" w:rsidRPr="009F227C">
        <w:t>shall</w:t>
      </w:r>
      <w:r w:rsidR="000B5BC5" w:rsidRPr="009F227C">
        <w:t xml:space="preserve"> not be included in operating revenues for rate setting purposes and OPC’s adjustment to add back guaranteed revenue of $8,903 </w:t>
      </w:r>
      <w:r w:rsidR="0004237D" w:rsidRPr="009F227C">
        <w:t>shall</w:t>
      </w:r>
      <w:r w:rsidR="000B5BC5" w:rsidRPr="009F227C">
        <w:t xml:space="preserve"> not be reflected.</w:t>
      </w:r>
    </w:p>
    <w:p w14:paraId="46DB4A92" w14:textId="77777777" w:rsidR="00BC4930" w:rsidRPr="009F227C" w:rsidRDefault="00BC4930" w:rsidP="00172BA1">
      <w:pPr>
        <w:pStyle w:val="ListParagraph"/>
        <w:numPr>
          <w:ilvl w:val="0"/>
          <w:numId w:val="17"/>
        </w:numPr>
        <w:spacing w:after="240"/>
        <w:ind w:hanging="720"/>
        <w:jc w:val="both"/>
      </w:pPr>
      <w:r w:rsidRPr="009F227C">
        <w:t xml:space="preserve">Conclusion </w:t>
      </w:r>
    </w:p>
    <w:p w14:paraId="65C89383" w14:textId="78FB72DD" w:rsidR="000B5BC5" w:rsidRDefault="00541BCD" w:rsidP="0004237D">
      <w:pPr>
        <w:spacing w:after="240"/>
        <w:jc w:val="both"/>
      </w:pPr>
      <w:r w:rsidRPr="009F227C">
        <w:tab/>
      </w:r>
      <w:r w:rsidR="000B5BC5" w:rsidRPr="009F227C">
        <w:t xml:space="preserve">Based on the above, the appropriate test year revenues for Sunshine’s water and wastewater systems are $22,918,285 ($22,649,755 + $268,530) and $29,617,031 ($29,367,364 + $249,667) respectively; therefore, the Utility’s adjusted test year revenues </w:t>
      </w:r>
      <w:r w:rsidR="0004237D" w:rsidRPr="009F227C">
        <w:t>shall</w:t>
      </w:r>
      <w:r w:rsidR="000B5BC5" w:rsidRPr="009F227C">
        <w:t xml:space="preserve"> be decreased by $2,234 for water and decreased by $2,045 ($32 - $2,077) for wastewater.</w:t>
      </w:r>
    </w:p>
    <w:p w14:paraId="61729380" w14:textId="2D1C0D01" w:rsidR="00977B43" w:rsidRDefault="00977B43" w:rsidP="0004237D">
      <w:pPr>
        <w:spacing w:after="240"/>
        <w:jc w:val="both"/>
      </w:pPr>
    </w:p>
    <w:p w14:paraId="282B9FA7" w14:textId="77777777" w:rsidR="00977B43" w:rsidRPr="009F227C" w:rsidRDefault="00977B43" w:rsidP="0004237D">
      <w:pPr>
        <w:spacing w:after="240"/>
        <w:jc w:val="both"/>
      </w:pPr>
    </w:p>
    <w:p w14:paraId="5ACFE593" w14:textId="77777777" w:rsidR="009C3457" w:rsidRPr="009F227C" w:rsidRDefault="009C3457" w:rsidP="00172BA1">
      <w:pPr>
        <w:pStyle w:val="ListParagraph"/>
        <w:numPr>
          <w:ilvl w:val="0"/>
          <w:numId w:val="44"/>
        </w:numPr>
        <w:ind w:left="720" w:hanging="720"/>
        <w:jc w:val="both"/>
      </w:pPr>
      <w:r w:rsidRPr="009F227C">
        <w:rPr>
          <w:b/>
        </w:rPr>
        <w:lastRenderedPageBreak/>
        <w:t>Operating</w:t>
      </w:r>
      <w:r w:rsidRPr="009F227C">
        <w:rPr>
          <w:b/>
          <w:spacing w:val="-2"/>
        </w:rPr>
        <w:t xml:space="preserve"> </w:t>
      </w:r>
      <w:r w:rsidRPr="009F227C">
        <w:rPr>
          <w:b/>
        </w:rPr>
        <w:t>&amp;</w:t>
      </w:r>
      <w:r w:rsidRPr="009F227C">
        <w:rPr>
          <w:b/>
          <w:spacing w:val="-2"/>
        </w:rPr>
        <w:t xml:space="preserve"> </w:t>
      </w:r>
      <w:r w:rsidRPr="009F227C">
        <w:rPr>
          <w:b/>
        </w:rPr>
        <w:t>Maintenance</w:t>
      </w:r>
      <w:r w:rsidRPr="009F227C">
        <w:rPr>
          <w:b/>
          <w:spacing w:val="-3"/>
        </w:rPr>
        <w:t xml:space="preserve"> </w:t>
      </w:r>
      <w:r w:rsidRPr="009F227C">
        <w:rPr>
          <w:b/>
        </w:rPr>
        <w:t>(O&amp;M)</w:t>
      </w:r>
      <w:r w:rsidRPr="009F227C">
        <w:rPr>
          <w:b/>
          <w:spacing w:val="-1"/>
        </w:rPr>
        <w:t xml:space="preserve"> </w:t>
      </w:r>
      <w:r w:rsidRPr="009F227C">
        <w:rPr>
          <w:b/>
          <w:spacing w:val="-2"/>
        </w:rPr>
        <w:t>Expenses</w:t>
      </w:r>
    </w:p>
    <w:p w14:paraId="74A72233" w14:textId="77777777" w:rsidR="009C3457" w:rsidRPr="009F227C" w:rsidRDefault="009C3457" w:rsidP="0009249B">
      <w:pPr>
        <w:jc w:val="both"/>
      </w:pPr>
    </w:p>
    <w:p w14:paraId="4AD7EAA6" w14:textId="2E91F50A" w:rsidR="00E7717B" w:rsidRPr="009F227C" w:rsidRDefault="00E7717B" w:rsidP="00172BA1">
      <w:pPr>
        <w:pStyle w:val="ListParagraph"/>
        <w:numPr>
          <w:ilvl w:val="0"/>
          <w:numId w:val="45"/>
        </w:numPr>
        <w:ind w:left="720"/>
        <w:jc w:val="both"/>
        <w:outlineLvl w:val="0"/>
        <w:rPr>
          <w:bCs/>
          <w:kern w:val="32"/>
          <w:szCs w:val="32"/>
          <w:u w:val="single"/>
        </w:rPr>
      </w:pPr>
      <w:bookmarkStart w:id="38" w:name="_Toc199321466"/>
      <w:r w:rsidRPr="009F227C">
        <w:rPr>
          <w:u w:val="single"/>
        </w:rPr>
        <w:t>Rate Case Expense</w:t>
      </w:r>
      <w:r w:rsidR="00CB236E" w:rsidRPr="009F227C">
        <w:rPr>
          <w:u w:val="single"/>
        </w:rPr>
        <w:t xml:space="preserve"> (Issue 25)</w:t>
      </w:r>
      <w:bookmarkEnd w:id="38"/>
    </w:p>
    <w:p w14:paraId="5851C057" w14:textId="77777777" w:rsidR="00E7717B" w:rsidRPr="009F227C" w:rsidRDefault="00E7717B" w:rsidP="00E7717B">
      <w:pPr>
        <w:jc w:val="both"/>
        <w:outlineLvl w:val="0"/>
        <w:rPr>
          <w:bCs/>
          <w:kern w:val="32"/>
          <w:szCs w:val="32"/>
        </w:rPr>
      </w:pPr>
    </w:p>
    <w:p w14:paraId="534CA1DF" w14:textId="77777777" w:rsidR="00E7717B" w:rsidRPr="009F227C" w:rsidRDefault="00E7717B" w:rsidP="00172BA1">
      <w:pPr>
        <w:pStyle w:val="ListParagraph"/>
        <w:numPr>
          <w:ilvl w:val="0"/>
          <w:numId w:val="18"/>
        </w:numPr>
        <w:spacing w:after="240"/>
        <w:ind w:hanging="720"/>
        <w:jc w:val="both"/>
      </w:pPr>
      <w:r w:rsidRPr="009F227C">
        <w:t>Analysis</w:t>
      </w:r>
    </w:p>
    <w:p w14:paraId="71F35BAD" w14:textId="3140A16D" w:rsidR="008940B4" w:rsidRPr="009F227C" w:rsidRDefault="00F36ABC" w:rsidP="00E7717B">
      <w:pPr>
        <w:spacing w:after="240"/>
        <w:ind w:firstLine="720"/>
        <w:jc w:val="both"/>
      </w:pPr>
      <w:r w:rsidRPr="009F227C">
        <w:t>In its MFRs, the Utility requested $676,030 for rate case expense</w:t>
      </w:r>
      <w:r w:rsidR="00866056" w:rsidRPr="009F227C">
        <w:t xml:space="preserve">. </w:t>
      </w:r>
      <w:r w:rsidRPr="009F227C">
        <w:t>In its brief, Sunshine also stated the appropriate amount of rate case expense is $676,030</w:t>
      </w:r>
      <w:r w:rsidR="00866056" w:rsidRPr="009F227C">
        <w:t xml:space="preserve">. </w:t>
      </w:r>
      <w:r w:rsidRPr="009F227C">
        <w:t xml:space="preserve">However, </w:t>
      </w:r>
      <w:r w:rsidR="001D3577" w:rsidRPr="009F227C">
        <w:t>our staff</w:t>
      </w:r>
      <w:r w:rsidRPr="009F227C">
        <w:t xml:space="preserve"> requested an update of the actual rate case expense incurred, with supporting documentation, as well as the estimated amount to complete the case. On October 8, 2024, the Utility submitted its support documentation</w:t>
      </w:r>
      <w:r w:rsidR="00866056" w:rsidRPr="009F227C">
        <w:t xml:space="preserve">. </w:t>
      </w:r>
      <w:r w:rsidRPr="009F227C">
        <w:t xml:space="preserve">A breakdown of </w:t>
      </w:r>
      <w:r w:rsidR="001D3577" w:rsidRPr="009F227C">
        <w:t xml:space="preserve">our </w:t>
      </w:r>
      <w:r w:rsidR="00A86A3E" w:rsidRPr="009F227C">
        <w:t>subsequent</w:t>
      </w:r>
      <w:r w:rsidRPr="009F227C">
        <w:t xml:space="preserve"> calculation of the Utility’s revised rate case expense is </w:t>
      </w:r>
      <w:r w:rsidR="00A86A3E" w:rsidRPr="009F227C">
        <w:t xml:space="preserve">set forth in Table 5 </w:t>
      </w:r>
      <w:r w:rsidRPr="009F227C">
        <w:t>as follows:</w:t>
      </w:r>
    </w:p>
    <w:p w14:paraId="2010E892" w14:textId="77777777" w:rsidR="00F36ABC" w:rsidRPr="009F227C" w:rsidRDefault="00F36ABC" w:rsidP="00CF0577">
      <w:pPr>
        <w:keepNext/>
        <w:jc w:val="center"/>
        <w:rPr>
          <w:b/>
        </w:rPr>
      </w:pPr>
      <w:r w:rsidRPr="009F227C">
        <w:rPr>
          <w:b/>
        </w:rPr>
        <w:t xml:space="preserve">Table </w:t>
      </w:r>
      <w:r w:rsidR="008675BF" w:rsidRPr="009F227C">
        <w:rPr>
          <w:b/>
        </w:rPr>
        <w:t>5</w:t>
      </w:r>
    </w:p>
    <w:p w14:paraId="43B6F218" w14:textId="77777777" w:rsidR="00F36ABC" w:rsidRPr="009F227C" w:rsidRDefault="00F36ABC" w:rsidP="00F36ABC">
      <w:pPr>
        <w:keepNext/>
        <w:jc w:val="center"/>
        <w:rPr>
          <w:b/>
        </w:rPr>
      </w:pPr>
      <w:r w:rsidRPr="009F227C">
        <w:rPr>
          <w:b/>
        </w:rPr>
        <w:t>Sunshine’s Revised Rate Case Expense Request</w:t>
      </w:r>
    </w:p>
    <w:tbl>
      <w:tblPr>
        <w:tblStyle w:val="TableGrid"/>
        <w:tblW w:w="0" w:type="auto"/>
        <w:jc w:val="center"/>
        <w:tblLook w:val="04A0" w:firstRow="1" w:lastRow="0" w:firstColumn="1" w:lastColumn="0" w:noHBand="0" w:noVBand="1"/>
      </w:tblPr>
      <w:tblGrid>
        <w:gridCol w:w="3708"/>
        <w:gridCol w:w="1350"/>
        <w:gridCol w:w="1440"/>
        <w:gridCol w:w="1440"/>
      </w:tblGrid>
      <w:tr w:rsidR="00F36ABC" w:rsidRPr="009F227C" w14:paraId="305A5044" w14:textId="77777777" w:rsidTr="00F36ABC">
        <w:trPr>
          <w:jc w:val="center"/>
        </w:trPr>
        <w:tc>
          <w:tcPr>
            <w:tcW w:w="3708" w:type="dxa"/>
          </w:tcPr>
          <w:p w14:paraId="5C726061" w14:textId="77777777" w:rsidR="00F36ABC" w:rsidRPr="009F227C" w:rsidRDefault="00F36ABC" w:rsidP="00F36ABC"/>
        </w:tc>
        <w:tc>
          <w:tcPr>
            <w:tcW w:w="1350" w:type="dxa"/>
            <w:vAlign w:val="center"/>
          </w:tcPr>
          <w:p w14:paraId="2AE84507" w14:textId="77777777" w:rsidR="00F36ABC" w:rsidRPr="009F227C" w:rsidRDefault="00F36ABC" w:rsidP="00F36ABC">
            <w:pPr>
              <w:jc w:val="center"/>
              <w:rPr>
                <w:b/>
              </w:rPr>
            </w:pPr>
            <w:r w:rsidRPr="009F227C">
              <w:rPr>
                <w:b/>
              </w:rPr>
              <w:t>Actual</w:t>
            </w:r>
          </w:p>
        </w:tc>
        <w:tc>
          <w:tcPr>
            <w:tcW w:w="1440" w:type="dxa"/>
          </w:tcPr>
          <w:p w14:paraId="2BACE494" w14:textId="77777777" w:rsidR="00F36ABC" w:rsidRPr="009F227C" w:rsidRDefault="00F36ABC" w:rsidP="00F36ABC">
            <w:pPr>
              <w:jc w:val="center"/>
              <w:rPr>
                <w:b/>
              </w:rPr>
            </w:pPr>
            <w:r w:rsidRPr="009F227C">
              <w:rPr>
                <w:b/>
              </w:rPr>
              <w:t>Additional Estimated</w:t>
            </w:r>
          </w:p>
        </w:tc>
        <w:tc>
          <w:tcPr>
            <w:tcW w:w="1440" w:type="dxa"/>
          </w:tcPr>
          <w:p w14:paraId="22C9BCBC" w14:textId="77777777" w:rsidR="00F36ABC" w:rsidRPr="009F227C" w:rsidRDefault="00F36ABC" w:rsidP="00F36ABC">
            <w:pPr>
              <w:jc w:val="center"/>
              <w:rPr>
                <w:b/>
              </w:rPr>
            </w:pPr>
            <w:r w:rsidRPr="009F227C">
              <w:rPr>
                <w:b/>
              </w:rPr>
              <w:t>Revised Total</w:t>
            </w:r>
          </w:p>
        </w:tc>
      </w:tr>
      <w:tr w:rsidR="00F36ABC" w:rsidRPr="009F227C" w14:paraId="1A192AC0" w14:textId="77777777" w:rsidTr="00F36ABC">
        <w:trPr>
          <w:jc w:val="center"/>
        </w:trPr>
        <w:tc>
          <w:tcPr>
            <w:tcW w:w="3708" w:type="dxa"/>
          </w:tcPr>
          <w:p w14:paraId="13C5FD9F" w14:textId="77777777" w:rsidR="00F36ABC" w:rsidRPr="009F227C" w:rsidRDefault="00F36ABC" w:rsidP="00F36ABC">
            <w:r w:rsidRPr="009F227C">
              <w:t>Dean, Mead, Egerton, Bloodworth, Capouano &amp; Bozarth, P.A.</w:t>
            </w:r>
          </w:p>
        </w:tc>
        <w:tc>
          <w:tcPr>
            <w:tcW w:w="1350" w:type="dxa"/>
            <w:vAlign w:val="bottom"/>
          </w:tcPr>
          <w:p w14:paraId="2D9F8A17" w14:textId="77777777" w:rsidR="00F36ABC" w:rsidRPr="009F227C" w:rsidRDefault="00F36ABC" w:rsidP="00F36ABC">
            <w:pPr>
              <w:jc w:val="right"/>
            </w:pPr>
            <w:r w:rsidRPr="009F227C">
              <w:t>$47,102</w:t>
            </w:r>
          </w:p>
        </w:tc>
        <w:tc>
          <w:tcPr>
            <w:tcW w:w="1440" w:type="dxa"/>
            <w:vAlign w:val="bottom"/>
          </w:tcPr>
          <w:p w14:paraId="5C815937" w14:textId="77777777" w:rsidR="00F36ABC" w:rsidRPr="009F227C" w:rsidRDefault="00F36ABC" w:rsidP="00F36ABC">
            <w:pPr>
              <w:jc w:val="right"/>
            </w:pPr>
            <w:r w:rsidRPr="009F227C">
              <w:t>$108,259</w:t>
            </w:r>
          </w:p>
        </w:tc>
        <w:tc>
          <w:tcPr>
            <w:tcW w:w="1440" w:type="dxa"/>
            <w:vAlign w:val="bottom"/>
          </w:tcPr>
          <w:p w14:paraId="69486A0C" w14:textId="77777777" w:rsidR="00F36ABC" w:rsidRPr="009F227C" w:rsidRDefault="00F36ABC" w:rsidP="00F36ABC">
            <w:pPr>
              <w:jc w:val="right"/>
            </w:pPr>
            <w:r w:rsidRPr="009F227C">
              <w:t>$155,361</w:t>
            </w:r>
          </w:p>
        </w:tc>
      </w:tr>
      <w:tr w:rsidR="00F36ABC" w:rsidRPr="009F227C" w14:paraId="636A831D" w14:textId="77777777" w:rsidTr="00F36ABC">
        <w:trPr>
          <w:jc w:val="center"/>
        </w:trPr>
        <w:tc>
          <w:tcPr>
            <w:tcW w:w="3708" w:type="dxa"/>
          </w:tcPr>
          <w:p w14:paraId="5289B9CD" w14:textId="77777777" w:rsidR="00F36ABC" w:rsidRPr="009F227C" w:rsidRDefault="00F36ABC" w:rsidP="00F36ABC">
            <w:r w:rsidRPr="009F227C">
              <w:t>Milian, Swain &amp; Associates</w:t>
            </w:r>
          </w:p>
        </w:tc>
        <w:tc>
          <w:tcPr>
            <w:tcW w:w="1350" w:type="dxa"/>
          </w:tcPr>
          <w:p w14:paraId="08A9D434" w14:textId="77777777" w:rsidR="00F36ABC" w:rsidRPr="009F227C" w:rsidRDefault="00F36ABC" w:rsidP="00F36ABC">
            <w:pPr>
              <w:jc w:val="right"/>
            </w:pPr>
            <w:r w:rsidRPr="009F227C">
              <w:t>113,850</w:t>
            </w:r>
          </w:p>
        </w:tc>
        <w:tc>
          <w:tcPr>
            <w:tcW w:w="1440" w:type="dxa"/>
          </w:tcPr>
          <w:p w14:paraId="763E837D" w14:textId="77777777" w:rsidR="00F36ABC" w:rsidRPr="009F227C" w:rsidRDefault="00F36ABC" w:rsidP="00F36ABC">
            <w:pPr>
              <w:jc w:val="right"/>
            </w:pPr>
            <w:r w:rsidRPr="009F227C">
              <w:t>131,588</w:t>
            </w:r>
          </w:p>
        </w:tc>
        <w:tc>
          <w:tcPr>
            <w:tcW w:w="1440" w:type="dxa"/>
          </w:tcPr>
          <w:p w14:paraId="57473FE1" w14:textId="77777777" w:rsidR="00F36ABC" w:rsidRPr="009F227C" w:rsidRDefault="00F36ABC" w:rsidP="00F36ABC">
            <w:pPr>
              <w:jc w:val="right"/>
            </w:pPr>
            <w:r w:rsidRPr="009F227C">
              <w:t>245,438</w:t>
            </w:r>
          </w:p>
        </w:tc>
      </w:tr>
      <w:tr w:rsidR="00F36ABC" w:rsidRPr="009F227C" w14:paraId="42A305B0" w14:textId="77777777" w:rsidTr="00F36ABC">
        <w:trPr>
          <w:jc w:val="center"/>
        </w:trPr>
        <w:tc>
          <w:tcPr>
            <w:tcW w:w="3708" w:type="dxa"/>
          </w:tcPr>
          <w:p w14:paraId="0834CA5A" w14:textId="77777777" w:rsidR="00F36ABC" w:rsidRPr="009F227C" w:rsidRDefault="00F36ABC" w:rsidP="00F36ABC">
            <w:r w:rsidRPr="009F227C">
              <w:t>M&amp;R Consultants</w:t>
            </w:r>
          </w:p>
        </w:tc>
        <w:tc>
          <w:tcPr>
            <w:tcW w:w="1350" w:type="dxa"/>
          </w:tcPr>
          <w:p w14:paraId="6C4397DD" w14:textId="77777777" w:rsidR="00F36ABC" w:rsidRPr="009F227C" w:rsidRDefault="00F36ABC" w:rsidP="00F36ABC">
            <w:pPr>
              <w:jc w:val="right"/>
            </w:pPr>
            <w:r w:rsidRPr="009F227C">
              <w:t>38,015</w:t>
            </w:r>
          </w:p>
        </w:tc>
        <w:tc>
          <w:tcPr>
            <w:tcW w:w="1440" w:type="dxa"/>
          </w:tcPr>
          <w:p w14:paraId="7825E9D3" w14:textId="77777777" w:rsidR="00F36ABC" w:rsidRPr="009F227C" w:rsidRDefault="00F36ABC" w:rsidP="00F36ABC">
            <w:pPr>
              <w:jc w:val="right"/>
            </w:pPr>
            <w:r w:rsidRPr="009F227C">
              <w:t>13,500</w:t>
            </w:r>
          </w:p>
        </w:tc>
        <w:tc>
          <w:tcPr>
            <w:tcW w:w="1440" w:type="dxa"/>
          </w:tcPr>
          <w:p w14:paraId="61883D42" w14:textId="77777777" w:rsidR="00F36ABC" w:rsidRPr="009F227C" w:rsidRDefault="00F36ABC" w:rsidP="00F36ABC">
            <w:pPr>
              <w:jc w:val="right"/>
            </w:pPr>
            <w:r w:rsidRPr="009F227C">
              <w:t>51,515</w:t>
            </w:r>
          </w:p>
        </w:tc>
      </w:tr>
      <w:tr w:rsidR="00F36ABC" w:rsidRPr="009F227C" w14:paraId="2AC1463F" w14:textId="77777777" w:rsidTr="00F36ABC">
        <w:trPr>
          <w:jc w:val="center"/>
        </w:trPr>
        <w:tc>
          <w:tcPr>
            <w:tcW w:w="3708" w:type="dxa"/>
          </w:tcPr>
          <w:p w14:paraId="031DFC52" w14:textId="77777777" w:rsidR="00F36ABC" w:rsidRPr="009F227C" w:rsidRDefault="00F36ABC" w:rsidP="00F36ABC">
            <w:r w:rsidRPr="009F227C">
              <w:t>Commission Filing Fee</w:t>
            </w:r>
          </w:p>
        </w:tc>
        <w:tc>
          <w:tcPr>
            <w:tcW w:w="1350" w:type="dxa"/>
          </w:tcPr>
          <w:p w14:paraId="30657EED" w14:textId="77777777" w:rsidR="00F36ABC" w:rsidRPr="009F227C" w:rsidRDefault="00F36ABC" w:rsidP="00F36ABC">
            <w:pPr>
              <w:jc w:val="right"/>
            </w:pPr>
            <w:r w:rsidRPr="009F227C">
              <w:t>9,000</w:t>
            </w:r>
          </w:p>
        </w:tc>
        <w:tc>
          <w:tcPr>
            <w:tcW w:w="1440" w:type="dxa"/>
          </w:tcPr>
          <w:p w14:paraId="40C31939" w14:textId="77777777" w:rsidR="00F36ABC" w:rsidRPr="009F227C" w:rsidRDefault="00F36ABC" w:rsidP="00F36ABC">
            <w:pPr>
              <w:jc w:val="right"/>
            </w:pPr>
            <w:r w:rsidRPr="009F227C">
              <w:t>0</w:t>
            </w:r>
          </w:p>
        </w:tc>
        <w:tc>
          <w:tcPr>
            <w:tcW w:w="1440" w:type="dxa"/>
          </w:tcPr>
          <w:p w14:paraId="17AB895C" w14:textId="77777777" w:rsidR="00F36ABC" w:rsidRPr="009F227C" w:rsidRDefault="00F36ABC" w:rsidP="00F36ABC">
            <w:pPr>
              <w:jc w:val="right"/>
            </w:pPr>
            <w:r w:rsidRPr="009F227C">
              <w:t>9,000</w:t>
            </w:r>
          </w:p>
        </w:tc>
      </w:tr>
      <w:tr w:rsidR="00F36ABC" w:rsidRPr="009F227C" w14:paraId="762A0794" w14:textId="77777777" w:rsidTr="00F36ABC">
        <w:trPr>
          <w:jc w:val="center"/>
        </w:trPr>
        <w:tc>
          <w:tcPr>
            <w:tcW w:w="3708" w:type="dxa"/>
          </w:tcPr>
          <w:p w14:paraId="53B09EBA" w14:textId="77777777" w:rsidR="00F36ABC" w:rsidRPr="009F227C" w:rsidRDefault="00F36ABC" w:rsidP="00F36ABC">
            <w:r w:rsidRPr="009F227C">
              <w:t>Kimley Horn</w:t>
            </w:r>
          </w:p>
        </w:tc>
        <w:tc>
          <w:tcPr>
            <w:tcW w:w="1350" w:type="dxa"/>
          </w:tcPr>
          <w:p w14:paraId="39C6161E" w14:textId="77777777" w:rsidR="00F36ABC" w:rsidRPr="009F227C" w:rsidRDefault="00F36ABC" w:rsidP="00F36ABC">
            <w:pPr>
              <w:jc w:val="right"/>
            </w:pPr>
            <w:r w:rsidRPr="009F227C">
              <w:t>8,417</w:t>
            </w:r>
          </w:p>
        </w:tc>
        <w:tc>
          <w:tcPr>
            <w:tcW w:w="1440" w:type="dxa"/>
          </w:tcPr>
          <w:p w14:paraId="7F4B60D9" w14:textId="77777777" w:rsidR="00F36ABC" w:rsidRPr="009F227C" w:rsidRDefault="00F36ABC" w:rsidP="00F36ABC">
            <w:pPr>
              <w:jc w:val="right"/>
            </w:pPr>
            <w:r w:rsidRPr="009F227C">
              <w:t>8,417</w:t>
            </w:r>
          </w:p>
        </w:tc>
        <w:tc>
          <w:tcPr>
            <w:tcW w:w="1440" w:type="dxa"/>
          </w:tcPr>
          <w:p w14:paraId="09CF70E0" w14:textId="77777777" w:rsidR="00F36ABC" w:rsidRPr="009F227C" w:rsidRDefault="00F36ABC" w:rsidP="00F36ABC">
            <w:pPr>
              <w:jc w:val="right"/>
            </w:pPr>
            <w:r w:rsidRPr="009F227C">
              <w:t>16,835</w:t>
            </w:r>
          </w:p>
        </w:tc>
      </w:tr>
      <w:tr w:rsidR="00F36ABC" w:rsidRPr="009F227C" w14:paraId="0C0D1170" w14:textId="77777777" w:rsidTr="00F36ABC">
        <w:trPr>
          <w:jc w:val="center"/>
        </w:trPr>
        <w:tc>
          <w:tcPr>
            <w:tcW w:w="3708" w:type="dxa"/>
          </w:tcPr>
          <w:p w14:paraId="4571C089" w14:textId="77777777" w:rsidR="00F36ABC" w:rsidRPr="009F227C" w:rsidRDefault="00F36ABC" w:rsidP="00F36ABC">
            <w:r w:rsidRPr="009F227C">
              <w:t>Sunshine Water Services Company</w:t>
            </w:r>
          </w:p>
        </w:tc>
        <w:tc>
          <w:tcPr>
            <w:tcW w:w="1350" w:type="dxa"/>
          </w:tcPr>
          <w:p w14:paraId="37F426B4" w14:textId="77777777" w:rsidR="00F36ABC" w:rsidRPr="009F227C" w:rsidRDefault="00F36ABC" w:rsidP="00F36ABC">
            <w:pPr>
              <w:jc w:val="right"/>
            </w:pPr>
            <w:r w:rsidRPr="009F227C">
              <w:t>0</w:t>
            </w:r>
          </w:p>
        </w:tc>
        <w:tc>
          <w:tcPr>
            <w:tcW w:w="1440" w:type="dxa"/>
          </w:tcPr>
          <w:p w14:paraId="2C7DA68D" w14:textId="77777777" w:rsidR="00F36ABC" w:rsidRPr="009F227C" w:rsidRDefault="00F36ABC" w:rsidP="00F36ABC">
            <w:pPr>
              <w:jc w:val="right"/>
            </w:pPr>
            <w:r w:rsidRPr="009F227C">
              <w:t>12,000</w:t>
            </w:r>
          </w:p>
        </w:tc>
        <w:tc>
          <w:tcPr>
            <w:tcW w:w="1440" w:type="dxa"/>
          </w:tcPr>
          <w:p w14:paraId="6B6B3CEC" w14:textId="77777777" w:rsidR="00F36ABC" w:rsidRPr="009F227C" w:rsidRDefault="00F36ABC" w:rsidP="00F36ABC">
            <w:pPr>
              <w:jc w:val="right"/>
            </w:pPr>
            <w:r w:rsidRPr="009F227C">
              <w:t>12,000</w:t>
            </w:r>
          </w:p>
        </w:tc>
      </w:tr>
      <w:tr w:rsidR="00F36ABC" w:rsidRPr="009F227C" w14:paraId="036565B9" w14:textId="77777777" w:rsidTr="00F36ABC">
        <w:trPr>
          <w:jc w:val="center"/>
        </w:trPr>
        <w:tc>
          <w:tcPr>
            <w:tcW w:w="3708" w:type="dxa"/>
          </w:tcPr>
          <w:p w14:paraId="6C62B826" w14:textId="77777777" w:rsidR="00F36ABC" w:rsidRPr="009F227C" w:rsidRDefault="00F36ABC" w:rsidP="00F36ABC">
            <w:r w:rsidRPr="009F227C">
              <w:t>Noticing &amp; Supplies</w:t>
            </w:r>
          </w:p>
        </w:tc>
        <w:tc>
          <w:tcPr>
            <w:tcW w:w="1350" w:type="dxa"/>
          </w:tcPr>
          <w:p w14:paraId="223F6811" w14:textId="77777777" w:rsidR="00F36ABC" w:rsidRPr="009F227C" w:rsidRDefault="00F36ABC" w:rsidP="00F36ABC">
            <w:pPr>
              <w:jc w:val="right"/>
              <w:rPr>
                <w:u w:val="single"/>
              </w:rPr>
            </w:pPr>
            <w:r w:rsidRPr="009F227C">
              <w:rPr>
                <w:u w:val="single"/>
              </w:rPr>
              <w:t>950</w:t>
            </w:r>
          </w:p>
        </w:tc>
        <w:tc>
          <w:tcPr>
            <w:tcW w:w="1440" w:type="dxa"/>
          </w:tcPr>
          <w:p w14:paraId="75881B21" w14:textId="77777777" w:rsidR="00F36ABC" w:rsidRPr="009F227C" w:rsidRDefault="00F36ABC" w:rsidP="00F36ABC">
            <w:pPr>
              <w:jc w:val="right"/>
              <w:rPr>
                <w:u w:val="single"/>
              </w:rPr>
            </w:pPr>
            <w:r w:rsidRPr="009F227C">
              <w:rPr>
                <w:u w:val="single"/>
              </w:rPr>
              <w:t>102,050</w:t>
            </w:r>
          </w:p>
        </w:tc>
        <w:tc>
          <w:tcPr>
            <w:tcW w:w="1440" w:type="dxa"/>
          </w:tcPr>
          <w:p w14:paraId="0185C1B8" w14:textId="77777777" w:rsidR="00F36ABC" w:rsidRPr="009F227C" w:rsidRDefault="00F36ABC" w:rsidP="00F36ABC">
            <w:pPr>
              <w:jc w:val="right"/>
              <w:rPr>
                <w:u w:val="single"/>
              </w:rPr>
            </w:pPr>
            <w:r w:rsidRPr="009F227C">
              <w:rPr>
                <w:u w:val="single"/>
              </w:rPr>
              <w:t>103,000</w:t>
            </w:r>
          </w:p>
        </w:tc>
      </w:tr>
      <w:tr w:rsidR="00F36ABC" w:rsidRPr="009F227C" w14:paraId="4C30D021" w14:textId="77777777" w:rsidTr="00F36ABC">
        <w:trPr>
          <w:jc w:val="center"/>
        </w:trPr>
        <w:tc>
          <w:tcPr>
            <w:tcW w:w="3708" w:type="dxa"/>
          </w:tcPr>
          <w:p w14:paraId="63FC0E52" w14:textId="77777777" w:rsidR="00F36ABC" w:rsidRPr="009F227C" w:rsidRDefault="00F36ABC" w:rsidP="00F36ABC">
            <w:pPr>
              <w:rPr>
                <w:b/>
              </w:rPr>
            </w:pPr>
            <w:r w:rsidRPr="009F227C">
              <w:rPr>
                <w:b/>
              </w:rPr>
              <w:t>Total</w:t>
            </w:r>
          </w:p>
        </w:tc>
        <w:tc>
          <w:tcPr>
            <w:tcW w:w="1350" w:type="dxa"/>
          </w:tcPr>
          <w:p w14:paraId="57BE5A41" w14:textId="77777777" w:rsidR="00F36ABC" w:rsidRPr="009F227C" w:rsidRDefault="00F36ABC" w:rsidP="00F36ABC">
            <w:pPr>
              <w:jc w:val="right"/>
              <w:rPr>
                <w:b/>
                <w:u w:val="double"/>
              </w:rPr>
            </w:pPr>
            <w:r w:rsidRPr="009F227C">
              <w:rPr>
                <w:b/>
                <w:u w:val="double"/>
              </w:rPr>
              <w:t>$217,334</w:t>
            </w:r>
          </w:p>
        </w:tc>
        <w:tc>
          <w:tcPr>
            <w:tcW w:w="1440" w:type="dxa"/>
          </w:tcPr>
          <w:p w14:paraId="3C9950DF" w14:textId="77777777" w:rsidR="00F36ABC" w:rsidRPr="009F227C" w:rsidRDefault="00F36ABC" w:rsidP="00F36ABC">
            <w:pPr>
              <w:jc w:val="right"/>
              <w:rPr>
                <w:b/>
                <w:u w:val="double"/>
              </w:rPr>
            </w:pPr>
            <w:r w:rsidRPr="009F227C">
              <w:rPr>
                <w:b/>
                <w:u w:val="double"/>
              </w:rPr>
              <w:t>$375,814</w:t>
            </w:r>
          </w:p>
        </w:tc>
        <w:tc>
          <w:tcPr>
            <w:tcW w:w="1440" w:type="dxa"/>
          </w:tcPr>
          <w:p w14:paraId="60C04C02" w14:textId="77777777" w:rsidR="00F36ABC" w:rsidRPr="009F227C" w:rsidRDefault="00F36ABC" w:rsidP="00F36ABC">
            <w:pPr>
              <w:jc w:val="right"/>
              <w:rPr>
                <w:b/>
                <w:u w:val="double"/>
              </w:rPr>
            </w:pPr>
            <w:r w:rsidRPr="009F227C">
              <w:rPr>
                <w:b/>
                <w:u w:val="double"/>
              </w:rPr>
              <w:t>$593,149</w:t>
            </w:r>
          </w:p>
        </w:tc>
      </w:tr>
    </w:tbl>
    <w:p w14:paraId="07AD4EF2" w14:textId="77777777" w:rsidR="00E7717B" w:rsidRPr="009F227C" w:rsidRDefault="00E7717B" w:rsidP="00AC2A68">
      <w:pPr>
        <w:jc w:val="both"/>
      </w:pPr>
    </w:p>
    <w:p w14:paraId="1EBA3BEF" w14:textId="7C700911" w:rsidR="00F36ABC" w:rsidRPr="009F227C" w:rsidRDefault="00CF0577" w:rsidP="00F36ABC">
      <w:pPr>
        <w:spacing w:after="240"/>
        <w:jc w:val="both"/>
      </w:pPr>
      <w:r w:rsidRPr="009F227C">
        <w:tab/>
      </w:r>
      <w:r w:rsidR="00F36ABC" w:rsidRPr="009F227C">
        <w:t>In its brief, OPC stated several adjustments should be made to remove rate case expense for MFR deficiency review, the AMI project, legal expenses related to the Wekiva Hunt Club WWTP, and Sunshine witness Seidman’s projected remaining expenses</w:t>
      </w:r>
      <w:r w:rsidR="00866056" w:rsidRPr="009F227C">
        <w:t xml:space="preserve">. </w:t>
      </w:r>
      <w:r w:rsidR="00AA68D7">
        <w:t>However, we</w:t>
      </w:r>
      <w:r w:rsidR="00A86A3E" w:rsidRPr="009F227C">
        <w:t xml:space="preserve"> </w:t>
      </w:r>
      <w:r w:rsidR="000522CF">
        <w:t xml:space="preserve">have </w:t>
      </w:r>
      <w:r w:rsidR="00A86A3E" w:rsidRPr="009F227C">
        <w:t>approve</w:t>
      </w:r>
      <w:r w:rsidR="000522CF">
        <w:t>d</w:t>
      </w:r>
      <w:r w:rsidR="00F36ABC" w:rsidRPr="009F227C">
        <w:t xml:space="preserve"> the AMI project</w:t>
      </w:r>
      <w:r w:rsidR="00AA68D7">
        <w:t xml:space="preserve"> (Issue 4A)</w:t>
      </w:r>
      <w:r w:rsidR="00A86A3E" w:rsidRPr="009F227C">
        <w:t xml:space="preserve">. We therefore do </w:t>
      </w:r>
      <w:r w:rsidR="00F36ABC" w:rsidRPr="009F227C">
        <w:t xml:space="preserve">not </w:t>
      </w:r>
      <w:r w:rsidR="00A86A3E" w:rsidRPr="009F227C">
        <w:t>find that</w:t>
      </w:r>
      <w:r w:rsidR="00F36ABC" w:rsidRPr="009F227C">
        <w:t xml:space="preserve"> any adjustments to remove related rate case expense</w:t>
      </w:r>
      <w:r w:rsidR="00A86A3E" w:rsidRPr="009F227C">
        <w:t xml:space="preserve"> is necessary</w:t>
      </w:r>
      <w:r w:rsidR="00F36ABC" w:rsidRPr="009F227C">
        <w:t xml:space="preserve">. In reference to the Wekiva Hunt Club WWTP, </w:t>
      </w:r>
      <w:r w:rsidR="00A86A3E" w:rsidRPr="009F227C">
        <w:t>we have</w:t>
      </w:r>
      <w:r w:rsidR="00F36ABC" w:rsidRPr="009F227C">
        <w:t xml:space="preserve"> reviewed the invoices provided and </w:t>
      </w:r>
      <w:r w:rsidR="00A86A3E" w:rsidRPr="009F227C">
        <w:t>find that</w:t>
      </w:r>
      <w:r w:rsidR="00F36ABC" w:rsidRPr="009F227C">
        <w:t xml:space="preserve"> the legal expenses presented are the direct result of activities performed for this rate case, including preparation and responses to inquiries, and are appropriate for recovery</w:t>
      </w:r>
      <w:r w:rsidR="00866056" w:rsidRPr="009F227C">
        <w:t xml:space="preserve">. </w:t>
      </w:r>
      <w:r w:rsidR="00F36ABC" w:rsidRPr="009F227C">
        <w:t xml:space="preserve">Adjustments for MFR deficiency review and witness Seidman are discussed further </w:t>
      </w:r>
      <w:r w:rsidR="00A86A3E" w:rsidRPr="009F227C">
        <w:t>herein</w:t>
      </w:r>
      <w:r w:rsidR="00F36ABC" w:rsidRPr="009F227C">
        <w:t>.</w:t>
      </w:r>
    </w:p>
    <w:p w14:paraId="7455A18F" w14:textId="66898E51" w:rsidR="00E5559E" w:rsidRDefault="00CF0577" w:rsidP="00611775">
      <w:pPr>
        <w:spacing w:after="240"/>
        <w:jc w:val="both"/>
      </w:pPr>
      <w:r w:rsidRPr="009F227C">
        <w:tab/>
      </w:r>
      <w:r w:rsidR="00F36ABC" w:rsidRPr="009F227C">
        <w:t xml:space="preserve">Pursuant to Section 367.081(7), F.S., </w:t>
      </w:r>
      <w:r w:rsidR="000522CF">
        <w:t>w</w:t>
      </w:r>
      <w:r w:rsidR="001D3577" w:rsidRPr="009F227C">
        <w:t>e</w:t>
      </w:r>
      <w:r w:rsidR="00F36ABC" w:rsidRPr="009F227C">
        <w:t xml:space="preserve"> shall determine the reasonableness of rate case expense and shall disallow all rate case expense determined to be unreasonable. </w:t>
      </w:r>
      <w:r w:rsidR="000522CF">
        <w:t>We have</w:t>
      </w:r>
      <w:r w:rsidR="00F36ABC" w:rsidRPr="009F227C">
        <w:t xml:space="preserve"> examined the requested actual expenses, supporting documentation, and estimated expenses as listed above for the current </w:t>
      </w:r>
      <w:r w:rsidR="00B5287E" w:rsidRPr="009F227C">
        <w:t xml:space="preserve">rate case. Based on our analysis, we find that </w:t>
      </w:r>
      <w:r w:rsidR="00F36ABC" w:rsidRPr="009F227C">
        <w:t>the following adjustments to Sunshine’s requested rate case expense are appropriate.</w:t>
      </w:r>
    </w:p>
    <w:p w14:paraId="4625ADA4" w14:textId="77777777" w:rsidR="00AC2A68" w:rsidRPr="00611775" w:rsidRDefault="00AC2A68" w:rsidP="00611775">
      <w:pPr>
        <w:spacing w:after="240"/>
        <w:jc w:val="both"/>
      </w:pPr>
    </w:p>
    <w:p w14:paraId="54C3C3DD" w14:textId="11D004D2" w:rsidR="00F36ABC" w:rsidRPr="009F227C" w:rsidRDefault="00F36ABC" w:rsidP="00F36ABC">
      <w:pPr>
        <w:jc w:val="both"/>
        <w:outlineLvl w:val="2"/>
        <w:rPr>
          <w:b/>
          <w:bCs/>
          <w:iCs/>
          <w:szCs w:val="28"/>
        </w:rPr>
      </w:pPr>
      <w:r w:rsidRPr="009F227C">
        <w:rPr>
          <w:b/>
          <w:bCs/>
          <w:iCs/>
          <w:szCs w:val="28"/>
        </w:rPr>
        <w:lastRenderedPageBreak/>
        <w:t>Dean, Mead, Egerton, Bloodworth, Capouano &amp; Bozarth, P.A.</w:t>
      </w:r>
    </w:p>
    <w:p w14:paraId="753DDF4E" w14:textId="341E7EBF" w:rsidR="00F36ABC" w:rsidRPr="009F227C" w:rsidRDefault="00CF0577" w:rsidP="00F36ABC">
      <w:pPr>
        <w:spacing w:after="240"/>
        <w:jc w:val="both"/>
      </w:pPr>
      <w:r w:rsidRPr="009F227C">
        <w:tab/>
      </w:r>
      <w:r w:rsidR="00F36ABC" w:rsidRPr="009F227C">
        <w:t>In its MFRs, Sunshine included $246,000 in estimated legal fees and $10,000 in estimated expenses</w:t>
      </w:r>
      <w:r w:rsidR="00866056" w:rsidRPr="009F227C">
        <w:t xml:space="preserve">. </w:t>
      </w:r>
      <w:r w:rsidR="00F36ABC" w:rsidRPr="009F227C">
        <w:t>The Utility provided updated documentation detailing rate case expense for the law firm on October 8, 2024</w:t>
      </w:r>
      <w:r w:rsidR="00866056" w:rsidRPr="009F227C">
        <w:t xml:space="preserve">. </w:t>
      </w:r>
      <w:r w:rsidR="00F36ABC" w:rsidRPr="009F227C">
        <w:t xml:space="preserve">Using the supporting documentation provided, </w:t>
      </w:r>
      <w:r w:rsidR="000522CF">
        <w:t>we</w:t>
      </w:r>
      <w:r w:rsidR="00F36ABC" w:rsidRPr="009F227C">
        <w:t xml:space="preserve"> calculated $41,021 in incurred legal fees and $6,081 in expenses. Sunshine estimated the remaining costs for the law firm to be $104,960 in legal fees and $3,299 in expenses over the remainder of the case. </w:t>
      </w:r>
    </w:p>
    <w:p w14:paraId="61ACB45C" w14:textId="5286FDBC" w:rsidR="00F36ABC" w:rsidRPr="009F227C" w:rsidRDefault="00CF0577" w:rsidP="00F36ABC">
      <w:pPr>
        <w:spacing w:after="240"/>
        <w:jc w:val="both"/>
      </w:pPr>
      <w:r w:rsidRPr="009F227C">
        <w:tab/>
      </w:r>
      <w:r w:rsidR="000522CF">
        <w:t>We</w:t>
      </w:r>
      <w:r w:rsidR="00F36ABC" w:rsidRPr="009F227C">
        <w:t xml:space="preserve"> reviewed supporting documentation and found 2.2 hours, equaling $902 in legal fees, related to correcting deficiencies. </w:t>
      </w:r>
      <w:r w:rsidR="001D3577" w:rsidRPr="009F227C">
        <w:t>We</w:t>
      </w:r>
      <w:r w:rsidR="00F36ABC" w:rsidRPr="009F227C">
        <w:t xml:space="preserve"> </w:t>
      </w:r>
      <w:r w:rsidR="00A86A3E" w:rsidRPr="009F227C">
        <w:t>have</w:t>
      </w:r>
      <w:r w:rsidR="00F36ABC" w:rsidRPr="009F227C">
        <w:t xml:space="preserve"> previously disallowed rate case expense associated with correcting MFR deficiencies because of duplication of filing costs.</w:t>
      </w:r>
      <w:r w:rsidR="00F36ABC" w:rsidRPr="009F227C">
        <w:rPr>
          <w:vertAlign w:val="superscript"/>
        </w:rPr>
        <w:footnoteReference w:id="31"/>
      </w:r>
      <w:r w:rsidR="00F36ABC" w:rsidRPr="009F227C">
        <w:t xml:space="preserve"> As such, </w:t>
      </w:r>
      <w:r w:rsidR="00A86A3E" w:rsidRPr="009F227C">
        <w:t xml:space="preserve">we find that it is appropriate to reduce </w:t>
      </w:r>
      <w:r w:rsidR="00F36ABC" w:rsidRPr="009F227C">
        <w:t>legal fees by $902.</w:t>
      </w:r>
    </w:p>
    <w:p w14:paraId="39902588" w14:textId="7D52EF66" w:rsidR="00F36ABC" w:rsidRPr="009F227C" w:rsidRDefault="00CF0577" w:rsidP="00F36ABC">
      <w:pPr>
        <w:spacing w:after="240"/>
        <w:jc w:val="both"/>
      </w:pPr>
      <w:r w:rsidRPr="009F227C">
        <w:tab/>
      </w:r>
      <w:r w:rsidR="00F36ABC" w:rsidRPr="009F227C">
        <w:t xml:space="preserve">The law firm also included an estimated 88 hours for two attorneys to travel to and from Tallahassee for the hearing, one day </w:t>
      </w:r>
      <w:r w:rsidR="000522CF">
        <w:t xml:space="preserve">of </w:t>
      </w:r>
      <w:r w:rsidR="00F36ABC" w:rsidRPr="009F227C">
        <w:t xml:space="preserve">preparation, and three days for the final hearing. Based on the transcripts the hearing was only two days long. </w:t>
      </w:r>
      <w:r w:rsidR="00A86A3E" w:rsidRPr="009F227C">
        <w:t xml:space="preserve">We have </w:t>
      </w:r>
      <w:r w:rsidR="00F36ABC" w:rsidRPr="009F227C">
        <w:t>remove</w:t>
      </w:r>
      <w:r w:rsidR="00A86A3E" w:rsidRPr="009F227C">
        <w:t>d</w:t>
      </w:r>
      <w:r w:rsidR="00F36ABC" w:rsidRPr="009F227C">
        <w:t xml:space="preserve"> 16 hours (8 hours x 2 attorneys) from the estimated time to recognize one less day for the final hearing. This represents a reduction of $6,560. Based on the above, </w:t>
      </w:r>
      <w:r w:rsidR="00A86A3E" w:rsidRPr="009F227C">
        <w:t xml:space="preserve">we hereby reduce </w:t>
      </w:r>
      <w:r w:rsidR="00F36ABC" w:rsidRPr="009F227C">
        <w:t>legal fees by $7,462 ($6,560 + $902).</w:t>
      </w:r>
    </w:p>
    <w:p w14:paraId="69FCB2C3" w14:textId="77777777" w:rsidR="00F36ABC" w:rsidRPr="009F227C" w:rsidRDefault="00F36ABC" w:rsidP="00F36ABC">
      <w:pPr>
        <w:jc w:val="both"/>
        <w:outlineLvl w:val="2"/>
        <w:rPr>
          <w:b/>
          <w:bCs/>
          <w:iCs/>
          <w:szCs w:val="28"/>
        </w:rPr>
      </w:pPr>
      <w:r w:rsidRPr="009F227C">
        <w:rPr>
          <w:b/>
          <w:bCs/>
          <w:iCs/>
          <w:szCs w:val="28"/>
        </w:rPr>
        <w:t>Milian, Swain &amp; Associates</w:t>
      </w:r>
    </w:p>
    <w:p w14:paraId="1E62D34F" w14:textId="71848504" w:rsidR="00F36ABC" w:rsidRDefault="00CF0577" w:rsidP="00595C2B">
      <w:pPr>
        <w:jc w:val="both"/>
      </w:pPr>
      <w:r w:rsidRPr="009F227C">
        <w:tab/>
      </w:r>
      <w:r w:rsidR="00F36ABC" w:rsidRPr="009F227C">
        <w:t>In its MFRs, the Utility included $242,800 in estimated fees and $2,500 in expenses to be paid to Milian, Swain &amp; Associates over the course of the rate case to assist with the MFRs, discovery responses, audit review, recommendation review, and the final hearing</w:t>
      </w:r>
      <w:r w:rsidR="00866056" w:rsidRPr="009F227C">
        <w:t xml:space="preserve">. </w:t>
      </w:r>
      <w:r w:rsidR="00F36ABC" w:rsidRPr="009F227C">
        <w:t>The Utility provided updated documentation detailing rate case expense for Milian, Swain &amp; Associates on October 8, 2024</w:t>
      </w:r>
      <w:r w:rsidR="00866056" w:rsidRPr="009F227C">
        <w:t xml:space="preserve">. </w:t>
      </w:r>
      <w:r w:rsidR="00F36ABC" w:rsidRPr="009F227C">
        <w:t xml:space="preserve">Using the supporting documentation provided, </w:t>
      </w:r>
      <w:r w:rsidR="000522CF">
        <w:t>we</w:t>
      </w:r>
      <w:r w:rsidR="00F36ABC" w:rsidRPr="009F227C">
        <w:t xml:space="preserve"> calculated $113,850 in incurred fees. The Utility estimated $131,588 to be paid to Milian, Swain &amp; Associates over the remainder of the case for responses to the audit and discovery, as well as the final hearing</w:t>
      </w:r>
      <w:r w:rsidR="00866056" w:rsidRPr="009F227C">
        <w:t xml:space="preserve">. </w:t>
      </w:r>
      <w:r w:rsidR="000522CF">
        <w:t>We</w:t>
      </w:r>
      <w:r w:rsidR="00F36ABC" w:rsidRPr="009F227C">
        <w:t xml:space="preserve"> reviewed the support documentation and verified that there were no hours related to correcting deficiencies included in the requested recovery of fees. </w:t>
      </w:r>
      <w:r w:rsidR="00A86A3E" w:rsidRPr="009F227C">
        <w:t xml:space="preserve">We therefore find that </w:t>
      </w:r>
      <w:r w:rsidR="00F36ABC" w:rsidRPr="009F227C">
        <w:t>the incurred fees</w:t>
      </w:r>
      <w:r w:rsidR="00A86A3E" w:rsidRPr="009F227C">
        <w:t>,</w:t>
      </w:r>
      <w:r w:rsidR="00F36ABC" w:rsidRPr="009F227C">
        <w:t xml:space="preserve"> and estimate to complete</w:t>
      </w:r>
      <w:r w:rsidR="00A86A3E" w:rsidRPr="009F227C">
        <w:t>,</w:t>
      </w:r>
      <w:r w:rsidR="00F36ABC" w:rsidRPr="009F227C">
        <w:t xml:space="preserve"> are reasonable and </w:t>
      </w:r>
      <w:r w:rsidR="00A86A3E" w:rsidRPr="009F227C">
        <w:t>make</w:t>
      </w:r>
      <w:r w:rsidR="00F36ABC" w:rsidRPr="009F227C">
        <w:t xml:space="preserve"> no adjustment.</w:t>
      </w:r>
    </w:p>
    <w:p w14:paraId="03EFE2DE" w14:textId="77777777" w:rsidR="00B74C07" w:rsidRPr="009F227C" w:rsidRDefault="00B74C07" w:rsidP="00595C2B">
      <w:pPr>
        <w:jc w:val="both"/>
      </w:pPr>
    </w:p>
    <w:p w14:paraId="505149D3" w14:textId="77777777" w:rsidR="00F36ABC" w:rsidRPr="009F227C" w:rsidRDefault="00F36ABC" w:rsidP="00B74C07">
      <w:pPr>
        <w:jc w:val="both"/>
        <w:outlineLvl w:val="2"/>
        <w:rPr>
          <w:b/>
          <w:bCs/>
          <w:iCs/>
          <w:szCs w:val="28"/>
        </w:rPr>
      </w:pPr>
      <w:r w:rsidRPr="009F227C">
        <w:rPr>
          <w:b/>
          <w:bCs/>
          <w:iCs/>
          <w:szCs w:val="28"/>
        </w:rPr>
        <w:t>M&amp;R Consultants</w:t>
      </w:r>
    </w:p>
    <w:p w14:paraId="598A1278" w14:textId="5D4CA069" w:rsidR="00F36ABC" w:rsidRDefault="00CF0577" w:rsidP="00595C2B">
      <w:pPr>
        <w:jc w:val="both"/>
      </w:pPr>
      <w:r w:rsidRPr="009F227C">
        <w:tab/>
      </w:r>
      <w:r w:rsidR="00F36ABC" w:rsidRPr="009F227C">
        <w:t>In its MFRs, the Utility included a total of $50,730 in expense from M&amp;R Consultants, which included $49,980 in estimated fees and $750 in expenses to be paid to M&amp;R Consultants over the course of the rate case to assist with U&amp;U analysis, MFRs, data requests, audit facilitation, and the hearing</w:t>
      </w:r>
      <w:r w:rsidR="00866056" w:rsidRPr="009F227C">
        <w:t xml:space="preserve">. </w:t>
      </w:r>
      <w:r w:rsidR="00F36ABC" w:rsidRPr="009F227C">
        <w:t>The Utility provided updated documentation detailing rate case expense for M&amp;R Consultants on October 8, 2024</w:t>
      </w:r>
      <w:r w:rsidR="00866056" w:rsidRPr="009F227C">
        <w:t xml:space="preserve">. </w:t>
      </w:r>
      <w:r w:rsidR="00F36ABC" w:rsidRPr="009F227C">
        <w:t xml:space="preserve">Using the supporting documentation provided, </w:t>
      </w:r>
      <w:r w:rsidR="000522CF">
        <w:t>we</w:t>
      </w:r>
      <w:r w:rsidR="00F36ABC" w:rsidRPr="009F227C">
        <w:t xml:space="preserve"> calculated $38,015 in incurred fees. The Utility estimated $12,750 in estimated fees and $750 in estimated costs to be paid to M&amp;R Consultants over the remainder of the case for response to discovery, preparation and attending the final hearing, and to prepare rebuttal testimony</w:t>
      </w:r>
      <w:r w:rsidR="00866056" w:rsidRPr="009F227C">
        <w:t xml:space="preserve">. </w:t>
      </w:r>
      <w:r w:rsidR="00F36ABC" w:rsidRPr="009F227C">
        <w:t xml:space="preserve">The Utility’s updated rate case expense, actual and estimated, totaled $51,515. </w:t>
      </w:r>
    </w:p>
    <w:p w14:paraId="5FB2D274" w14:textId="77777777" w:rsidR="00595C2B" w:rsidRPr="009F227C" w:rsidRDefault="00595C2B" w:rsidP="00595C2B">
      <w:pPr>
        <w:jc w:val="both"/>
      </w:pPr>
    </w:p>
    <w:p w14:paraId="20F3783C" w14:textId="77777777" w:rsidR="00F36ABC" w:rsidRPr="009F227C" w:rsidRDefault="00CF0577" w:rsidP="00F36ABC">
      <w:pPr>
        <w:spacing w:after="240"/>
        <w:jc w:val="both"/>
      </w:pPr>
      <w:r w:rsidRPr="009F227C">
        <w:lastRenderedPageBreak/>
        <w:tab/>
      </w:r>
      <w:r w:rsidR="00F36ABC" w:rsidRPr="009F227C">
        <w:t>However, as discussed in OPC’s brief, Sunshine witness Seidman did not file rebuttal testimony and was excused from the final hearing. Further, OPC stated that witness Seidman only responded to two discovery questions following the provided rate case expense update and suggested an allotment of two hours for the responses</w:t>
      </w:r>
      <w:r w:rsidR="00866056" w:rsidRPr="009F227C">
        <w:t xml:space="preserve">. </w:t>
      </w:r>
      <w:r w:rsidR="00357BE2" w:rsidRPr="009F227C">
        <w:t>We find that</w:t>
      </w:r>
      <w:r w:rsidR="00F36ABC" w:rsidRPr="009F227C">
        <w:t xml:space="preserve"> this is a reasonable estimate for the information provided in response to the two discovery questions. Based on the above, </w:t>
      </w:r>
      <w:r w:rsidR="00357BE2" w:rsidRPr="009F227C">
        <w:t>we find that</w:t>
      </w:r>
      <w:r w:rsidR="00F36ABC" w:rsidRPr="009F227C">
        <w:t xml:space="preserve"> the estimate to complete is overstated and </w:t>
      </w:r>
      <w:r w:rsidR="00357BE2" w:rsidRPr="009F227C">
        <w:t>shall</w:t>
      </w:r>
      <w:r w:rsidR="00F36ABC" w:rsidRPr="009F227C">
        <w:t xml:space="preserve"> be reduced to $340 (2 hours x $170), which reflects a reduction of $12,410 to the Utility’s estimate. </w:t>
      </w:r>
      <w:r w:rsidR="00357BE2" w:rsidRPr="009F227C">
        <w:t>We approve a</w:t>
      </w:r>
      <w:r w:rsidR="00F36ABC" w:rsidRPr="009F227C">
        <w:t xml:space="preserve"> total rate case expense for M&amp;R Consultants of $39,105 ($38,015 + $340 + $750), which is total reduction of $11,635 from the Utility’s original request. </w:t>
      </w:r>
    </w:p>
    <w:p w14:paraId="37586C31" w14:textId="77777777" w:rsidR="00F36ABC" w:rsidRPr="009F227C" w:rsidRDefault="00F36ABC" w:rsidP="00F36ABC">
      <w:pPr>
        <w:jc w:val="both"/>
        <w:outlineLvl w:val="2"/>
        <w:rPr>
          <w:b/>
          <w:bCs/>
          <w:iCs/>
          <w:szCs w:val="28"/>
        </w:rPr>
      </w:pPr>
      <w:r w:rsidRPr="009F227C">
        <w:rPr>
          <w:b/>
          <w:bCs/>
          <w:iCs/>
          <w:szCs w:val="28"/>
        </w:rPr>
        <w:t>Filing Fee</w:t>
      </w:r>
    </w:p>
    <w:p w14:paraId="563B57D6" w14:textId="77777777" w:rsidR="00F36ABC" w:rsidRPr="009F227C" w:rsidRDefault="00CF0577" w:rsidP="00F36ABC">
      <w:pPr>
        <w:spacing w:after="240"/>
        <w:jc w:val="both"/>
      </w:pPr>
      <w:r w:rsidRPr="009F227C">
        <w:tab/>
      </w:r>
      <w:r w:rsidR="00F36ABC" w:rsidRPr="009F227C">
        <w:t>The Utility included $9,000 in its MFRs for the filing fee</w:t>
      </w:r>
      <w:r w:rsidR="00866056" w:rsidRPr="009F227C">
        <w:t xml:space="preserve">. </w:t>
      </w:r>
      <w:r w:rsidR="00357BE2" w:rsidRPr="009F227C">
        <w:t>T</w:t>
      </w:r>
      <w:r w:rsidR="00F36ABC" w:rsidRPr="009F227C">
        <w:t>his is the correct amou</w:t>
      </w:r>
      <w:r w:rsidR="00357BE2" w:rsidRPr="009F227C">
        <w:t xml:space="preserve">nt under Rule 25-30.020, F.A.C., so we find that </w:t>
      </w:r>
      <w:r w:rsidR="00F36ABC" w:rsidRPr="009F227C">
        <w:t>no adjustment</w:t>
      </w:r>
      <w:r w:rsidR="00357BE2" w:rsidRPr="009F227C">
        <w:t xml:space="preserve"> is necessary</w:t>
      </w:r>
      <w:r w:rsidR="00F36ABC" w:rsidRPr="009F227C">
        <w:t>.</w:t>
      </w:r>
    </w:p>
    <w:p w14:paraId="3DA583E2" w14:textId="77777777" w:rsidR="00F36ABC" w:rsidRPr="009F227C" w:rsidRDefault="00F36ABC" w:rsidP="00F36ABC">
      <w:pPr>
        <w:jc w:val="both"/>
        <w:outlineLvl w:val="2"/>
        <w:rPr>
          <w:b/>
          <w:bCs/>
          <w:iCs/>
          <w:szCs w:val="28"/>
        </w:rPr>
      </w:pPr>
      <w:r w:rsidRPr="009F227C">
        <w:rPr>
          <w:b/>
          <w:bCs/>
          <w:iCs/>
          <w:szCs w:val="28"/>
        </w:rPr>
        <w:t>Kimley Horn</w:t>
      </w:r>
    </w:p>
    <w:p w14:paraId="11C15876" w14:textId="77777777" w:rsidR="00F36ABC" w:rsidRPr="009F227C" w:rsidRDefault="00CF0577" w:rsidP="00F36ABC">
      <w:pPr>
        <w:spacing w:after="240"/>
        <w:jc w:val="both"/>
      </w:pPr>
      <w:r w:rsidRPr="009F227C">
        <w:tab/>
      </w:r>
      <w:r w:rsidR="00F36ABC" w:rsidRPr="009F227C">
        <w:t>Sunshine did not include an estimate for engineering costs from Kimley Horn in its MFRs. The Utility provided updated documentation detailing rate case expense for Kimley Horn totaling $8,417 on October 8, 2024</w:t>
      </w:r>
      <w:r w:rsidR="00866056" w:rsidRPr="009F227C">
        <w:t xml:space="preserve">. </w:t>
      </w:r>
      <w:r w:rsidR="00F36ABC" w:rsidRPr="009F227C">
        <w:t xml:space="preserve">In addition to the provided documentation, Sunshine also stated </w:t>
      </w:r>
      <w:r w:rsidR="00611B79" w:rsidRPr="009F227C">
        <w:t xml:space="preserve">that </w:t>
      </w:r>
      <w:r w:rsidR="00F36ABC" w:rsidRPr="009F227C">
        <w:t>Kimley Horn was engaged to assist with pro forma project updates and discovery responses</w:t>
      </w:r>
      <w:r w:rsidR="00866056" w:rsidRPr="009F227C">
        <w:t xml:space="preserve">. </w:t>
      </w:r>
      <w:r w:rsidR="00F36ABC" w:rsidRPr="009F227C">
        <w:t xml:space="preserve">It also provided an estimate to complete of $8,417. </w:t>
      </w:r>
      <w:r w:rsidR="00611B79" w:rsidRPr="009F227C">
        <w:t>We find that</w:t>
      </w:r>
      <w:r w:rsidR="00F36ABC" w:rsidRPr="009F227C">
        <w:t xml:space="preserve"> the incurred fees and estimate to complete is reasonable and therefore </w:t>
      </w:r>
      <w:r w:rsidR="00611B79" w:rsidRPr="009F227C">
        <w:t>find that</w:t>
      </w:r>
      <w:r w:rsidR="00F36ABC" w:rsidRPr="009F227C">
        <w:t xml:space="preserve"> no adjustment</w:t>
      </w:r>
      <w:r w:rsidR="00611B79" w:rsidRPr="009F227C">
        <w:t xml:space="preserve"> is necessary</w:t>
      </w:r>
      <w:r w:rsidR="00F36ABC" w:rsidRPr="009F227C">
        <w:t>.</w:t>
      </w:r>
    </w:p>
    <w:p w14:paraId="416B54CC" w14:textId="77777777" w:rsidR="00F36ABC" w:rsidRPr="009F227C" w:rsidRDefault="00F36ABC" w:rsidP="00F36ABC">
      <w:pPr>
        <w:jc w:val="both"/>
        <w:outlineLvl w:val="2"/>
        <w:rPr>
          <w:b/>
          <w:bCs/>
          <w:iCs/>
          <w:szCs w:val="28"/>
        </w:rPr>
      </w:pPr>
      <w:r w:rsidRPr="009F227C">
        <w:rPr>
          <w:b/>
          <w:bCs/>
          <w:iCs/>
          <w:szCs w:val="28"/>
        </w:rPr>
        <w:t>Sunshine Water Services Company Travel Fees</w:t>
      </w:r>
    </w:p>
    <w:p w14:paraId="4DA0FD36" w14:textId="1D0686F1" w:rsidR="00F36ABC" w:rsidRPr="009F227C" w:rsidRDefault="00CF0577" w:rsidP="00F36ABC">
      <w:pPr>
        <w:spacing w:after="240"/>
        <w:jc w:val="both"/>
      </w:pPr>
      <w:r w:rsidRPr="009F227C">
        <w:tab/>
      </w:r>
      <w:r w:rsidR="00F36ABC" w:rsidRPr="009F227C">
        <w:t>In its MFRs, the Utility included $12,000 in estimated travel fees for five witnesses to the final hearing</w:t>
      </w:r>
      <w:r w:rsidR="00866056" w:rsidRPr="009F227C">
        <w:t xml:space="preserve">. </w:t>
      </w:r>
      <w:r w:rsidR="00F36ABC" w:rsidRPr="009F227C">
        <w:t xml:space="preserve">As discussed previously, witness Seidman was excused and did not travel to the hearing. </w:t>
      </w:r>
      <w:r w:rsidR="006C47F9" w:rsidRPr="009F227C">
        <w:t>We find that</w:t>
      </w:r>
      <w:r w:rsidR="00F36ABC" w:rsidRPr="009F227C">
        <w:t xml:space="preserve"> an adjustment to remove 1/5 of travel fees associated with witness Seidman’s travel expenses is necessary. </w:t>
      </w:r>
      <w:r w:rsidR="000522CF">
        <w:t xml:space="preserve">We </w:t>
      </w:r>
      <w:r w:rsidR="00F36ABC" w:rsidRPr="009F227C">
        <w:t xml:space="preserve">estimated $2,400 in travel fees associated with witness Seidman ($12,000 / 5 witnesses). As such, </w:t>
      </w:r>
      <w:r w:rsidR="006C47F9" w:rsidRPr="009F227C">
        <w:t>we shall reduce</w:t>
      </w:r>
      <w:r w:rsidR="00F36ABC" w:rsidRPr="009F227C">
        <w:t xml:space="preserve"> travel fees by $2,400.</w:t>
      </w:r>
    </w:p>
    <w:p w14:paraId="341ED80F" w14:textId="77777777" w:rsidR="00F36ABC" w:rsidRPr="009F227C" w:rsidRDefault="00F36ABC" w:rsidP="00F36ABC">
      <w:pPr>
        <w:jc w:val="both"/>
        <w:outlineLvl w:val="2"/>
        <w:rPr>
          <w:b/>
          <w:bCs/>
          <w:iCs/>
          <w:szCs w:val="28"/>
        </w:rPr>
      </w:pPr>
      <w:r w:rsidRPr="009F227C">
        <w:rPr>
          <w:b/>
          <w:bCs/>
          <w:iCs/>
          <w:szCs w:val="28"/>
        </w:rPr>
        <w:t>Noticing &amp; Supplies</w:t>
      </w:r>
    </w:p>
    <w:p w14:paraId="1E539051" w14:textId="77777777" w:rsidR="00F36ABC" w:rsidRPr="009F227C" w:rsidRDefault="00CF0577" w:rsidP="00F36ABC">
      <w:pPr>
        <w:spacing w:after="240"/>
        <w:jc w:val="both"/>
      </w:pPr>
      <w:r w:rsidRPr="009F227C">
        <w:tab/>
      </w:r>
      <w:r w:rsidR="00F36ABC" w:rsidRPr="009F227C">
        <w:t>In its MFRs, Sunshine included $103,000 in estimated noticing and supplies expenses</w:t>
      </w:r>
      <w:r w:rsidR="00866056" w:rsidRPr="009F227C">
        <w:t xml:space="preserve">. </w:t>
      </w:r>
      <w:r w:rsidR="00F36ABC" w:rsidRPr="009F227C">
        <w:t>The estimate was based on the amount spent for noticing in the 2020 rate case, increased by approximate CPI and customer growth values</w:t>
      </w:r>
      <w:r w:rsidR="00866056" w:rsidRPr="009F227C">
        <w:t xml:space="preserve">. </w:t>
      </w:r>
      <w:r w:rsidR="00F36ABC" w:rsidRPr="009F227C">
        <w:t>The Utility provided updated documentation detailing rate case expense for noticing totaling $950 on October 8, 2024</w:t>
      </w:r>
      <w:r w:rsidR="00866056" w:rsidRPr="009F227C">
        <w:t xml:space="preserve">. </w:t>
      </w:r>
      <w:r w:rsidR="00F36ABC" w:rsidRPr="009F227C">
        <w:t xml:space="preserve">Sunshine estimated $102,050 in noticing and supplies expense over the remainder of the case covering the initial customer notice, the service and technical hearing notice, and the final customer notice. </w:t>
      </w:r>
      <w:r w:rsidR="005879E5" w:rsidRPr="009F227C">
        <w:t xml:space="preserve">We find that </w:t>
      </w:r>
      <w:r w:rsidR="00F36ABC" w:rsidRPr="009F227C">
        <w:t xml:space="preserve">the incurred fees and estimate to complete are reasonable and therefore </w:t>
      </w:r>
      <w:r w:rsidR="005879E5" w:rsidRPr="009F227C">
        <w:t>make</w:t>
      </w:r>
      <w:r w:rsidR="00F36ABC" w:rsidRPr="009F227C">
        <w:t xml:space="preserve"> no adjustment.</w:t>
      </w:r>
    </w:p>
    <w:p w14:paraId="06D4373D" w14:textId="77777777" w:rsidR="005879E5" w:rsidRPr="009F227C" w:rsidRDefault="005879E5" w:rsidP="00172BA1">
      <w:pPr>
        <w:pStyle w:val="ListParagraph"/>
        <w:numPr>
          <w:ilvl w:val="0"/>
          <w:numId w:val="18"/>
        </w:numPr>
        <w:spacing w:after="240"/>
        <w:ind w:hanging="720"/>
        <w:jc w:val="both"/>
      </w:pPr>
      <w:r w:rsidRPr="009F227C">
        <w:t>Conclusion</w:t>
      </w:r>
    </w:p>
    <w:p w14:paraId="446ECF69" w14:textId="78A39E89" w:rsidR="008940B4" w:rsidRDefault="00CF0577" w:rsidP="00B74C07">
      <w:pPr>
        <w:jc w:val="both"/>
      </w:pPr>
      <w:r w:rsidRPr="009F227C">
        <w:tab/>
      </w:r>
      <w:r w:rsidR="00F36ABC" w:rsidRPr="009F227C">
        <w:t xml:space="preserve">Based on the adjustments discussed above, Sunshine’s revised rate case expense of $593,149 </w:t>
      </w:r>
      <w:r w:rsidR="005879E5" w:rsidRPr="009F227C">
        <w:t xml:space="preserve">shall </w:t>
      </w:r>
      <w:r w:rsidR="00F36ABC" w:rsidRPr="009F227C">
        <w:t xml:space="preserve">be decreased by $22,272 to reflect </w:t>
      </w:r>
      <w:r w:rsidR="001D3577" w:rsidRPr="009F227C">
        <w:t xml:space="preserve">our </w:t>
      </w:r>
      <w:r w:rsidR="00F36ABC" w:rsidRPr="009F227C">
        <w:t xml:space="preserve">adjustments, for a total of $570,877. A breakdown of </w:t>
      </w:r>
      <w:r w:rsidR="001D3577" w:rsidRPr="009F227C">
        <w:t xml:space="preserve">our </w:t>
      </w:r>
      <w:r w:rsidR="005879E5" w:rsidRPr="009F227C">
        <w:t>approved</w:t>
      </w:r>
      <w:r w:rsidR="00F36ABC" w:rsidRPr="009F227C">
        <w:t xml:space="preserve"> rate case expense is in Table </w:t>
      </w:r>
      <w:r w:rsidR="005879E5" w:rsidRPr="009F227C">
        <w:t>6, herein</w:t>
      </w:r>
      <w:r w:rsidR="00F36ABC" w:rsidRPr="009F227C">
        <w:t>.</w:t>
      </w:r>
    </w:p>
    <w:p w14:paraId="1B7C77E2" w14:textId="4DA99C81" w:rsidR="00B74C07" w:rsidRDefault="00B74C07" w:rsidP="00B74C07">
      <w:pPr>
        <w:jc w:val="both"/>
      </w:pPr>
    </w:p>
    <w:p w14:paraId="451BB51D" w14:textId="7503174F" w:rsidR="00611775" w:rsidRDefault="00611775"/>
    <w:p w14:paraId="12A23979" w14:textId="77777777" w:rsidR="000820F4" w:rsidRPr="000820F4" w:rsidRDefault="000820F4"/>
    <w:p w14:paraId="4C279B1C" w14:textId="6FEF2999" w:rsidR="00F36ABC" w:rsidRPr="009F227C" w:rsidRDefault="00F36ABC" w:rsidP="00B74C07">
      <w:pPr>
        <w:jc w:val="center"/>
        <w:rPr>
          <w:b/>
        </w:rPr>
      </w:pPr>
      <w:r w:rsidRPr="009F227C">
        <w:rPr>
          <w:b/>
        </w:rPr>
        <w:lastRenderedPageBreak/>
        <w:t xml:space="preserve">Table </w:t>
      </w:r>
      <w:r w:rsidR="00F124E8" w:rsidRPr="009F227C">
        <w:rPr>
          <w:b/>
        </w:rPr>
        <w:t>6</w:t>
      </w:r>
    </w:p>
    <w:p w14:paraId="26764FEC" w14:textId="77777777" w:rsidR="00F36ABC" w:rsidRPr="009F227C" w:rsidRDefault="005879E5" w:rsidP="00F36ABC">
      <w:pPr>
        <w:keepNext/>
        <w:jc w:val="center"/>
        <w:rPr>
          <w:b/>
        </w:rPr>
      </w:pPr>
      <w:r w:rsidRPr="009F227C">
        <w:rPr>
          <w:b/>
        </w:rPr>
        <w:t xml:space="preserve">Approved </w:t>
      </w:r>
      <w:r w:rsidR="00F36ABC" w:rsidRPr="009F227C">
        <w:rPr>
          <w:b/>
        </w:rPr>
        <w:t>Rate Case Expense</w:t>
      </w:r>
    </w:p>
    <w:tbl>
      <w:tblPr>
        <w:tblStyle w:val="TableGrid"/>
        <w:tblW w:w="0" w:type="auto"/>
        <w:jc w:val="center"/>
        <w:tblLook w:val="04A0" w:firstRow="1" w:lastRow="0" w:firstColumn="1" w:lastColumn="0" w:noHBand="0" w:noVBand="1"/>
      </w:tblPr>
      <w:tblGrid>
        <w:gridCol w:w="3611"/>
        <w:gridCol w:w="1695"/>
        <w:gridCol w:w="1620"/>
        <w:gridCol w:w="1736"/>
      </w:tblGrid>
      <w:tr w:rsidR="00F36ABC" w:rsidRPr="009F227C" w14:paraId="1F3158C7" w14:textId="77777777" w:rsidTr="00F36ABC">
        <w:trPr>
          <w:jc w:val="center"/>
        </w:trPr>
        <w:tc>
          <w:tcPr>
            <w:tcW w:w="3611" w:type="dxa"/>
            <w:vAlign w:val="center"/>
          </w:tcPr>
          <w:p w14:paraId="23E4E6E7" w14:textId="77777777" w:rsidR="00F36ABC" w:rsidRPr="009F227C" w:rsidRDefault="00F36ABC" w:rsidP="00F36ABC">
            <w:pPr>
              <w:jc w:val="center"/>
              <w:rPr>
                <w:b/>
              </w:rPr>
            </w:pPr>
            <w:r w:rsidRPr="009F227C">
              <w:rPr>
                <w:b/>
              </w:rPr>
              <w:t>Description</w:t>
            </w:r>
          </w:p>
        </w:tc>
        <w:tc>
          <w:tcPr>
            <w:tcW w:w="1695" w:type="dxa"/>
            <w:vAlign w:val="center"/>
          </w:tcPr>
          <w:p w14:paraId="1F7B016A" w14:textId="77777777" w:rsidR="00F36ABC" w:rsidRPr="009F227C" w:rsidRDefault="00F36ABC" w:rsidP="00F36ABC">
            <w:pPr>
              <w:jc w:val="center"/>
              <w:rPr>
                <w:b/>
              </w:rPr>
            </w:pPr>
            <w:r w:rsidRPr="009F227C">
              <w:rPr>
                <w:b/>
              </w:rPr>
              <w:t>Utility Revised Actual &amp; Estimate</w:t>
            </w:r>
          </w:p>
        </w:tc>
        <w:tc>
          <w:tcPr>
            <w:tcW w:w="1620" w:type="dxa"/>
            <w:vAlign w:val="center"/>
          </w:tcPr>
          <w:p w14:paraId="4CF1FCA6" w14:textId="77777777" w:rsidR="005879E5" w:rsidRPr="009F227C" w:rsidRDefault="005879E5" w:rsidP="005879E5">
            <w:pPr>
              <w:jc w:val="center"/>
              <w:rPr>
                <w:b/>
              </w:rPr>
            </w:pPr>
            <w:r w:rsidRPr="009F227C">
              <w:rPr>
                <w:b/>
              </w:rPr>
              <w:t>Commission</w:t>
            </w:r>
          </w:p>
          <w:p w14:paraId="7A764E88" w14:textId="77777777" w:rsidR="00F36ABC" w:rsidRPr="009F227C" w:rsidRDefault="00F36ABC" w:rsidP="005879E5">
            <w:pPr>
              <w:jc w:val="center"/>
              <w:rPr>
                <w:b/>
              </w:rPr>
            </w:pPr>
            <w:r w:rsidRPr="009F227C">
              <w:rPr>
                <w:b/>
              </w:rPr>
              <w:t>Adjustments</w:t>
            </w:r>
          </w:p>
        </w:tc>
        <w:tc>
          <w:tcPr>
            <w:tcW w:w="1736" w:type="dxa"/>
            <w:vAlign w:val="center"/>
          </w:tcPr>
          <w:p w14:paraId="27AFBCA1" w14:textId="77777777" w:rsidR="005879E5" w:rsidRPr="009F227C" w:rsidRDefault="005879E5" w:rsidP="00F36ABC">
            <w:pPr>
              <w:jc w:val="center"/>
              <w:rPr>
                <w:b/>
              </w:rPr>
            </w:pPr>
            <w:r w:rsidRPr="009F227C">
              <w:rPr>
                <w:b/>
              </w:rPr>
              <w:t>Approved</w:t>
            </w:r>
          </w:p>
          <w:p w14:paraId="1BE444D5" w14:textId="77777777" w:rsidR="00F36ABC" w:rsidRPr="009F227C" w:rsidRDefault="00F36ABC" w:rsidP="00F36ABC">
            <w:pPr>
              <w:jc w:val="center"/>
              <w:rPr>
                <w:b/>
              </w:rPr>
            </w:pPr>
            <w:r w:rsidRPr="009F227C">
              <w:rPr>
                <w:b/>
              </w:rPr>
              <w:t xml:space="preserve"> Total</w:t>
            </w:r>
          </w:p>
        </w:tc>
      </w:tr>
      <w:tr w:rsidR="00F36ABC" w:rsidRPr="009F227C" w14:paraId="3A47235C" w14:textId="77777777" w:rsidTr="00F36ABC">
        <w:trPr>
          <w:jc w:val="center"/>
        </w:trPr>
        <w:tc>
          <w:tcPr>
            <w:tcW w:w="3611" w:type="dxa"/>
          </w:tcPr>
          <w:p w14:paraId="43278304" w14:textId="77777777" w:rsidR="00F36ABC" w:rsidRPr="009F227C" w:rsidRDefault="00F36ABC" w:rsidP="00F36ABC">
            <w:r w:rsidRPr="009F227C">
              <w:t>Dean, Mead, Egerton, Bloodworth, Capouano &amp; Bozarth, P.A.</w:t>
            </w:r>
          </w:p>
        </w:tc>
        <w:tc>
          <w:tcPr>
            <w:tcW w:w="1695" w:type="dxa"/>
            <w:vAlign w:val="bottom"/>
          </w:tcPr>
          <w:p w14:paraId="5DD9F72F" w14:textId="77777777" w:rsidR="00F36ABC" w:rsidRPr="009F227C" w:rsidRDefault="00F36ABC" w:rsidP="00F36ABC">
            <w:pPr>
              <w:jc w:val="right"/>
            </w:pPr>
            <w:r w:rsidRPr="009F227C">
              <w:t>$155,361</w:t>
            </w:r>
          </w:p>
        </w:tc>
        <w:tc>
          <w:tcPr>
            <w:tcW w:w="1620" w:type="dxa"/>
            <w:vAlign w:val="bottom"/>
          </w:tcPr>
          <w:p w14:paraId="0DECB1E6" w14:textId="77777777" w:rsidR="00F36ABC" w:rsidRPr="009F227C" w:rsidRDefault="00F36ABC" w:rsidP="00F36ABC">
            <w:pPr>
              <w:jc w:val="right"/>
            </w:pPr>
            <w:r w:rsidRPr="009F227C">
              <w:t>($7,462)</w:t>
            </w:r>
          </w:p>
        </w:tc>
        <w:tc>
          <w:tcPr>
            <w:tcW w:w="1736" w:type="dxa"/>
            <w:vAlign w:val="bottom"/>
          </w:tcPr>
          <w:p w14:paraId="4C7186A4" w14:textId="77777777" w:rsidR="00F36ABC" w:rsidRPr="009F227C" w:rsidRDefault="00F36ABC" w:rsidP="00F36ABC">
            <w:pPr>
              <w:jc w:val="right"/>
            </w:pPr>
            <w:r w:rsidRPr="009F227C">
              <w:t>$138,519</w:t>
            </w:r>
          </w:p>
        </w:tc>
      </w:tr>
      <w:tr w:rsidR="00F36ABC" w:rsidRPr="009F227C" w14:paraId="51649F26" w14:textId="77777777" w:rsidTr="00F36ABC">
        <w:trPr>
          <w:jc w:val="center"/>
        </w:trPr>
        <w:tc>
          <w:tcPr>
            <w:tcW w:w="3611" w:type="dxa"/>
          </w:tcPr>
          <w:p w14:paraId="56245BD5" w14:textId="77777777" w:rsidR="00F36ABC" w:rsidRPr="009F227C" w:rsidRDefault="00F36ABC" w:rsidP="00F36ABC">
            <w:r w:rsidRPr="009F227C">
              <w:t>Milian, Swain &amp; Associates</w:t>
            </w:r>
          </w:p>
        </w:tc>
        <w:tc>
          <w:tcPr>
            <w:tcW w:w="1695" w:type="dxa"/>
          </w:tcPr>
          <w:p w14:paraId="4BE3EB4C" w14:textId="77777777" w:rsidR="00F36ABC" w:rsidRPr="009F227C" w:rsidRDefault="00F36ABC" w:rsidP="00F36ABC">
            <w:pPr>
              <w:jc w:val="right"/>
            </w:pPr>
            <w:r w:rsidRPr="009F227C">
              <w:t>245,438</w:t>
            </w:r>
          </w:p>
        </w:tc>
        <w:tc>
          <w:tcPr>
            <w:tcW w:w="1620" w:type="dxa"/>
          </w:tcPr>
          <w:p w14:paraId="01C69230" w14:textId="77777777" w:rsidR="00F36ABC" w:rsidRPr="009F227C" w:rsidRDefault="00F36ABC" w:rsidP="00F36ABC">
            <w:pPr>
              <w:jc w:val="right"/>
            </w:pPr>
            <w:r w:rsidRPr="009F227C">
              <w:t>0</w:t>
            </w:r>
          </w:p>
        </w:tc>
        <w:tc>
          <w:tcPr>
            <w:tcW w:w="1736" w:type="dxa"/>
          </w:tcPr>
          <w:p w14:paraId="39E2EB2B" w14:textId="77777777" w:rsidR="00F36ABC" w:rsidRPr="009F227C" w:rsidRDefault="00F36ABC" w:rsidP="00F36ABC">
            <w:pPr>
              <w:jc w:val="right"/>
            </w:pPr>
            <w:r w:rsidRPr="009F227C">
              <w:t>245,438</w:t>
            </w:r>
          </w:p>
        </w:tc>
      </w:tr>
      <w:tr w:rsidR="00F36ABC" w:rsidRPr="009F227C" w14:paraId="35813BA8" w14:textId="77777777" w:rsidTr="00F36ABC">
        <w:trPr>
          <w:jc w:val="center"/>
        </w:trPr>
        <w:tc>
          <w:tcPr>
            <w:tcW w:w="3611" w:type="dxa"/>
          </w:tcPr>
          <w:p w14:paraId="1C3A4D13" w14:textId="77777777" w:rsidR="00F36ABC" w:rsidRPr="009F227C" w:rsidRDefault="00F36ABC" w:rsidP="00F36ABC">
            <w:r w:rsidRPr="009F227C">
              <w:t>M&amp;R Consultants</w:t>
            </w:r>
          </w:p>
        </w:tc>
        <w:tc>
          <w:tcPr>
            <w:tcW w:w="1695" w:type="dxa"/>
          </w:tcPr>
          <w:p w14:paraId="03AB8455" w14:textId="77777777" w:rsidR="00F36ABC" w:rsidRPr="009F227C" w:rsidRDefault="00F36ABC" w:rsidP="00F36ABC">
            <w:pPr>
              <w:jc w:val="right"/>
            </w:pPr>
            <w:r w:rsidRPr="009F227C">
              <w:t>51,515</w:t>
            </w:r>
          </w:p>
        </w:tc>
        <w:tc>
          <w:tcPr>
            <w:tcW w:w="1620" w:type="dxa"/>
          </w:tcPr>
          <w:p w14:paraId="66006DB8" w14:textId="77777777" w:rsidR="00F36ABC" w:rsidRPr="009F227C" w:rsidRDefault="00F36ABC" w:rsidP="00F36ABC">
            <w:pPr>
              <w:jc w:val="right"/>
            </w:pPr>
            <w:r w:rsidRPr="009F227C">
              <w:t>(12,410)</w:t>
            </w:r>
          </w:p>
        </w:tc>
        <w:tc>
          <w:tcPr>
            <w:tcW w:w="1736" w:type="dxa"/>
          </w:tcPr>
          <w:p w14:paraId="397E1891" w14:textId="77777777" w:rsidR="00F36ABC" w:rsidRPr="009F227C" w:rsidRDefault="00F36ABC" w:rsidP="00F36ABC">
            <w:pPr>
              <w:jc w:val="right"/>
            </w:pPr>
            <w:r w:rsidRPr="009F227C">
              <w:t>38,355</w:t>
            </w:r>
          </w:p>
        </w:tc>
      </w:tr>
      <w:tr w:rsidR="00F36ABC" w:rsidRPr="009F227C" w14:paraId="3E17ED42" w14:textId="77777777" w:rsidTr="00F36ABC">
        <w:trPr>
          <w:jc w:val="center"/>
        </w:trPr>
        <w:tc>
          <w:tcPr>
            <w:tcW w:w="3611" w:type="dxa"/>
          </w:tcPr>
          <w:p w14:paraId="39DA72B9" w14:textId="77777777" w:rsidR="00F36ABC" w:rsidRPr="009F227C" w:rsidRDefault="00F36ABC" w:rsidP="00F36ABC">
            <w:r w:rsidRPr="009F227C">
              <w:t>Commission Filing Fee</w:t>
            </w:r>
          </w:p>
        </w:tc>
        <w:tc>
          <w:tcPr>
            <w:tcW w:w="1695" w:type="dxa"/>
          </w:tcPr>
          <w:p w14:paraId="0C70031E" w14:textId="77777777" w:rsidR="00F36ABC" w:rsidRPr="009F227C" w:rsidRDefault="00F36ABC" w:rsidP="00F36ABC">
            <w:pPr>
              <w:jc w:val="right"/>
            </w:pPr>
            <w:r w:rsidRPr="009F227C">
              <w:t>9,000</w:t>
            </w:r>
          </w:p>
        </w:tc>
        <w:tc>
          <w:tcPr>
            <w:tcW w:w="1620" w:type="dxa"/>
          </w:tcPr>
          <w:p w14:paraId="40345C8E" w14:textId="77777777" w:rsidR="00F36ABC" w:rsidRPr="009F227C" w:rsidRDefault="00F36ABC" w:rsidP="00F36ABC">
            <w:pPr>
              <w:jc w:val="right"/>
            </w:pPr>
            <w:r w:rsidRPr="009F227C">
              <w:t>0</w:t>
            </w:r>
          </w:p>
        </w:tc>
        <w:tc>
          <w:tcPr>
            <w:tcW w:w="1736" w:type="dxa"/>
          </w:tcPr>
          <w:p w14:paraId="33CF9871" w14:textId="77777777" w:rsidR="00F36ABC" w:rsidRPr="009F227C" w:rsidRDefault="00F36ABC" w:rsidP="00F36ABC">
            <w:pPr>
              <w:jc w:val="right"/>
            </w:pPr>
            <w:r w:rsidRPr="009F227C">
              <w:t>9,000</w:t>
            </w:r>
          </w:p>
        </w:tc>
      </w:tr>
      <w:tr w:rsidR="00F36ABC" w:rsidRPr="009F227C" w14:paraId="608BBE98" w14:textId="77777777" w:rsidTr="00F36ABC">
        <w:trPr>
          <w:jc w:val="center"/>
        </w:trPr>
        <w:tc>
          <w:tcPr>
            <w:tcW w:w="3611" w:type="dxa"/>
          </w:tcPr>
          <w:p w14:paraId="36F5DE62" w14:textId="77777777" w:rsidR="00F36ABC" w:rsidRPr="009F227C" w:rsidRDefault="00F36ABC" w:rsidP="00F36ABC">
            <w:r w:rsidRPr="009F227C">
              <w:t>Kimley Horn</w:t>
            </w:r>
          </w:p>
        </w:tc>
        <w:tc>
          <w:tcPr>
            <w:tcW w:w="1695" w:type="dxa"/>
          </w:tcPr>
          <w:p w14:paraId="1161348A" w14:textId="77777777" w:rsidR="00F36ABC" w:rsidRPr="009F227C" w:rsidRDefault="00F36ABC" w:rsidP="00F36ABC">
            <w:pPr>
              <w:jc w:val="right"/>
            </w:pPr>
            <w:r w:rsidRPr="009F227C">
              <w:t>16,835</w:t>
            </w:r>
          </w:p>
        </w:tc>
        <w:tc>
          <w:tcPr>
            <w:tcW w:w="1620" w:type="dxa"/>
          </w:tcPr>
          <w:p w14:paraId="59294AED" w14:textId="77777777" w:rsidR="00F36ABC" w:rsidRPr="009F227C" w:rsidRDefault="00F36ABC" w:rsidP="00F36ABC">
            <w:pPr>
              <w:jc w:val="right"/>
            </w:pPr>
            <w:r w:rsidRPr="009F227C">
              <w:t>0</w:t>
            </w:r>
          </w:p>
        </w:tc>
        <w:tc>
          <w:tcPr>
            <w:tcW w:w="1736" w:type="dxa"/>
          </w:tcPr>
          <w:p w14:paraId="202C5A2A" w14:textId="77777777" w:rsidR="00F36ABC" w:rsidRPr="009F227C" w:rsidRDefault="00F36ABC" w:rsidP="00F36ABC">
            <w:pPr>
              <w:jc w:val="right"/>
            </w:pPr>
            <w:r w:rsidRPr="009F227C">
              <w:t>16,835</w:t>
            </w:r>
          </w:p>
        </w:tc>
      </w:tr>
      <w:tr w:rsidR="00F36ABC" w:rsidRPr="009F227C" w14:paraId="5EB6B065" w14:textId="77777777" w:rsidTr="00F36ABC">
        <w:trPr>
          <w:jc w:val="center"/>
        </w:trPr>
        <w:tc>
          <w:tcPr>
            <w:tcW w:w="3611" w:type="dxa"/>
          </w:tcPr>
          <w:p w14:paraId="6C1BB60B" w14:textId="77777777" w:rsidR="00F36ABC" w:rsidRPr="009F227C" w:rsidRDefault="00F36ABC" w:rsidP="00F36ABC">
            <w:r w:rsidRPr="009F227C">
              <w:t>Sunshine Water Services Company</w:t>
            </w:r>
          </w:p>
        </w:tc>
        <w:tc>
          <w:tcPr>
            <w:tcW w:w="1695" w:type="dxa"/>
          </w:tcPr>
          <w:p w14:paraId="7E23A241" w14:textId="77777777" w:rsidR="00F36ABC" w:rsidRPr="009F227C" w:rsidRDefault="00F36ABC" w:rsidP="00F36ABC">
            <w:pPr>
              <w:jc w:val="right"/>
            </w:pPr>
            <w:r w:rsidRPr="009F227C">
              <w:t>12,000</w:t>
            </w:r>
          </w:p>
        </w:tc>
        <w:tc>
          <w:tcPr>
            <w:tcW w:w="1620" w:type="dxa"/>
          </w:tcPr>
          <w:p w14:paraId="381484EF" w14:textId="77777777" w:rsidR="00F36ABC" w:rsidRPr="009F227C" w:rsidRDefault="00F36ABC" w:rsidP="00F36ABC">
            <w:pPr>
              <w:jc w:val="right"/>
            </w:pPr>
            <w:r w:rsidRPr="009F227C">
              <w:t>(2,400)</w:t>
            </w:r>
          </w:p>
        </w:tc>
        <w:tc>
          <w:tcPr>
            <w:tcW w:w="1736" w:type="dxa"/>
          </w:tcPr>
          <w:p w14:paraId="063C9F44" w14:textId="77777777" w:rsidR="00F36ABC" w:rsidRPr="009F227C" w:rsidRDefault="00F36ABC" w:rsidP="00F36ABC">
            <w:pPr>
              <w:jc w:val="right"/>
            </w:pPr>
            <w:r w:rsidRPr="009F227C">
              <w:t>9,600</w:t>
            </w:r>
          </w:p>
        </w:tc>
      </w:tr>
      <w:tr w:rsidR="00F36ABC" w:rsidRPr="009F227C" w14:paraId="47A0A83C" w14:textId="77777777" w:rsidTr="00F36ABC">
        <w:trPr>
          <w:jc w:val="center"/>
        </w:trPr>
        <w:tc>
          <w:tcPr>
            <w:tcW w:w="3611" w:type="dxa"/>
          </w:tcPr>
          <w:p w14:paraId="2199F17A" w14:textId="77777777" w:rsidR="00F36ABC" w:rsidRPr="009F227C" w:rsidRDefault="00F36ABC" w:rsidP="00F36ABC">
            <w:r w:rsidRPr="009F227C">
              <w:t>Noticing &amp; Supplies</w:t>
            </w:r>
          </w:p>
        </w:tc>
        <w:tc>
          <w:tcPr>
            <w:tcW w:w="1695" w:type="dxa"/>
          </w:tcPr>
          <w:p w14:paraId="29D1A68B" w14:textId="77777777" w:rsidR="00F36ABC" w:rsidRPr="009F227C" w:rsidRDefault="00F36ABC" w:rsidP="00F36ABC">
            <w:pPr>
              <w:jc w:val="right"/>
              <w:rPr>
                <w:u w:val="single"/>
              </w:rPr>
            </w:pPr>
            <w:r w:rsidRPr="009F227C">
              <w:rPr>
                <w:u w:val="single"/>
              </w:rPr>
              <w:t>103,000</w:t>
            </w:r>
          </w:p>
        </w:tc>
        <w:tc>
          <w:tcPr>
            <w:tcW w:w="1620" w:type="dxa"/>
          </w:tcPr>
          <w:p w14:paraId="6AEEF870" w14:textId="77777777" w:rsidR="00F36ABC" w:rsidRPr="009F227C" w:rsidRDefault="00F36ABC" w:rsidP="00F36ABC">
            <w:pPr>
              <w:jc w:val="right"/>
              <w:rPr>
                <w:u w:val="single"/>
              </w:rPr>
            </w:pPr>
            <w:r w:rsidRPr="009F227C">
              <w:rPr>
                <w:u w:val="single"/>
              </w:rPr>
              <w:t>0</w:t>
            </w:r>
          </w:p>
        </w:tc>
        <w:tc>
          <w:tcPr>
            <w:tcW w:w="1736" w:type="dxa"/>
          </w:tcPr>
          <w:p w14:paraId="6CBDC7A3" w14:textId="77777777" w:rsidR="00F36ABC" w:rsidRPr="009F227C" w:rsidRDefault="00F36ABC" w:rsidP="00F36ABC">
            <w:pPr>
              <w:jc w:val="right"/>
              <w:rPr>
                <w:u w:val="single"/>
              </w:rPr>
            </w:pPr>
            <w:r w:rsidRPr="009F227C">
              <w:rPr>
                <w:u w:val="single"/>
              </w:rPr>
              <w:t>103,000</w:t>
            </w:r>
          </w:p>
        </w:tc>
      </w:tr>
      <w:tr w:rsidR="00F36ABC" w:rsidRPr="009F227C" w14:paraId="05347B93" w14:textId="77777777" w:rsidTr="00F36ABC">
        <w:trPr>
          <w:jc w:val="center"/>
        </w:trPr>
        <w:tc>
          <w:tcPr>
            <w:tcW w:w="3611" w:type="dxa"/>
          </w:tcPr>
          <w:p w14:paraId="7962CE8D" w14:textId="77777777" w:rsidR="00F36ABC" w:rsidRPr="009F227C" w:rsidRDefault="00F36ABC" w:rsidP="00F36ABC">
            <w:pPr>
              <w:rPr>
                <w:b/>
              </w:rPr>
            </w:pPr>
            <w:r w:rsidRPr="009F227C">
              <w:rPr>
                <w:b/>
              </w:rPr>
              <w:t>Total</w:t>
            </w:r>
          </w:p>
        </w:tc>
        <w:tc>
          <w:tcPr>
            <w:tcW w:w="1695" w:type="dxa"/>
          </w:tcPr>
          <w:p w14:paraId="5E9ADF5F" w14:textId="77777777" w:rsidR="00F36ABC" w:rsidRPr="009F227C" w:rsidRDefault="00F36ABC" w:rsidP="00F36ABC">
            <w:pPr>
              <w:jc w:val="right"/>
              <w:rPr>
                <w:b/>
                <w:u w:val="double"/>
              </w:rPr>
            </w:pPr>
            <w:r w:rsidRPr="009F227C">
              <w:rPr>
                <w:b/>
                <w:u w:val="double"/>
              </w:rPr>
              <w:t>$593,149</w:t>
            </w:r>
          </w:p>
        </w:tc>
        <w:tc>
          <w:tcPr>
            <w:tcW w:w="1620" w:type="dxa"/>
          </w:tcPr>
          <w:p w14:paraId="76782BEE" w14:textId="77777777" w:rsidR="00F36ABC" w:rsidRPr="009F227C" w:rsidRDefault="00F36ABC" w:rsidP="00F36ABC">
            <w:pPr>
              <w:jc w:val="right"/>
              <w:rPr>
                <w:b/>
                <w:u w:val="double"/>
              </w:rPr>
            </w:pPr>
            <w:r w:rsidRPr="009F227C">
              <w:rPr>
                <w:b/>
                <w:u w:val="double"/>
              </w:rPr>
              <w:t>($22,272)</w:t>
            </w:r>
          </w:p>
        </w:tc>
        <w:tc>
          <w:tcPr>
            <w:tcW w:w="1736" w:type="dxa"/>
          </w:tcPr>
          <w:p w14:paraId="7B3A434B" w14:textId="77777777" w:rsidR="00F36ABC" w:rsidRPr="009F227C" w:rsidRDefault="00F36ABC" w:rsidP="00F36ABC">
            <w:pPr>
              <w:jc w:val="right"/>
              <w:rPr>
                <w:b/>
                <w:u w:val="double"/>
              </w:rPr>
            </w:pPr>
            <w:r w:rsidRPr="009F227C">
              <w:rPr>
                <w:b/>
                <w:u w:val="double"/>
              </w:rPr>
              <w:t>$570,877</w:t>
            </w:r>
          </w:p>
        </w:tc>
      </w:tr>
    </w:tbl>
    <w:p w14:paraId="49757C76" w14:textId="77777777" w:rsidR="00E7717B" w:rsidRPr="009F227C" w:rsidRDefault="00E7717B" w:rsidP="00F36ABC">
      <w:pPr>
        <w:pStyle w:val="OrderBody"/>
      </w:pPr>
    </w:p>
    <w:p w14:paraId="719858D4" w14:textId="786DE3CE" w:rsidR="005C5958" w:rsidRDefault="00CF0577" w:rsidP="001F36E8">
      <w:pPr>
        <w:pStyle w:val="OrderBody"/>
      </w:pPr>
      <w:r w:rsidRPr="009F227C">
        <w:tab/>
      </w:r>
      <w:r w:rsidR="00F36ABC" w:rsidRPr="009F227C">
        <w:t xml:space="preserve">The </w:t>
      </w:r>
      <w:r w:rsidR="004B7DAE" w:rsidRPr="009F227C">
        <w:t>approved</w:t>
      </w:r>
      <w:r w:rsidR="00F36ABC" w:rsidRPr="009F227C">
        <w:t xml:space="preserve"> total rate case expense is $570,877. Pursuant to Section 367.081(8)</w:t>
      </w:r>
      <w:r w:rsidR="000522CF">
        <w:t>,</w:t>
      </w:r>
      <w:r w:rsidR="00F36ABC" w:rsidRPr="009F227C">
        <w:t xml:space="preserve"> F.S., rate case expense </w:t>
      </w:r>
      <w:r w:rsidR="00B97D43" w:rsidRPr="009F227C">
        <w:t>shall</w:t>
      </w:r>
      <w:r w:rsidR="00F36ABC" w:rsidRPr="009F227C">
        <w:t xml:space="preserve"> be amortized over four years unless a longer period can be justified and is in the public interest. A longer period was not requested by the Utility, nor proposed by OPC. As such, this represents an annual expense of $142,719. In its MFRs, Sunshine requested $676,030, with an annual amortization amount of $169,008</w:t>
      </w:r>
      <w:r w:rsidR="00866056" w:rsidRPr="009F227C">
        <w:t xml:space="preserve">. </w:t>
      </w:r>
      <w:r w:rsidR="00F36ABC" w:rsidRPr="009F227C">
        <w:t xml:space="preserve">Based on the Utility’s original filing, the annual amortization of rate case expense </w:t>
      </w:r>
      <w:r w:rsidR="004B7DAE" w:rsidRPr="009F227C">
        <w:t>shall</w:t>
      </w:r>
      <w:r w:rsidR="00F36ABC" w:rsidRPr="009F227C">
        <w:t xml:space="preserve"> be decreased by $26,288 ($142,719 – $169,008). As such, </w:t>
      </w:r>
      <w:r w:rsidR="004B7DAE" w:rsidRPr="009F227C">
        <w:t>we approve</w:t>
      </w:r>
      <w:r w:rsidR="00F36ABC" w:rsidRPr="009F227C">
        <w:t xml:space="preserve"> an annual expense of $73,952 for water and $68,767 for wastewater. Based on the Utility’s original filing, the annual amortization of rate case expense </w:t>
      </w:r>
      <w:r w:rsidR="004B7DAE" w:rsidRPr="009F227C">
        <w:t>shall</w:t>
      </w:r>
      <w:r w:rsidR="00F36ABC" w:rsidRPr="009F227C">
        <w:t xml:space="preserve"> be decreased by $13,622 for water and $12,667 for wastewater.</w:t>
      </w:r>
    </w:p>
    <w:p w14:paraId="64E5BFB2" w14:textId="77777777" w:rsidR="005C5958" w:rsidRPr="009F227C" w:rsidRDefault="005C5958" w:rsidP="001F36E8">
      <w:pPr>
        <w:pStyle w:val="OrderBody"/>
      </w:pPr>
    </w:p>
    <w:p w14:paraId="0290C749" w14:textId="3892C159" w:rsidR="001F36E8" w:rsidRPr="009F227C" w:rsidRDefault="001F36E8" w:rsidP="00172BA1">
      <w:pPr>
        <w:pStyle w:val="ListParagraph"/>
        <w:numPr>
          <w:ilvl w:val="0"/>
          <w:numId w:val="45"/>
        </w:numPr>
        <w:ind w:hanging="1080"/>
        <w:jc w:val="both"/>
        <w:outlineLvl w:val="0"/>
        <w:rPr>
          <w:bCs/>
          <w:kern w:val="32"/>
          <w:szCs w:val="32"/>
          <w:u w:val="single"/>
        </w:rPr>
      </w:pPr>
      <w:bookmarkStart w:id="39" w:name="_Toc199321467"/>
      <w:r w:rsidRPr="009F227C">
        <w:rPr>
          <w:u w:val="single"/>
        </w:rPr>
        <w:t>Pro Forma O&amp;M Expense</w:t>
      </w:r>
      <w:r w:rsidR="008675BF" w:rsidRPr="009F227C">
        <w:rPr>
          <w:u w:val="single"/>
        </w:rPr>
        <w:t xml:space="preserve"> (Issue 26)</w:t>
      </w:r>
      <w:bookmarkEnd w:id="39"/>
    </w:p>
    <w:p w14:paraId="0739E9E7" w14:textId="77777777" w:rsidR="001F36E8" w:rsidRPr="009F227C" w:rsidRDefault="001F36E8" w:rsidP="001F36E8">
      <w:pPr>
        <w:jc w:val="both"/>
      </w:pPr>
    </w:p>
    <w:p w14:paraId="53CF071B" w14:textId="77777777" w:rsidR="00460530" w:rsidRPr="009F227C" w:rsidRDefault="00460530" w:rsidP="00172BA1">
      <w:pPr>
        <w:pStyle w:val="ListParagraph"/>
        <w:numPr>
          <w:ilvl w:val="0"/>
          <w:numId w:val="19"/>
        </w:numPr>
        <w:spacing w:after="240"/>
        <w:ind w:hanging="720"/>
        <w:jc w:val="both"/>
      </w:pPr>
      <w:r w:rsidRPr="009F227C">
        <w:t>Analysis</w:t>
      </w:r>
    </w:p>
    <w:p w14:paraId="48506C84" w14:textId="77777777" w:rsidR="00F36ABC" w:rsidRPr="009F227C" w:rsidRDefault="00F36ABC" w:rsidP="00460530">
      <w:pPr>
        <w:spacing w:after="240"/>
        <w:ind w:firstLine="720"/>
        <w:jc w:val="both"/>
      </w:pPr>
      <w:r w:rsidRPr="009F227C">
        <w:t>Sunshine requested several pro forma O&amp;M adjustments in its initial filing, including several annualization adjustments for increases in rates for purchased water, sewer, sludge hauling, and chemicals</w:t>
      </w:r>
      <w:r w:rsidR="00866056" w:rsidRPr="009F227C">
        <w:t xml:space="preserve">. </w:t>
      </w:r>
      <w:r w:rsidR="00460530" w:rsidRPr="009F227C">
        <w:t xml:space="preserve">We have </w:t>
      </w:r>
      <w:r w:rsidRPr="009F227C">
        <w:t xml:space="preserve">evaluated the requests and </w:t>
      </w:r>
      <w:r w:rsidR="00460530" w:rsidRPr="009F227C">
        <w:t>make</w:t>
      </w:r>
      <w:r w:rsidRPr="009F227C">
        <w:t xml:space="preserve"> several adjustments, as discussed below. </w:t>
      </w:r>
    </w:p>
    <w:p w14:paraId="505FED14" w14:textId="77777777" w:rsidR="00F36ABC" w:rsidRPr="009F227C" w:rsidRDefault="00F36ABC" w:rsidP="00F36ABC">
      <w:pPr>
        <w:jc w:val="both"/>
        <w:outlineLvl w:val="2"/>
        <w:rPr>
          <w:b/>
          <w:bCs/>
          <w:iCs/>
          <w:szCs w:val="28"/>
        </w:rPr>
      </w:pPr>
      <w:r w:rsidRPr="009F227C">
        <w:rPr>
          <w:b/>
          <w:bCs/>
          <w:iCs/>
          <w:szCs w:val="28"/>
        </w:rPr>
        <w:t>Salaries &amp; Wages</w:t>
      </w:r>
    </w:p>
    <w:p w14:paraId="0B16EC0A" w14:textId="77777777" w:rsidR="00F36ABC" w:rsidRPr="009F227C" w:rsidRDefault="00CF0577" w:rsidP="00F36ABC">
      <w:pPr>
        <w:spacing w:after="240"/>
        <w:jc w:val="both"/>
      </w:pPr>
      <w:r w:rsidRPr="009F227C">
        <w:tab/>
      </w:r>
      <w:r w:rsidR="00F36ABC" w:rsidRPr="009F227C">
        <w:t>Sunshine witness DeStefano stated the Utility compared the payroll and benefits data in the test year to the updated employee listing for those filled and vacant positions at the time of filing</w:t>
      </w:r>
      <w:r w:rsidR="00866056" w:rsidRPr="009F227C">
        <w:t xml:space="preserve">. </w:t>
      </w:r>
      <w:r w:rsidR="00F36ABC" w:rsidRPr="009F227C">
        <w:t>Sunshine used the difference to calculate a pro forma salaries &amp; wages adjustment of $449,762 for water and $418,580 for wastewater to Account Nos. 601/701 – Salaries &amp; Wages – Employees. The Utility also calculated a pro forma increase of $62,733 for water and $58,357 for wastewater in Account Nos. 604/704 – Employee Pensions and Benefits</w:t>
      </w:r>
      <w:r w:rsidR="00866056" w:rsidRPr="009F227C">
        <w:t xml:space="preserve">. </w:t>
      </w:r>
      <w:r w:rsidR="00F36ABC" w:rsidRPr="009F227C">
        <w:t xml:space="preserve">OPC did not dispute these adjustments. </w:t>
      </w:r>
      <w:r w:rsidR="00460530" w:rsidRPr="009F227C">
        <w:t xml:space="preserve">We find that </w:t>
      </w:r>
      <w:r w:rsidR="00F36ABC" w:rsidRPr="009F227C">
        <w:t xml:space="preserve">this is a reasonable method to capture and represent the most current employee information available. </w:t>
      </w:r>
    </w:p>
    <w:p w14:paraId="0969F1F6" w14:textId="77777777" w:rsidR="00F36ABC" w:rsidRPr="009F227C" w:rsidRDefault="00F36ABC" w:rsidP="00F36ABC">
      <w:pPr>
        <w:jc w:val="both"/>
        <w:outlineLvl w:val="2"/>
        <w:rPr>
          <w:b/>
          <w:bCs/>
          <w:iCs/>
          <w:szCs w:val="28"/>
        </w:rPr>
      </w:pPr>
      <w:r w:rsidRPr="009F227C">
        <w:rPr>
          <w:b/>
          <w:bCs/>
          <w:iCs/>
          <w:szCs w:val="28"/>
        </w:rPr>
        <w:lastRenderedPageBreak/>
        <w:t>Insurance Expense</w:t>
      </w:r>
    </w:p>
    <w:p w14:paraId="407411EE" w14:textId="57169B3D" w:rsidR="00F36ABC" w:rsidRPr="009F227C" w:rsidRDefault="00CF0577" w:rsidP="00F36ABC">
      <w:pPr>
        <w:spacing w:after="240"/>
        <w:jc w:val="both"/>
      </w:pPr>
      <w:r w:rsidRPr="009F227C">
        <w:tab/>
      </w:r>
      <w:r w:rsidR="00F36ABC" w:rsidRPr="009F227C">
        <w:t>Witness DeStefano argued the Utility adjusted the insurance expense for known changes in the policy premiums that became known or went into effect during or after the test year</w:t>
      </w:r>
      <w:r w:rsidR="00866056" w:rsidRPr="009F227C">
        <w:t xml:space="preserve">. </w:t>
      </w:r>
      <w:r w:rsidR="00F36ABC" w:rsidRPr="009F227C">
        <w:t>The Utility also calculated the portion of annualized policy premiums allocable to Sunshine</w:t>
      </w:r>
      <w:r w:rsidR="00866056" w:rsidRPr="009F227C">
        <w:t xml:space="preserve">. </w:t>
      </w:r>
      <w:r w:rsidR="00F36ABC" w:rsidRPr="009F227C">
        <w:t>The pro forma insurance expense adjustment was calculated to be $97,358 across accounts 656 to 659 for water</w:t>
      </w:r>
      <w:r w:rsidR="000522CF">
        <w:t>,</w:t>
      </w:r>
      <w:r w:rsidR="00F36ABC" w:rsidRPr="009F227C">
        <w:t xml:space="preserve"> and $75,055 across accounts 756 to 759 for wastewater</w:t>
      </w:r>
      <w:r w:rsidR="00866056" w:rsidRPr="009F227C">
        <w:t xml:space="preserve">. </w:t>
      </w:r>
      <w:r w:rsidR="00F36ABC" w:rsidRPr="009F227C">
        <w:t xml:space="preserve">OPC did not dispute these adjustments. </w:t>
      </w:r>
      <w:r w:rsidR="00460530" w:rsidRPr="009F227C">
        <w:t>We find that</w:t>
      </w:r>
      <w:r w:rsidR="00F36ABC" w:rsidRPr="009F227C">
        <w:t xml:space="preserve"> this is a reasonable method to capture and represent the most current insurance information available. </w:t>
      </w:r>
    </w:p>
    <w:p w14:paraId="3FE0ADB4" w14:textId="77777777" w:rsidR="00F36ABC" w:rsidRPr="009F227C" w:rsidRDefault="00F36ABC" w:rsidP="00F36ABC">
      <w:pPr>
        <w:jc w:val="both"/>
        <w:outlineLvl w:val="2"/>
        <w:rPr>
          <w:b/>
          <w:bCs/>
          <w:iCs/>
          <w:szCs w:val="28"/>
        </w:rPr>
      </w:pPr>
      <w:r w:rsidRPr="009F227C">
        <w:rPr>
          <w:b/>
          <w:bCs/>
          <w:iCs/>
          <w:szCs w:val="28"/>
        </w:rPr>
        <w:t>Payment Convenience Processing Fees</w:t>
      </w:r>
    </w:p>
    <w:p w14:paraId="2974AEDB" w14:textId="77777777" w:rsidR="00F36ABC" w:rsidRPr="009F227C" w:rsidRDefault="00CF0577" w:rsidP="00F36ABC">
      <w:pPr>
        <w:spacing w:after="240"/>
        <w:jc w:val="both"/>
      </w:pPr>
      <w:r w:rsidRPr="009F227C">
        <w:tab/>
      </w:r>
      <w:r w:rsidR="00F36ABC" w:rsidRPr="009F227C">
        <w:t>In witness DeStefano’s testimony, the Utility proposed to recover $386,919 of third-party vendor payment processing charges in its revenue requirement</w:t>
      </w:r>
      <w:r w:rsidR="00866056" w:rsidRPr="009F227C">
        <w:t xml:space="preserve">. </w:t>
      </w:r>
      <w:r w:rsidR="00F36ABC" w:rsidRPr="009F227C">
        <w:t>Witness DeStefano proposed that First Billing Services, which is the third-party vendor, would directly bill the Utility for the transaction charges rather than directly charge the customers</w:t>
      </w:r>
      <w:r w:rsidR="00866056" w:rsidRPr="009F227C">
        <w:t xml:space="preserve">. </w:t>
      </w:r>
      <w:r w:rsidR="00F36ABC" w:rsidRPr="009F227C">
        <w:t>In witness DeStefano’s testimony, the Utility stated that its customers are charged a fee based on the payment amount, customer classification, and payment method (echeck, debit/credit) when paying their bill electronically</w:t>
      </w:r>
      <w:r w:rsidR="00866056" w:rsidRPr="009F227C">
        <w:t xml:space="preserve">. </w:t>
      </w:r>
      <w:r w:rsidR="00460530" w:rsidRPr="009F227C">
        <w:t>In its brief</w:t>
      </w:r>
      <w:r w:rsidR="00F36ABC" w:rsidRPr="009F227C">
        <w:t>, the Utility asserted that since its last test year there has been an increase in customer’s use of electronic payment methods</w:t>
      </w:r>
      <w:r w:rsidR="00866056" w:rsidRPr="009F227C">
        <w:t xml:space="preserve">. </w:t>
      </w:r>
      <w:r w:rsidR="00F36ABC" w:rsidRPr="009F227C">
        <w:t>Witness DeStefano testimony indicated that customers have a growing expectation for fee-free electronic transactions</w:t>
      </w:r>
      <w:r w:rsidR="00866056" w:rsidRPr="009F227C">
        <w:t xml:space="preserve">. </w:t>
      </w:r>
      <w:r w:rsidR="00F36ABC" w:rsidRPr="009F227C">
        <w:t xml:space="preserve">Therefore, witness DeStefano believed it is appropriate to offer fully fee-free payment options for its customers by recovering the costs to process payments through its cost of service. In response to </w:t>
      </w:r>
      <w:r w:rsidR="001D3577" w:rsidRPr="009F227C">
        <w:t>our staff</w:t>
      </w:r>
      <w:r w:rsidR="00F36ABC" w:rsidRPr="009F227C">
        <w:t>’s interrogatories, the Utility asserted that approximately 40.7 percent of its customer base that choose to use the electronic payment method</w:t>
      </w:r>
      <w:r w:rsidR="00866056" w:rsidRPr="009F227C">
        <w:t xml:space="preserve">. </w:t>
      </w:r>
    </w:p>
    <w:p w14:paraId="7C64C093" w14:textId="09640554" w:rsidR="00F36ABC" w:rsidRPr="009F227C" w:rsidRDefault="00CF0577" w:rsidP="00F36ABC">
      <w:pPr>
        <w:spacing w:after="240"/>
        <w:jc w:val="both"/>
      </w:pPr>
      <w:r w:rsidRPr="009F227C">
        <w:tab/>
      </w:r>
      <w:r w:rsidR="000522CF">
        <w:t>W</w:t>
      </w:r>
      <w:r w:rsidR="00F36ABC" w:rsidRPr="009F227C">
        <w:t>itness DeStefano</w:t>
      </w:r>
      <w:r w:rsidR="000522CF">
        <w:t xml:space="preserve"> testified that</w:t>
      </w:r>
      <w:r w:rsidR="00F36ABC" w:rsidRPr="009F227C">
        <w:t xml:space="preserve"> Utility customers </w:t>
      </w:r>
      <w:r w:rsidR="00E15963">
        <w:t>sh</w:t>
      </w:r>
      <w:r w:rsidR="00F36ABC" w:rsidRPr="009F227C">
        <w:t>ould be able to choose the best method of payment for their situation</w:t>
      </w:r>
      <w:r w:rsidR="00E15963">
        <w:t>, and that there were reasons</w:t>
      </w:r>
      <w:r w:rsidR="00F36ABC" w:rsidRPr="009F227C">
        <w:t xml:space="preserve"> why fee-free payment options would be beneficial for customers. Witness DeStefano stated that customers would be able to take advantage of incentives such as rewards or cashback with their credit card provider as well as automate their payment to better manage their budget and avoid payment delays</w:t>
      </w:r>
      <w:r w:rsidR="00866056" w:rsidRPr="009F227C">
        <w:t xml:space="preserve">. </w:t>
      </w:r>
      <w:r w:rsidR="000522CF">
        <w:t>W</w:t>
      </w:r>
      <w:r w:rsidR="00F36ABC" w:rsidRPr="009F227C">
        <w:t xml:space="preserve">itness DeStefano argued </w:t>
      </w:r>
      <w:r w:rsidR="00E15963">
        <w:t xml:space="preserve">there were </w:t>
      </w:r>
      <w:r w:rsidR="00F36ABC" w:rsidRPr="009F227C">
        <w:t>benefits for the Utility as well, such as better options to make a payment, improve the adoption of electronic and paperless billing practices, and lesser need for calls and contacts with the Utility’s customer experience team</w:t>
      </w:r>
      <w:r w:rsidR="00866056" w:rsidRPr="009F227C">
        <w:t xml:space="preserve">. </w:t>
      </w:r>
      <w:r w:rsidR="00460530" w:rsidRPr="009F227C">
        <w:t>In its brief</w:t>
      </w:r>
      <w:r w:rsidR="00F36ABC" w:rsidRPr="009F227C">
        <w:t xml:space="preserve">, the Utility asserted that the cost for payment options included in the revenue requirement would be fair and reasonable. </w:t>
      </w:r>
    </w:p>
    <w:p w14:paraId="403CD05F" w14:textId="14583AAB" w:rsidR="00F36ABC" w:rsidRPr="009F227C" w:rsidRDefault="00CF0577" w:rsidP="00F36ABC">
      <w:pPr>
        <w:spacing w:after="240"/>
        <w:jc w:val="both"/>
      </w:pPr>
      <w:r w:rsidRPr="009F227C">
        <w:tab/>
      </w:r>
      <w:r w:rsidR="00F36ABC" w:rsidRPr="009F227C">
        <w:t>OPC witness Smith rejected the Utility’s proposal of recovering $368,919 of third-party payment processing charges in its revenue requirement</w:t>
      </w:r>
      <w:r w:rsidR="00866056" w:rsidRPr="009F227C">
        <w:t xml:space="preserve">. </w:t>
      </w:r>
      <w:r w:rsidR="00F36ABC" w:rsidRPr="009F227C">
        <w:t xml:space="preserve">Witness Smith argued that regardless of how a customer chooses to pay their bill electronically, the charges that are associated with the convenient forms of payment should be charged </w:t>
      </w:r>
      <w:r w:rsidR="00D80BD6">
        <w:t>to</w:t>
      </w:r>
      <w:r w:rsidR="00F36ABC" w:rsidRPr="009F227C">
        <w:t xml:space="preserve"> the cost-causer</w:t>
      </w:r>
      <w:r w:rsidR="00866056" w:rsidRPr="009F227C">
        <w:t xml:space="preserve">. </w:t>
      </w:r>
      <w:r w:rsidR="00D80BD6">
        <w:t>W</w:t>
      </w:r>
      <w:r w:rsidR="00F36ABC" w:rsidRPr="009F227C">
        <w:t>itness Smith testi</w:t>
      </w:r>
      <w:r w:rsidR="00D80BD6">
        <w:t>fied</w:t>
      </w:r>
      <w:r w:rsidR="00F36ABC" w:rsidRPr="009F227C">
        <w:t xml:space="preserve"> that pursuant to the cost-causer, cost-payer principle, </w:t>
      </w:r>
      <w:r w:rsidR="00D80BD6">
        <w:t>w</w:t>
      </w:r>
      <w:r w:rsidR="001D3577" w:rsidRPr="009F227C">
        <w:t>e</w:t>
      </w:r>
      <w:r w:rsidR="00F36ABC" w:rsidRPr="009F227C">
        <w:t xml:space="preserve"> </w:t>
      </w:r>
      <w:r w:rsidR="00460530" w:rsidRPr="009F227C">
        <w:t>have traditionally</w:t>
      </w:r>
      <w:r w:rsidR="00F36ABC" w:rsidRPr="009F227C">
        <w:t xml:space="preserve"> required water and sewer utility customers</w:t>
      </w:r>
      <w:r w:rsidR="0092715D" w:rsidRPr="009F227C">
        <w:t xml:space="preserve"> to pay additional charges when </w:t>
      </w:r>
      <w:r w:rsidR="00D80BD6">
        <w:t>costs are</w:t>
      </w:r>
      <w:r w:rsidR="0092715D" w:rsidRPr="009F227C">
        <w:t xml:space="preserve"> incurred in the course of</w:t>
      </w:r>
      <w:r w:rsidR="00F36ABC" w:rsidRPr="009F227C">
        <w:t xml:space="preserve"> using </w:t>
      </w:r>
      <w:r w:rsidR="00460530" w:rsidRPr="009F227C">
        <w:t xml:space="preserve">certain </w:t>
      </w:r>
      <w:r w:rsidR="00F36ABC" w:rsidRPr="009F227C">
        <w:t>payment methods for convenience</w:t>
      </w:r>
      <w:r w:rsidR="0092715D" w:rsidRPr="009F227C">
        <w:t>. Furthermore, we have traditionally rejected</w:t>
      </w:r>
      <w:r w:rsidR="00F36ABC" w:rsidRPr="009F227C">
        <w:t xml:space="preserve"> </w:t>
      </w:r>
      <w:r w:rsidR="0092715D" w:rsidRPr="009F227C">
        <w:t>s</w:t>
      </w:r>
      <w:r w:rsidR="00D80BD6">
        <w:t>ubsidizing</w:t>
      </w:r>
      <w:r w:rsidR="00F36ABC" w:rsidRPr="009F227C">
        <w:t xml:space="preserve"> additional convenient payment charges </w:t>
      </w:r>
      <w:r w:rsidR="0092715D" w:rsidRPr="009F227C">
        <w:t>among</w:t>
      </w:r>
      <w:r w:rsidR="00F36ABC" w:rsidRPr="009F227C">
        <w:t xml:space="preserve"> all the Utility’s customers</w:t>
      </w:r>
      <w:r w:rsidR="00866056" w:rsidRPr="009F227C">
        <w:t xml:space="preserve">. </w:t>
      </w:r>
    </w:p>
    <w:p w14:paraId="7812A7D9" w14:textId="647B91AC" w:rsidR="00F36ABC" w:rsidRPr="009F227C" w:rsidRDefault="00CF0577" w:rsidP="00F36ABC">
      <w:pPr>
        <w:spacing w:after="240"/>
        <w:jc w:val="both"/>
      </w:pPr>
      <w:r w:rsidRPr="009F227C">
        <w:tab/>
      </w:r>
      <w:r w:rsidR="00F36ABC" w:rsidRPr="009F227C">
        <w:t>During the hearing, witness DeStefano was asked if he agreed that the cost causer principle is that customers who cause costs to the system should pay for the costs</w:t>
      </w:r>
      <w:r w:rsidR="00866056" w:rsidRPr="009F227C">
        <w:t xml:space="preserve">. </w:t>
      </w:r>
      <w:r w:rsidR="00F36ABC" w:rsidRPr="009F227C">
        <w:t xml:space="preserve">Witness </w:t>
      </w:r>
      <w:r w:rsidR="00F36ABC" w:rsidRPr="009F227C">
        <w:lastRenderedPageBreak/>
        <w:t xml:space="preserve">DeStefano agreed that’s the general principle, but stated that in the </w:t>
      </w:r>
      <w:r w:rsidR="00D80BD6">
        <w:t xml:space="preserve">Utility’s </w:t>
      </w:r>
      <w:r w:rsidR="00F36ABC" w:rsidRPr="009F227C">
        <w:t>2016 consolidated rate case, for instance, consolidated rates would override that principle because of the benefits</w:t>
      </w:r>
      <w:r w:rsidR="00866056" w:rsidRPr="009F227C">
        <w:t xml:space="preserve">. </w:t>
      </w:r>
    </w:p>
    <w:p w14:paraId="7EBE19C7" w14:textId="6B6DCC74" w:rsidR="00F36ABC" w:rsidRPr="009F227C" w:rsidRDefault="00CF0577" w:rsidP="00F36ABC">
      <w:pPr>
        <w:spacing w:after="240"/>
        <w:jc w:val="both"/>
      </w:pPr>
      <w:r w:rsidRPr="009F227C">
        <w:tab/>
      </w:r>
      <w:r w:rsidR="00F36ABC" w:rsidRPr="009F227C">
        <w:t>OPC in its brief stated that the consolidation of multiple water and wastewater system is fundamentally different than a payment option chosen by a single customer</w:t>
      </w:r>
      <w:r w:rsidR="00D80BD6">
        <w:t>,</w:t>
      </w:r>
      <w:r w:rsidR="00F36ABC" w:rsidRPr="009F227C">
        <w:t xml:space="preserve"> and when systems consolidate, the customers are entitled to reasonably equal water and wastewater services and should pay the same rates for the same services rendered. OPC further argued that subsidizing and socializing payment transaction fees incurred by an individual’s choice do not provide any of those benefits or align with </w:t>
      </w:r>
      <w:r w:rsidR="00EC5E86" w:rsidRPr="009F227C">
        <w:t>our</w:t>
      </w:r>
      <w:r w:rsidR="00F36ABC" w:rsidRPr="009F227C">
        <w:t xml:space="preserve"> practice and that </w:t>
      </w:r>
      <w:r w:rsidR="00EC5E86" w:rsidRPr="009F227C">
        <w:t>w</w:t>
      </w:r>
      <w:r w:rsidR="001D3577" w:rsidRPr="009F227C">
        <w:t>e</w:t>
      </w:r>
      <w:r w:rsidR="00F36ABC" w:rsidRPr="009F227C">
        <w:t xml:space="preserve"> should “draw the line” when the cost causer incurs a cost for their own convenience. </w:t>
      </w:r>
    </w:p>
    <w:p w14:paraId="5DEFE180" w14:textId="77777777" w:rsidR="00F36ABC" w:rsidRPr="009F227C" w:rsidRDefault="00CF0577" w:rsidP="00F36ABC">
      <w:pPr>
        <w:spacing w:after="240"/>
        <w:jc w:val="both"/>
      </w:pPr>
      <w:r w:rsidRPr="009F227C">
        <w:tab/>
      </w:r>
      <w:r w:rsidR="00F36ABC" w:rsidRPr="009F227C">
        <w:t>Witness DeStefano stated that some of the payment options have charges while some do not</w:t>
      </w:r>
      <w:r w:rsidR="00866056" w:rsidRPr="009F227C">
        <w:t xml:space="preserve">. </w:t>
      </w:r>
      <w:r w:rsidR="00F36ABC" w:rsidRPr="009F227C">
        <w:t>Overall, the Utility’s customers have the option to pay their bill electronically; the Utility does not plan to change any of its payment options</w:t>
      </w:r>
      <w:r w:rsidR="00866056" w:rsidRPr="009F227C">
        <w:t xml:space="preserve">. </w:t>
      </w:r>
      <w:r w:rsidR="00F36ABC" w:rsidRPr="009F227C">
        <w:t xml:space="preserve">Witness Smith indicated that when customers choose to pay their bill electronically is a convenience of their own and the charges incurred for that convenience should be the cost causer’s responsibility and not the general body of customers. </w:t>
      </w:r>
    </w:p>
    <w:p w14:paraId="56AACF3A" w14:textId="1A42044B" w:rsidR="00F36ABC" w:rsidRPr="009F227C" w:rsidRDefault="00CF0577" w:rsidP="00F36ABC">
      <w:pPr>
        <w:spacing w:after="240"/>
        <w:jc w:val="both"/>
      </w:pPr>
      <w:r w:rsidRPr="009F227C">
        <w:tab/>
      </w:r>
      <w:r w:rsidR="00F36ABC" w:rsidRPr="009F227C">
        <w:t>At the hearing, witness DeStefano indicated that allowing the Utility to recover the transaction charges in the revenue requirement will benefit the customers and allow them to select the payment of their choice without the burden of charges</w:t>
      </w:r>
      <w:r w:rsidR="00866056" w:rsidRPr="009F227C">
        <w:t xml:space="preserve">. </w:t>
      </w:r>
      <w:r w:rsidR="00F36ABC" w:rsidRPr="009F227C">
        <w:t xml:space="preserve">As stated earlier, approximately 40 percent of the customer base choose to use the electronic payment method when paying their bill. This </w:t>
      </w:r>
      <w:r w:rsidR="00D80BD6">
        <w:t>leaves</w:t>
      </w:r>
      <w:r w:rsidR="00F36ABC" w:rsidRPr="009F227C">
        <w:t xml:space="preserve"> more than half of the customer base that </w:t>
      </w:r>
      <w:r w:rsidR="00D80BD6">
        <w:t>w</w:t>
      </w:r>
      <w:r w:rsidR="00F36ABC" w:rsidRPr="009F227C">
        <w:t xml:space="preserve">ould have to bear </w:t>
      </w:r>
      <w:r w:rsidR="00D80BD6">
        <w:t xml:space="preserve">additional </w:t>
      </w:r>
      <w:r w:rsidR="00F36ABC" w:rsidRPr="009F227C">
        <w:t xml:space="preserve">costs </w:t>
      </w:r>
      <w:r w:rsidR="00D80BD6">
        <w:t xml:space="preserve">they have not incurred </w:t>
      </w:r>
      <w:r w:rsidR="00F36ABC" w:rsidRPr="009F227C">
        <w:t xml:space="preserve">to have a fee-free payment method. </w:t>
      </w:r>
      <w:r w:rsidR="00EC5E86" w:rsidRPr="009F227C">
        <w:t xml:space="preserve">We find </w:t>
      </w:r>
      <w:r w:rsidR="00F36ABC" w:rsidRPr="009F227C">
        <w:t xml:space="preserve">that this is not a sufficient amount of customers that choose to use </w:t>
      </w:r>
      <w:r w:rsidR="00D80BD6">
        <w:t xml:space="preserve">a fee-free </w:t>
      </w:r>
      <w:r w:rsidR="00F36ABC" w:rsidRPr="009F227C">
        <w:t xml:space="preserve">electronic payment method. OPC recommends that </w:t>
      </w:r>
      <w:r w:rsidR="00EC5E86" w:rsidRPr="009F227C">
        <w:t>we</w:t>
      </w:r>
      <w:r w:rsidR="00F36ABC" w:rsidRPr="009F227C">
        <w:t xml:space="preserve"> not approve Sunshine’s proposal of fee-free electronic payment method of transaction charges, which would socialize and subsidize transaction charges to all customers, regardless of the payment method to justify the cost being subsidized by the general body of customers</w:t>
      </w:r>
      <w:r w:rsidR="00866056" w:rsidRPr="009F227C">
        <w:t xml:space="preserve">. </w:t>
      </w:r>
      <w:r w:rsidR="00EC5E86" w:rsidRPr="009F227C">
        <w:t>We agree</w:t>
      </w:r>
      <w:r w:rsidR="00F36ABC" w:rsidRPr="009F227C">
        <w:t xml:space="preserve"> with OPC’s recommendation, because there is insufficient subscription to the electronic payment method to justify spreading the cost to all ratepayers. Furthermore, it has been </w:t>
      </w:r>
      <w:r w:rsidR="00EC5E86" w:rsidRPr="009F227C">
        <w:t>our</w:t>
      </w:r>
      <w:r w:rsidR="00F36ABC" w:rsidRPr="009F227C">
        <w:t xml:space="preserve"> practice to place the burden of such charges on the cost causer rather than the general body of customers. Therefore, </w:t>
      </w:r>
      <w:r w:rsidR="00EC5E86" w:rsidRPr="009F227C">
        <w:t>we do</w:t>
      </w:r>
      <w:r w:rsidR="00F36ABC" w:rsidRPr="009F227C">
        <w:t xml:space="preserve"> not approve the Utility’s proposal to recover $386,919 of third-party payment processing charges in its revenue requirement. </w:t>
      </w:r>
      <w:r w:rsidR="00EC5E86" w:rsidRPr="009F227C">
        <w:t>The</w:t>
      </w:r>
      <w:r w:rsidR="00F36ABC" w:rsidRPr="009F227C">
        <w:t xml:space="preserve"> revenue requirement </w:t>
      </w:r>
      <w:r w:rsidR="00EC5E86" w:rsidRPr="009F227C">
        <w:t>shall</w:t>
      </w:r>
      <w:r w:rsidR="00F36ABC" w:rsidRPr="009F227C">
        <w:t xml:space="preserve"> be reduced by $200,501 for water and $186,418 for wastewater.</w:t>
      </w:r>
    </w:p>
    <w:p w14:paraId="71DCDB34" w14:textId="77777777" w:rsidR="00F36ABC" w:rsidRPr="009F227C" w:rsidRDefault="00F36ABC" w:rsidP="00F36ABC">
      <w:pPr>
        <w:jc w:val="both"/>
        <w:outlineLvl w:val="2"/>
        <w:rPr>
          <w:b/>
          <w:bCs/>
          <w:iCs/>
          <w:szCs w:val="28"/>
        </w:rPr>
      </w:pPr>
      <w:r w:rsidRPr="009F227C">
        <w:rPr>
          <w:b/>
          <w:bCs/>
          <w:iCs/>
          <w:szCs w:val="28"/>
        </w:rPr>
        <w:t>Pro Forma Capitalized Labor</w:t>
      </w:r>
    </w:p>
    <w:p w14:paraId="40D252C0" w14:textId="758CBCBD" w:rsidR="00F36ABC" w:rsidRPr="009F227C" w:rsidRDefault="00CF0577" w:rsidP="00F36ABC">
      <w:pPr>
        <w:spacing w:after="240"/>
        <w:jc w:val="both"/>
      </w:pPr>
      <w:r w:rsidRPr="009F227C">
        <w:tab/>
      </w:r>
      <w:r w:rsidR="00F36ABC" w:rsidRPr="009F227C">
        <w:t xml:space="preserve">Based on </w:t>
      </w:r>
      <w:r w:rsidR="001D3577" w:rsidRPr="009F227C">
        <w:t xml:space="preserve">our </w:t>
      </w:r>
      <w:r w:rsidR="00EC5E86" w:rsidRPr="009F227C">
        <w:t>approved</w:t>
      </w:r>
      <w:r w:rsidR="00F36ABC" w:rsidRPr="009F227C">
        <w:t xml:space="preserve"> adjustments to the Utility’s pro forma plant </w:t>
      </w:r>
      <w:r w:rsidR="00904646" w:rsidRPr="009F227C">
        <w:t>request (</w:t>
      </w:r>
      <w:r w:rsidR="00F36ABC" w:rsidRPr="009F227C">
        <w:t>Issue 4</w:t>
      </w:r>
      <w:r w:rsidR="00AA68D7">
        <w:t>)</w:t>
      </w:r>
      <w:r w:rsidR="00F36ABC" w:rsidRPr="009F227C">
        <w:t xml:space="preserve">, a corresponding adjustment </w:t>
      </w:r>
      <w:r w:rsidR="00EC5E86" w:rsidRPr="009F227C">
        <w:t>shall</w:t>
      </w:r>
      <w:r w:rsidR="00F36ABC" w:rsidRPr="009F227C">
        <w:t xml:space="preserve"> be made for capitalized labor. O&amp;M expense </w:t>
      </w:r>
      <w:r w:rsidR="00EC5E86" w:rsidRPr="009F227C">
        <w:t>shall</w:t>
      </w:r>
      <w:r w:rsidR="00F36ABC" w:rsidRPr="009F227C">
        <w:t xml:space="preserve"> be increased by $14,014 for water and decreased by $17,106 for wastewater to reflect </w:t>
      </w:r>
      <w:r w:rsidR="001D3577" w:rsidRPr="009F227C">
        <w:t xml:space="preserve">our </w:t>
      </w:r>
      <w:r w:rsidR="00EC5E86" w:rsidRPr="009F227C">
        <w:t>approved</w:t>
      </w:r>
      <w:r w:rsidR="00F36ABC" w:rsidRPr="009F227C">
        <w:t xml:space="preserve"> pro forma plant additions.</w:t>
      </w:r>
    </w:p>
    <w:p w14:paraId="5FBD6923" w14:textId="77777777" w:rsidR="00F36ABC" w:rsidRPr="009F227C" w:rsidRDefault="00F36ABC" w:rsidP="00F36ABC">
      <w:pPr>
        <w:jc w:val="both"/>
        <w:outlineLvl w:val="2"/>
        <w:rPr>
          <w:b/>
          <w:bCs/>
          <w:iCs/>
          <w:szCs w:val="28"/>
        </w:rPr>
      </w:pPr>
      <w:r w:rsidRPr="009F227C">
        <w:rPr>
          <w:b/>
          <w:bCs/>
          <w:iCs/>
          <w:szCs w:val="28"/>
        </w:rPr>
        <w:t>Pro Forma AMI Project Expense</w:t>
      </w:r>
    </w:p>
    <w:p w14:paraId="0077584F" w14:textId="5F22939F" w:rsidR="00D808D0" w:rsidRPr="009F227C" w:rsidRDefault="00CF0577" w:rsidP="00D808D0">
      <w:pPr>
        <w:spacing w:after="240"/>
        <w:jc w:val="both"/>
      </w:pPr>
      <w:r w:rsidRPr="009F227C">
        <w:tab/>
      </w:r>
      <w:r w:rsidR="00D808D0" w:rsidRPr="009F227C">
        <w:t>Sunshine is requesting cost recovery for the replacement of its existing water meters for all customers within its service territory and the installation of 47 communication towers to utilize the new technology</w:t>
      </w:r>
      <w:r w:rsidR="00AA68D7">
        <w:t xml:space="preserve"> (Issue 4A)</w:t>
      </w:r>
      <w:r w:rsidR="00D808D0" w:rsidRPr="009F227C">
        <w:t xml:space="preserve">. The installation of AMI meters offers operational savings associated with the reduction in meter reading staffing, whereas pro forma costs are associated </w:t>
      </w:r>
      <w:r w:rsidR="00D808D0" w:rsidRPr="009F227C">
        <w:lastRenderedPageBreak/>
        <w:t xml:space="preserve">with the requisite software to create a web portal and related offerings based on the AMI technology. The Utility included in its MFRs, an additional $45,080 in annual cellular service subscription costs. </w:t>
      </w:r>
    </w:p>
    <w:p w14:paraId="7D837416" w14:textId="2E47BB70" w:rsidR="00D808D0" w:rsidRPr="009F227C" w:rsidRDefault="00D808D0" w:rsidP="00D808D0">
      <w:pPr>
        <w:spacing w:after="240"/>
        <w:jc w:val="both"/>
      </w:pPr>
      <w:r w:rsidRPr="009F227C">
        <w:tab/>
        <w:t xml:space="preserve">Witness Twomey has stated that Sunshine currently employs six full-time employees and one part-time employee that are dedicated to meter reading. Once the project is complete, only two full-time employees and one part-time employee are expected to be dedicated to maintaining the AMI hardware and software. The Utility expects this project to generate annual operation expense savings of approximately $280,662 per annum by the reassignment of four meter readers, along with compensation, benefits, and vehicle expenses. Sunshine did not opt to make an adjustment for this reduction in expenses, stating that Sunshine would reassign the existing employees to operations, growth, and preventative maintenance tasks in order to maintain current staffing levels to avoid the risk of service issues in coming years. </w:t>
      </w:r>
    </w:p>
    <w:p w14:paraId="37096256" w14:textId="037C48C7" w:rsidR="00D36DB4" w:rsidRPr="009F227C" w:rsidRDefault="00CF0577" w:rsidP="00D808D0">
      <w:pPr>
        <w:spacing w:after="240"/>
        <w:jc w:val="both"/>
      </w:pPr>
      <w:r w:rsidRPr="009F227C">
        <w:tab/>
      </w:r>
      <w:r w:rsidR="00F36ABC" w:rsidRPr="009F227C">
        <w:t>While OPC witness Smith argued that operational savings from AMI meters are speculative, he also argued that the Utility created a mismatch by including the cost of the project being included in base rates but not the benefits associated with it</w:t>
      </w:r>
      <w:r w:rsidR="00866056" w:rsidRPr="009F227C">
        <w:t xml:space="preserve">. </w:t>
      </w:r>
      <w:r w:rsidR="00F36ABC" w:rsidRPr="009F227C">
        <w:t>Witness Smith stated that any related cost savings or other benefits of the project, if materialized, would occur in periods beyond 2025</w:t>
      </w:r>
      <w:r w:rsidR="00866056" w:rsidRPr="009F227C">
        <w:t xml:space="preserve">. </w:t>
      </w:r>
      <w:r w:rsidR="00F36ABC" w:rsidRPr="009F227C">
        <w:t>In his rebuttal testimony, witness Twomey acknowledged that any savings that might materialize would occur beyond 2025 and potential benefits from the project are not known and measurable, and therefore such speculative savings were not included in the revenue requirement of the project</w:t>
      </w:r>
      <w:r w:rsidR="00866056" w:rsidRPr="009F227C">
        <w:t xml:space="preserve">. </w:t>
      </w:r>
      <w:r w:rsidR="00D36DB4" w:rsidRPr="009F227C">
        <w:t>We find</w:t>
      </w:r>
      <w:r w:rsidR="00F36ABC" w:rsidRPr="009F227C">
        <w:t xml:space="preserve"> that inclusion of the ST-20 project associated costs in rate base and O&amp;M expenses </w:t>
      </w:r>
      <w:r w:rsidR="00D36DB4" w:rsidRPr="009F227C">
        <w:t>shall</w:t>
      </w:r>
      <w:r w:rsidR="00F36ABC" w:rsidRPr="009F227C">
        <w:t xml:space="preserve"> also result in inclusion of both the O&amp;M savings associated with it as well. Therefore, </w:t>
      </w:r>
      <w:r w:rsidR="00D36DB4" w:rsidRPr="009F227C">
        <w:t xml:space="preserve">we find it necessary to make an </w:t>
      </w:r>
      <w:r w:rsidR="00F36ABC" w:rsidRPr="009F227C">
        <w:t xml:space="preserve">adjustment to reduce O&amp;M by $280,662 associated with the reduction in meter reading expenses. A corresponding reduction to payroll taxes </w:t>
      </w:r>
      <w:r w:rsidR="00AA68D7">
        <w:t xml:space="preserve">other than income </w:t>
      </w:r>
      <w:r w:rsidR="00F36ABC" w:rsidRPr="009F227C">
        <w:t xml:space="preserve">is addressed </w:t>
      </w:r>
      <w:r w:rsidR="00AA68D7">
        <w:t>subsequently in this Order (</w:t>
      </w:r>
      <w:r w:rsidR="00F36ABC" w:rsidRPr="009F227C">
        <w:t>Issue 29</w:t>
      </w:r>
      <w:r w:rsidR="00AA68D7">
        <w:t>)</w:t>
      </w:r>
      <w:r w:rsidR="00F36ABC" w:rsidRPr="009F227C">
        <w:t>.</w:t>
      </w:r>
    </w:p>
    <w:p w14:paraId="7E0E434C" w14:textId="77777777" w:rsidR="00D36DB4" w:rsidRPr="009F227C" w:rsidRDefault="00D36DB4" w:rsidP="00172BA1">
      <w:pPr>
        <w:pStyle w:val="ListParagraph"/>
        <w:numPr>
          <w:ilvl w:val="0"/>
          <w:numId w:val="19"/>
        </w:numPr>
        <w:spacing w:after="240"/>
        <w:ind w:hanging="720"/>
        <w:jc w:val="both"/>
      </w:pPr>
      <w:r w:rsidRPr="009F227C">
        <w:t xml:space="preserve">Conclusion </w:t>
      </w:r>
    </w:p>
    <w:p w14:paraId="0438B472" w14:textId="77777777" w:rsidR="00F36ABC" w:rsidRPr="009F227C" w:rsidRDefault="00CF0577" w:rsidP="00B74C07">
      <w:pPr>
        <w:pStyle w:val="OrderBody"/>
      </w:pPr>
      <w:r w:rsidRPr="009F227C">
        <w:tab/>
      </w:r>
      <w:r w:rsidR="00F36ABC" w:rsidRPr="009F227C">
        <w:t xml:space="preserve">Based on the adjustments discussed above, </w:t>
      </w:r>
      <w:r w:rsidR="00D36DB4" w:rsidRPr="009F227C">
        <w:t xml:space="preserve">we approve </w:t>
      </w:r>
      <w:r w:rsidR="00F36ABC" w:rsidRPr="009F227C">
        <w:t>adjustments to decrease pro forma O&amp;M expenses by a total of $467,149 (-$200,501 + $14,014 - $280,662) for water and $203,524 (-$186,418 - $17,106) for wastewater.</w:t>
      </w:r>
    </w:p>
    <w:p w14:paraId="13F9661E" w14:textId="37E5C517" w:rsidR="00B74C07" w:rsidRPr="009F227C" w:rsidRDefault="00B74C07" w:rsidP="00B74C07">
      <w:pPr>
        <w:pStyle w:val="OrderBody"/>
      </w:pPr>
    </w:p>
    <w:p w14:paraId="5C1F6138" w14:textId="0ADA814F" w:rsidR="008F1CE0" w:rsidRPr="009F227C" w:rsidRDefault="008F1CE0" w:rsidP="00B74C07">
      <w:pPr>
        <w:pStyle w:val="ListParagraph"/>
        <w:numPr>
          <w:ilvl w:val="0"/>
          <w:numId w:val="45"/>
        </w:numPr>
        <w:ind w:hanging="1080"/>
        <w:jc w:val="both"/>
        <w:outlineLvl w:val="0"/>
        <w:rPr>
          <w:bCs/>
          <w:kern w:val="32"/>
          <w:szCs w:val="32"/>
          <w:u w:val="single"/>
        </w:rPr>
      </w:pPr>
      <w:bookmarkStart w:id="40" w:name="_Toc199321468"/>
      <w:r w:rsidRPr="009F227C">
        <w:rPr>
          <w:u w:val="single"/>
        </w:rPr>
        <w:t>Management Expenses</w:t>
      </w:r>
      <w:r w:rsidR="008675BF" w:rsidRPr="009F227C">
        <w:rPr>
          <w:u w:val="single"/>
        </w:rPr>
        <w:t xml:space="preserve"> (Issue 27)</w:t>
      </w:r>
      <w:bookmarkEnd w:id="40"/>
    </w:p>
    <w:p w14:paraId="3AE19436" w14:textId="77777777" w:rsidR="008F1CE0" w:rsidRPr="009F227C" w:rsidRDefault="008F1CE0" w:rsidP="00B74C07">
      <w:pPr>
        <w:jc w:val="both"/>
        <w:outlineLvl w:val="0"/>
        <w:rPr>
          <w:bCs/>
          <w:kern w:val="32"/>
          <w:szCs w:val="32"/>
        </w:rPr>
      </w:pPr>
    </w:p>
    <w:p w14:paraId="7AFFA08C" w14:textId="77777777" w:rsidR="008F1CE0" w:rsidRPr="009F227C" w:rsidRDefault="008F1CE0" w:rsidP="00B74C07">
      <w:pPr>
        <w:pStyle w:val="ListParagraph"/>
        <w:numPr>
          <w:ilvl w:val="0"/>
          <w:numId w:val="20"/>
        </w:numPr>
        <w:spacing w:after="240"/>
        <w:ind w:hanging="630"/>
        <w:jc w:val="both"/>
      </w:pPr>
      <w:r w:rsidRPr="009F227C">
        <w:t>Analysis</w:t>
      </w:r>
    </w:p>
    <w:p w14:paraId="3BBF1F42" w14:textId="41D508D3" w:rsidR="00F36ABC" w:rsidRPr="009F227C" w:rsidRDefault="00F36ABC" w:rsidP="00B74C07">
      <w:pPr>
        <w:autoSpaceDE w:val="0"/>
        <w:autoSpaceDN w:val="0"/>
        <w:adjustRightInd w:val="0"/>
        <w:ind w:firstLine="720"/>
        <w:jc w:val="both"/>
      </w:pPr>
      <w:r w:rsidRPr="009F227C">
        <w:rPr>
          <w:bCs/>
        </w:rPr>
        <w:t xml:space="preserve">Sunshine recommended that no adjustments be made to the test year management fees. </w:t>
      </w:r>
      <w:r w:rsidRPr="009F227C">
        <w:t>OPC recommended that several expenses incorporated in the proposed management fees be reduced</w:t>
      </w:r>
      <w:r w:rsidR="00866056" w:rsidRPr="009F227C">
        <w:t xml:space="preserve">. </w:t>
      </w:r>
      <w:r w:rsidRPr="009F227C">
        <w:t>On April 1, 2024, Sunshine’s parent closed on a merger with the parent of Southwest Water Company. As the result of the merger, in the future there will be an integration of administrative and general functions that support water and wastewater operations</w:t>
      </w:r>
      <w:r w:rsidR="008F1CE0" w:rsidRPr="009F227C">
        <w:t xml:space="preserve">. </w:t>
      </w:r>
      <w:r w:rsidRPr="009F227C">
        <w:t>Due to the finalization of the merger between CII and Nexus Water Group, there has been a consolidation of the board of directors, the elimination of three executive leadership positions</w:t>
      </w:r>
      <w:r w:rsidR="00D80BD6">
        <w:t>,</w:t>
      </w:r>
      <w:r w:rsidRPr="009F227C">
        <w:t xml:space="preserve"> in addition to office leases and insurance cost reductions. OPC stated that these saving should be reflected in this rate case. </w:t>
      </w:r>
    </w:p>
    <w:p w14:paraId="2E1EFF52" w14:textId="77777777" w:rsidR="00F36ABC" w:rsidRPr="009F227C" w:rsidRDefault="00F36ABC" w:rsidP="00F36ABC">
      <w:pPr>
        <w:autoSpaceDE w:val="0"/>
        <w:autoSpaceDN w:val="0"/>
        <w:adjustRightInd w:val="0"/>
        <w:jc w:val="both"/>
      </w:pPr>
    </w:p>
    <w:p w14:paraId="7635A62E" w14:textId="77777777" w:rsidR="00F36ABC" w:rsidRPr="009F227C" w:rsidRDefault="00CF0577" w:rsidP="00F36ABC">
      <w:pPr>
        <w:spacing w:after="240"/>
        <w:jc w:val="both"/>
      </w:pPr>
      <w:r w:rsidRPr="009F227C">
        <w:tab/>
      </w:r>
      <w:r w:rsidR="00F36ABC" w:rsidRPr="009F227C">
        <w:t xml:space="preserve">Based on a review of the test year payments that comprised the allocated expenses for both CII and Water Service Corporation (WSC), </w:t>
      </w:r>
      <w:r w:rsidR="008F1CE0" w:rsidRPr="009F227C">
        <w:t>we have found</w:t>
      </w:r>
      <w:r w:rsidR="00F36ABC" w:rsidRPr="009F227C">
        <w:t xml:space="preserve"> a number of additional adjustments for expenses that were included in the management fees. All reductions were calculated using the allocation percentages provided by witness DeStefano, as reflected in the table below</w:t>
      </w:r>
      <w:r w:rsidR="00866056" w:rsidRPr="009F227C">
        <w:t xml:space="preserve">. </w:t>
      </w:r>
    </w:p>
    <w:p w14:paraId="0335382A" w14:textId="77777777" w:rsidR="00F36ABC" w:rsidRPr="009F227C" w:rsidRDefault="00F36ABC" w:rsidP="008940B4">
      <w:pPr>
        <w:jc w:val="center"/>
        <w:rPr>
          <w:b/>
        </w:rPr>
      </w:pPr>
      <w:r w:rsidRPr="009F227C">
        <w:rPr>
          <w:b/>
        </w:rPr>
        <w:t xml:space="preserve">Table </w:t>
      </w:r>
      <w:r w:rsidR="0031039C" w:rsidRPr="009F227C">
        <w:rPr>
          <w:b/>
        </w:rPr>
        <w:t>7</w:t>
      </w:r>
    </w:p>
    <w:p w14:paraId="2BB843B4" w14:textId="77777777" w:rsidR="00F36ABC" w:rsidRPr="009F227C" w:rsidRDefault="00F36ABC" w:rsidP="00F36ABC">
      <w:pPr>
        <w:keepNext/>
        <w:jc w:val="center"/>
        <w:rPr>
          <w:b/>
        </w:rPr>
      </w:pPr>
      <w:r w:rsidRPr="009F227C">
        <w:rPr>
          <w:b/>
        </w:rPr>
        <w:t>Sunshine Allocation</w:t>
      </w:r>
    </w:p>
    <w:tbl>
      <w:tblPr>
        <w:tblStyle w:val="TableGrid"/>
        <w:tblW w:w="0" w:type="auto"/>
        <w:jc w:val="center"/>
        <w:tblLook w:val="04A0" w:firstRow="1" w:lastRow="0" w:firstColumn="1" w:lastColumn="0" w:noHBand="0" w:noVBand="1"/>
      </w:tblPr>
      <w:tblGrid>
        <w:gridCol w:w="2304"/>
        <w:gridCol w:w="1440"/>
      </w:tblGrid>
      <w:tr w:rsidR="00F36ABC" w:rsidRPr="009F227C" w14:paraId="3F38B211" w14:textId="77777777" w:rsidTr="00F36ABC">
        <w:trPr>
          <w:jc w:val="center"/>
        </w:trPr>
        <w:tc>
          <w:tcPr>
            <w:tcW w:w="2304" w:type="dxa"/>
            <w:vAlign w:val="bottom"/>
          </w:tcPr>
          <w:p w14:paraId="570A1CD2" w14:textId="77777777" w:rsidR="00F36ABC" w:rsidRPr="009F227C" w:rsidRDefault="00F36ABC" w:rsidP="00F36ABC">
            <w:pPr>
              <w:jc w:val="center"/>
              <w:rPr>
                <w:b/>
              </w:rPr>
            </w:pPr>
            <w:r w:rsidRPr="009F227C">
              <w:rPr>
                <w:b/>
              </w:rPr>
              <w:t xml:space="preserve">Allocation </w:t>
            </w:r>
          </w:p>
        </w:tc>
        <w:tc>
          <w:tcPr>
            <w:tcW w:w="1440" w:type="dxa"/>
            <w:vAlign w:val="bottom"/>
          </w:tcPr>
          <w:p w14:paraId="3A007942" w14:textId="77777777" w:rsidR="00F36ABC" w:rsidRPr="009F227C" w:rsidRDefault="00F36ABC" w:rsidP="00F36ABC">
            <w:pPr>
              <w:jc w:val="center"/>
              <w:rPr>
                <w:b/>
              </w:rPr>
            </w:pPr>
            <w:r w:rsidRPr="009F227C">
              <w:rPr>
                <w:b/>
              </w:rPr>
              <w:t>Percentage Allocation</w:t>
            </w:r>
          </w:p>
        </w:tc>
      </w:tr>
      <w:tr w:rsidR="00F36ABC" w:rsidRPr="009F227C" w14:paraId="6B43DFBA" w14:textId="77777777" w:rsidTr="00F36ABC">
        <w:trPr>
          <w:jc w:val="center"/>
        </w:trPr>
        <w:tc>
          <w:tcPr>
            <w:tcW w:w="2304" w:type="dxa"/>
          </w:tcPr>
          <w:p w14:paraId="7D140EE3" w14:textId="77777777" w:rsidR="00F36ABC" w:rsidRPr="009F227C" w:rsidRDefault="00F36ABC" w:rsidP="00F36ABC">
            <w:r w:rsidRPr="009F227C">
              <w:t xml:space="preserve">Tier 1 </w:t>
            </w:r>
          </w:p>
        </w:tc>
        <w:tc>
          <w:tcPr>
            <w:tcW w:w="1440" w:type="dxa"/>
          </w:tcPr>
          <w:p w14:paraId="058C1D12" w14:textId="77777777" w:rsidR="00F36ABC" w:rsidRPr="009F227C" w:rsidRDefault="00F36ABC" w:rsidP="00F36ABC">
            <w:pPr>
              <w:jc w:val="right"/>
            </w:pPr>
            <w:r w:rsidRPr="009F227C">
              <w:t>70.86%</w:t>
            </w:r>
          </w:p>
        </w:tc>
      </w:tr>
      <w:tr w:rsidR="00F36ABC" w:rsidRPr="009F227C" w14:paraId="10BDDD0F" w14:textId="77777777" w:rsidTr="00F36ABC">
        <w:trPr>
          <w:jc w:val="center"/>
        </w:trPr>
        <w:tc>
          <w:tcPr>
            <w:tcW w:w="2304" w:type="dxa"/>
          </w:tcPr>
          <w:p w14:paraId="25EAD882" w14:textId="77777777" w:rsidR="00F36ABC" w:rsidRPr="009F227C" w:rsidRDefault="00F36ABC" w:rsidP="00F36ABC">
            <w:r w:rsidRPr="009F227C">
              <w:t>Tier 2</w:t>
            </w:r>
          </w:p>
        </w:tc>
        <w:tc>
          <w:tcPr>
            <w:tcW w:w="1440" w:type="dxa"/>
          </w:tcPr>
          <w:p w14:paraId="3D80C978" w14:textId="77777777" w:rsidR="00F36ABC" w:rsidRPr="009F227C" w:rsidRDefault="00F36ABC" w:rsidP="00F36ABC">
            <w:pPr>
              <w:jc w:val="right"/>
              <w:rPr>
                <w:u w:val="single"/>
              </w:rPr>
            </w:pPr>
            <w:r w:rsidRPr="009F227C">
              <w:rPr>
                <w:u w:val="single"/>
              </w:rPr>
              <w:t>23.73%</w:t>
            </w:r>
          </w:p>
        </w:tc>
      </w:tr>
      <w:tr w:rsidR="00F36ABC" w:rsidRPr="009F227C" w14:paraId="2D752EDE" w14:textId="77777777" w:rsidTr="00F36ABC">
        <w:trPr>
          <w:jc w:val="center"/>
        </w:trPr>
        <w:tc>
          <w:tcPr>
            <w:tcW w:w="2304" w:type="dxa"/>
          </w:tcPr>
          <w:p w14:paraId="5ED64178" w14:textId="77777777" w:rsidR="00F36ABC" w:rsidRPr="009F227C" w:rsidRDefault="00F36ABC" w:rsidP="00F36ABC">
            <w:r w:rsidRPr="009F227C">
              <w:t>Sunshine (Tier 1 x 2)</w:t>
            </w:r>
          </w:p>
        </w:tc>
        <w:tc>
          <w:tcPr>
            <w:tcW w:w="1440" w:type="dxa"/>
          </w:tcPr>
          <w:p w14:paraId="5C9A7B33" w14:textId="77777777" w:rsidR="00F36ABC" w:rsidRPr="009F227C" w:rsidRDefault="00F36ABC" w:rsidP="00F36ABC">
            <w:pPr>
              <w:jc w:val="right"/>
            </w:pPr>
            <w:r w:rsidRPr="009F227C">
              <w:t>16.81%</w:t>
            </w:r>
          </w:p>
        </w:tc>
      </w:tr>
    </w:tbl>
    <w:p w14:paraId="0393BE3D" w14:textId="77777777" w:rsidR="008F1CE0" w:rsidRPr="00136C8A" w:rsidRDefault="008F1CE0" w:rsidP="00F36ABC">
      <w:pPr>
        <w:jc w:val="both"/>
        <w:outlineLvl w:val="2"/>
        <w:rPr>
          <w:bCs/>
          <w:iCs/>
        </w:rPr>
      </w:pPr>
    </w:p>
    <w:p w14:paraId="55F5D77E" w14:textId="77777777" w:rsidR="00F36ABC" w:rsidRPr="009F227C" w:rsidRDefault="00F36ABC" w:rsidP="00F36ABC">
      <w:pPr>
        <w:jc w:val="both"/>
        <w:outlineLvl w:val="2"/>
        <w:rPr>
          <w:b/>
          <w:bCs/>
          <w:iCs/>
        </w:rPr>
      </w:pPr>
      <w:r w:rsidRPr="009F227C">
        <w:rPr>
          <w:b/>
          <w:bCs/>
          <w:iCs/>
        </w:rPr>
        <w:t>Salaries/Wages</w:t>
      </w:r>
    </w:p>
    <w:p w14:paraId="5358D27E" w14:textId="77777777" w:rsidR="00F36ABC" w:rsidRPr="009F227C" w:rsidRDefault="00CF0577" w:rsidP="00F36ABC">
      <w:pPr>
        <w:spacing w:after="240"/>
        <w:jc w:val="both"/>
      </w:pPr>
      <w:r w:rsidRPr="009F227C">
        <w:rPr>
          <w:bCs/>
        </w:rPr>
        <w:tab/>
      </w:r>
      <w:r w:rsidR="00F36ABC" w:rsidRPr="009F227C">
        <w:rPr>
          <w:bCs/>
        </w:rPr>
        <w:t xml:space="preserve">OPC proposed that several </w:t>
      </w:r>
      <w:r w:rsidR="00F36ABC" w:rsidRPr="009F227C">
        <w:t>adjustments to the Utility’s expense claims should be made, as discussed in OPC witness Smith’s testimony. Witness Smith recommends that an adjustment should be made to remove $16,056 from operating expenses (included in the management fees) for an estimated portion of Senior Vice President of Rates, Regulatory and Legislative Affairs for Nexus Water Group, Steven Lubertozzi’s salary related to lobbying and legislative advocacy</w:t>
      </w:r>
      <w:r w:rsidR="00866056" w:rsidRPr="009F227C">
        <w:t xml:space="preserve">. </w:t>
      </w:r>
      <w:r w:rsidR="00F36ABC" w:rsidRPr="009F227C">
        <w:t xml:space="preserve">Using the mid-point level of confidential salary information, witness Smith estimated an allocated amount for the position and calculated the adjustment as a third of the allocated salary, benefits, and payroll tax, based on the position title referencing three areas (rates, regulatory and legislative affairs). </w:t>
      </w:r>
    </w:p>
    <w:p w14:paraId="118FFDD3" w14:textId="77777777" w:rsidR="00F36ABC" w:rsidRPr="009F227C" w:rsidRDefault="00CF0577" w:rsidP="00F36ABC">
      <w:pPr>
        <w:spacing w:after="240"/>
        <w:jc w:val="both"/>
      </w:pPr>
      <w:r w:rsidRPr="009F227C">
        <w:tab/>
      </w:r>
      <w:r w:rsidR="00F36ABC" w:rsidRPr="009F227C">
        <w:t>Per Sunshine witness Lubertozzi’s testimony, he is not registered as a lobbyist in any jurisdiction nor did he spend any time during the test year lobbying</w:t>
      </w:r>
      <w:r w:rsidR="00866056" w:rsidRPr="009F227C">
        <w:t xml:space="preserve">. </w:t>
      </w:r>
      <w:r w:rsidR="00F36ABC" w:rsidRPr="009F227C">
        <w:t>Per Sunshine witness Elicegui, Mr. Lubertozzi reviewed his calendar and estimated that for the test year of 2023, he spent approximately 80 hours in supporting lobbying activity, or approximately 3.9 percent of a 2,040-hour work year</w:t>
      </w:r>
      <w:r w:rsidR="00866056" w:rsidRPr="009F227C">
        <w:t xml:space="preserve">. </w:t>
      </w:r>
    </w:p>
    <w:p w14:paraId="5C093728" w14:textId="77777777" w:rsidR="00F36ABC" w:rsidRPr="009F227C" w:rsidRDefault="00CF0577" w:rsidP="00F36ABC">
      <w:pPr>
        <w:spacing w:after="240"/>
        <w:jc w:val="both"/>
      </w:pPr>
      <w:r w:rsidRPr="009F227C">
        <w:tab/>
      </w:r>
      <w:r w:rsidR="00AB0D13" w:rsidRPr="009F227C">
        <w:t>We agree</w:t>
      </w:r>
      <w:r w:rsidR="00F36ABC" w:rsidRPr="009F227C">
        <w:t xml:space="preserve"> that an adjustment to reduce salary and benefits to reflect time identified as lobbying support</w:t>
      </w:r>
      <w:r w:rsidR="00AB0D13" w:rsidRPr="009F227C">
        <w:t xml:space="preserve"> is prudent</w:t>
      </w:r>
      <w:r w:rsidR="00F36ABC" w:rsidRPr="009F227C">
        <w:t xml:space="preserve">. However, Sunshine identified and assigned time associated with these activities, which </w:t>
      </w:r>
      <w:r w:rsidR="00AB0D13" w:rsidRPr="009F227C">
        <w:t xml:space="preserve">were </w:t>
      </w:r>
      <w:r w:rsidR="00F36ABC" w:rsidRPr="009F227C">
        <w:t xml:space="preserve">more accurate than the adjustment estimated by witness Smith. Based on OPC’s allocated salary, benefits, and payroll tax, an adjustment of 3.9 percent would amount to $1,878. As such </w:t>
      </w:r>
      <w:r w:rsidR="00AB0D13" w:rsidRPr="009F227C">
        <w:t>we shall reduce</w:t>
      </w:r>
      <w:r w:rsidR="00F36ABC" w:rsidRPr="009F227C">
        <w:t xml:space="preserve"> management expenses by $975 and $904 for water and wastewater, respectively.</w:t>
      </w:r>
    </w:p>
    <w:p w14:paraId="4BF4DE23" w14:textId="25CF7B0C" w:rsidR="00B74C07" w:rsidRDefault="00CF0577" w:rsidP="00595C2B">
      <w:pPr>
        <w:jc w:val="both"/>
      </w:pPr>
      <w:r w:rsidRPr="009F227C">
        <w:tab/>
      </w:r>
      <w:r w:rsidR="00F36ABC" w:rsidRPr="009F227C">
        <w:t>OPC also recommended that cost savings due to the elimination of several positions as a result of the merger with Nexus Water Group should be reflected</w:t>
      </w:r>
      <w:r w:rsidR="00866056" w:rsidRPr="009F227C">
        <w:t xml:space="preserve">. </w:t>
      </w:r>
      <w:r w:rsidR="00AB0D13" w:rsidRPr="009F227C">
        <w:t>We find</w:t>
      </w:r>
      <w:r w:rsidR="00F36ABC" w:rsidRPr="009F227C">
        <w:t xml:space="preserve"> that any merger savings would be best included in the requested deferral accounts which would contain all benefits and costs, including the salary reductions.</w:t>
      </w:r>
    </w:p>
    <w:p w14:paraId="23B04F35" w14:textId="62B0B742" w:rsidR="00B627AB" w:rsidRDefault="00B627AB" w:rsidP="00595C2B">
      <w:pPr>
        <w:jc w:val="both"/>
      </w:pPr>
    </w:p>
    <w:p w14:paraId="30734C60" w14:textId="77777777" w:rsidR="00B627AB" w:rsidRPr="009F227C" w:rsidRDefault="00B627AB" w:rsidP="00595C2B">
      <w:pPr>
        <w:jc w:val="both"/>
      </w:pPr>
    </w:p>
    <w:p w14:paraId="57C66A94" w14:textId="77777777" w:rsidR="00F36ABC" w:rsidRPr="009F227C" w:rsidRDefault="00F36ABC" w:rsidP="00B74C07">
      <w:pPr>
        <w:jc w:val="both"/>
        <w:outlineLvl w:val="2"/>
        <w:rPr>
          <w:b/>
          <w:bCs/>
          <w:iCs/>
        </w:rPr>
      </w:pPr>
      <w:r w:rsidRPr="009F227C">
        <w:rPr>
          <w:b/>
          <w:bCs/>
          <w:iCs/>
        </w:rPr>
        <w:lastRenderedPageBreak/>
        <w:t>Vacation Expenses</w:t>
      </w:r>
    </w:p>
    <w:p w14:paraId="71F3907F" w14:textId="77777777" w:rsidR="008940B4" w:rsidRPr="009F227C" w:rsidRDefault="00CF0577" w:rsidP="008940B4">
      <w:pPr>
        <w:spacing w:after="240"/>
        <w:jc w:val="both"/>
      </w:pPr>
      <w:r w:rsidRPr="009F227C">
        <w:tab/>
      </w:r>
      <w:r w:rsidR="00F36ABC" w:rsidRPr="009F227C">
        <w:t>Per Sunshine, the vacation expenses reflect the accrual of vacation “bank” and use of banked vacation time for CII. The costs are determined by the per-hour rate of the applicable employees’ times the net of their vacation hours accrued/used in a given period</w:t>
      </w:r>
      <w:r w:rsidR="00866056" w:rsidRPr="009F227C">
        <w:t xml:space="preserve">. </w:t>
      </w:r>
      <w:r w:rsidR="00F36ABC" w:rsidRPr="009F227C">
        <w:t xml:space="preserve">CII has 15 cost centers that had salary and wages expenses, and all but one of these 15 cost centers received vacation expenses. No vacation expenses were recorded for WSC or Sunshine. </w:t>
      </w:r>
    </w:p>
    <w:p w14:paraId="27FB4516" w14:textId="6E66590E" w:rsidR="00F36ABC" w:rsidRDefault="00F36ABC" w:rsidP="00781568">
      <w:pPr>
        <w:ind w:firstLine="720"/>
        <w:jc w:val="both"/>
      </w:pPr>
      <w:r w:rsidRPr="009F227C">
        <w:t xml:space="preserve">If the vacation expenses reflect the accrual of vacation banked and used vacation time </w:t>
      </w:r>
      <w:r w:rsidR="00AB0D13" w:rsidRPr="009F227C">
        <w:t xml:space="preserve">as Sunshine explained in any answer to one of </w:t>
      </w:r>
      <w:r w:rsidR="001D3577" w:rsidRPr="009F227C">
        <w:t>our staff</w:t>
      </w:r>
      <w:r w:rsidRPr="009F227C">
        <w:t>’s interrogator</w:t>
      </w:r>
      <w:r w:rsidR="0096199C">
        <w:t>ies</w:t>
      </w:r>
      <w:r w:rsidRPr="009F227C">
        <w:t xml:space="preserve">, this implies that no other employees in WSC or Sunshine receive any vacation time. No clarification has been provided to explain why these used vacation expenses were not reflected in the payroll. As such, the vacation expenses </w:t>
      </w:r>
      <w:r w:rsidR="00AB0D13" w:rsidRPr="009F227C">
        <w:t>shall</w:t>
      </w:r>
      <w:r w:rsidRPr="009F227C">
        <w:t xml:space="preserve"> be removed from the management fees which would result in a decrease for water of $18,984 and a decrease for wastewater of $17,651. </w:t>
      </w:r>
    </w:p>
    <w:p w14:paraId="6D9614A9" w14:textId="77777777" w:rsidR="008940B4" w:rsidRPr="009F227C" w:rsidRDefault="008940B4" w:rsidP="00781568">
      <w:pPr>
        <w:ind w:firstLine="720"/>
        <w:jc w:val="both"/>
      </w:pPr>
    </w:p>
    <w:p w14:paraId="31A39606" w14:textId="77777777" w:rsidR="00F36ABC" w:rsidRPr="009F227C" w:rsidRDefault="00F36ABC" w:rsidP="00F36ABC">
      <w:pPr>
        <w:jc w:val="both"/>
        <w:outlineLvl w:val="2"/>
        <w:rPr>
          <w:b/>
          <w:bCs/>
          <w:iCs/>
        </w:rPr>
      </w:pPr>
      <w:r w:rsidRPr="009F227C">
        <w:rPr>
          <w:b/>
          <w:bCs/>
          <w:iCs/>
        </w:rPr>
        <w:t>Director and Board Fees</w:t>
      </w:r>
    </w:p>
    <w:p w14:paraId="6BBF3D1E" w14:textId="77777777" w:rsidR="00F36ABC" w:rsidRPr="009F227C" w:rsidRDefault="0074572E" w:rsidP="00F36ABC">
      <w:pPr>
        <w:spacing w:after="240"/>
        <w:jc w:val="both"/>
      </w:pPr>
      <w:r w:rsidRPr="009F227C">
        <w:tab/>
      </w:r>
      <w:r w:rsidR="00F36ABC" w:rsidRPr="009F227C">
        <w:t>Per Sunshine, the amounts recorded to CII Director and Board Fees reflect fees paid to the five independent directors who served as members of the board of directors of CII</w:t>
      </w:r>
      <w:r w:rsidR="00866056" w:rsidRPr="009F227C">
        <w:t xml:space="preserve">. </w:t>
      </w:r>
      <w:r w:rsidR="00F36ABC" w:rsidRPr="009F227C">
        <w:t xml:space="preserve">OPC witness Smith recommends that one-half of the director and board fees should be removed due to the savings in board of directors fees that have resulted from the merger with Nexus Water Group. He recommends an adjustment that decreases water utility expense by $30,327 and decreases wastewater utility expense by $28,120 to reflect this savings. </w:t>
      </w:r>
    </w:p>
    <w:p w14:paraId="2298990B" w14:textId="77777777" w:rsidR="00F36ABC" w:rsidRPr="009F227C" w:rsidRDefault="0074572E" w:rsidP="00F36ABC">
      <w:pPr>
        <w:spacing w:after="240"/>
        <w:jc w:val="both"/>
      </w:pPr>
      <w:r w:rsidRPr="009F227C">
        <w:tab/>
      </w:r>
      <w:r w:rsidR="00F36ABC" w:rsidRPr="009F227C">
        <w:t>Per witness Lubertozzi’s testimony, the merger is expected to produce financial benefits, and the merger parties have taken and will continue to take a deliberate approach to planning for integration, and then executing on integration plans to mitigate potential risks to customers. Sunshine’s proposed deferrals are designed to protect customers and ensure that the proper amount of net benefits flows to Sunshine’s customers. Sunshine’s proposed deferrals capture identified benefits of integration, as well as any costs to achieve those benefits, which, if allowed in the current case  – with a historic test year and limited information on merger benefits – would establish the deferrals for disposition in a future proceeding and avoid piecemeal or inconsistent reflection of merger impacts</w:t>
      </w:r>
      <w:r w:rsidR="00866056" w:rsidRPr="009F227C">
        <w:t xml:space="preserve">. </w:t>
      </w:r>
      <w:r w:rsidR="003B61FA" w:rsidRPr="009F227C">
        <w:t xml:space="preserve">We agree </w:t>
      </w:r>
      <w:r w:rsidR="00F36ABC" w:rsidRPr="009F227C">
        <w:t>with witness Lubertozzi that any merger savings would be best included in the requested deferral accounts which would include all benefits and costs, including the future director and board fees.</w:t>
      </w:r>
    </w:p>
    <w:p w14:paraId="5333F943" w14:textId="77777777" w:rsidR="00F36ABC" w:rsidRPr="009F227C" w:rsidRDefault="00F36ABC" w:rsidP="00F36ABC">
      <w:pPr>
        <w:jc w:val="both"/>
        <w:outlineLvl w:val="2"/>
        <w:rPr>
          <w:b/>
          <w:bCs/>
          <w:iCs/>
        </w:rPr>
      </w:pPr>
      <w:r w:rsidRPr="009F227C">
        <w:rPr>
          <w:b/>
          <w:bCs/>
          <w:iCs/>
        </w:rPr>
        <w:t xml:space="preserve">Memberships </w:t>
      </w:r>
    </w:p>
    <w:p w14:paraId="0BEE5702" w14:textId="453D38FE" w:rsidR="00F36ABC" w:rsidRPr="009F227C" w:rsidRDefault="0074572E" w:rsidP="00F36ABC">
      <w:pPr>
        <w:spacing w:after="240"/>
        <w:jc w:val="both"/>
      </w:pPr>
      <w:r w:rsidRPr="009F227C">
        <w:tab/>
      </w:r>
      <w:r w:rsidR="00F36ABC" w:rsidRPr="009F227C">
        <w:t xml:space="preserve">Memberships for CII total $44,952. Of this amount, </w:t>
      </w:r>
      <w:r w:rsidR="003B61FA" w:rsidRPr="009F227C">
        <w:t xml:space="preserve">we find </w:t>
      </w:r>
      <w:r w:rsidR="00F36ABC" w:rsidRPr="009F227C">
        <w:t xml:space="preserve">that $33,410 </w:t>
      </w:r>
      <w:r w:rsidR="003B61FA" w:rsidRPr="009F227C">
        <w:t xml:space="preserve">shall </w:t>
      </w:r>
      <w:r w:rsidR="00F36ABC" w:rsidRPr="009F227C">
        <w:t>be excluded as the charges for various economic clubs, capital market clubs, business counsels, and board and event management software are not directly related to water/wastewater utilities nor do they represent costs that directly benefit the Utility’s customers, and as such, sh</w:t>
      </w:r>
      <w:r w:rsidR="0096199C">
        <w:t>all</w:t>
      </w:r>
      <w:r w:rsidR="00F36ABC" w:rsidRPr="009F227C">
        <w:t xml:space="preserve"> not be borne by customers. </w:t>
      </w:r>
    </w:p>
    <w:p w14:paraId="518CAF22" w14:textId="66DE0358" w:rsidR="00F36ABC" w:rsidRPr="009F227C" w:rsidRDefault="0074572E" w:rsidP="00F36ABC">
      <w:pPr>
        <w:spacing w:after="240"/>
        <w:jc w:val="both"/>
      </w:pPr>
      <w:r w:rsidRPr="009F227C">
        <w:tab/>
      </w:r>
      <w:r w:rsidR="00F36ABC" w:rsidRPr="009F227C">
        <w:t xml:space="preserve">Memberships for WSC total $64,739. Of this amount, </w:t>
      </w:r>
      <w:r w:rsidR="003B61FA" w:rsidRPr="009F227C">
        <w:t>we find that</w:t>
      </w:r>
      <w:r w:rsidR="00F36ABC" w:rsidRPr="009F227C">
        <w:t xml:space="preserve"> $24,802 </w:t>
      </w:r>
      <w:r w:rsidR="003B61FA" w:rsidRPr="009F227C">
        <w:t xml:space="preserve">shall </w:t>
      </w:r>
      <w:r w:rsidR="00F36ABC" w:rsidRPr="009F227C">
        <w:t>be excluded as the various charges include social leadership club memberships, a percentage of lobbying for one of the memberships, and several unidentifiable membership charges that are not directly related to water/wastewater utilities nor do they represent costs that directly benefit the Utility’s customers, and as such, sh</w:t>
      </w:r>
      <w:r w:rsidR="0096199C">
        <w:t>all</w:t>
      </w:r>
      <w:r w:rsidR="00F36ABC" w:rsidRPr="009F227C">
        <w:t xml:space="preserve"> not be borne by customers. </w:t>
      </w:r>
    </w:p>
    <w:p w14:paraId="1D27892A" w14:textId="77777777" w:rsidR="00F36ABC" w:rsidRPr="009F227C" w:rsidRDefault="0074572E" w:rsidP="00F36ABC">
      <w:pPr>
        <w:spacing w:after="240"/>
        <w:jc w:val="both"/>
        <w:rPr>
          <w:b/>
        </w:rPr>
      </w:pPr>
      <w:r w:rsidRPr="009F227C">
        <w:lastRenderedPageBreak/>
        <w:tab/>
      </w:r>
      <w:r w:rsidR="00F36ABC" w:rsidRPr="009F227C">
        <w:t xml:space="preserve">Therefore, </w:t>
      </w:r>
      <w:r w:rsidR="003B61FA" w:rsidRPr="009F227C">
        <w:t>we find it necessary to exclude</w:t>
      </w:r>
      <w:r w:rsidR="00F36ABC" w:rsidRPr="009F227C">
        <w:t xml:space="preserve"> $58,212 ($33,410 + $24,802) in memberships which results in decreasing the management fee expenses by $5,071 for water and $4,715 for wastewater.</w:t>
      </w:r>
    </w:p>
    <w:p w14:paraId="10C5D39F" w14:textId="77777777" w:rsidR="00F36ABC" w:rsidRPr="009F227C" w:rsidRDefault="00F36ABC" w:rsidP="00F36ABC">
      <w:pPr>
        <w:jc w:val="both"/>
        <w:outlineLvl w:val="2"/>
        <w:rPr>
          <w:b/>
          <w:bCs/>
          <w:iCs/>
        </w:rPr>
      </w:pPr>
      <w:r w:rsidRPr="009F227C">
        <w:rPr>
          <w:b/>
          <w:bCs/>
          <w:iCs/>
        </w:rPr>
        <w:t>Penalties and Fines</w:t>
      </w:r>
    </w:p>
    <w:p w14:paraId="1054398E" w14:textId="163697B4" w:rsidR="00F36ABC" w:rsidRPr="009F227C" w:rsidRDefault="0074572E" w:rsidP="00F36ABC">
      <w:pPr>
        <w:spacing w:after="240"/>
        <w:jc w:val="both"/>
        <w:rPr>
          <w:b/>
          <w:bCs/>
        </w:rPr>
      </w:pPr>
      <w:r w:rsidRPr="009F227C">
        <w:tab/>
      </w:r>
      <w:r w:rsidR="004A1491" w:rsidRPr="009F227C">
        <w:t xml:space="preserve">The </w:t>
      </w:r>
      <w:r w:rsidR="00F36ABC" w:rsidRPr="009F227C">
        <w:t xml:space="preserve">costs for penalties and fines </w:t>
      </w:r>
      <w:r w:rsidR="004A1491" w:rsidRPr="009F227C">
        <w:t>shall</w:t>
      </w:r>
      <w:r w:rsidR="00F36ABC" w:rsidRPr="009F227C">
        <w:t xml:space="preserve"> be removed as these expenses sh</w:t>
      </w:r>
      <w:r w:rsidR="0096199C">
        <w:t>all</w:t>
      </w:r>
      <w:r w:rsidR="00F36ABC" w:rsidRPr="009F227C">
        <w:t xml:space="preserve"> not be borne by the customers</w:t>
      </w:r>
      <w:r w:rsidR="004A1491" w:rsidRPr="009F227C">
        <w:t>.</w:t>
      </w:r>
      <w:r w:rsidR="00F36ABC" w:rsidRPr="009F227C">
        <w:t xml:space="preserve"> </w:t>
      </w:r>
      <w:r w:rsidR="004A1491" w:rsidRPr="009F227C">
        <w:t>Therefore, we decrease</w:t>
      </w:r>
      <w:r w:rsidR="00F36ABC" w:rsidRPr="009F227C">
        <w:t xml:space="preserve"> the management fee expenses by $1,703 for water and $1,583 for wastewater. </w:t>
      </w:r>
    </w:p>
    <w:p w14:paraId="0A30B84F" w14:textId="77777777" w:rsidR="00F36ABC" w:rsidRPr="009F227C" w:rsidRDefault="00F36ABC" w:rsidP="00F36ABC">
      <w:pPr>
        <w:jc w:val="both"/>
        <w:outlineLvl w:val="2"/>
        <w:rPr>
          <w:b/>
          <w:bCs/>
          <w:iCs/>
        </w:rPr>
      </w:pPr>
      <w:r w:rsidRPr="009F227C">
        <w:rPr>
          <w:b/>
          <w:bCs/>
          <w:iCs/>
        </w:rPr>
        <w:t>Entertainment – Non-Deductible</w:t>
      </w:r>
    </w:p>
    <w:p w14:paraId="0A1B5943" w14:textId="30284008" w:rsidR="00F36ABC" w:rsidRPr="009F227C" w:rsidRDefault="0074572E" w:rsidP="00F36ABC">
      <w:pPr>
        <w:spacing w:after="240"/>
        <w:jc w:val="both"/>
        <w:rPr>
          <w:b/>
          <w:bCs/>
        </w:rPr>
      </w:pPr>
      <w:r w:rsidRPr="009F227C">
        <w:tab/>
      </w:r>
      <w:r w:rsidR="004A1491" w:rsidRPr="009F227C">
        <w:t xml:space="preserve">Entertainment </w:t>
      </w:r>
      <w:r w:rsidR="00F36ABC" w:rsidRPr="009F227C">
        <w:t>expenses sh</w:t>
      </w:r>
      <w:r w:rsidR="0096199C">
        <w:t>all</w:t>
      </w:r>
      <w:r w:rsidR="00F36ABC" w:rsidRPr="009F227C">
        <w:t xml:space="preserve"> not be borne by the customers and </w:t>
      </w:r>
      <w:r w:rsidR="004A1491" w:rsidRPr="009F227C">
        <w:t>shall be removed –</w:t>
      </w:r>
      <w:r w:rsidR="00F36ABC" w:rsidRPr="009F227C">
        <w:t xml:space="preserve">decreasing management fee expenses by $40 for water and $37 for wastewater. </w:t>
      </w:r>
    </w:p>
    <w:p w14:paraId="563C1969" w14:textId="77777777" w:rsidR="00F36ABC" w:rsidRPr="009F227C" w:rsidRDefault="00F36ABC" w:rsidP="00F36ABC">
      <w:pPr>
        <w:jc w:val="both"/>
        <w:outlineLvl w:val="2"/>
        <w:rPr>
          <w:b/>
          <w:bCs/>
          <w:iCs/>
        </w:rPr>
      </w:pPr>
      <w:r w:rsidRPr="009F227C">
        <w:rPr>
          <w:b/>
          <w:bCs/>
          <w:iCs/>
        </w:rPr>
        <w:t>Late Fees</w:t>
      </w:r>
    </w:p>
    <w:p w14:paraId="5AA7A237" w14:textId="74C82310" w:rsidR="00F36ABC" w:rsidRPr="009F227C" w:rsidRDefault="0074572E" w:rsidP="00F36ABC">
      <w:pPr>
        <w:spacing w:after="240"/>
        <w:jc w:val="both"/>
      </w:pPr>
      <w:r w:rsidRPr="009F227C">
        <w:tab/>
      </w:r>
      <w:r w:rsidR="004A1491" w:rsidRPr="009F227C">
        <w:t>Late</w:t>
      </w:r>
      <w:r w:rsidR="00F36ABC" w:rsidRPr="009F227C">
        <w:t xml:space="preserve"> fees </w:t>
      </w:r>
      <w:r w:rsidR="004A1491" w:rsidRPr="009F227C">
        <w:t>shall</w:t>
      </w:r>
      <w:r w:rsidR="00F36ABC" w:rsidRPr="009F227C">
        <w:t xml:space="preserve"> be removed as these expenses s</w:t>
      </w:r>
      <w:r w:rsidR="004A1491" w:rsidRPr="009F227C">
        <w:t>h</w:t>
      </w:r>
      <w:r w:rsidR="0096199C">
        <w:t>all</w:t>
      </w:r>
      <w:r w:rsidR="004A1491" w:rsidRPr="009F227C">
        <w:t xml:space="preserve"> not be borne by customers – </w:t>
      </w:r>
      <w:r w:rsidR="00F36ABC" w:rsidRPr="009F227C">
        <w:t xml:space="preserve">decreasing management fee expenses by $40 for water and $37 for wastewater. </w:t>
      </w:r>
    </w:p>
    <w:p w14:paraId="6C070659" w14:textId="77777777" w:rsidR="00F36ABC" w:rsidRPr="009F227C" w:rsidRDefault="00F36ABC" w:rsidP="00F36ABC">
      <w:pPr>
        <w:jc w:val="both"/>
        <w:outlineLvl w:val="2"/>
        <w:rPr>
          <w:b/>
          <w:bCs/>
          <w:iCs/>
        </w:rPr>
      </w:pPr>
      <w:r w:rsidRPr="009F227C">
        <w:rPr>
          <w:b/>
          <w:bCs/>
          <w:iCs/>
        </w:rPr>
        <w:t>Holiday Events</w:t>
      </w:r>
    </w:p>
    <w:p w14:paraId="648B7386" w14:textId="7150C100" w:rsidR="00F36ABC" w:rsidRPr="009F227C" w:rsidRDefault="0074572E" w:rsidP="00F36ABC">
      <w:pPr>
        <w:spacing w:after="240"/>
        <w:jc w:val="both"/>
        <w:rPr>
          <w:b/>
          <w:bCs/>
        </w:rPr>
      </w:pPr>
      <w:r w:rsidRPr="009F227C">
        <w:tab/>
      </w:r>
      <w:r w:rsidR="004A1491" w:rsidRPr="009F227C">
        <w:t>C</w:t>
      </w:r>
      <w:r w:rsidR="00F36ABC" w:rsidRPr="009F227C">
        <w:t xml:space="preserve">osts for holiday and social events </w:t>
      </w:r>
      <w:r w:rsidR="004A1491" w:rsidRPr="009F227C">
        <w:t>shall</w:t>
      </w:r>
      <w:r w:rsidR="00F36ABC" w:rsidRPr="009F227C">
        <w:t xml:space="preserve"> be removed as these costs sh</w:t>
      </w:r>
      <w:r w:rsidR="0096199C">
        <w:t>all</w:t>
      </w:r>
      <w:r w:rsidR="00F36ABC" w:rsidRPr="009F227C">
        <w:t xml:space="preserve"> be borne by shareholders instead of customers, as these expenses are not a direct benefit to the Utility’s customers. Therefore, </w:t>
      </w:r>
      <w:r w:rsidR="004A1491" w:rsidRPr="009F227C">
        <w:t>we hereby decrease</w:t>
      </w:r>
      <w:r w:rsidR="00F36ABC" w:rsidRPr="009F227C">
        <w:t xml:space="preserve"> management fees by $2,867 for water and $2,666 for wastewater. </w:t>
      </w:r>
    </w:p>
    <w:p w14:paraId="54DBCACC" w14:textId="77777777" w:rsidR="00F36ABC" w:rsidRPr="009F227C" w:rsidRDefault="00F36ABC" w:rsidP="00F36ABC">
      <w:pPr>
        <w:jc w:val="both"/>
        <w:outlineLvl w:val="2"/>
        <w:rPr>
          <w:b/>
          <w:bCs/>
          <w:iCs/>
        </w:rPr>
      </w:pPr>
      <w:r w:rsidRPr="009F227C">
        <w:rPr>
          <w:b/>
          <w:bCs/>
          <w:iCs/>
        </w:rPr>
        <w:t>Credit Card Expense Clearing</w:t>
      </w:r>
    </w:p>
    <w:p w14:paraId="0EFFDC43" w14:textId="77777777" w:rsidR="00F36ABC" w:rsidRPr="009F227C" w:rsidRDefault="0074572E" w:rsidP="00F36ABC">
      <w:pPr>
        <w:spacing w:after="240"/>
        <w:jc w:val="both"/>
      </w:pPr>
      <w:r w:rsidRPr="009F227C">
        <w:tab/>
      </w:r>
      <w:r w:rsidR="00F36ABC" w:rsidRPr="009F227C">
        <w:t xml:space="preserve">A clearing account is defined as a temporary account containing costs or amounts to be transferred to another account. A review of CII’s and WSC’s general ledgers indicates that the purchasing card charges are recorded in this clearing account until the detailed information is received and the expenses can be properly classified and charged to the appropriate expense object code. Due to the fact that the correct expense account cannot be determined, it is unclear whether the expenses in the credit card clearing account should be allowable for the expenses used in the rate determination. Without a clearly identified expense, we cannot determine whether these expenses are non-utility related, reasonable, or prudent. As such, these expenses </w:t>
      </w:r>
      <w:r w:rsidR="009B73A0" w:rsidRPr="009F227C">
        <w:t>shall</w:t>
      </w:r>
      <w:r w:rsidR="00F36ABC" w:rsidRPr="009F227C">
        <w:t xml:space="preserve"> be removed. Therefore, </w:t>
      </w:r>
      <w:r w:rsidR="009B73A0" w:rsidRPr="009F227C">
        <w:t>we hereby decrease</w:t>
      </w:r>
      <w:r w:rsidR="00F36ABC" w:rsidRPr="009F227C">
        <w:t xml:space="preserve"> management fees by $4,088 for water and $3,801 for wastewater. </w:t>
      </w:r>
    </w:p>
    <w:p w14:paraId="08B1BC40" w14:textId="77777777" w:rsidR="00F36ABC" w:rsidRPr="009F227C" w:rsidRDefault="00F36ABC" w:rsidP="00F36ABC">
      <w:pPr>
        <w:jc w:val="both"/>
        <w:outlineLvl w:val="2"/>
        <w:rPr>
          <w:b/>
          <w:bCs/>
          <w:iCs/>
        </w:rPr>
      </w:pPr>
      <w:r w:rsidRPr="009F227C">
        <w:rPr>
          <w:b/>
          <w:bCs/>
          <w:iCs/>
        </w:rPr>
        <w:t xml:space="preserve">Legal Fees </w:t>
      </w:r>
    </w:p>
    <w:p w14:paraId="258FA8C9" w14:textId="41FF88CB" w:rsidR="00F36ABC" w:rsidRPr="009F227C" w:rsidRDefault="0074572E" w:rsidP="00F36ABC">
      <w:pPr>
        <w:spacing w:after="240"/>
        <w:jc w:val="both"/>
      </w:pPr>
      <w:r w:rsidRPr="009F227C">
        <w:tab/>
      </w:r>
      <w:r w:rsidR="00F36ABC" w:rsidRPr="009F227C">
        <w:t xml:space="preserve">OPC witness Smith addressed two legal cases for which he recommended adjustments. One of the cases was for the retired executive benefits case. This case relates to multiple parties claiming to be the intended beneficiary of a Corix employee who passed away. Witness Smith stated that the customers should not pay legal costs associated with the failure of a former Corix employee to identify beneficiaries associated with their 401k plan or life insurance because this has nothing to do with the provision of water or wastewater services. As such, he argued that the legal costs associated with this case should be excluded </w:t>
      </w:r>
      <w:r w:rsidR="0096199C">
        <w:t>from</w:t>
      </w:r>
      <w:r w:rsidR="00F36ABC" w:rsidRPr="009F227C">
        <w:t xml:space="preserve"> the instant case</w:t>
      </w:r>
      <w:r w:rsidR="00866056" w:rsidRPr="009F227C">
        <w:t xml:space="preserve">. </w:t>
      </w:r>
      <w:r w:rsidR="00F36ABC" w:rsidRPr="009F227C">
        <w:t xml:space="preserve">He recommended that $9,220 in legal expenses be removed from operating expenses. This adjustment allocated to water and wastewater results in a decrease of $4,784 from water and $4,436 from wastewater. </w:t>
      </w:r>
    </w:p>
    <w:p w14:paraId="134AF014" w14:textId="77777777" w:rsidR="00F36ABC" w:rsidRPr="009F227C" w:rsidRDefault="0074572E" w:rsidP="00F36ABC">
      <w:pPr>
        <w:spacing w:after="240"/>
        <w:jc w:val="both"/>
        <w:rPr>
          <w:b/>
        </w:rPr>
      </w:pPr>
      <w:r w:rsidRPr="009F227C">
        <w:lastRenderedPageBreak/>
        <w:tab/>
      </w:r>
      <w:r w:rsidR="00F36ABC" w:rsidRPr="009F227C">
        <w:t xml:space="preserve">Per Sunshine witness DeStefano, witness Smith claimed that the costs should be removed as the legal efforts are not related to the provision of utility service. However, the benefits plans offered by CII are relevant to the provision of service to customers, as the benefit plan costs are included in the Utility’s cost of service. Corix is also the plan sponsor of the benefit plans, and therefore is unable to avoid involvement in disputes or litigation related to the benefit plans. For this claim, Corix petitioned to transfer the balances in dispute to the court to limit its involvement and fulfill its plan sponsor administrative duty. Therefore, Corix’s involvement in the legal dispute was limited to its responsibilities as plan sponsor of benefit plans it makes available to employees, and therefore is a prudently incurred cost. </w:t>
      </w:r>
      <w:r w:rsidR="00C101D5" w:rsidRPr="009F227C">
        <w:t>We also note</w:t>
      </w:r>
      <w:r w:rsidR="00F36ABC" w:rsidRPr="009F227C">
        <w:t xml:space="preserve"> that witness Smith’s calculation of the Sunshine portion of the Benefits case costs omits the Tier 1 portion of the cost allocation process. The calculation of the Benefits case costs for the Test Year applicable to Sunshine is $6,546. </w:t>
      </w:r>
    </w:p>
    <w:p w14:paraId="3CE8E690" w14:textId="77777777" w:rsidR="00F36ABC" w:rsidRPr="009F227C" w:rsidRDefault="0074572E" w:rsidP="00F36ABC">
      <w:pPr>
        <w:spacing w:after="240"/>
        <w:jc w:val="both"/>
      </w:pPr>
      <w:r w:rsidRPr="009F227C">
        <w:tab/>
      </w:r>
      <w:r w:rsidR="00F36ABC" w:rsidRPr="009F227C">
        <w:t xml:space="preserve">Witness Smith also recommended an adjustment to remove legal expenses for the PFAS case. This class-action case relates to PFAS contamination from aqueous film-forming foams for which the Utility’s sister and service company, WSC, is one among many plaintiffs. The damage award amount, if any, and whether the Water Service Corporation could be awarded attorney’s fees, are still open issues. </w:t>
      </w:r>
      <w:r w:rsidR="00C101D5" w:rsidRPr="009F227C">
        <w:t>Witness Smith</w:t>
      </w:r>
      <w:r w:rsidR="00F36ABC" w:rsidRPr="009F227C">
        <w:t xml:space="preserve"> recommends removing $209 in legal expenses from operating expenses, which results in an adjustment of a decrease of $109 from water and a decrease of $101 from wastewater. </w:t>
      </w:r>
    </w:p>
    <w:p w14:paraId="4DE1FE19" w14:textId="77777777" w:rsidR="00F36ABC" w:rsidRPr="009F227C" w:rsidRDefault="0074572E" w:rsidP="00F36ABC">
      <w:pPr>
        <w:spacing w:after="240"/>
        <w:jc w:val="both"/>
        <w:rPr>
          <w:b/>
        </w:rPr>
      </w:pPr>
      <w:r w:rsidRPr="009F227C">
        <w:tab/>
      </w:r>
      <w:r w:rsidR="00F36ABC" w:rsidRPr="009F227C">
        <w:t>Sunshine witness DeStefano stated that witness Smith also claimed the PFAS case has an uncertain outcome and the potential for attorney fee recovery is unknown. Per witness DeStefano, the potential outcome of a legal proceeding has no bearing on the prudency of the costs incurred by the Utility. Witness DeStefano also provided information from his legal counsel that any claims recovery in this class action suit would not make the plaintiffs 100 percent whole, and therefore recovery of attorney’s fees is not likely. The potential for recovery of legal fees related to the case is not known and measurable. Witness DeStefano also noted that witness Smith’s calculation of the Sunshine portion of the PFAS case costs miscalculates the Tier 1 portion of the cost allocation process. The calculation of the PFAS case costs for the Test Year applicable to Sunshine is $297</w:t>
      </w:r>
      <w:r w:rsidR="00866056" w:rsidRPr="009F227C">
        <w:t xml:space="preserve">. </w:t>
      </w:r>
    </w:p>
    <w:p w14:paraId="71DDF27A" w14:textId="77777777" w:rsidR="00F36ABC" w:rsidRPr="009F227C" w:rsidRDefault="0074572E" w:rsidP="00F36ABC">
      <w:pPr>
        <w:spacing w:after="240"/>
        <w:jc w:val="both"/>
      </w:pPr>
      <w:r w:rsidRPr="009F227C">
        <w:tab/>
      </w:r>
      <w:r w:rsidR="00C101D5" w:rsidRPr="009F227C">
        <w:t>We agree</w:t>
      </w:r>
      <w:r w:rsidR="00F36ABC" w:rsidRPr="009F227C">
        <w:t xml:space="preserve"> with</w:t>
      </w:r>
      <w:r w:rsidR="00C101D5" w:rsidRPr="009F227C">
        <w:t xml:space="preserve"> the Utility and </w:t>
      </w:r>
      <w:r w:rsidR="005C1FCC" w:rsidRPr="009F227C">
        <w:t>find</w:t>
      </w:r>
      <w:r w:rsidR="00F36ABC" w:rsidRPr="009F227C">
        <w:t xml:space="preserve"> that both of these cases represent normal legal expenses and given their overall immateriality, </w:t>
      </w:r>
      <w:r w:rsidR="00C101D5" w:rsidRPr="009F227C">
        <w:t>find</w:t>
      </w:r>
      <w:r w:rsidR="00F36ABC" w:rsidRPr="009F227C">
        <w:t xml:space="preserve"> that these legal costs </w:t>
      </w:r>
      <w:r w:rsidR="00C101D5" w:rsidRPr="009F227C">
        <w:t xml:space="preserve">shall </w:t>
      </w:r>
      <w:r w:rsidR="00F36ABC" w:rsidRPr="009F227C">
        <w:t>remain in the test year.</w:t>
      </w:r>
    </w:p>
    <w:p w14:paraId="6AAC13A6" w14:textId="77777777" w:rsidR="00C101D5" w:rsidRPr="009F227C" w:rsidRDefault="00C101D5" w:rsidP="00172BA1">
      <w:pPr>
        <w:pStyle w:val="ListParagraph"/>
        <w:numPr>
          <w:ilvl w:val="0"/>
          <w:numId w:val="20"/>
        </w:numPr>
        <w:spacing w:after="240"/>
        <w:ind w:hanging="720"/>
        <w:jc w:val="both"/>
      </w:pPr>
      <w:r w:rsidRPr="009F227C">
        <w:t>Conclusion</w:t>
      </w:r>
    </w:p>
    <w:p w14:paraId="667AC5B5" w14:textId="77777777" w:rsidR="00F36ABC" w:rsidRDefault="0074572E" w:rsidP="00F36ABC">
      <w:pPr>
        <w:pStyle w:val="OrderBody"/>
      </w:pPr>
      <w:r w:rsidRPr="009F227C">
        <w:tab/>
      </w:r>
      <w:r w:rsidR="00F36ABC" w:rsidRPr="009F227C">
        <w:t xml:space="preserve">Based on the </w:t>
      </w:r>
      <w:r w:rsidR="00C101D5" w:rsidRPr="009F227C">
        <w:t>foregoing analysis</w:t>
      </w:r>
      <w:r w:rsidR="00F36ABC" w:rsidRPr="009F227C">
        <w:t xml:space="preserve">, </w:t>
      </w:r>
      <w:r w:rsidR="00C101D5" w:rsidRPr="009F227C">
        <w:t xml:space="preserve">we find that </w:t>
      </w:r>
      <w:r w:rsidR="00F36ABC" w:rsidRPr="009F227C">
        <w:t xml:space="preserve">test year management fees (Contractual Services – Management/Corporate/Regional Allocation) </w:t>
      </w:r>
      <w:r w:rsidR="00C101D5" w:rsidRPr="009F227C">
        <w:t>shall</w:t>
      </w:r>
      <w:r w:rsidR="00F36ABC" w:rsidRPr="009F227C">
        <w:t xml:space="preserve"> be decreased by $33,768 ($975 + $18,984 + $5,071 +$1,703 + $40 + $40 + $2,867 + $4,088) for water and $31,393 ($904 + $17,651 + $4,715 + $1,583 + $37 + $37 + $2,666 + $3,801) for wastewater.</w:t>
      </w:r>
    </w:p>
    <w:p w14:paraId="13D53E61" w14:textId="535DC415" w:rsidR="0096199C" w:rsidRDefault="0096199C" w:rsidP="00F36ABC">
      <w:pPr>
        <w:pStyle w:val="OrderBody"/>
      </w:pPr>
    </w:p>
    <w:p w14:paraId="4F383CAF" w14:textId="2989C94F" w:rsidR="00136C8A" w:rsidRDefault="00136C8A" w:rsidP="00F36ABC">
      <w:pPr>
        <w:pStyle w:val="OrderBody"/>
      </w:pPr>
    </w:p>
    <w:p w14:paraId="25FC9DCA" w14:textId="1FD17C73" w:rsidR="00136C8A" w:rsidRDefault="00136C8A" w:rsidP="00F36ABC">
      <w:pPr>
        <w:pStyle w:val="OrderBody"/>
      </w:pPr>
    </w:p>
    <w:p w14:paraId="42A01447" w14:textId="77777777" w:rsidR="00136C8A" w:rsidRPr="009F227C" w:rsidRDefault="00136C8A" w:rsidP="00F36ABC">
      <w:pPr>
        <w:pStyle w:val="OrderBody"/>
      </w:pPr>
    </w:p>
    <w:p w14:paraId="7EEA3E91" w14:textId="59DAD0B3" w:rsidR="00444BCC" w:rsidRPr="009F227C" w:rsidRDefault="00444BCC" w:rsidP="00172BA1">
      <w:pPr>
        <w:pStyle w:val="ListParagraph"/>
        <w:numPr>
          <w:ilvl w:val="0"/>
          <w:numId w:val="45"/>
        </w:numPr>
        <w:ind w:hanging="1080"/>
        <w:jc w:val="both"/>
        <w:outlineLvl w:val="0"/>
        <w:rPr>
          <w:bCs/>
          <w:kern w:val="32"/>
          <w:szCs w:val="32"/>
          <w:u w:val="single"/>
        </w:rPr>
      </w:pPr>
      <w:bookmarkStart w:id="41" w:name="_Toc199321469"/>
      <w:r w:rsidRPr="009F227C">
        <w:rPr>
          <w:u w:val="single"/>
        </w:rPr>
        <w:lastRenderedPageBreak/>
        <w:t>Test Year (O&amp;M) Expenses</w:t>
      </w:r>
      <w:r w:rsidR="00EB31F5" w:rsidRPr="009F227C">
        <w:rPr>
          <w:u w:val="single"/>
        </w:rPr>
        <w:t xml:space="preserve"> (Issue 28)</w:t>
      </w:r>
      <w:bookmarkEnd w:id="41"/>
    </w:p>
    <w:p w14:paraId="7B6F2C45" w14:textId="77777777" w:rsidR="00444BCC" w:rsidRPr="009F227C" w:rsidRDefault="00444BCC" w:rsidP="00444BCC">
      <w:pPr>
        <w:jc w:val="both"/>
        <w:outlineLvl w:val="0"/>
        <w:rPr>
          <w:bCs/>
          <w:kern w:val="32"/>
          <w:szCs w:val="32"/>
        </w:rPr>
      </w:pPr>
    </w:p>
    <w:p w14:paraId="73024CF9" w14:textId="77777777" w:rsidR="00444BCC" w:rsidRPr="009F227C" w:rsidRDefault="00444BCC" w:rsidP="00172BA1">
      <w:pPr>
        <w:pStyle w:val="ListParagraph"/>
        <w:numPr>
          <w:ilvl w:val="0"/>
          <w:numId w:val="21"/>
        </w:numPr>
        <w:spacing w:after="240"/>
        <w:ind w:hanging="630"/>
        <w:jc w:val="both"/>
      </w:pPr>
      <w:r w:rsidRPr="009F227C">
        <w:t>Analysis</w:t>
      </w:r>
    </w:p>
    <w:p w14:paraId="3A4FDAAD" w14:textId="77777777" w:rsidR="00F36ABC" w:rsidRPr="009F227C" w:rsidRDefault="00F36ABC" w:rsidP="00DF5225">
      <w:pPr>
        <w:spacing w:after="240"/>
        <w:ind w:firstLine="720"/>
        <w:jc w:val="both"/>
      </w:pPr>
      <w:r w:rsidRPr="009F227C">
        <w:t>In its MFRs, Sunshine requested Operation and Maintenance (O&amp;M) expense of $13,286,795 for water and $15,625,735 for wastewater</w:t>
      </w:r>
      <w:r w:rsidR="00866056" w:rsidRPr="009F227C">
        <w:t xml:space="preserve">. </w:t>
      </w:r>
      <w:r w:rsidRPr="009F227C">
        <w:t xml:space="preserve">Sunshine made several adjustments to test year O&amp;M expenses. </w:t>
      </w:r>
      <w:r w:rsidR="001D3577" w:rsidRPr="009F227C">
        <w:t xml:space="preserve">Our </w:t>
      </w:r>
      <w:r w:rsidRPr="009F227C">
        <w:t>adjustments to the Utility’s test year O&amp;M expenses are discussed below.</w:t>
      </w:r>
    </w:p>
    <w:p w14:paraId="2485002E" w14:textId="77777777" w:rsidR="00F36ABC" w:rsidRPr="009F227C" w:rsidRDefault="00F36ABC" w:rsidP="00F36ABC">
      <w:pPr>
        <w:jc w:val="both"/>
        <w:outlineLvl w:val="2"/>
        <w:rPr>
          <w:b/>
          <w:bCs/>
          <w:iCs/>
          <w:szCs w:val="28"/>
        </w:rPr>
      </w:pPr>
      <w:r w:rsidRPr="009F227C">
        <w:rPr>
          <w:b/>
          <w:bCs/>
          <w:iCs/>
          <w:szCs w:val="28"/>
        </w:rPr>
        <w:t>Audit Finding No. 9</w:t>
      </w:r>
    </w:p>
    <w:p w14:paraId="1D64BCAE" w14:textId="3784D039" w:rsidR="00F36ABC" w:rsidRPr="009F227C" w:rsidRDefault="0074572E" w:rsidP="00F36ABC">
      <w:pPr>
        <w:spacing w:after="240"/>
        <w:jc w:val="both"/>
      </w:pPr>
      <w:r w:rsidRPr="009F227C">
        <w:tab/>
      </w:r>
      <w:r w:rsidR="00F36ABC" w:rsidRPr="009F227C">
        <w:t xml:space="preserve">As discussed in </w:t>
      </w:r>
      <w:r w:rsidR="001D3577" w:rsidRPr="009F227C">
        <w:t>staff</w:t>
      </w:r>
      <w:r w:rsidR="00F36ABC" w:rsidRPr="009F227C">
        <w:t xml:space="preserve"> witness Mouring’s testimony and associated audit report, O&amp;M </w:t>
      </w:r>
      <w:r w:rsidR="004C13DF" w:rsidRPr="009F227C">
        <w:t>shall</w:t>
      </w:r>
      <w:r w:rsidR="00F36ABC" w:rsidRPr="009F227C">
        <w:t xml:space="preserve"> be decreased by $2,823 for water and $17,160 for wastewater. For water, Account 636 (Contractual Services – Other) </w:t>
      </w:r>
      <w:r w:rsidR="004C13DF" w:rsidRPr="009F227C">
        <w:t>shall</w:t>
      </w:r>
      <w:r w:rsidR="00F36ABC" w:rsidRPr="009F227C">
        <w:t xml:space="preserve"> be decreased by $408, Account 635 (Contractual Services – Testing) </w:t>
      </w:r>
      <w:r w:rsidR="004C13DF" w:rsidRPr="009F227C">
        <w:t>shall</w:t>
      </w:r>
      <w:r w:rsidR="00F36ABC" w:rsidRPr="009F227C">
        <w:t xml:space="preserve"> be decreased by $2,415, Account 631 (Contractual Services – Engineering) </w:t>
      </w:r>
      <w:r w:rsidR="004C13DF" w:rsidRPr="009F227C">
        <w:t xml:space="preserve">shall </w:t>
      </w:r>
      <w:r w:rsidR="00F36ABC" w:rsidRPr="009F227C">
        <w:t xml:space="preserve">be decreased by $46,000, Account 633 (Contractual Services – Legal) </w:t>
      </w:r>
      <w:r w:rsidR="004C13DF" w:rsidRPr="009F227C">
        <w:t xml:space="preserve">shall </w:t>
      </w:r>
      <w:r w:rsidR="00F36ABC" w:rsidRPr="009F227C">
        <w:t xml:space="preserve">be decreased by $45,491, Account 615 (Purchased Power) </w:t>
      </w:r>
      <w:r w:rsidR="004C13DF" w:rsidRPr="009F227C">
        <w:t xml:space="preserve">shall </w:t>
      </w:r>
      <w:r w:rsidR="00F36ABC" w:rsidRPr="009F227C">
        <w:t xml:space="preserve">be decreased by $53.64, and $426.85 </w:t>
      </w:r>
      <w:r w:rsidR="004C13DF" w:rsidRPr="009F227C">
        <w:t xml:space="preserve">shall </w:t>
      </w:r>
      <w:r w:rsidR="00F36ABC" w:rsidRPr="009F227C">
        <w:t xml:space="preserve">be reclassified from Account 642 (Rental of equipment) to Account 340 (Office Furniture and Equipment). For wastewater, Account 736 (Contractual Services – Other) </w:t>
      </w:r>
      <w:r w:rsidR="004C13DF" w:rsidRPr="009F227C">
        <w:t>shall</w:t>
      </w:r>
      <w:r w:rsidR="00F36ABC" w:rsidRPr="009F227C">
        <w:t xml:space="preserve"> be decreased by $45, Account 735 (Contractual Services – Testing) </w:t>
      </w:r>
      <w:r w:rsidR="004C13DF" w:rsidRPr="009F227C">
        <w:t>shall</w:t>
      </w:r>
      <w:r w:rsidR="00F36ABC" w:rsidRPr="009F227C">
        <w:t xml:space="preserve"> be decreased by $2,064, and Account 710 (Purchased Wastewater Treatment) </w:t>
      </w:r>
      <w:r w:rsidR="004C13DF" w:rsidRPr="009F227C">
        <w:t>shall</w:t>
      </w:r>
      <w:r w:rsidR="00F36ABC" w:rsidRPr="009F227C">
        <w:t xml:space="preserve"> be decreased by $15,051. </w:t>
      </w:r>
    </w:p>
    <w:p w14:paraId="3CA71C21" w14:textId="77777777" w:rsidR="00F36ABC" w:rsidRPr="009F227C" w:rsidRDefault="0074572E" w:rsidP="00F36ABC">
      <w:pPr>
        <w:spacing w:after="240"/>
        <w:jc w:val="both"/>
      </w:pPr>
      <w:r w:rsidRPr="009F227C">
        <w:tab/>
      </w:r>
      <w:r w:rsidR="00F36ABC" w:rsidRPr="009F227C">
        <w:t>The adjustments made to Accounts 631, 636, 635, and 735 were to remove out of period invoices from O&amp;M accounts. The adjustments made to Account 633 were to remove out of period invoices and to remove attorney fees. The adjustment to Account 736 was made to remove late fees. The adjustment to Account 614 was to remove customer late payment charges. The adjustments made to Account 710 were to remove out of period invoices and to remove a Utility bill that includes water and wastewater charges but the line item only includes water service</w:t>
      </w:r>
      <w:r w:rsidR="00866056" w:rsidRPr="009F227C">
        <w:t xml:space="preserve">. </w:t>
      </w:r>
    </w:p>
    <w:p w14:paraId="71EEEB50" w14:textId="069CD45F" w:rsidR="00F36ABC" w:rsidRPr="009F227C" w:rsidRDefault="0074572E" w:rsidP="00F36ABC">
      <w:pPr>
        <w:spacing w:after="240"/>
        <w:jc w:val="both"/>
      </w:pPr>
      <w:r w:rsidRPr="009F227C">
        <w:tab/>
      </w:r>
      <w:r w:rsidR="00F36ABC" w:rsidRPr="009F227C">
        <w:t xml:space="preserve">For Account 631, the Utility argued that $53,000 of audit </w:t>
      </w:r>
      <w:r w:rsidR="001D3577" w:rsidRPr="009F227C">
        <w:t>staff</w:t>
      </w:r>
      <w:r w:rsidR="00F36ABC" w:rsidRPr="009F227C">
        <w:t>’s adjustment is a credit amount representing items moved from Account 631 to construction work in progress (CWIP) projects during the test year</w:t>
      </w:r>
      <w:r w:rsidR="00866056" w:rsidRPr="009F227C">
        <w:t xml:space="preserve">. </w:t>
      </w:r>
      <w:r w:rsidR="00F36ABC" w:rsidRPr="009F227C">
        <w:t>The invoices were originally from prior to 2023, therefore the items are credits to expense in 2023</w:t>
      </w:r>
      <w:r w:rsidR="00866056" w:rsidRPr="009F227C">
        <w:t xml:space="preserve">. </w:t>
      </w:r>
      <w:r w:rsidR="00F36ABC" w:rsidRPr="009F227C">
        <w:t>The Utility stated that $53,000 of credits to expense should be removed, increasing O&amp;M by that amount</w:t>
      </w:r>
      <w:r w:rsidR="00A14135">
        <w:t>, and t</w:t>
      </w:r>
      <w:r w:rsidR="00F36ABC" w:rsidRPr="009F227C">
        <w:t xml:space="preserve">he remaining reduction of $7,000 of the adjustment </w:t>
      </w:r>
      <w:r w:rsidR="00140C31">
        <w:t>should</w:t>
      </w:r>
      <w:r w:rsidR="00140C31" w:rsidRPr="009F227C">
        <w:t xml:space="preserve"> </w:t>
      </w:r>
      <w:r w:rsidR="00F36ABC" w:rsidRPr="009F227C">
        <w:t>not be made</w:t>
      </w:r>
      <w:r w:rsidR="00866056" w:rsidRPr="009F227C">
        <w:t xml:space="preserve">. </w:t>
      </w:r>
      <w:r w:rsidR="00F36ABC" w:rsidRPr="009F227C">
        <w:t>For Account 633, the Utility argued that, for reasons already discussed in reference to Account 631, a credit to expenses of $35,491 should be removed from O&amp;M expenses</w:t>
      </w:r>
      <w:r w:rsidR="00866056" w:rsidRPr="009F227C">
        <w:t xml:space="preserve">. </w:t>
      </w:r>
      <w:r w:rsidR="00F36ABC" w:rsidRPr="009F227C">
        <w:t>The $10,000 of legal fees were from December 2023 and were reclassified to a CWIP project at the end of that month</w:t>
      </w:r>
      <w:r w:rsidR="00866056" w:rsidRPr="009F227C">
        <w:t xml:space="preserve">. </w:t>
      </w:r>
      <w:r w:rsidR="00F36ABC" w:rsidRPr="009F227C">
        <w:t xml:space="preserve">Therefore, no adjustment is needed. For Account 636, the Utility argued the adjustments were regarding invoices for services performed in 2023, thus not </w:t>
      </w:r>
      <w:r w:rsidR="00F51E2A">
        <w:t xml:space="preserve">an </w:t>
      </w:r>
      <w:r w:rsidR="00F36ABC" w:rsidRPr="009F227C">
        <w:t>out of period activity. The Utility stated no adjustment is needed</w:t>
      </w:r>
      <w:r w:rsidR="00866056" w:rsidRPr="009F227C">
        <w:t xml:space="preserve">. </w:t>
      </w:r>
      <w:r w:rsidR="00F36ABC" w:rsidRPr="009F227C">
        <w:t>The Utility agreed with the adjustments to Accounts 736 and 635</w:t>
      </w:r>
      <w:r w:rsidR="00866056" w:rsidRPr="009F227C">
        <w:t xml:space="preserve">. </w:t>
      </w:r>
      <w:r w:rsidR="00F36ABC" w:rsidRPr="009F227C">
        <w:t>For Account 735, the Utility explained that the finding is regarding 3 separate transactions. $1,857 of the adjustment total was for work performed in December 2022</w:t>
      </w:r>
      <w:r w:rsidR="00866056" w:rsidRPr="009F227C">
        <w:t xml:space="preserve">. </w:t>
      </w:r>
      <w:r w:rsidR="00F36ABC" w:rsidRPr="009F227C">
        <w:t xml:space="preserve">This invoice is one of the 12 monthly invoices in the test year. Therefore, it </w:t>
      </w:r>
      <w:r w:rsidR="003A06BE" w:rsidRPr="009F227C">
        <w:t>shall</w:t>
      </w:r>
      <w:r w:rsidR="00F36ABC" w:rsidRPr="009F227C">
        <w:t xml:space="preserve"> remain in the test year to represent a full 12 months. The second part of this adjustment is a credit in the amount of $260, reflecting the reversal of a prior year receipt. Because this transaction is non-recurring and out of the test period, it </w:t>
      </w:r>
      <w:r w:rsidR="003A06BE" w:rsidRPr="009F227C">
        <w:t>shall</w:t>
      </w:r>
      <w:r w:rsidR="00F36ABC" w:rsidRPr="009F227C">
        <w:t xml:space="preserve"> be removed. The last part of this </w:t>
      </w:r>
      <w:r w:rsidR="00F36ABC" w:rsidRPr="009F227C">
        <w:lastRenderedPageBreak/>
        <w:t>adjustment is also a non-recurring invoice occurring outside of the test year in the amount of $467</w:t>
      </w:r>
      <w:r w:rsidR="00F51E2A">
        <w:t xml:space="preserve">, and </w:t>
      </w:r>
      <w:r w:rsidR="003A06BE" w:rsidRPr="009F227C">
        <w:t>shall</w:t>
      </w:r>
      <w:r w:rsidR="00F36ABC" w:rsidRPr="009F227C">
        <w:t xml:space="preserve"> also be removed. The Utility stated the adjustment to Account 615 represents customer late payment charges</w:t>
      </w:r>
      <w:r w:rsidR="00866056" w:rsidRPr="009F227C">
        <w:t xml:space="preserve">. </w:t>
      </w:r>
      <w:r w:rsidR="00F36ABC" w:rsidRPr="009F227C">
        <w:t xml:space="preserve">This is an appropriate entry for this account and this item </w:t>
      </w:r>
      <w:r w:rsidR="003A06BE" w:rsidRPr="009F227C">
        <w:t>shall</w:t>
      </w:r>
      <w:r w:rsidR="00F36ABC" w:rsidRPr="009F227C">
        <w:t xml:space="preserve"> not be removed. For Account 710, the $15,051 invoice from January 2023 was for service in December 2022. The invoice was accrued in December 2022, and the accrual reversed in January 2022. The Utility argued that this is standard accrual accounting practice and there is no need for this adjustment. The $13,244 amount is from the water portion of a water and wastewater combined invoice. This amount was originally posted to Account 710, but was later reclassified to 610 in the same month. Therefore, the Utility argued there is no need to make this adjustment</w:t>
      </w:r>
      <w:r w:rsidR="00866056" w:rsidRPr="009F227C">
        <w:t xml:space="preserve">. </w:t>
      </w:r>
      <w:r w:rsidR="00F36ABC" w:rsidRPr="009F227C">
        <w:t>Lastly, the Utility identified that an invoice in the amount of $427 for office supplies should be reflected in Account 675 and not reclassified to Account 340, as the items purchases do not classify as an asset</w:t>
      </w:r>
      <w:r w:rsidR="00866056" w:rsidRPr="009F227C">
        <w:t xml:space="preserve">. </w:t>
      </w:r>
      <w:r w:rsidR="003A06BE" w:rsidRPr="009F227C">
        <w:t>We agree</w:t>
      </w:r>
      <w:r w:rsidR="00F36ABC" w:rsidRPr="009F227C">
        <w:t xml:space="preserve"> with the Utility’s position on these audit adjustments. In total, O&amp;M expenses </w:t>
      </w:r>
      <w:r w:rsidR="003A06BE" w:rsidRPr="009F227C">
        <w:t>shall</w:t>
      </w:r>
      <w:r w:rsidR="00F36ABC" w:rsidRPr="009F227C">
        <w:t xml:space="preserve"> be increased by $43,442 and $42,383 for water and wastewater, respectively, to reflect the corrections for Audit Finding 9.</w:t>
      </w:r>
    </w:p>
    <w:p w14:paraId="75C64748" w14:textId="7565F824" w:rsidR="00F36ABC" w:rsidRPr="009F227C" w:rsidRDefault="00F36ABC" w:rsidP="00F36ABC">
      <w:pPr>
        <w:jc w:val="both"/>
        <w:outlineLvl w:val="2"/>
        <w:rPr>
          <w:b/>
          <w:bCs/>
          <w:iCs/>
          <w:szCs w:val="28"/>
        </w:rPr>
      </w:pPr>
      <w:r w:rsidRPr="009F227C">
        <w:rPr>
          <w:b/>
          <w:bCs/>
          <w:iCs/>
          <w:szCs w:val="28"/>
        </w:rPr>
        <w:t xml:space="preserve">Directors and Officers </w:t>
      </w:r>
      <w:r w:rsidR="00F51E2A">
        <w:rPr>
          <w:b/>
          <w:bCs/>
          <w:iCs/>
          <w:szCs w:val="28"/>
        </w:rPr>
        <w:t xml:space="preserve">Liability </w:t>
      </w:r>
      <w:r w:rsidRPr="009F227C">
        <w:rPr>
          <w:b/>
          <w:bCs/>
          <w:iCs/>
          <w:szCs w:val="28"/>
        </w:rPr>
        <w:t>(DO</w:t>
      </w:r>
      <w:r w:rsidR="00F51E2A">
        <w:rPr>
          <w:b/>
          <w:bCs/>
          <w:iCs/>
          <w:szCs w:val="28"/>
        </w:rPr>
        <w:t>L</w:t>
      </w:r>
      <w:r w:rsidRPr="009F227C">
        <w:rPr>
          <w:b/>
          <w:bCs/>
          <w:iCs/>
          <w:szCs w:val="28"/>
        </w:rPr>
        <w:t>) Insurance</w:t>
      </w:r>
    </w:p>
    <w:p w14:paraId="52A992A9" w14:textId="3A640D70" w:rsidR="00F36ABC" w:rsidRPr="009F227C" w:rsidRDefault="0074572E" w:rsidP="00F36ABC">
      <w:pPr>
        <w:spacing w:after="240"/>
        <w:jc w:val="both"/>
      </w:pPr>
      <w:r w:rsidRPr="009F227C">
        <w:tab/>
      </w:r>
      <w:r w:rsidR="00F36ABC" w:rsidRPr="009F227C">
        <w:t>OPC witness Smith proposed an adjustment of $22,467, $11,637 from water and $10,790 from wast</w:t>
      </w:r>
      <w:r w:rsidR="005D56ED" w:rsidRPr="009F227C">
        <w:t xml:space="preserve">ewater to reduce directors and </w:t>
      </w:r>
      <w:r w:rsidR="00F36ABC" w:rsidRPr="009F227C">
        <w:t>officers liability (DOL) insurance expense</w:t>
      </w:r>
      <w:r w:rsidR="00866056" w:rsidRPr="009F227C">
        <w:t xml:space="preserve">. </w:t>
      </w:r>
      <w:r w:rsidR="00F36ABC" w:rsidRPr="009F227C">
        <w:t>This insurance protects shareholders from the decisions they made when they hired the Company’s Board of Directors and the Board of Directors in turn hired the officers of the Company. Witness Smith stated the DOL insurance is primarily a benefit to the shareholders, therefore they should be responsible for the costs associated with this insurance coverage</w:t>
      </w:r>
      <w:r w:rsidR="00866056" w:rsidRPr="009F227C">
        <w:t xml:space="preserve">. </w:t>
      </w:r>
      <w:r w:rsidR="00F36ABC" w:rsidRPr="009F227C">
        <w:t>OPC proposed this adjustment to remove half of the costs from the expenses</w:t>
      </w:r>
      <w:r w:rsidR="00866056" w:rsidRPr="009F227C">
        <w:t xml:space="preserve">. </w:t>
      </w:r>
      <w:r w:rsidR="00F36ABC" w:rsidRPr="009F227C">
        <w:t>Sunshine witness DeStefano argued the DOL insurance is not primarily a benefit to the shareholders. Witness DeStefano stated shareholders are not the beneficiaries or insured parties of the DOL policy</w:t>
      </w:r>
      <w:r w:rsidR="00866056" w:rsidRPr="009F227C">
        <w:t xml:space="preserve">. </w:t>
      </w:r>
      <w:r w:rsidR="00F36ABC" w:rsidRPr="009F227C">
        <w:t>Witness DeStefano also argued this type of insurance has long been expected for these director and officer positions. Without the protection of the insurance policies, potential employees for these positions could possibly reject employment opportunities or request much higher pay</w:t>
      </w:r>
      <w:r w:rsidR="00866056" w:rsidRPr="009F227C">
        <w:t xml:space="preserve">. </w:t>
      </w:r>
      <w:r w:rsidR="00F36ABC" w:rsidRPr="009F227C">
        <w:t>In its brief, Sunshine stated that DOL insurance is essential to obtain and retain qualified individuals for leadership positions. Therefore, it is a benefit to the customers</w:t>
      </w:r>
      <w:r w:rsidR="00866056" w:rsidRPr="009F227C">
        <w:t xml:space="preserve">. </w:t>
      </w:r>
      <w:r w:rsidR="00F36ABC" w:rsidRPr="009F227C">
        <w:t xml:space="preserve">However, in previous rate cases, </w:t>
      </w:r>
      <w:r w:rsidR="005D56ED" w:rsidRPr="009F227C">
        <w:t>we have</w:t>
      </w:r>
      <w:r w:rsidR="00F36ABC" w:rsidRPr="009F227C">
        <w:t xml:space="preserve"> allowed half of the cost of DOL insurance to stay in test year expenses.</w:t>
      </w:r>
      <w:r w:rsidR="00F36ABC" w:rsidRPr="009F227C">
        <w:rPr>
          <w:vertAlign w:val="superscript"/>
        </w:rPr>
        <w:footnoteReference w:id="32"/>
      </w:r>
      <w:r w:rsidR="00F36ABC" w:rsidRPr="009F227C">
        <w:t xml:space="preserve"> </w:t>
      </w:r>
      <w:r w:rsidR="005D56ED" w:rsidRPr="009F227C">
        <w:t>We agree</w:t>
      </w:r>
      <w:r w:rsidR="00F36ABC" w:rsidRPr="009F227C">
        <w:t xml:space="preserve"> with OPC’s argument and adjustment to remove half of the DOL insurance from expenses. </w:t>
      </w:r>
      <w:r w:rsidR="005D56ED" w:rsidRPr="009F227C">
        <w:t>Therefore, we shall decrease</w:t>
      </w:r>
      <w:r w:rsidR="00F36ABC" w:rsidRPr="009F227C">
        <w:t xml:space="preserve"> O&amp;M expenses by $11,637 from water and $10,790 from wastewater.</w:t>
      </w:r>
    </w:p>
    <w:p w14:paraId="4E6C40D3" w14:textId="77777777" w:rsidR="00F36ABC" w:rsidRPr="009F227C" w:rsidRDefault="00F36ABC" w:rsidP="00F36ABC">
      <w:pPr>
        <w:jc w:val="both"/>
        <w:outlineLvl w:val="2"/>
        <w:rPr>
          <w:b/>
          <w:bCs/>
          <w:iCs/>
          <w:szCs w:val="28"/>
        </w:rPr>
      </w:pPr>
      <w:r w:rsidRPr="009F227C">
        <w:rPr>
          <w:b/>
          <w:bCs/>
          <w:iCs/>
          <w:szCs w:val="28"/>
        </w:rPr>
        <w:t>DEP Penalty</w:t>
      </w:r>
    </w:p>
    <w:p w14:paraId="29FFB9EB" w14:textId="2AC60020" w:rsidR="00F36ABC" w:rsidRPr="009F227C" w:rsidRDefault="0074572E" w:rsidP="00F36ABC">
      <w:pPr>
        <w:spacing w:after="240"/>
        <w:jc w:val="both"/>
      </w:pPr>
      <w:r w:rsidRPr="009F227C">
        <w:tab/>
      </w:r>
      <w:r w:rsidR="00F36ABC" w:rsidRPr="009F227C">
        <w:t>In response to discovery, the Utility stated that it had incorrectly included a Florida DEP penalty accrual as an expense</w:t>
      </w:r>
      <w:r w:rsidR="00866056" w:rsidRPr="009F227C">
        <w:t xml:space="preserve">. </w:t>
      </w:r>
      <w:r w:rsidR="00F36ABC" w:rsidRPr="009F227C">
        <w:t>OPC witness Smith also identified this as an adjustment that needed to be made. The adjustment to remove this penalty from O&amp;M expenses consists of $165,188 for water and $153,584 for wastewater</w:t>
      </w:r>
      <w:r w:rsidR="00866056" w:rsidRPr="009F227C">
        <w:t xml:space="preserve">. </w:t>
      </w:r>
      <w:r w:rsidR="00F36ABC" w:rsidRPr="009F227C">
        <w:t>In Utility witness DeStefano’s rebuttal testimony, he stated the Utility agreed with this adjustment</w:t>
      </w:r>
      <w:r w:rsidR="00866056" w:rsidRPr="009F227C">
        <w:t xml:space="preserve">. </w:t>
      </w:r>
      <w:r w:rsidR="00F36ABC" w:rsidRPr="009F227C">
        <w:t xml:space="preserve">Therefore, </w:t>
      </w:r>
      <w:r w:rsidR="00B83D11" w:rsidRPr="009F227C">
        <w:t>we shall make</w:t>
      </w:r>
      <w:r w:rsidR="00F36ABC" w:rsidRPr="009F227C">
        <w:t xml:space="preserve"> a reduction of $165,188 for wate</w:t>
      </w:r>
      <w:r w:rsidR="00B83D11" w:rsidRPr="009F227C">
        <w:t>r and $153,584 for wastewater</w:t>
      </w:r>
      <w:r w:rsidR="00F36ABC" w:rsidRPr="009F227C">
        <w:t>.</w:t>
      </w:r>
    </w:p>
    <w:p w14:paraId="528C28FD" w14:textId="77777777" w:rsidR="00F36ABC" w:rsidRPr="009F227C" w:rsidRDefault="00F36ABC" w:rsidP="00F36ABC">
      <w:pPr>
        <w:jc w:val="both"/>
        <w:outlineLvl w:val="2"/>
        <w:rPr>
          <w:b/>
          <w:bCs/>
          <w:iCs/>
          <w:szCs w:val="28"/>
        </w:rPr>
      </w:pPr>
      <w:r w:rsidRPr="009F227C">
        <w:rPr>
          <w:b/>
          <w:bCs/>
          <w:iCs/>
          <w:szCs w:val="28"/>
        </w:rPr>
        <w:lastRenderedPageBreak/>
        <w:t>Wekiva Legal Expenses</w:t>
      </w:r>
    </w:p>
    <w:p w14:paraId="660D49B9" w14:textId="5413E568" w:rsidR="00F36ABC" w:rsidRPr="009F227C" w:rsidRDefault="0074572E" w:rsidP="00F36ABC">
      <w:pPr>
        <w:spacing w:after="240"/>
        <w:jc w:val="both"/>
      </w:pPr>
      <w:r w:rsidRPr="009F227C">
        <w:tab/>
      </w:r>
      <w:r w:rsidR="00F36ABC" w:rsidRPr="009F227C">
        <w:t xml:space="preserve">OPC proposed the removal of $210,838 in legal expenses from the Utility’s wastewater O&amp;M expenses. This proposed adjustment comes from the Wekiva legal proceeding. The proceeding concerns multiple inspections conducted by DEP in March and April of 2022. After those inspections, DEP issued a Warning Letter in April 2022 alleging violations of Florida </w:t>
      </w:r>
      <w:r w:rsidR="001E6F00">
        <w:t>l</w:t>
      </w:r>
      <w:r w:rsidR="00F36ABC" w:rsidRPr="009F227C">
        <w:t xml:space="preserve">aw. This Warning Letter represents the initiation of a civil proceeding. The proceeding is then finished if DEP finds the response to be agreeable. DEP and Sunshine conducted multiple meetings and reached a resolution with a Consent Order on May 23, 2024. At the time of these inspections, a special agent from DEP’s criminal division was in attendance. Sunshine was then notified a criminal investigation was also ongoing. Sunshine hired criminal counsel to protect itself. Sunshine has not received any more formal requests after April 2023 and no formal proceeding has been filed. At this time, many of the relevant statute of limitations have passed. Sunshine assumes the case has been closed, but has not received any official notice of closure. </w:t>
      </w:r>
    </w:p>
    <w:p w14:paraId="26D239EA" w14:textId="77777777" w:rsidR="00F36ABC" w:rsidRPr="009F227C" w:rsidRDefault="0074572E" w:rsidP="00F36ABC">
      <w:pPr>
        <w:spacing w:after="240"/>
        <w:jc w:val="both"/>
      </w:pPr>
      <w:r w:rsidRPr="009F227C">
        <w:tab/>
      </w:r>
      <w:r w:rsidR="00F36ABC" w:rsidRPr="009F227C">
        <w:t>In OPC witness Smith’s direct testimony, he argued that these costs are not recurring and therefore should not be included in O&amp;M expenses and should be amortized over 5 years</w:t>
      </w:r>
      <w:r w:rsidR="00866056" w:rsidRPr="009F227C">
        <w:t xml:space="preserve">. </w:t>
      </w:r>
      <w:r w:rsidR="00F36ABC" w:rsidRPr="009F227C">
        <w:t>The Utility agreed with this adjustment being made and the amortization of the amount over 5 years</w:t>
      </w:r>
      <w:r w:rsidR="00866056" w:rsidRPr="009F227C">
        <w:t xml:space="preserve">. </w:t>
      </w:r>
      <w:r w:rsidR="00F36ABC" w:rsidRPr="009F227C">
        <w:t>In its brief, OPC stated customers should not be forced to pay the legal defense costs for mismanagement of a system that led to the need to fend off possible criminal charges against management employees</w:t>
      </w:r>
      <w:r w:rsidR="00866056" w:rsidRPr="009F227C">
        <w:t xml:space="preserve">. </w:t>
      </w:r>
      <w:r w:rsidR="00B83D11" w:rsidRPr="009F227C">
        <w:t xml:space="preserve">We agree </w:t>
      </w:r>
      <w:r w:rsidR="00F36ABC" w:rsidRPr="009F227C">
        <w:t>that customers should not be responsible for expenses related to management issues associated with the Wekiva WWTP. OPC stated the entire amount of $777,225 should be denied, with $320,657 coming from the 2022 amount and $347,991 coming from the 2023 test year amount</w:t>
      </w:r>
      <w:r w:rsidR="00866056" w:rsidRPr="009F227C">
        <w:t xml:space="preserve">. </w:t>
      </w:r>
      <w:r w:rsidR="00F36ABC" w:rsidRPr="009F227C">
        <w:t xml:space="preserve">As such, wastewater O&amp;M expenses for the historic test year </w:t>
      </w:r>
      <w:r w:rsidR="00B83D11" w:rsidRPr="009F227C">
        <w:t>shall</w:t>
      </w:r>
      <w:r w:rsidR="00F36ABC" w:rsidRPr="009F227C">
        <w:t xml:space="preserve"> be decreased $347,991 to reflect the removal of the legal expenses.</w:t>
      </w:r>
    </w:p>
    <w:p w14:paraId="6A049B93" w14:textId="77777777" w:rsidR="00F36ABC" w:rsidRPr="009F227C" w:rsidRDefault="00F36ABC" w:rsidP="00F36ABC">
      <w:pPr>
        <w:jc w:val="both"/>
        <w:outlineLvl w:val="2"/>
        <w:rPr>
          <w:b/>
          <w:bCs/>
          <w:iCs/>
          <w:szCs w:val="28"/>
        </w:rPr>
      </w:pPr>
      <w:r w:rsidRPr="009F227C">
        <w:rPr>
          <w:b/>
          <w:bCs/>
          <w:iCs/>
          <w:szCs w:val="28"/>
        </w:rPr>
        <w:t>Lamelza Legal Expenses</w:t>
      </w:r>
    </w:p>
    <w:p w14:paraId="4DD140E0" w14:textId="749FA02A" w:rsidR="00F36ABC" w:rsidRPr="009F227C" w:rsidRDefault="0074572E" w:rsidP="00F36ABC">
      <w:pPr>
        <w:spacing w:after="240"/>
        <w:jc w:val="both"/>
      </w:pPr>
      <w:r w:rsidRPr="009F227C">
        <w:tab/>
      </w:r>
      <w:r w:rsidR="00F36ABC" w:rsidRPr="009F227C">
        <w:t>OPC proposed a removal of $6,933 in legal expenses ($3,597 for water and $3,336 for wastewater). This proposed adjustment is from the Lamelza case, which involved an individual who allegedly broke her ankle after walking into a water utility box in the back of a property in a development. The plaintiff sued multiple parties in an attempt to find the party responsible for the equipment that allegedly caused injury</w:t>
      </w:r>
      <w:r w:rsidR="00866056" w:rsidRPr="009F227C">
        <w:t xml:space="preserve">. </w:t>
      </w:r>
      <w:r w:rsidR="00F36ABC" w:rsidRPr="009F227C">
        <w:t>OPC argued that this case remains ongoing and the outcome is uncertain</w:t>
      </w:r>
      <w:r w:rsidR="00866056" w:rsidRPr="009F227C">
        <w:t xml:space="preserve">. </w:t>
      </w:r>
      <w:r w:rsidR="00F36ABC" w:rsidRPr="009F227C">
        <w:t>In its brief, OPC stated the legal and operating expenses from this case do not provide benefits to Florida customers and are inappropriate for ratemaking</w:t>
      </w:r>
      <w:r w:rsidR="00866056" w:rsidRPr="009F227C">
        <w:t xml:space="preserve">. </w:t>
      </w:r>
      <w:r w:rsidR="00F36ABC" w:rsidRPr="009F227C">
        <w:t>The Utility argued that it was named a defendant therefore, it had to defend itself</w:t>
      </w:r>
      <w:r w:rsidR="00866056" w:rsidRPr="009F227C">
        <w:t xml:space="preserve">. </w:t>
      </w:r>
      <w:r w:rsidR="00F36ABC" w:rsidRPr="009F227C">
        <w:t xml:space="preserve">The Utility also argued the costs from this case are part of a representative level of test year expenses and not eligible to be recovered via the awarding of </w:t>
      </w:r>
      <w:r w:rsidR="008344F9" w:rsidRPr="009F227C">
        <w:t>attorney’s</w:t>
      </w:r>
      <w:r w:rsidR="00F36ABC" w:rsidRPr="009F227C">
        <w:t xml:space="preserve"> fees</w:t>
      </w:r>
      <w:r w:rsidR="00866056" w:rsidRPr="009F227C">
        <w:t xml:space="preserve">. </w:t>
      </w:r>
      <w:r w:rsidR="00F36ABC" w:rsidRPr="009F227C">
        <w:t xml:space="preserve">Based on the materiality and status of the case, </w:t>
      </w:r>
      <w:r w:rsidR="00B83D11" w:rsidRPr="009F227C">
        <w:t>we will not remove</w:t>
      </w:r>
      <w:r w:rsidR="00F36ABC" w:rsidRPr="009F227C">
        <w:t xml:space="preserve"> the $6,933 from the historic test year. </w:t>
      </w:r>
    </w:p>
    <w:p w14:paraId="6FB2AF7B" w14:textId="77777777" w:rsidR="00F36ABC" w:rsidRPr="009F227C" w:rsidRDefault="00F36ABC" w:rsidP="00F36ABC">
      <w:pPr>
        <w:jc w:val="both"/>
        <w:outlineLvl w:val="2"/>
        <w:rPr>
          <w:b/>
          <w:bCs/>
          <w:iCs/>
          <w:szCs w:val="28"/>
        </w:rPr>
      </w:pPr>
      <w:r w:rsidRPr="009F227C">
        <w:rPr>
          <w:b/>
          <w:bCs/>
          <w:iCs/>
          <w:szCs w:val="28"/>
        </w:rPr>
        <w:t xml:space="preserve">Charitable Contributions </w:t>
      </w:r>
    </w:p>
    <w:p w14:paraId="35030748" w14:textId="2949693C" w:rsidR="00F36ABC" w:rsidRPr="009F227C" w:rsidRDefault="0074572E" w:rsidP="00F36ABC">
      <w:pPr>
        <w:spacing w:after="240"/>
        <w:jc w:val="both"/>
      </w:pPr>
      <w:r w:rsidRPr="009F227C">
        <w:tab/>
      </w:r>
      <w:r w:rsidR="00F36ABC" w:rsidRPr="009F227C">
        <w:t>Witness Smith stated that he decreased O&amp;M expenses by $20,243, with $10,490 for water and $9,754 for wastewater. This adjustment was to remove charitable contributions from the Utility’s O&amp;M expenses. OPC argued that the shareholders, not the customers, should be responsible for the cost of charitable donations</w:t>
      </w:r>
      <w:r w:rsidR="00866056" w:rsidRPr="009F227C">
        <w:t xml:space="preserve">. </w:t>
      </w:r>
      <w:r w:rsidR="00F36ABC" w:rsidRPr="009F227C">
        <w:t>In Utility witness DeStefano’s rebuttal testimony, he stated the Utility agreed with this adjustment</w:t>
      </w:r>
      <w:r w:rsidR="00866056" w:rsidRPr="009F227C">
        <w:t xml:space="preserve">. </w:t>
      </w:r>
      <w:r w:rsidR="00F36ABC" w:rsidRPr="009F227C">
        <w:t xml:space="preserve">Therefore, </w:t>
      </w:r>
      <w:r w:rsidR="00B83D11" w:rsidRPr="009F227C">
        <w:t>we hereby reduce</w:t>
      </w:r>
      <w:r w:rsidR="00F36ABC" w:rsidRPr="009F227C">
        <w:t xml:space="preserve"> water and wastewater O&amp;M expenses by $10,490 and $9,754, respectively.</w:t>
      </w:r>
    </w:p>
    <w:p w14:paraId="503B29E6" w14:textId="77777777" w:rsidR="00F36ABC" w:rsidRPr="009F227C" w:rsidRDefault="00F36ABC" w:rsidP="00F36ABC">
      <w:pPr>
        <w:jc w:val="both"/>
        <w:outlineLvl w:val="2"/>
        <w:rPr>
          <w:b/>
          <w:bCs/>
          <w:iCs/>
          <w:szCs w:val="28"/>
        </w:rPr>
      </w:pPr>
      <w:r w:rsidRPr="009F227C">
        <w:rPr>
          <w:b/>
          <w:bCs/>
          <w:iCs/>
          <w:szCs w:val="28"/>
        </w:rPr>
        <w:lastRenderedPageBreak/>
        <w:t>Chamber of Commerce Dues</w:t>
      </w:r>
    </w:p>
    <w:p w14:paraId="08C3471B" w14:textId="77777777" w:rsidR="00F36ABC" w:rsidRPr="009F227C" w:rsidRDefault="0074572E" w:rsidP="00F36ABC">
      <w:pPr>
        <w:spacing w:after="240"/>
        <w:jc w:val="both"/>
      </w:pPr>
      <w:r w:rsidRPr="009F227C">
        <w:tab/>
      </w:r>
      <w:r w:rsidR="00F36ABC" w:rsidRPr="009F227C">
        <w:t>In OPC witness Smith’s direct testimony, he identified an adjustment to remove $10,000, $5,189 from water and $4,811 from wastewater, from O&amp;M expenses for a charitable contribution to the Florida Chamber Foundation</w:t>
      </w:r>
      <w:r w:rsidR="00866056" w:rsidRPr="009F227C">
        <w:t xml:space="preserve">. </w:t>
      </w:r>
      <w:r w:rsidR="00F36ABC" w:rsidRPr="009F227C">
        <w:t>The Utility also paid amounts of $3,000, $1,200, and $489 to the Florida Chamber of Commerce, Inc., Seminole County Regional Chamber, and South Lake Chamber of Commerce, respectively</w:t>
      </w:r>
      <w:r w:rsidR="00866056" w:rsidRPr="009F227C">
        <w:t xml:space="preserve">. </w:t>
      </w:r>
      <w:r w:rsidR="00F36ABC" w:rsidRPr="009F227C">
        <w:t>In total, the recommended reduction for the dues was $7,612 for water and $7,077 for wastewater. In Utility witness DeStefano’s rebuttal testimony, he stated the Utility agreed with this adjustment</w:t>
      </w:r>
      <w:r w:rsidR="00866056" w:rsidRPr="009F227C">
        <w:t xml:space="preserve">. </w:t>
      </w:r>
      <w:r w:rsidR="00B83D11" w:rsidRPr="009F227C">
        <w:t xml:space="preserve">We therefore reduce </w:t>
      </w:r>
      <w:r w:rsidR="00F36ABC" w:rsidRPr="009F227C">
        <w:t>water and wastewater O&amp;M expenses by $7,612 and $7,007, respectively</w:t>
      </w:r>
    </w:p>
    <w:p w14:paraId="468B9586" w14:textId="77777777" w:rsidR="00F36ABC" w:rsidRPr="009F227C" w:rsidRDefault="00F36ABC" w:rsidP="00F36ABC">
      <w:pPr>
        <w:jc w:val="both"/>
        <w:outlineLvl w:val="2"/>
        <w:rPr>
          <w:b/>
          <w:bCs/>
          <w:iCs/>
          <w:szCs w:val="28"/>
        </w:rPr>
      </w:pPr>
      <w:r w:rsidRPr="009F227C">
        <w:rPr>
          <w:b/>
          <w:bCs/>
          <w:iCs/>
          <w:szCs w:val="28"/>
        </w:rPr>
        <w:t>Sewer Maintenance Repairs</w:t>
      </w:r>
    </w:p>
    <w:p w14:paraId="73F410CA" w14:textId="77777777" w:rsidR="00F36ABC" w:rsidRPr="009F227C" w:rsidRDefault="0074572E" w:rsidP="00F36ABC">
      <w:pPr>
        <w:spacing w:after="240"/>
        <w:jc w:val="both"/>
      </w:pPr>
      <w:r w:rsidRPr="009F227C">
        <w:tab/>
      </w:r>
      <w:r w:rsidR="00F36ABC" w:rsidRPr="009F227C">
        <w:t>OPC witness Smith proposed an adjustment to decrease wastewater O&amp;M expense by $29,879 to remove sewer maintenance repairs expense related to the pro forma Wekiva Hunt Club WWTP Aerator Installation project</w:t>
      </w:r>
      <w:r w:rsidR="00866056" w:rsidRPr="009F227C">
        <w:t xml:space="preserve">. </w:t>
      </w:r>
      <w:r w:rsidR="00F36ABC" w:rsidRPr="009F227C">
        <w:t>OPC argued this amount was also included in the pro forma Wekiva Hunt Club WWTP Aerator Installation project, and therefore was duplicative and should be removed from expenses</w:t>
      </w:r>
      <w:r w:rsidR="00866056" w:rsidRPr="009F227C">
        <w:t xml:space="preserve">. </w:t>
      </w:r>
      <w:r w:rsidR="00F36ABC" w:rsidRPr="009F227C">
        <w:t>The Utility agreed with this adjustment</w:t>
      </w:r>
      <w:r w:rsidR="00866056" w:rsidRPr="009F227C">
        <w:t xml:space="preserve">. </w:t>
      </w:r>
      <w:r w:rsidR="00B83D11" w:rsidRPr="009F227C">
        <w:t>We therefore reduce</w:t>
      </w:r>
      <w:r w:rsidR="00F36ABC" w:rsidRPr="009F227C">
        <w:t xml:space="preserve"> wastewater O&amp;M expenses by $29,879.</w:t>
      </w:r>
    </w:p>
    <w:p w14:paraId="753510C9" w14:textId="77777777" w:rsidR="00F36ABC" w:rsidRPr="009F227C" w:rsidRDefault="00F36ABC" w:rsidP="00F36ABC">
      <w:pPr>
        <w:jc w:val="both"/>
        <w:outlineLvl w:val="2"/>
        <w:rPr>
          <w:b/>
          <w:bCs/>
          <w:iCs/>
          <w:szCs w:val="28"/>
        </w:rPr>
      </w:pPr>
      <w:r w:rsidRPr="009F227C">
        <w:rPr>
          <w:b/>
          <w:bCs/>
          <w:iCs/>
          <w:szCs w:val="28"/>
        </w:rPr>
        <w:t>Weather and Hurricane Costs</w:t>
      </w:r>
    </w:p>
    <w:p w14:paraId="0FD1F585" w14:textId="4BFD5A13" w:rsidR="00F36ABC" w:rsidRPr="009F227C" w:rsidRDefault="0074572E" w:rsidP="00F36ABC">
      <w:pPr>
        <w:spacing w:after="240"/>
        <w:jc w:val="both"/>
      </w:pPr>
      <w:r w:rsidRPr="009F227C">
        <w:tab/>
      </w:r>
      <w:r w:rsidR="00F36ABC" w:rsidRPr="009F227C">
        <w:t>OPC witness Smith proposed an adjustment decreasing O&amp;M expenses by $26,978 for water and $25,014 for wastewater, to reflect the amortization over a five-year period of costs associated with hurricanes or other weather-related events</w:t>
      </w:r>
      <w:r w:rsidR="00866056" w:rsidRPr="009F227C">
        <w:t xml:space="preserve">. </w:t>
      </w:r>
      <w:r w:rsidR="00F36ABC" w:rsidRPr="009F227C">
        <w:t xml:space="preserve">Utility witness DeStefano argued that these costs related to storms are commonly incurred. These costs represent fuel purchases for generators and vehicles </w:t>
      </w:r>
      <w:r w:rsidR="00FD731E">
        <w:t xml:space="preserve">used </w:t>
      </w:r>
      <w:r w:rsidR="00F36ABC" w:rsidRPr="009F227C">
        <w:t>during the multiple weather events that occur each year. Witness DeStefano also noted that the Utility incurred an unrepresentative level of weather related costs from the impacts of Hurricane Ian and began amortizing those costs over a five-year period</w:t>
      </w:r>
      <w:r w:rsidR="00866056" w:rsidRPr="009F227C">
        <w:t xml:space="preserve">. </w:t>
      </w:r>
      <w:r w:rsidR="00B83D11" w:rsidRPr="009F227C">
        <w:t xml:space="preserve">We find the Utility’s explanation reasonable and acknowledge </w:t>
      </w:r>
      <w:r w:rsidR="00F36ABC" w:rsidRPr="009F227C">
        <w:t xml:space="preserve">that one or more weather events </w:t>
      </w:r>
      <w:r w:rsidR="00B83D11" w:rsidRPr="009F227C">
        <w:t>can</w:t>
      </w:r>
      <w:r w:rsidR="00F36ABC" w:rsidRPr="009F227C">
        <w:t xml:space="preserve"> happen each year. </w:t>
      </w:r>
      <w:r w:rsidR="00B83D11" w:rsidRPr="009F227C">
        <w:t>Therefore, we find that no</w:t>
      </w:r>
      <w:r w:rsidR="00F36ABC" w:rsidRPr="009F227C">
        <w:t xml:space="preserve"> adjustment is needed.</w:t>
      </w:r>
    </w:p>
    <w:p w14:paraId="04C4A498" w14:textId="77777777" w:rsidR="00F36ABC" w:rsidRPr="009F227C" w:rsidRDefault="00F36ABC" w:rsidP="00F36ABC">
      <w:pPr>
        <w:jc w:val="both"/>
        <w:outlineLvl w:val="2"/>
        <w:rPr>
          <w:b/>
          <w:bCs/>
          <w:iCs/>
          <w:szCs w:val="28"/>
        </w:rPr>
      </w:pPr>
      <w:r w:rsidRPr="009F227C">
        <w:rPr>
          <w:b/>
          <w:bCs/>
          <w:iCs/>
          <w:szCs w:val="28"/>
        </w:rPr>
        <w:t>Amortization of Rate Case Expense</w:t>
      </w:r>
    </w:p>
    <w:p w14:paraId="06EB1451" w14:textId="3D188590" w:rsidR="00F36ABC" w:rsidRPr="009F227C" w:rsidRDefault="0074572E" w:rsidP="00F36ABC">
      <w:pPr>
        <w:spacing w:after="240"/>
        <w:jc w:val="both"/>
      </w:pPr>
      <w:r w:rsidRPr="009F227C">
        <w:tab/>
      </w:r>
      <w:r w:rsidR="00F36ABC" w:rsidRPr="009F227C">
        <w:t>Test year O&amp;M expense sh</w:t>
      </w:r>
      <w:r w:rsidR="00FD731E">
        <w:t>all</w:t>
      </w:r>
      <w:r w:rsidR="00F36ABC" w:rsidRPr="009F227C">
        <w:t xml:space="preserve"> be reduced by $96,267 for water and $89,504 for wastewater to reflect the removal of Rate Case Expense amortization granted to the Utility in its 2020 Rate Case. Under Section 367.081(8), F.S., the expiration of the amortization and reduction to rates is scheduled to coincide with the timing of rates in the instant docket. With this adjustment, the requirement to remove fully amortize a rate case expense will be met.</w:t>
      </w:r>
    </w:p>
    <w:p w14:paraId="03772AA4" w14:textId="77777777" w:rsidR="00B83D11" w:rsidRPr="009F227C" w:rsidRDefault="00B83D11" w:rsidP="00172BA1">
      <w:pPr>
        <w:pStyle w:val="ListParagraph"/>
        <w:numPr>
          <w:ilvl w:val="0"/>
          <w:numId w:val="21"/>
        </w:numPr>
        <w:spacing w:after="240"/>
        <w:ind w:hanging="720"/>
        <w:jc w:val="both"/>
      </w:pPr>
      <w:r w:rsidRPr="009F227C">
        <w:t xml:space="preserve">Conclusion </w:t>
      </w:r>
    </w:p>
    <w:p w14:paraId="0DAB866F" w14:textId="77777777" w:rsidR="00F36ABC" w:rsidRDefault="0074572E" w:rsidP="00F36ABC">
      <w:pPr>
        <w:pStyle w:val="OrderBody"/>
      </w:pPr>
      <w:r w:rsidRPr="009F227C">
        <w:tab/>
      </w:r>
      <w:r w:rsidR="00F36ABC" w:rsidRPr="009F227C">
        <w:t xml:space="preserve">Based on the </w:t>
      </w:r>
      <w:r w:rsidR="00B83D11" w:rsidRPr="009F227C">
        <w:t>analysis set forth herein</w:t>
      </w:r>
      <w:r w:rsidR="00F36ABC" w:rsidRPr="009F227C">
        <w:t xml:space="preserve">, </w:t>
      </w:r>
      <w:r w:rsidR="00B83D11" w:rsidRPr="009F227C">
        <w:t xml:space="preserve">we shall decrease </w:t>
      </w:r>
      <w:r w:rsidR="00F36ABC" w:rsidRPr="009F227C">
        <w:t>test year O&amp;M expenses by $247,752 ($43,442 - $11,637 - $165,188 - $10,490 - $96,267) for water and $140,228 ($42,383 - $10,790 - $153,584 - $347,991 - $9,754 - $28,879 $89,504) for wastewater.</w:t>
      </w:r>
    </w:p>
    <w:p w14:paraId="4D58F93D" w14:textId="74AAE465" w:rsidR="00980020" w:rsidRDefault="00980020" w:rsidP="00F36ABC">
      <w:pPr>
        <w:pStyle w:val="OrderBody"/>
      </w:pPr>
    </w:p>
    <w:p w14:paraId="5B08E67C" w14:textId="0A617A1D" w:rsidR="0090216A" w:rsidRDefault="0090216A" w:rsidP="00F36ABC">
      <w:pPr>
        <w:pStyle w:val="OrderBody"/>
      </w:pPr>
    </w:p>
    <w:p w14:paraId="58965937" w14:textId="68286DE7" w:rsidR="0090216A" w:rsidRDefault="0090216A" w:rsidP="00F36ABC">
      <w:pPr>
        <w:pStyle w:val="OrderBody"/>
      </w:pPr>
    </w:p>
    <w:p w14:paraId="720D2FED" w14:textId="4303A919" w:rsidR="0090216A" w:rsidRDefault="0090216A" w:rsidP="00F36ABC">
      <w:pPr>
        <w:pStyle w:val="OrderBody"/>
      </w:pPr>
    </w:p>
    <w:p w14:paraId="7E7AEC89" w14:textId="77777777" w:rsidR="0090216A" w:rsidRPr="009F227C" w:rsidRDefault="0090216A" w:rsidP="00F36ABC">
      <w:pPr>
        <w:pStyle w:val="OrderBody"/>
      </w:pPr>
    </w:p>
    <w:p w14:paraId="695E8534" w14:textId="77777777" w:rsidR="00980020" w:rsidRPr="009F227C" w:rsidRDefault="00980020" w:rsidP="00172BA1">
      <w:pPr>
        <w:pStyle w:val="OrderBody"/>
        <w:numPr>
          <w:ilvl w:val="0"/>
          <w:numId w:val="44"/>
        </w:numPr>
        <w:ind w:left="720" w:hanging="720"/>
      </w:pPr>
      <w:r w:rsidRPr="009F227C">
        <w:rPr>
          <w:b/>
        </w:rPr>
        <w:lastRenderedPageBreak/>
        <w:t>Net</w:t>
      </w:r>
      <w:r w:rsidRPr="009F227C">
        <w:rPr>
          <w:b/>
          <w:spacing w:val="-2"/>
        </w:rPr>
        <w:t xml:space="preserve"> </w:t>
      </w:r>
      <w:r w:rsidRPr="009F227C">
        <w:rPr>
          <w:b/>
        </w:rPr>
        <w:t>Operating</w:t>
      </w:r>
      <w:r w:rsidRPr="009F227C">
        <w:rPr>
          <w:b/>
          <w:spacing w:val="-3"/>
        </w:rPr>
        <w:t xml:space="preserve"> </w:t>
      </w:r>
      <w:r w:rsidRPr="009F227C">
        <w:rPr>
          <w:b/>
        </w:rPr>
        <w:t>Income</w:t>
      </w:r>
      <w:r w:rsidRPr="009F227C">
        <w:rPr>
          <w:b/>
          <w:spacing w:val="-3"/>
        </w:rPr>
        <w:t xml:space="preserve"> </w:t>
      </w:r>
      <w:r w:rsidRPr="009F227C">
        <w:rPr>
          <w:b/>
        </w:rPr>
        <w:t>and</w:t>
      </w:r>
      <w:r w:rsidRPr="009F227C">
        <w:rPr>
          <w:b/>
          <w:spacing w:val="-1"/>
        </w:rPr>
        <w:t xml:space="preserve"> </w:t>
      </w:r>
      <w:r w:rsidRPr="009F227C">
        <w:rPr>
          <w:b/>
        </w:rPr>
        <w:t>Revenue</w:t>
      </w:r>
      <w:r w:rsidRPr="009F227C">
        <w:rPr>
          <w:b/>
          <w:spacing w:val="-3"/>
        </w:rPr>
        <w:t xml:space="preserve"> </w:t>
      </w:r>
      <w:r w:rsidRPr="009F227C">
        <w:rPr>
          <w:b/>
          <w:spacing w:val="-2"/>
        </w:rPr>
        <w:t>Requirement</w:t>
      </w:r>
    </w:p>
    <w:p w14:paraId="6A29193E" w14:textId="77777777" w:rsidR="00DA328D" w:rsidRPr="009F227C" w:rsidRDefault="00DA328D" w:rsidP="00F36ABC">
      <w:pPr>
        <w:pStyle w:val="OrderBody"/>
      </w:pPr>
    </w:p>
    <w:p w14:paraId="45BA5B4E" w14:textId="6062FDBD" w:rsidR="00DA328D" w:rsidRPr="008940B4" w:rsidRDefault="00783622" w:rsidP="00172BA1">
      <w:pPr>
        <w:pStyle w:val="ListParagraph"/>
        <w:numPr>
          <w:ilvl w:val="0"/>
          <w:numId w:val="46"/>
        </w:numPr>
        <w:ind w:left="720"/>
        <w:jc w:val="both"/>
        <w:outlineLvl w:val="0"/>
        <w:rPr>
          <w:bCs/>
          <w:kern w:val="32"/>
          <w:szCs w:val="32"/>
          <w:u w:val="single"/>
        </w:rPr>
      </w:pPr>
      <w:bookmarkStart w:id="42" w:name="_Toc199321470"/>
      <w:r w:rsidRPr="009F227C">
        <w:rPr>
          <w:u w:val="single"/>
        </w:rPr>
        <w:t>Taxes Other Than Income</w:t>
      </w:r>
      <w:r w:rsidR="00980020" w:rsidRPr="009F227C">
        <w:rPr>
          <w:u w:val="single"/>
        </w:rPr>
        <w:t xml:space="preserve"> (Issue 29)</w:t>
      </w:r>
      <w:bookmarkEnd w:id="42"/>
    </w:p>
    <w:p w14:paraId="194D9BE0" w14:textId="77777777" w:rsidR="008940B4" w:rsidRPr="008940B4" w:rsidRDefault="008940B4" w:rsidP="008940B4">
      <w:pPr>
        <w:jc w:val="both"/>
        <w:outlineLvl w:val="0"/>
        <w:rPr>
          <w:bCs/>
          <w:kern w:val="32"/>
          <w:szCs w:val="32"/>
          <w:u w:val="single"/>
        </w:rPr>
      </w:pPr>
    </w:p>
    <w:p w14:paraId="5161A05D" w14:textId="77777777" w:rsidR="00DA328D" w:rsidRPr="009F227C" w:rsidRDefault="00DA328D" w:rsidP="00172BA1">
      <w:pPr>
        <w:pStyle w:val="ListParagraph"/>
        <w:numPr>
          <w:ilvl w:val="0"/>
          <w:numId w:val="22"/>
        </w:numPr>
        <w:spacing w:after="240"/>
        <w:ind w:hanging="630"/>
        <w:jc w:val="both"/>
      </w:pPr>
      <w:r w:rsidRPr="009F227C">
        <w:t>Analysis</w:t>
      </w:r>
    </w:p>
    <w:p w14:paraId="2951EE45" w14:textId="5D74BAE9" w:rsidR="00F36ABC" w:rsidRPr="009F227C" w:rsidRDefault="00F36ABC" w:rsidP="00783622">
      <w:pPr>
        <w:spacing w:after="240"/>
        <w:ind w:firstLine="720"/>
        <w:jc w:val="both"/>
      </w:pPr>
      <w:r w:rsidRPr="009F227C">
        <w:t xml:space="preserve">Based on </w:t>
      </w:r>
      <w:r w:rsidR="001D3577" w:rsidRPr="009F227C">
        <w:t xml:space="preserve">our </w:t>
      </w:r>
      <w:r w:rsidRPr="009F227C">
        <w:t xml:space="preserve">adjustments to test year revenues and </w:t>
      </w:r>
      <w:r w:rsidR="00783622" w:rsidRPr="009F227C">
        <w:t>removal of the</w:t>
      </w:r>
      <w:r w:rsidRPr="009F227C">
        <w:t xml:space="preserve"> Utility’s requested increase, regulatory assessment fees (RAFs) </w:t>
      </w:r>
      <w:r w:rsidR="00783622" w:rsidRPr="009F227C">
        <w:t>shall</w:t>
      </w:r>
      <w:r w:rsidRPr="009F227C">
        <w:t xml:space="preserve"> be reduced by $232,992 for water and $211,654 for wastewater. To reflect </w:t>
      </w:r>
      <w:r w:rsidR="001D3577" w:rsidRPr="009F227C">
        <w:t xml:space="preserve">our </w:t>
      </w:r>
      <w:r w:rsidRPr="009F227C">
        <w:t>adjustment to pro forma capitalized labor</w:t>
      </w:r>
      <w:r w:rsidR="00AA68D7">
        <w:t xml:space="preserve"> (</w:t>
      </w:r>
      <w:r w:rsidRPr="009F227C">
        <w:t>Issue 4</w:t>
      </w:r>
      <w:r w:rsidR="00AA68D7">
        <w:t>)</w:t>
      </w:r>
      <w:r w:rsidRPr="009F227C">
        <w:t xml:space="preserve">, payroll taxes </w:t>
      </w:r>
      <w:r w:rsidR="00783622" w:rsidRPr="009F227C">
        <w:t>shall</w:t>
      </w:r>
      <w:r w:rsidRPr="009F227C">
        <w:t xml:space="preserve"> be increased by $1,072 for water and decreased by $1,309 for wastewater. Payroll taxes for water </w:t>
      </w:r>
      <w:r w:rsidR="00783622" w:rsidRPr="009F227C">
        <w:t>shall</w:t>
      </w:r>
      <w:r w:rsidRPr="009F227C">
        <w:t xml:space="preserve"> be further reduced by $13,221 to reflect corresponding adjustment to O&amp;M for AMI meter </w:t>
      </w:r>
      <w:r w:rsidR="008344F9" w:rsidRPr="009F227C">
        <w:t>replacements</w:t>
      </w:r>
      <w:r w:rsidR="008344F9">
        <w:t xml:space="preserve"> (</w:t>
      </w:r>
      <w:r w:rsidRPr="009F227C">
        <w:t>Issue 26</w:t>
      </w:r>
      <w:r w:rsidR="002534B6">
        <w:t>)</w:t>
      </w:r>
      <w:r w:rsidRPr="009F227C">
        <w:t xml:space="preserve">. To reflect </w:t>
      </w:r>
      <w:r w:rsidR="001D3577" w:rsidRPr="009F227C">
        <w:t xml:space="preserve">our </w:t>
      </w:r>
      <w:r w:rsidRPr="009F227C">
        <w:t xml:space="preserve">adjustments to pro forma plant in Issue 4, property taxes </w:t>
      </w:r>
      <w:r w:rsidR="00783622" w:rsidRPr="009F227C">
        <w:t>shall</w:t>
      </w:r>
      <w:r w:rsidRPr="009F227C">
        <w:t xml:space="preserve"> be increased by $18,568 for water and $21,007 for wastewater. There </w:t>
      </w:r>
      <w:r w:rsidR="00783622" w:rsidRPr="009F227C">
        <w:t>shall</w:t>
      </w:r>
      <w:r w:rsidRPr="009F227C">
        <w:t xml:space="preserve"> also be a decrease of $1,273 for wastewater to reflect the correct non U&amp;U property tax adjustment to correspond to the stipulation </w:t>
      </w:r>
      <w:r w:rsidR="00801797">
        <w:t>related to used and useful wastewater treatment calculation (</w:t>
      </w:r>
      <w:r w:rsidRPr="009F227C">
        <w:t>Issue 11</w:t>
      </w:r>
      <w:r w:rsidR="00801797">
        <w:t>)</w:t>
      </w:r>
      <w:r w:rsidRPr="009F227C">
        <w:t xml:space="preserve">. In total, test year TOTI </w:t>
      </w:r>
      <w:r w:rsidR="00783622" w:rsidRPr="009F227C">
        <w:t>shall</w:t>
      </w:r>
      <w:r w:rsidRPr="009F227C">
        <w:t xml:space="preserve"> be decreased by $226,574 (-$232,992 + $1,072 - $13,221 + $18,568) for water and $193,229 (-$211,654 - $1,309 + $21,007 - $1,273) for wastewater.</w:t>
      </w:r>
    </w:p>
    <w:p w14:paraId="472EA8C7" w14:textId="77777777" w:rsidR="00783622" w:rsidRPr="009F227C" w:rsidRDefault="00783622" w:rsidP="00172BA1">
      <w:pPr>
        <w:pStyle w:val="ListParagraph"/>
        <w:numPr>
          <w:ilvl w:val="0"/>
          <w:numId w:val="22"/>
        </w:numPr>
        <w:spacing w:after="240"/>
        <w:ind w:hanging="720"/>
        <w:jc w:val="both"/>
      </w:pPr>
      <w:r w:rsidRPr="009F227C">
        <w:t xml:space="preserve">Conclusion </w:t>
      </w:r>
    </w:p>
    <w:p w14:paraId="640DC0B8" w14:textId="77777777" w:rsidR="00F36ABC" w:rsidRPr="009F227C" w:rsidRDefault="00210DA4" w:rsidP="00F36ABC">
      <w:pPr>
        <w:pStyle w:val="OrderBody"/>
      </w:pPr>
      <w:r w:rsidRPr="009F227C">
        <w:tab/>
      </w:r>
      <w:r w:rsidR="00F36ABC" w:rsidRPr="009F227C">
        <w:t xml:space="preserve">In total, test year TOTI </w:t>
      </w:r>
      <w:r w:rsidR="00783622" w:rsidRPr="009F227C">
        <w:t>shall</w:t>
      </w:r>
      <w:r w:rsidR="00F36ABC" w:rsidRPr="009F227C">
        <w:t xml:space="preserve"> be decreased by $226,574 for water and $193,229 for wastewater.</w:t>
      </w:r>
    </w:p>
    <w:p w14:paraId="7EA7384B" w14:textId="77777777" w:rsidR="00EE2641" w:rsidRPr="009F227C" w:rsidRDefault="00EE2641" w:rsidP="00F36ABC">
      <w:pPr>
        <w:pStyle w:val="OrderBody"/>
      </w:pPr>
    </w:p>
    <w:p w14:paraId="70279333" w14:textId="144116FB" w:rsidR="00EE2641" w:rsidRPr="009F227C" w:rsidRDefault="00EE2641" w:rsidP="00172BA1">
      <w:pPr>
        <w:pStyle w:val="ListParagraph"/>
        <w:numPr>
          <w:ilvl w:val="0"/>
          <w:numId w:val="46"/>
        </w:numPr>
        <w:ind w:left="720"/>
        <w:jc w:val="both"/>
        <w:outlineLvl w:val="0"/>
        <w:rPr>
          <w:bCs/>
          <w:kern w:val="32"/>
          <w:szCs w:val="32"/>
          <w:u w:val="single"/>
        </w:rPr>
      </w:pPr>
      <w:bookmarkStart w:id="43" w:name="_Toc199321471"/>
      <w:r w:rsidRPr="009F227C">
        <w:rPr>
          <w:u w:val="single"/>
        </w:rPr>
        <w:t>Test Year Depreciation Expense</w:t>
      </w:r>
      <w:r w:rsidR="002758F7" w:rsidRPr="009F227C">
        <w:rPr>
          <w:u w:val="single"/>
        </w:rPr>
        <w:t xml:space="preserve"> (Issue 30)</w:t>
      </w:r>
      <w:bookmarkEnd w:id="43"/>
    </w:p>
    <w:p w14:paraId="3946F268" w14:textId="77777777" w:rsidR="00EE2641" w:rsidRPr="009F227C" w:rsidRDefault="00EE2641" w:rsidP="00EE2641">
      <w:pPr>
        <w:jc w:val="both"/>
        <w:outlineLvl w:val="0"/>
        <w:rPr>
          <w:bCs/>
          <w:kern w:val="32"/>
          <w:szCs w:val="32"/>
        </w:rPr>
      </w:pPr>
    </w:p>
    <w:p w14:paraId="71CE4264" w14:textId="77777777" w:rsidR="00EE2641" w:rsidRPr="009F227C" w:rsidRDefault="00EE2641" w:rsidP="00172BA1">
      <w:pPr>
        <w:pStyle w:val="ListParagraph"/>
        <w:numPr>
          <w:ilvl w:val="0"/>
          <w:numId w:val="23"/>
        </w:numPr>
        <w:spacing w:after="240"/>
        <w:ind w:hanging="720"/>
        <w:jc w:val="both"/>
      </w:pPr>
      <w:r w:rsidRPr="009F227C">
        <w:t>Analysis</w:t>
      </w:r>
    </w:p>
    <w:p w14:paraId="10D5E287" w14:textId="7C542092" w:rsidR="00F36ABC" w:rsidRPr="009F227C" w:rsidRDefault="00F36ABC" w:rsidP="00EE2641">
      <w:pPr>
        <w:spacing w:after="240"/>
        <w:ind w:firstLine="720"/>
        <w:jc w:val="both"/>
      </w:pPr>
      <w:r w:rsidRPr="009F227C">
        <w:t xml:space="preserve">In addition to the depreciation expense adjustments </w:t>
      </w:r>
      <w:r w:rsidR="00120D28" w:rsidRPr="009F227C">
        <w:t>made</w:t>
      </w:r>
      <w:r w:rsidRPr="009F227C">
        <w:t xml:space="preserve"> in Issues 4 and 5, which address AMI meters, corresponding adjustments </w:t>
      </w:r>
      <w:r w:rsidR="00120D28" w:rsidRPr="009F227C">
        <w:t>shall</w:t>
      </w:r>
      <w:r w:rsidRPr="009F227C">
        <w:t xml:space="preserve"> be made to reduce depreciation expense and reflect </w:t>
      </w:r>
      <w:r w:rsidR="001D3577" w:rsidRPr="009F227C">
        <w:t xml:space="preserve">our </w:t>
      </w:r>
      <w:r w:rsidR="00120D28" w:rsidRPr="009F227C">
        <w:t xml:space="preserve">decisions </w:t>
      </w:r>
      <w:r w:rsidRPr="009F227C">
        <w:t xml:space="preserve">in Issues 13 and 14. To reflect </w:t>
      </w:r>
      <w:r w:rsidR="001D3577" w:rsidRPr="009F227C">
        <w:t xml:space="preserve">our </w:t>
      </w:r>
      <w:r w:rsidRPr="009F227C">
        <w:t xml:space="preserve">adjustment for net salvage value in Issue 13, depreciation expense </w:t>
      </w:r>
      <w:r w:rsidR="00120D28" w:rsidRPr="009F227C">
        <w:t>shall</w:t>
      </w:r>
      <w:r w:rsidRPr="009F227C">
        <w:t xml:space="preserve"> be reduced by $35,380 for water and $37,410 for wastewater. To reflect Audit Finding No. 6 addressed in </w:t>
      </w:r>
      <w:r w:rsidR="00801797">
        <w:t>our analysis of accumulated depreciation (</w:t>
      </w:r>
      <w:r w:rsidRPr="009F227C">
        <w:t>Issue 13</w:t>
      </w:r>
      <w:r w:rsidR="00801797">
        <w:t>)</w:t>
      </w:r>
      <w:r w:rsidRPr="009F227C">
        <w:t xml:space="preserve">, wastewater depreciation expense </w:t>
      </w:r>
      <w:r w:rsidR="00120D28" w:rsidRPr="009F227C">
        <w:t>shall</w:t>
      </w:r>
      <w:r w:rsidRPr="009F227C">
        <w:t xml:space="preserve"> be reduced by $7,048. In total, depreciation expense </w:t>
      </w:r>
      <w:r w:rsidR="00120D28" w:rsidRPr="009F227C">
        <w:t>shall</w:t>
      </w:r>
      <w:r w:rsidRPr="009F227C">
        <w:t xml:space="preserve"> be reduced by $35,830 and $44,458 (-$37,410 - $7,048) for water and wastewater, respectively.</w:t>
      </w:r>
    </w:p>
    <w:p w14:paraId="7860139B" w14:textId="77777777" w:rsidR="00EE2641" w:rsidRPr="009F227C" w:rsidRDefault="00EE2641" w:rsidP="00172BA1">
      <w:pPr>
        <w:pStyle w:val="ListParagraph"/>
        <w:numPr>
          <w:ilvl w:val="0"/>
          <w:numId w:val="23"/>
        </w:numPr>
        <w:spacing w:after="240"/>
        <w:ind w:hanging="720"/>
        <w:jc w:val="both"/>
      </w:pPr>
      <w:r w:rsidRPr="009F227C">
        <w:t xml:space="preserve">Conclusion </w:t>
      </w:r>
    </w:p>
    <w:p w14:paraId="18DD14DA" w14:textId="40BF1364" w:rsidR="00EE2641" w:rsidRPr="009F227C" w:rsidRDefault="00210DA4" w:rsidP="00F36ABC">
      <w:pPr>
        <w:pStyle w:val="OrderBody"/>
      </w:pPr>
      <w:r w:rsidRPr="009F227C">
        <w:tab/>
      </w:r>
      <w:r w:rsidR="00F36ABC" w:rsidRPr="009F227C">
        <w:t xml:space="preserve">In addition to the depreciation expense adjustments </w:t>
      </w:r>
      <w:r w:rsidR="00345615">
        <w:t>approved</w:t>
      </w:r>
      <w:r w:rsidR="00F36ABC" w:rsidRPr="009F227C">
        <w:t xml:space="preserve"> in</w:t>
      </w:r>
      <w:r w:rsidR="00801797">
        <w:t xml:space="preserve"> relation to pro forma plant and plant retirement</w:t>
      </w:r>
      <w:r w:rsidR="00F36ABC" w:rsidRPr="009F227C">
        <w:t xml:space="preserve"> </w:t>
      </w:r>
      <w:r w:rsidR="00801797">
        <w:t>(</w:t>
      </w:r>
      <w:r w:rsidR="00F36ABC" w:rsidRPr="009F227C">
        <w:t>Issues 4 and 5</w:t>
      </w:r>
      <w:r w:rsidR="00801797">
        <w:t>)</w:t>
      </w:r>
      <w:r w:rsidR="00F36ABC" w:rsidRPr="009F227C">
        <w:t xml:space="preserve">, depreciation expense </w:t>
      </w:r>
      <w:r w:rsidR="00120D28" w:rsidRPr="009F227C">
        <w:t>shall</w:t>
      </w:r>
      <w:r w:rsidR="00F36ABC" w:rsidRPr="009F227C">
        <w:t xml:space="preserve"> be reduced by $35,830 and $44,458 for water and wastewater, respectively.</w:t>
      </w:r>
    </w:p>
    <w:p w14:paraId="7475A644" w14:textId="750E3DF4" w:rsidR="00F36ABC" w:rsidRDefault="00F36ABC" w:rsidP="00F36ABC">
      <w:pPr>
        <w:pStyle w:val="OrderBody"/>
        <w:rPr>
          <w:u w:val="single"/>
        </w:rPr>
      </w:pPr>
    </w:p>
    <w:p w14:paraId="3E6BA3AA" w14:textId="3E63E7BD" w:rsidR="00F51CC4" w:rsidRDefault="00F51CC4" w:rsidP="00F36ABC">
      <w:pPr>
        <w:pStyle w:val="OrderBody"/>
        <w:rPr>
          <w:u w:val="single"/>
        </w:rPr>
      </w:pPr>
    </w:p>
    <w:p w14:paraId="19BE0E49" w14:textId="2380B8A4" w:rsidR="00F51CC4" w:rsidRDefault="00F51CC4" w:rsidP="00F36ABC">
      <w:pPr>
        <w:pStyle w:val="OrderBody"/>
        <w:rPr>
          <w:u w:val="single"/>
        </w:rPr>
      </w:pPr>
    </w:p>
    <w:p w14:paraId="1C3841AD" w14:textId="77777777" w:rsidR="00F51CC4" w:rsidRPr="009F227C" w:rsidRDefault="00F51CC4" w:rsidP="00F36ABC">
      <w:pPr>
        <w:pStyle w:val="OrderBody"/>
        <w:rPr>
          <w:u w:val="single"/>
        </w:rPr>
      </w:pPr>
    </w:p>
    <w:p w14:paraId="60786BF2" w14:textId="3B649830" w:rsidR="004438CD" w:rsidRPr="00FE7EAC" w:rsidRDefault="00044C97" w:rsidP="00172BA1">
      <w:pPr>
        <w:pStyle w:val="ListParagraph"/>
        <w:numPr>
          <w:ilvl w:val="0"/>
          <w:numId w:val="46"/>
        </w:numPr>
        <w:ind w:left="720"/>
        <w:jc w:val="both"/>
        <w:outlineLvl w:val="0"/>
        <w:rPr>
          <w:bCs/>
          <w:kern w:val="32"/>
          <w:szCs w:val="32"/>
          <w:u w:val="single"/>
        </w:rPr>
      </w:pPr>
      <w:bookmarkStart w:id="44" w:name="_Toc199321472"/>
      <w:r w:rsidRPr="009F227C">
        <w:rPr>
          <w:u w:val="single"/>
        </w:rPr>
        <w:lastRenderedPageBreak/>
        <w:t>Test</w:t>
      </w:r>
      <w:r w:rsidRPr="009F227C">
        <w:rPr>
          <w:spacing w:val="-6"/>
          <w:u w:val="single"/>
        </w:rPr>
        <w:t xml:space="preserve"> </w:t>
      </w:r>
      <w:r w:rsidRPr="009F227C">
        <w:rPr>
          <w:u w:val="single"/>
        </w:rPr>
        <w:t>Year</w:t>
      </w:r>
      <w:r w:rsidRPr="009F227C">
        <w:rPr>
          <w:spacing w:val="-3"/>
          <w:u w:val="single"/>
        </w:rPr>
        <w:t xml:space="preserve"> </w:t>
      </w:r>
      <w:r w:rsidRPr="009F227C">
        <w:rPr>
          <w:u w:val="single"/>
        </w:rPr>
        <w:t>CIAC</w:t>
      </w:r>
      <w:r w:rsidRPr="009F227C">
        <w:rPr>
          <w:spacing w:val="-8"/>
          <w:u w:val="single"/>
        </w:rPr>
        <w:t xml:space="preserve"> </w:t>
      </w:r>
      <w:r w:rsidRPr="009F227C">
        <w:rPr>
          <w:u w:val="single"/>
        </w:rPr>
        <w:t>Amortization</w:t>
      </w:r>
      <w:r w:rsidRPr="009F227C">
        <w:rPr>
          <w:spacing w:val="-5"/>
          <w:u w:val="single"/>
        </w:rPr>
        <w:t xml:space="preserve"> </w:t>
      </w:r>
      <w:r w:rsidRPr="009F227C">
        <w:rPr>
          <w:spacing w:val="-2"/>
          <w:u w:val="single"/>
        </w:rPr>
        <w:t>Expense</w:t>
      </w:r>
      <w:r w:rsidR="008C1184" w:rsidRPr="009F227C">
        <w:rPr>
          <w:spacing w:val="-2"/>
          <w:u w:val="single"/>
        </w:rPr>
        <w:t xml:space="preserve"> (Issue 31)</w:t>
      </w:r>
      <w:bookmarkEnd w:id="44"/>
    </w:p>
    <w:p w14:paraId="06D21CD4" w14:textId="77777777" w:rsidR="00FE7EAC" w:rsidRPr="00FE7EAC" w:rsidRDefault="00FE7EAC" w:rsidP="00FE7EAC">
      <w:pPr>
        <w:jc w:val="both"/>
        <w:outlineLvl w:val="0"/>
        <w:rPr>
          <w:bCs/>
          <w:kern w:val="32"/>
          <w:szCs w:val="32"/>
          <w:u w:val="single"/>
        </w:rPr>
      </w:pPr>
    </w:p>
    <w:p w14:paraId="45A8926F" w14:textId="77777777" w:rsidR="004438CD" w:rsidRPr="009F227C" w:rsidRDefault="004438CD" w:rsidP="00172BA1">
      <w:pPr>
        <w:pStyle w:val="ListParagraph"/>
        <w:numPr>
          <w:ilvl w:val="0"/>
          <w:numId w:val="24"/>
        </w:numPr>
        <w:spacing w:after="240"/>
        <w:ind w:hanging="720"/>
        <w:jc w:val="both"/>
      </w:pPr>
      <w:r w:rsidRPr="009F227C">
        <w:t>Analysis</w:t>
      </w:r>
    </w:p>
    <w:p w14:paraId="6F06869C" w14:textId="0321484D" w:rsidR="00F36ABC" w:rsidRPr="009F227C" w:rsidRDefault="00F36ABC" w:rsidP="004438CD">
      <w:pPr>
        <w:spacing w:after="240"/>
        <w:ind w:firstLine="720"/>
        <w:jc w:val="both"/>
      </w:pPr>
      <w:r w:rsidRPr="009F227C">
        <w:t>In its original filing, the Utility made an adjustment of $1,134 for water and $350,917 for wastewater to correct the over-amortization CIAC expense. This adjustment was made to the same three systems in the Utility’s 2017 rate case, as well as the same three systems in the Utility’s last rate case.</w:t>
      </w:r>
      <w:r w:rsidRPr="009F227C">
        <w:rPr>
          <w:vertAlign w:val="superscript"/>
        </w:rPr>
        <w:footnoteReference w:id="33"/>
      </w:r>
      <w:r w:rsidRPr="009F227C">
        <w:t xml:space="preserve"> The remaining adjustments to CIAC amortization in the Utility’s original filing are related to retirements associated with pro forma plant projects. Pro forma plant project retirements are addressed in Issue 5. A final corresponding adjustment </w:t>
      </w:r>
      <w:r w:rsidR="004438CD" w:rsidRPr="009F227C">
        <w:t>shall</w:t>
      </w:r>
      <w:r w:rsidRPr="009F227C">
        <w:t xml:space="preserve"> be made to increase CIAC amortization for water and wastewater by $251 and $234, respectively, to reflect Audit Finding No. 4 </w:t>
      </w:r>
      <w:r w:rsidR="00801797">
        <w:t>(</w:t>
      </w:r>
      <w:r w:rsidRPr="009F227C">
        <w:t>Issue 14</w:t>
      </w:r>
      <w:r w:rsidR="00801797">
        <w:t>)</w:t>
      </w:r>
      <w:r w:rsidRPr="009F227C">
        <w:t>.</w:t>
      </w:r>
    </w:p>
    <w:p w14:paraId="68670A27" w14:textId="77777777" w:rsidR="004438CD" w:rsidRPr="009F227C" w:rsidRDefault="004438CD" w:rsidP="00172BA1">
      <w:pPr>
        <w:pStyle w:val="ListParagraph"/>
        <w:numPr>
          <w:ilvl w:val="0"/>
          <w:numId w:val="24"/>
        </w:numPr>
        <w:spacing w:after="240"/>
        <w:ind w:hanging="720"/>
        <w:jc w:val="both"/>
      </w:pPr>
      <w:r w:rsidRPr="009F227C">
        <w:t xml:space="preserve">Conclusion </w:t>
      </w:r>
    </w:p>
    <w:p w14:paraId="53FD6132" w14:textId="77777777" w:rsidR="00F36ABC" w:rsidRPr="009F227C" w:rsidRDefault="00210DA4" w:rsidP="00F36ABC">
      <w:pPr>
        <w:pStyle w:val="OrderBody"/>
      </w:pPr>
      <w:r w:rsidRPr="009F227C">
        <w:tab/>
      </w:r>
      <w:r w:rsidR="004438CD" w:rsidRPr="009F227C">
        <w:t xml:space="preserve">We hereby approve </w:t>
      </w:r>
      <w:r w:rsidR="00F36ABC" w:rsidRPr="009F227C">
        <w:t xml:space="preserve">an adjustment to increase test year CIAC amortization for water and wastewater by $251 and $234, respectively. All necessary adjustments to CIAC amortization </w:t>
      </w:r>
      <w:r w:rsidR="004438CD" w:rsidRPr="009F227C">
        <w:t>shall</w:t>
      </w:r>
      <w:r w:rsidR="00F36ABC" w:rsidRPr="009F227C">
        <w:t xml:space="preserve"> be made as set forth in Issue 5.</w:t>
      </w:r>
    </w:p>
    <w:p w14:paraId="3A868BA3" w14:textId="77777777" w:rsidR="000C03CF" w:rsidRPr="009F227C" w:rsidRDefault="000C03CF" w:rsidP="00F36ABC">
      <w:pPr>
        <w:pStyle w:val="OrderBody"/>
      </w:pPr>
    </w:p>
    <w:p w14:paraId="56A7C933" w14:textId="4770E416" w:rsidR="000C03CF" w:rsidRPr="009F227C" w:rsidRDefault="000C03CF" w:rsidP="00172BA1">
      <w:pPr>
        <w:pStyle w:val="ListParagraph"/>
        <w:numPr>
          <w:ilvl w:val="0"/>
          <w:numId w:val="46"/>
        </w:numPr>
        <w:ind w:hanging="1080"/>
        <w:jc w:val="both"/>
        <w:outlineLvl w:val="0"/>
        <w:rPr>
          <w:bCs/>
          <w:kern w:val="32"/>
          <w:szCs w:val="32"/>
          <w:u w:val="single"/>
        </w:rPr>
      </w:pPr>
      <w:bookmarkStart w:id="45" w:name="_Toc199321473"/>
      <w:r w:rsidRPr="009F227C">
        <w:rPr>
          <w:u w:val="single"/>
        </w:rPr>
        <w:t>Test Year Income Taxes</w:t>
      </w:r>
      <w:r w:rsidR="00BB7150" w:rsidRPr="009F227C">
        <w:rPr>
          <w:u w:val="single"/>
        </w:rPr>
        <w:t xml:space="preserve"> (Issue 32)</w:t>
      </w:r>
      <w:bookmarkEnd w:id="45"/>
    </w:p>
    <w:p w14:paraId="7DDE9353" w14:textId="77777777" w:rsidR="000C03CF" w:rsidRPr="009F227C" w:rsidRDefault="000C03CF" w:rsidP="000C03CF">
      <w:pPr>
        <w:pStyle w:val="OrderBody"/>
      </w:pPr>
    </w:p>
    <w:p w14:paraId="5EC6C346" w14:textId="77777777" w:rsidR="000C03CF" w:rsidRPr="009F227C" w:rsidRDefault="000C03CF" w:rsidP="00172BA1">
      <w:pPr>
        <w:pStyle w:val="ListParagraph"/>
        <w:numPr>
          <w:ilvl w:val="0"/>
          <w:numId w:val="25"/>
        </w:numPr>
        <w:spacing w:after="240"/>
        <w:ind w:hanging="720"/>
        <w:jc w:val="both"/>
      </w:pPr>
      <w:r w:rsidRPr="009F227C">
        <w:t>Analysis</w:t>
      </w:r>
    </w:p>
    <w:p w14:paraId="0A3E3278" w14:textId="77777777" w:rsidR="00F36ABC" w:rsidRPr="009F227C" w:rsidRDefault="00F36ABC" w:rsidP="000C03CF">
      <w:pPr>
        <w:spacing w:after="240"/>
        <w:ind w:firstLine="720"/>
        <w:jc w:val="both"/>
      </w:pPr>
      <w:r w:rsidRPr="009F227C">
        <w:t xml:space="preserve"> In its brief, Sunshine stated income tax will depend upon the specific level of revenues authorized by </w:t>
      </w:r>
      <w:r w:rsidR="000C03CF" w:rsidRPr="009F227C">
        <w:t>us</w:t>
      </w:r>
      <w:r w:rsidR="00866056" w:rsidRPr="009F227C">
        <w:t xml:space="preserve">. </w:t>
      </w:r>
      <w:r w:rsidRPr="009F227C">
        <w:t>Likewise, OPC included the same statement in its brief</w:t>
      </w:r>
      <w:r w:rsidR="00866056" w:rsidRPr="009F227C">
        <w:t xml:space="preserve">. </w:t>
      </w:r>
      <w:r w:rsidRPr="009F227C">
        <w:t>The Utility also noted a correction that was made to the calculation of income taxes through the rebuttal testimony of witness Swain</w:t>
      </w:r>
      <w:r w:rsidR="00866056" w:rsidRPr="009F227C">
        <w:t xml:space="preserve">. </w:t>
      </w:r>
      <w:r w:rsidRPr="009F227C">
        <w:t>Witness Swain testified that the calculation of interest expense did not include the long-term variable debt</w:t>
      </w:r>
      <w:r w:rsidR="00866056" w:rsidRPr="009F227C">
        <w:t>.</w:t>
      </w:r>
      <w:r w:rsidR="000C03CF" w:rsidRPr="009F227C">
        <w:t xml:space="preserve"> We agree</w:t>
      </w:r>
      <w:r w:rsidRPr="009F227C">
        <w:t xml:space="preserve"> with the Utility’s adjustment and </w:t>
      </w:r>
      <w:r w:rsidR="000C03CF" w:rsidRPr="009F227C">
        <w:t>have</w:t>
      </w:r>
      <w:r w:rsidRPr="009F227C">
        <w:t xml:space="preserve"> included long-term variable debt in </w:t>
      </w:r>
      <w:r w:rsidR="000C03CF" w:rsidRPr="009F227C">
        <w:t>our</w:t>
      </w:r>
      <w:r w:rsidRPr="009F227C">
        <w:t xml:space="preserve"> calculation of interest expense.</w:t>
      </w:r>
    </w:p>
    <w:p w14:paraId="6ACBD443" w14:textId="5B55E7AC" w:rsidR="008750AD" w:rsidRDefault="0024730A" w:rsidP="00595C2B">
      <w:pPr>
        <w:jc w:val="both"/>
      </w:pPr>
      <w:r w:rsidRPr="009F227C">
        <w:tab/>
      </w:r>
      <w:r w:rsidR="008750AD" w:rsidRPr="009F227C">
        <w:t xml:space="preserve">As a result of our adjustments, the appropriate amount of test year income taxes is $362,100 for water and $718,759 for wastewater. </w:t>
      </w:r>
      <w:r w:rsidR="00801797">
        <w:t>As discussed below, we</w:t>
      </w:r>
      <w:r w:rsidR="008750AD" w:rsidRPr="009F227C">
        <w:t xml:space="preserve"> have calculated a revenue increase of </w:t>
      </w:r>
      <w:r w:rsidR="008750AD">
        <w:t>$4,532,641</w:t>
      </w:r>
      <w:r w:rsidR="008750AD" w:rsidRPr="009F227C">
        <w:t xml:space="preserve"> for water and $4,703,419 for wastewater</w:t>
      </w:r>
      <w:r w:rsidR="00801797">
        <w:t xml:space="preserve"> (</w:t>
      </w:r>
      <w:r w:rsidR="00801797" w:rsidRPr="009F227C">
        <w:t>Issue 33</w:t>
      </w:r>
      <w:r w:rsidR="00801797">
        <w:t>)</w:t>
      </w:r>
      <w:r w:rsidR="008750AD" w:rsidRPr="009F227C">
        <w:t xml:space="preserve">. As a result, income taxes shall be increased by </w:t>
      </w:r>
      <w:r w:rsidR="008750AD">
        <w:t>$1,097,102</w:t>
      </w:r>
      <w:r w:rsidR="008750AD" w:rsidRPr="009F227C">
        <w:t xml:space="preserve"> for water and $1,138,438 for wastewater to reflect the change in revenues.</w:t>
      </w:r>
    </w:p>
    <w:p w14:paraId="7AF51BAA" w14:textId="77777777" w:rsidR="00595C2B" w:rsidRPr="009F227C" w:rsidRDefault="00595C2B" w:rsidP="00595C2B">
      <w:pPr>
        <w:jc w:val="both"/>
      </w:pPr>
    </w:p>
    <w:p w14:paraId="289B0122" w14:textId="2E9BD8DC" w:rsidR="008750AD" w:rsidRDefault="008750AD" w:rsidP="00595C2B">
      <w:pPr>
        <w:pStyle w:val="ListParagraph"/>
        <w:numPr>
          <w:ilvl w:val="0"/>
          <w:numId w:val="48"/>
        </w:numPr>
        <w:jc w:val="both"/>
      </w:pPr>
      <w:r w:rsidRPr="009F227C">
        <w:t xml:space="preserve">Conclusion </w:t>
      </w:r>
    </w:p>
    <w:p w14:paraId="2BDB2965" w14:textId="77777777" w:rsidR="009569D7" w:rsidRPr="009F227C" w:rsidRDefault="009569D7" w:rsidP="009569D7">
      <w:pPr>
        <w:pStyle w:val="ListParagraph"/>
        <w:ind w:left="1440"/>
        <w:jc w:val="both"/>
      </w:pPr>
    </w:p>
    <w:p w14:paraId="5D874A65" w14:textId="77777777" w:rsidR="008750AD" w:rsidRPr="009F227C" w:rsidRDefault="008750AD" w:rsidP="008750AD">
      <w:pPr>
        <w:pStyle w:val="OrderBody"/>
      </w:pPr>
      <w:r w:rsidRPr="009F227C">
        <w:tab/>
        <w:t>The appropriate amount of test year income taxes is $</w:t>
      </w:r>
      <w:r>
        <w:t>360,208</w:t>
      </w:r>
      <w:r w:rsidRPr="009F227C">
        <w:t xml:space="preserve"> for water and $718,759 for wastewater. Income taxes shall be increased by </w:t>
      </w:r>
      <w:r>
        <w:t>$1,079,102</w:t>
      </w:r>
      <w:r w:rsidRPr="009F227C">
        <w:t xml:space="preserve"> for water and $1,138,438 for </w:t>
      </w:r>
      <w:r w:rsidRPr="009F227C">
        <w:lastRenderedPageBreak/>
        <w:t xml:space="preserve">wastewater to reflect the change in revenues, resulting in total income tax expense of </w:t>
      </w:r>
      <w:r>
        <w:t>$1,457,310</w:t>
      </w:r>
      <w:r w:rsidRPr="009F227C">
        <w:t xml:space="preserve"> for water and $1,857,197 for wastewater.</w:t>
      </w:r>
    </w:p>
    <w:p w14:paraId="512C19A5" w14:textId="52B055BE" w:rsidR="00F542E7" w:rsidRPr="009F227C" w:rsidRDefault="00F542E7" w:rsidP="00F36ABC">
      <w:pPr>
        <w:pStyle w:val="OrderBody"/>
      </w:pPr>
    </w:p>
    <w:p w14:paraId="23E0A5A3" w14:textId="00E74B8B" w:rsidR="00F542E7" w:rsidRPr="009F227C" w:rsidRDefault="00F542E7" w:rsidP="00172BA1">
      <w:pPr>
        <w:pStyle w:val="ListParagraph"/>
        <w:numPr>
          <w:ilvl w:val="0"/>
          <w:numId w:val="46"/>
        </w:numPr>
        <w:ind w:hanging="1080"/>
        <w:jc w:val="both"/>
        <w:outlineLvl w:val="0"/>
        <w:rPr>
          <w:bCs/>
          <w:kern w:val="32"/>
          <w:szCs w:val="32"/>
          <w:u w:val="single"/>
        </w:rPr>
      </w:pPr>
      <w:bookmarkStart w:id="46" w:name="_Toc199321474"/>
      <w:r w:rsidRPr="009F227C">
        <w:rPr>
          <w:u w:val="single"/>
        </w:rPr>
        <w:t>Revenue Requirement</w:t>
      </w:r>
      <w:r w:rsidR="00F4287E" w:rsidRPr="009F227C">
        <w:rPr>
          <w:u w:val="single"/>
        </w:rPr>
        <w:t xml:space="preserve"> (Issue 33)</w:t>
      </w:r>
      <w:bookmarkEnd w:id="46"/>
    </w:p>
    <w:p w14:paraId="7C3F17C2" w14:textId="77777777" w:rsidR="00D37E80" w:rsidRPr="009F227C" w:rsidRDefault="00D37E80" w:rsidP="00D37E80">
      <w:pPr>
        <w:jc w:val="both"/>
        <w:outlineLvl w:val="0"/>
        <w:rPr>
          <w:bCs/>
          <w:kern w:val="32"/>
          <w:szCs w:val="32"/>
          <w:u w:val="single"/>
        </w:rPr>
      </w:pPr>
    </w:p>
    <w:p w14:paraId="1B7F5A80" w14:textId="77777777" w:rsidR="00F542E7" w:rsidRPr="009F227C" w:rsidRDefault="00F542E7" w:rsidP="00172BA1">
      <w:pPr>
        <w:pStyle w:val="ListParagraph"/>
        <w:numPr>
          <w:ilvl w:val="0"/>
          <w:numId w:val="26"/>
        </w:numPr>
        <w:spacing w:after="240"/>
        <w:ind w:hanging="720"/>
        <w:jc w:val="both"/>
      </w:pPr>
      <w:r w:rsidRPr="009F227C">
        <w:t>Analysis</w:t>
      </w:r>
    </w:p>
    <w:p w14:paraId="7FBF9F10" w14:textId="38D66C40" w:rsidR="00F36ABC" w:rsidRPr="009F227C" w:rsidRDefault="00F36ABC" w:rsidP="00F542E7">
      <w:pPr>
        <w:spacing w:after="240"/>
        <w:ind w:firstLine="720"/>
        <w:jc w:val="both"/>
      </w:pPr>
      <w:r w:rsidRPr="009F227C">
        <w:t xml:space="preserve">In its filing, Sunshine requested a revenue requirement to generate annual revenue of $28,095,894 for water, representing a revenue increase of $5,175,674, or 22.58 percent. The Utility limited its increase to 19.9 percent with a $614,491 reduction to the revenue increase, reflecting an adjusted requested water revenue requirement of $27,481,702. Sunshine requested a revenue requirement of $34,320,450 for wastewater, representing a revenue increase of $4,714,928, or 15.9 percent. </w:t>
      </w:r>
    </w:p>
    <w:p w14:paraId="65DB468F" w14:textId="470CC647" w:rsidR="008750AD" w:rsidRPr="009F227C" w:rsidRDefault="0024730A" w:rsidP="008750AD">
      <w:pPr>
        <w:spacing w:after="240"/>
        <w:jc w:val="both"/>
      </w:pPr>
      <w:r w:rsidRPr="009F227C">
        <w:tab/>
      </w:r>
      <w:r w:rsidR="008750AD" w:rsidRPr="009F227C">
        <w:t xml:space="preserve">Consistent with our calculations regarding rate base, cost of capital, and operating income issues, the appropriate revenue requirement is </w:t>
      </w:r>
      <w:r w:rsidR="008750AD">
        <w:t>$27,450,926</w:t>
      </w:r>
      <w:r w:rsidR="008750AD" w:rsidRPr="009F227C">
        <w:t xml:space="preserve"> for water and $34,570,491 for wastewater. However, our practice is to limit a utility to the revenue requirement requested in its initial filing.</w:t>
      </w:r>
      <w:r w:rsidR="008750AD" w:rsidRPr="009F227C">
        <w:rPr>
          <w:vertAlign w:val="superscript"/>
        </w:rPr>
        <w:footnoteReference w:id="34"/>
      </w:r>
      <w:r w:rsidR="008750AD" w:rsidRPr="009F227C">
        <w:t xml:space="preserve"> Therefore, we find that the appropriate reduced revenue requirement for wastewater to </w:t>
      </w:r>
      <w:r w:rsidR="008344F9" w:rsidRPr="009F227C">
        <w:t>be $</w:t>
      </w:r>
      <w:r w:rsidR="008750AD" w:rsidRPr="009F227C">
        <w:t>34,320,450. Schedule Nos. 3-A and 3-B, attached hereto, reflects our approved net operating income calculations and resulting revenue requirement. Our adjustments to net operating income are shown on Schedule No. 3-C, attached hereto.</w:t>
      </w:r>
    </w:p>
    <w:p w14:paraId="1DBA8622" w14:textId="26D21E25" w:rsidR="00D37E80" w:rsidRPr="009F227C" w:rsidRDefault="00D37E80" w:rsidP="008750AD">
      <w:pPr>
        <w:spacing w:after="240"/>
        <w:jc w:val="both"/>
      </w:pPr>
      <w:r w:rsidRPr="009F227C">
        <w:t xml:space="preserve">Conclusion </w:t>
      </w:r>
    </w:p>
    <w:p w14:paraId="17B88D50" w14:textId="520E56DD" w:rsidR="00F36ABC" w:rsidRPr="009F227C" w:rsidRDefault="0024730A" w:rsidP="00F36ABC">
      <w:pPr>
        <w:pStyle w:val="OrderBody"/>
      </w:pPr>
      <w:r w:rsidRPr="009F227C">
        <w:tab/>
      </w:r>
      <w:r w:rsidR="008750AD" w:rsidRPr="009F227C">
        <w:t>The appropriate revenue requirement is $</w:t>
      </w:r>
      <w:r w:rsidR="008750AD" w:rsidRPr="00072C88">
        <w:t>27,450,926</w:t>
      </w:r>
      <w:r w:rsidR="008750AD" w:rsidRPr="009F227C">
        <w:t xml:space="preserve"> for water and $34,320,450 for wastewater.</w:t>
      </w:r>
    </w:p>
    <w:p w14:paraId="1E11EA11" w14:textId="77777777" w:rsidR="00F36ABC" w:rsidRPr="009F227C" w:rsidRDefault="00F36ABC" w:rsidP="00F36ABC">
      <w:pPr>
        <w:pStyle w:val="OrderBody"/>
      </w:pPr>
    </w:p>
    <w:p w14:paraId="304D43E7" w14:textId="4C6F88C7" w:rsidR="00BF4EB0" w:rsidRPr="009F227C" w:rsidRDefault="00BF4EB0" w:rsidP="00172BA1">
      <w:pPr>
        <w:pStyle w:val="ListParagraph"/>
        <w:numPr>
          <w:ilvl w:val="0"/>
          <w:numId w:val="44"/>
        </w:numPr>
        <w:ind w:left="720" w:hanging="720"/>
        <w:jc w:val="both"/>
        <w:outlineLvl w:val="0"/>
        <w:rPr>
          <w:b/>
          <w:bCs/>
          <w:kern w:val="32"/>
          <w:szCs w:val="32"/>
        </w:rPr>
      </w:pPr>
      <w:bookmarkStart w:id="47" w:name="_Toc199321475"/>
      <w:r w:rsidRPr="009F227C">
        <w:rPr>
          <w:b/>
        </w:rPr>
        <w:t>Rates,</w:t>
      </w:r>
      <w:r w:rsidRPr="009F227C">
        <w:rPr>
          <w:b/>
          <w:spacing w:val="-2"/>
        </w:rPr>
        <w:t xml:space="preserve"> </w:t>
      </w:r>
      <w:r w:rsidRPr="009F227C">
        <w:rPr>
          <w:b/>
        </w:rPr>
        <w:t>Misc.</w:t>
      </w:r>
      <w:r w:rsidRPr="009F227C">
        <w:rPr>
          <w:b/>
          <w:spacing w:val="-2"/>
        </w:rPr>
        <w:t xml:space="preserve"> </w:t>
      </w:r>
      <w:r w:rsidRPr="009F227C">
        <w:rPr>
          <w:b/>
        </w:rPr>
        <w:t>Service</w:t>
      </w:r>
      <w:r w:rsidRPr="009F227C">
        <w:rPr>
          <w:b/>
          <w:spacing w:val="-3"/>
        </w:rPr>
        <w:t xml:space="preserve"> </w:t>
      </w:r>
      <w:r w:rsidRPr="009F227C">
        <w:rPr>
          <w:b/>
        </w:rPr>
        <w:t>Charges,</w:t>
      </w:r>
      <w:r w:rsidRPr="009F227C">
        <w:rPr>
          <w:b/>
          <w:spacing w:val="-2"/>
        </w:rPr>
        <w:t xml:space="preserve"> </w:t>
      </w:r>
      <w:r w:rsidRPr="009F227C">
        <w:rPr>
          <w:b/>
        </w:rPr>
        <w:t>and</w:t>
      </w:r>
      <w:r w:rsidRPr="009F227C">
        <w:rPr>
          <w:b/>
          <w:spacing w:val="-1"/>
        </w:rPr>
        <w:t xml:space="preserve"> </w:t>
      </w:r>
      <w:r w:rsidRPr="009F227C">
        <w:rPr>
          <w:b/>
          <w:spacing w:val="-2"/>
        </w:rPr>
        <w:t>Other</w:t>
      </w:r>
      <w:bookmarkEnd w:id="47"/>
    </w:p>
    <w:p w14:paraId="1F32B176" w14:textId="77777777" w:rsidR="00BF4EB0" w:rsidRPr="009F227C" w:rsidRDefault="00BF4EB0" w:rsidP="00BF4EB0">
      <w:pPr>
        <w:jc w:val="both"/>
        <w:outlineLvl w:val="0"/>
        <w:rPr>
          <w:b/>
          <w:bCs/>
          <w:kern w:val="32"/>
          <w:szCs w:val="32"/>
        </w:rPr>
      </w:pPr>
    </w:p>
    <w:p w14:paraId="76CECCB6" w14:textId="7D033436" w:rsidR="006C56F1" w:rsidRPr="009F227C" w:rsidRDefault="00CE3E6C" w:rsidP="00172BA1">
      <w:pPr>
        <w:pStyle w:val="ListParagraph"/>
        <w:numPr>
          <w:ilvl w:val="0"/>
          <w:numId w:val="47"/>
        </w:numPr>
        <w:ind w:left="720"/>
        <w:jc w:val="both"/>
        <w:outlineLvl w:val="0"/>
        <w:rPr>
          <w:bCs/>
          <w:kern w:val="32"/>
          <w:szCs w:val="32"/>
          <w:u w:val="single"/>
        </w:rPr>
      </w:pPr>
      <w:bookmarkStart w:id="48" w:name="_Toc199321476"/>
      <w:r w:rsidRPr="009F227C">
        <w:rPr>
          <w:u w:val="single"/>
        </w:rPr>
        <w:t xml:space="preserve">Water </w:t>
      </w:r>
      <w:r w:rsidR="006C56F1" w:rsidRPr="009F227C">
        <w:rPr>
          <w:u w:val="single"/>
        </w:rPr>
        <w:t>Rate Structur</w:t>
      </w:r>
      <w:r w:rsidRPr="009F227C">
        <w:rPr>
          <w:u w:val="single"/>
        </w:rPr>
        <w:t>es and Rates</w:t>
      </w:r>
      <w:r w:rsidR="00A318BE">
        <w:rPr>
          <w:u w:val="single"/>
        </w:rPr>
        <w:t xml:space="preserve"> (Issue 34)</w:t>
      </w:r>
      <w:bookmarkEnd w:id="48"/>
    </w:p>
    <w:p w14:paraId="769061F1" w14:textId="77777777" w:rsidR="006C56F1" w:rsidRPr="009F227C" w:rsidRDefault="006C56F1" w:rsidP="00BF4EB0">
      <w:pPr>
        <w:jc w:val="both"/>
        <w:outlineLvl w:val="0"/>
        <w:rPr>
          <w:bCs/>
          <w:kern w:val="32"/>
          <w:szCs w:val="32"/>
          <w:u w:val="single"/>
        </w:rPr>
      </w:pPr>
    </w:p>
    <w:p w14:paraId="1C0A5643" w14:textId="77777777" w:rsidR="006C56F1" w:rsidRPr="009F227C" w:rsidRDefault="006C56F1" w:rsidP="00172BA1">
      <w:pPr>
        <w:pStyle w:val="ListParagraph"/>
        <w:numPr>
          <w:ilvl w:val="0"/>
          <w:numId w:val="27"/>
        </w:numPr>
        <w:spacing w:after="240"/>
        <w:ind w:hanging="720"/>
        <w:jc w:val="both"/>
      </w:pPr>
      <w:r w:rsidRPr="009F227C">
        <w:t>Analysis</w:t>
      </w:r>
    </w:p>
    <w:p w14:paraId="539BF79E" w14:textId="5861340E" w:rsidR="00F36ABC" w:rsidRPr="009F227C" w:rsidRDefault="00F36ABC" w:rsidP="006C56F1">
      <w:pPr>
        <w:spacing w:after="240"/>
        <w:ind w:firstLine="720"/>
        <w:jc w:val="both"/>
      </w:pPr>
      <w:r w:rsidRPr="009F227C">
        <w:t>In its revised MFRs, Sunshine’s proposed water rates are a result of the requested water revenue increase applied as an across the board increase to its existing rates</w:t>
      </w:r>
      <w:r w:rsidR="00866056" w:rsidRPr="009F227C">
        <w:t xml:space="preserve">. </w:t>
      </w:r>
      <w:r w:rsidRPr="009F227C">
        <w:t xml:space="preserve">Those proposed rates included a repression adjustment to discretionary usage based on a reduction of 2 percent for every 10 percent increase in revenue. Sunshine witness Swain stated that this is consistent </w:t>
      </w:r>
      <w:r w:rsidRPr="009F227C">
        <w:lastRenderedPageBreak/>
        <w:t>with the repression adjustment requested and allowed in Order No. PSC-2017-0361-FOF-WS.</w:t>
      </w:r>
      <w:r w:rsidRPr="009F227C">
        <w:rPr>
          <w:vertAlign w:val="superscript"/>
        </w:rPr>
        <w:footnoteReference w:id="35"/>
      </w:r>
      <w:r w:rsidRPr="009F227C">
        <w:t xml:space="preserve">  Sunshine proposed a revenue increase of approximately 19.9 percent in water revenues and reduction in discretionary consumption based upon the increase would be a 3.98 percent to discretionary consumption, resulting in a reduction to overall consumption of 2.3128 percent. </w:t>
      </w:r>
    </w:p>
    <w:p w14:paraId="217759D8" w14:textId="09A59A9D" w:rsidR="00F36ABC" w:rsidRPr="009F227C" w:rsidRDefault="0024730A" w:rsidP="00F36ABC">
      <w:pPr>
        <w:spacing w:after="240"/>
        <w:jc w:val="both"/>
      </w:pPr>
      <w:r w:rsidRPr="009F227C">
        <w:tab/>
      </w:r>
      <w:r w:rsidR="008750AD" w:rsidRPr="009F227C">
        <w:t xml:space="preserve">As discussed </w:t>
      </w:r>
      <w:r w:rsidR="00801797">
        <w:t>previously</w:t>
      </w:r>
      <w:r w:rsidR="008750AD" w:rsidRPr="009F227C">
        <w:t>, we find that the Utility’s reduced revenue requirement of $</w:t>
      </w:r>
      <w:r w:rsidR="008750AD" w:rsidRPr="00072C88">
        <w:t>27,450,926</w:t>
      </w:r>
      <w:r w:rsidR="008750AD">
        <w:t xml:space="preserve"> </w:t>
      </w:r>
      <w:r w:rsidR="008750AD" w:rsidRPr="009F227C">
        <w:t>is appropriate</w:t>
      </w:r>
      <w:r w:rsidR="00801797">
        <w:t xml:space="preserve"> (Issue 33)</w:t>
      </w:r>
      <w:r w:rsidR="008750AD" w:rsidRPr="009F227C">
        <w:t xml:space="preserve">. As such, we find that rates shall be designed to recover the approved revenue requirement as proposed by Sunshine. We find that the Utility’s proposed repression adjustment is reasonable in this case for recognizing a reduction to residential discretionary usage. </w:t>
      </w:r>
    </w:p>
    <w:p w14:paraId="7ABE6717" w14:textId="77777777" w:rsidR="00F36ABC" w:rsidRPr="009F227C" w:rsidRDefault="0024730A" w:rsidP="00F36ABC">
      <w:pPr>
        <w:spacing w:after="240"/>
        <w:jc w:val="both"/>
      </w:pPr>
      <w:r w:rsidRPr="009F227C">
        <w:tab/>
      </w:r>
      <w:r w:rsidR="00F36ABC" w:rsidRPr="009F227C">
        <w:t xml:space="preserve">The Utility’s proposed rates are consistent with its proposed limited revenue requirement. However, adjustments were made to decrease miscellaneous revenues, which result in an increase of revenues to be recovered from service rates and a decrease of revenues recovered through miscellaneous service charges. </w:t>
      </w:r>
      <w:r w:rsidR="000A6A26" w:rsidRPr="009F227C">
        <w:t xml:space="preserve">We </w:t>
      </w:r>
      <w:r w:rsidR="00F36ABC" w:rsidRPr="009F227C">
        <w:t xml:space="preserve">calculated rates based on the reallocation. </w:t>
      </w:r>
      <w:r w:rsidR="000A6A26" w:rsidRPr="009F227C">
        <w:t>Our approved</w:t>
      </w:r>
      <w:r w:rsidR="00F36ABC" w:rsidRPr="009F227C">
        <w:t xml:space="preserve"> rates as shown on Schedule No. 4-A</w:t>
      </w:r>
      <w:r w:rsidR="000A6A26" w:rsidRPr="009F227C">
        <w:t>, attached herein</w:t>
      </w:r>
      <w:r w:rsidR="00F36ABC" w:rsidRPr="009F227C">
        <w:t>.</w:t>
      </w:r>
    </w:p>
    <w:p w14:paraId="7585E353" w14:textId="77777777" w:rsidR="000A6A26" w:rsidRPr="009F227C" w:rsidRDefault="000A6A26" w:rsidP="00172BA1">
      <w:pPr>
        <w:pStyle w:val="ListParagraph"/>
        <w:numPr>
          <w:ilvl w:val="0"/>
          <w:numId w:val="27"/>
        </w:numPr>
        <w:spacing w:after="240"/>
        <w:ind w:hanging="720"/>
        <w:jc w:val="both"/>
      </w:pPr>
      <w:r w:rsidRPr="009F227C">
        <w:t>Conclusion</w:t>
      </w:r>
    </w:p>
    <w:p w14:paraId="2C6EDEAA" w14:textId="77777777" w:rsidR="006C56F1" w:rsidRPr="009F227C" w:rsidRDefault="0024730A" w:rsidP="00F36ABC">
      <w:pPr>
        <w:pStyle w:val="OrderBody"/>
      </w:pPr>
      <w:r w:rsidRPr="009F227C">
        <w:tab/>
      </w:r>
      <w:r w:rsidR="00F36ABC" w:rsidRPr="009F227C">
        <w:t xml:space="preserve">Based on the above, the </w:t>
      </w:r>
      <w:r w:rsidR="000A6A26" w:rsidRPr="009F227C">
        <w:t>approved</w:t>
      </w:r>
      <w:r w:rsidR="00F36ABC" w:rsidRPr="009F227C">
        <w:t xml:space="preserve"> rate structures and monthly water rates are shown in Schedule No. 4-A. The Utility </w:t>
      </w:r>
      <w:r w:rsidR="00F6285F" w:rsidRPr="009F227C">
        <w:t>shall</w:t>
      </w:r>
      <w:r w:rsidR="00F36ABC" w:rsidRPr="009F227C">
        <w:t xml:space="preserve"> file revised tariff sheets and proposed customer notices to reflect approved rates. The approved rates </w:t>
      </w:r>
      <w:r w:rsidR="00F6285F" w:rsidRPr="009F227C">
        <w:t>shall</w:t>
      </w:r>
      <w:r w:rsidR="00F36ABC" w:rsidRPr="009F227C">
        <w:t xml:space="preserve"> be effective for service rendered on or after the stamped approval date on the tariff sheets pursuant to Rule 25-30.475(1), F.A.C. In addition, the approved rates </w:t>
      </w:r>
      <w:r w:rsidR="00430F3E" w:rsidRPr="009F227C">
        <w:t>shall</w:t>
      </w:r>
      <w:r w:rsidR="00F36ABC" w:rsidRPr="009F227C">
        <w:t xml:space="preserve"> not be implemented until </w:t>
      </w:r>
      <w:r w:rsidR="001D3577" w:rsidRPr="009F227C">
        <w:t>our staff</w:t>
      </w:r>
      <w:r w:rsidR="00F36ABC" w:rsidRPr="009F227C">
        <w:t xml:space="preserve"> has approved the proposed customer notices and the notices have been received by the customers. The Utility </w:t>
      </w:r>
      <w:r w:rsidR="00430F3E" w:rsidRPr="009F227C">
        <w:t>shall</w:t>
      </w:r>
      <w:r w:rsidR="00F36ABC" w:rsidRPr="009F227C">
        <w:t xml:space="preserve"> provide proof of the date notice was given within 10 days of the date of the notice.</w:t>
      </w:r>
    </w:p>
    <w:p w14:paraId="3460EECF" w14:textId="77777777" w:rsidR="007E45B3" w:rsidRPr="009F227C" w:rsidRDefault="007E45B3" w:rsidP="00F36ABC">
      <w:pPr>
        <w:pStyle w:val="OrderBody"/>
      </w:pPr>
    </w:p>
    <w:p w14:paraId="05B646E1" w14:textId="1E6B6439" w:rsidR="00A43AD7" w:rsidRPr="009F227C" w:rsidRDefault="00A43AD7" w:rsidP="00172BA1">
      <w:pPr>
        <w:pStyle w:val="ListParagraph"/>
        <w:numPr>
          <w:ilvl w:val="0"/>
          <w:numId w:val="47"/>
        </w:numPr>
        <w:ind w:left="720"/>
        <w:jc w:val="both"/>
        <w:outlineLvl w:val="0"/>
        <w:rPr>
          <w:bCs/>
          <w:kern w:val="32"/>
          <w:szCs w:val="32"/>
          <w:u w:val="single"/>
        </w:rPr>
      </w:pPr>
      <w:bookmarkStart w:id="49" w:name="_Toc199321477"/>
      <w:r w:rsidRPr="009F227C">
        <w:rPr>
          <w:u w:val="single"/>
        </w:rPr>
        <w:t>Private Fire Protection Charges</w:t>
      </w:r>
      <w:r w:rsidR="00485853" w:rsidRPr="009F227C">
        <w:rPr>
          <w:u w:val="single"/>
        </w:rPr>
        <w:t xml:space="preserve"> (Issue 35)</w:t>
      </w:r>
      <w:bookmarkEnd w:id="49"/>
    </w:p>
    <w:p w14:paraId="3CC9EABF" w14:textId="77777777" w:rsidR="00752DB6" w:rsidRPr="008B3703" w:rsidRDefault="00752DB6" w:rsidP="00FC5821">
      <w:pPr>
        <w:jc w:val="both"/>
        <w:outlineLvl w:val="1"/>
        <w:rPr>
          <w:bCs/>
          <w:kern w:val="32"/>
          <w:szCs w:val="32"/>
        </w:rPr>
      </w:pPr>
    </w:p>
    <w:p w14:paraId="293F8664" w14:textId="15F2F2E1" w:rsidR="00F36ABC" w:rsidRPr="009F227C" w:rsidRDefault="007E45B3" w:rsidP="00FC5821">
      <w:pPr>
        <w:ind w:firstLine="720"/>
        <w:jc w:val="both"/>
        <w:outlineLvl w:val="1"/>
      </w:pPr>
      <w:bookmarkStart w:id="50" w:name="_Toc199321478"/>
      <w:r w:rsidRPr="009F227C">
        <w:t xml:space="preserve">At the hearing, we approved a Type 1 stipulation as </w:t>
      </w:r>
      <w:r w:rsidRPr="009F227C">
        <w:rPr>
          <w:sz w:val="23"/>
          <w:szCs w:val="23"/>
        </w:rPr>
        <w:t xml:space="preserve">follows: </w:t>
      </w:r>
      <w:r w:rsidR="00F36ABC" w:rsidRPr="009F227C">
        <w:t>The fire protection rate sh</w:t>
      </w:r>
      <w:r w:rsidR="003C2A99">
        <w:t>all</w:t>
      </w:r>
      <w:r w:rsidR="00F36ABC" w:rsidRPr="009F227C">
        <w:t xml:space="preserve"> be established pursuant to Rule 25-30.465, F.A.C.</w:t>
      </w:r>
      <w:bookmarkEnd w:id="50"/>
    </w:p>
    <w:p w14:paraId="05137E7A" w14:textId="77777777" w:rsidR="00FC5821" w:rsidRPr="008B3703" w:rsidRDefault="00FC5821" w:rsidP="00FC5821">
      <w:pPr>
        <w:ind w:firstLine="720"/>
        <w:jc w:val="both"/>
        <w:outlineLvl w:val="1"/>
        <w:rPr>
          <w:bCs/>
          <w:kern w:val="32"/>
          <w:szCs w:val="32"/>
        </w:rPr>
      </w:pPr>
    </w:p>
    <w:p w14:paraId="57E7C11F" w14:textId="00B2248C" w:rsidR="00752DB6" w:rsidRPr="009F227C" w:rsidRDefault="00485853" w:rsidP="00172BA1">
      <w:pPr>
        <w:pStyle w:val="ListParagraph"/>
        <w:numPr>
          <w:ilvl w:val="0"/>
          <w:numId w:val="47"/>
        </w:numPr>
        <w:ind w:left="720"/>
        <w:jc w:val="both"/>
        <w:outlineLvl w:val="0"/>
        <w:rPr>
          <w:bCs/>
          <w:kern w:val="32"/>
          <w:szCs w:val="32"/>
          <w:u w:val="single"/>
        </w:rPr>
      </w:pPr>
      <w:bookmarkStart w:id="51" w:name="_Toc199321479"/>
      <w:r w:rsidRPr="009F227C">
        <w:rPr>
          <w:u w:val="single"/>
        </w:rPr>
        <w:t>Wastewater Rate Structures and Rates</w:t>
      </w:r>
      <w:r w:rsidR="00F9170A" w:rsidRPr="009F227C">
        <w:rPr>
          <w:u w:val="single"/>
        </w:rPr>
        <w:t xml:space="preserve"> (Issue 36)</w:t>
      </w:r>
      <w:bookmarkEnd w:id="51"/>
    </w:p>
    <w:p w14:paraId="70E8A1F1" w14:textId="77777777" w:rsidR="00F36ABC" w:rsidRPr="009F227C" w:rsidRDefault="00F36ABC" w:rsidP="00F36ABC">
      <w:pPr>
        <w:pStyle w:val="OrderBody"/>
      </w:pPr>
    </w:p>
    <w:p w14:paraId="27999908" w14:textId="77777777" w:rsidR="00752DB6" w:rsidRPr="009F227C" w:rsidRDefault="00752DB6" w:rsidP="00172BA1">
      <w:pPr>
        <w:pStyle w:val="ListParagraph"/>
        <w:numPr>
          <w:ilvl w:val="0"/>
          <w:numId w:val="28"/>
        </w:numPr>
        <w:spacing w:after="240"/>
        <w:ind w:hanging="720"/>
        <w:jc w:val="both"/>
      </w:pPr>
      <w:r w:rsidRPr="009F227C">
        <w:t>Analysis</w:t>
      </w:r>
    </w:p>
    <w:p w14:paraId="4A9092C2" w14:textId="3399A2EE" w:rsidR="00F36ABC" w:rsidRPr="009F227C" w:rsidRDefault="00F36ABC" w:rsidP="00752DB6">
      <w:pPr>
        <w:spacing w:after="240"/>
        <w:ind w:firstLine="720"/>
        <w:jc w:val="both"/>
      </w:pPr>
      <w:r w:rsidRPr="009F227C">
        <w:t>In its revised MFRs, Sunshine proposed wastewater rates are a result of the requested wastewater revenue increase applied as an across the board increase to its existing rates</w:t>
      </w:r>
      <w:r w:rsidR="00866056" w:rsidRPr="009F227C">
        <w:t xml:space="preserve">. </w:t>
      </w:r>
      <w:r w:rsidRPr="009F227C">
        <w:t>Sunshine witness Swain indicated that she inadvertently did not include a repression adjustment to the calculation of the wastewater rates in the original filing</w:t>
      </w:r>
      <w:r w:rsidR="00866056" w:rsidRPr="009F227C">
        <w:t xml:space="preserve">. </w:t>
      </w:r>
      <w:r w:rsidRPr="009F227C">
        <w:t>Witness Swain cited Order No. PSC-2017-0361-FOF-WS</w:t>
      </w:r>
      <w:r w:rsidR="003C2A99">
        <w:t>,</w:t>
      </w:r>
      <w:r w:rsidRPr="009F227C">
        <w:t xml:space="preserve"> wherein one of the Utility’s prior rate cases </w:t>
      </w:r>
      <w:r w:rsidR="00752DB6" w:rsidRPr="009F227C">
        <w:t>we</w:t>
      </w:r>
      <w:r w:rsidRPr="009F227C">
        <w:t xml:space="preserve"> approved a repression adjustment to the wastewater billing determinants to account for the expected decline in water </w:t>
      </w:r>
      <w:r w:rsidRPr="009F227C">
        <w:lastRenderedPageBreak/>
        <w:t>demand</w:t>
      </w:r>
      <w:r w:rsidR="00866056" w:rsidRPr="009F227C">
        <w:t xml:space="preserve">. </w:t>
      </w:r>
      <w:r w:rsidRPr="009F227C">
        <w:t>Consistent with witness Swain’s proposed water repression adjustment, the wastewater repression adjustment is based on a two percent reduction in discretionary consumption for every 10 percent increase in revenue</w:t>
      </w:r>
      <w:r w:rsidR="00866056" w:rsidRPr="009F227C">
        <w:t xml:space="preserve">. </w:t>
      </w:r>
      <w:r w:rsidRPr="009F227C">
        <w:t>Witness Swain asserted that in order to compensate for the anticipated 3.16 percent reduction in discretionary billable water, an across the board reduction of .310 percent should be applied to the wa</w:t>
      </w:r>
      <w:r w:rsidR="00F37AEE" w:rsidRPr="009F227C">
        <w:t>stewater gallonage charge.</w:t>
      </w:r>
    </w:p>
    <w:p w14:paraId="275B07ED" w14:textId="31292671" w:rsidR="00F36ABC" w:rsidRPr="009F227C" w:rsidRDefault="0024730A" w:rsidP="00F36ABC">
      <w:pPr>
        <w:spacing w:after="240"/>
        <w:jc w:val="both"/>
      </w:pPr>
      <w:r w:rsidRPr="009F227C">
        <w:tab/>
      </w:r>
      <w:r w:rsidR="00801797">
        <w:t>As set forth in our discussion of water rate structure and rates</w:t>
      </w:r>
      <w:r w:rsidR="00F36ABC" w:rsidRPr="009F227C">
        <w:t xml:space="preserve">, </w:t>
      </w:r>
      <w:r w:rsidR="00752DB6" w:rsidRPr="009F227C">
        <w:t>we have limited the</w:t>
      </w:r>
      <w:r w:rsidR="00F36ABC" w:rsidRPr="009F227C">
        <w:t xml:space="preserve"> Utility’s revenue requirement to </w:t>
      </w:r>
      <w:r w:rsidR="00752DB6" w:rsidRPr="009F227C">
        <w:t>the</w:t>
      </w:r>
      <w:r w:rsidR="00F36ABC" w:rsidRPr="009F227C">
        <w:t xml:space="preserve"> request in its petition of $34,320,450</w:t>
      </w:r>
      <w:r w:rsidR="00801797">
        <w:t xml:space="preserve"> (Issue 34)</w:t>
      </w:r>
      <w:r w:rsidR="00F36ABC" w:rsidRPr="009F227C">
        <w:t xml:space="preserve">. As such, rates </w:t>
      </w:r>
      <w:r w:rsidR="00752DB6" w:rsidRPr="009F227C">
        <w:t>shall</w:t>
      </w:r>
      <w:r w:rsidR="00F36ABC" w:rsidRPr="009F227C">
        <w:t xml:space="preserve"> be design</w:t>
      </w:r>
      <w:r w:rsidR="00752DB6" w:rsidRPr="009F227C">
        <w:t>ed</w:t>
      </w:r>
      <w:r w:rsidR="00F36ABC" w:rsidRPr="009F227C">
        <w:t xml:space="preserve"> to recover the </w:t>
      </w:r>
      <w:r w:rsidR="00F370E1" w:rsidRPr="009F227C">
        <w:t>approved</w:t>
      </w:r>
      <w:r w:rsidR="00F36ABC" w:rsidRPr="009F227C">
        <w:t xml:space="preserve"> revenue requirement. </w:t>
      </w:r>
      <w:r w:rsidR="00F370E1" w:rsidRPr="009F227C">
        <w:t>We do</w:t>
      </w:r>
      <w:r w:rsidR="00F36ABC" w:rsidRPr="009F227C">
        <w:t xml:space="preserve"> not agree with witness Swain’s methodology for calculating the wastewater repression adjustment. In formulating the repression adjustment, witness Swain used the wastewater revenue increase to determine the adjustment. However, </w:t>
      </w:r>
      <w:r w:rsidR="00F370E1" w:rsidRPr="009F227C">
        <w:t>we do</w:t>
      </w:r>
      <w:r w:rsidR="00F36ABC" w:rsidRPr="009F227C">
        <w:t xml:space="preserve"> not recognize an adjustment due to an increase in the price of wastewater, but </w:t>
      </w:r>
      <w:r w:rsidR="00F370E1" w:rsidRPr="009F227C">
        <w:t>due to</w:t>
      </w:r>
      <w:r w:rsidR="00F36ABC" w:rsidRPr="009F227C">
        <w:t xml:space="preserve"> the effect of an increase in the price of water on customer demand. </w:t>
      </w:r>
      <w:r w:rsidR="00F370E1" w:rsidRPr="009F227C">
        <w:t>Our practice is to calculate</w:t>
      </w:r>
      <w:r w:rsidR="00F36ABC" w:rsidRPr="009F227C">
        <w:t xml:space="preserve"> increase</w:t>
      </w:r>
      <w:r w:rsidR="00F370E1" w:rsidRPr="009F227C">
        <w:t>s</w:t>
      </w:r>
      <w:r w:rsidR="00F36ABC" w:rsidRPr="009F227C">
        <w:t xml:space="preserve"> in the price of water </w:t>
      </w:r>
      <w:r w:rsidR="00F370E1" w:rsidRPr="009F227C">
        <w:t>as</w:t>
      </w:r>
      <w:r w:rsidR="00F36ABC" w:rsidRPr="009F227C">
        <w:t xml:space="preserve"> the catalyst for whether or not there is a repression adjustment which would ultimately flow through to wastewater.</w:t>
      </w:r>
      <w:r w:rsidR="00F36ABC" w:rsidRPr="009F227C">
        <w:rPr>
          <w:vertAlign w:val="superscript"/>
        </w:rPr>
        <w:footnoteReference w:id="36"/>
      </w:r>
      <w:r w:rsidR="00F36ABC" w:rsidRPr="009F227C">
        <w:t xml:space="preserve"> Based on </w:t>
      </w:r>
      <w:r w:rsidR="00F370E1" w:rsidRPr="009F227C">
        <w:t>our</w:t>
      </w:r>
      <w:r w:rsidR="00F36ABC" w:rsidRPr="009F227C">
        <w:t xml:space="preserve"> practice,</w:t>
      </w:r>
      <w:r w:rsidR="00F370E1" w:rsidRPr="009F227C">
        <w:t xml:space="preserve"> we </w:t>
      </w:r>
      <w:r w:rsidR="00F36ABC" w:rsidRPr="009F227C">
        <w:t xml:space="preserve">used witness Swain reduction in water gallons to determine the appropriate wastewater repression. This resulted in a wastewater repression adjustment </w:t>
      </w:r>
      <w:r w:rsidR="00F370E1" w:rsidRPr="009F227C">
        <w:t xml:space="preserve">that was de minimis. Therefore, </w:t>
      </w:r>
      <w:r w:rsidR="00F36ABC" w:rsidRPr="009F227C">
        <w:t>no repression adjustment for wastewater</w:t>
      </w:r>
      <w:r w:rsidR="00F370E1" w:rsidRPr="009F227C">
        <w:t xml:space="preserve"> is necessary</w:t>
      </w:r>
      <w:r w:rsidR="00F36ABC" w:rsidRPr="009F227C">
        <w:t xml:space="preserve">. </w:t>
      </w:r>
    </w:p>
    <w:p w14:paraId="6A4BD4B4" w14:textId="79DE3392" w:rsidR="00F36ABC" w:rsidRPr="009F227C" w:rsidRDefault="0024730A" w:rsidP="00F36ABC">
      <w:pPr>
        <w:spacing w:after="240"/>
        <w:jc w:val="both"/>
      </w:pPr>
      <w:r w:rsidRPr="009F227C">
        <w:tab/>
      </w:r>
      <w:r w:rsidR="00F36ABC" w:rsidRPr="009F227C">
        <w:t xml:space="preserve">The Utility’s proposed rates are consisted with its proposed limited revenue requirement. However, adjustments were made to decrease miscellaneous revenues, which result in an increase of revenues to be recovered from service rates and a decrease of revenues recovered through miscellaneous service charges. </w:t>
      </w:r>
      <w:r w:rsidR="003C2A99">
        <w:t>We</w:t>
      </w:r>
      <w:r w:rsidR="00F36ABC" w:rsidRPr="003C2A99">
        <w:t xml:space="preserve"> calculated rates based on the reallocation. </w:t>
      </w:r>
      <w:r w:rsidR="001D3577" w:rsidRPr="003C2A99">
        <w:t xml:space="preserve">Our </w:t>
      </w:r>
      <w:r w:rsidR="003C2A99">
        <w:t>approved</w:t>
      </w:r>
      <w:r w:rsidR="00F36ABC" w:rsidRPr="003C2A99">
        <w:t xml:space="preserve"> rates </w:t>
      </w:r>
      <w:r w:rsidR="003C2A99">
        <w:t>are</w:t>
      </w:r>
      <w:r w:rsidR="00F36ABC" w:rsidRPr="003C2A99">
        <w:t xml:space="preserve"> shown on Schedule No. 4-B.</w:t>
      </w:r>
      <w:r w:rsidR="00F36ABC" w:rsidRPr="009F227C">
        <w:t xml:space="preserve"> </w:t>
      </w:r>
    </w:p>
    <w:p w14:paraId="7A2BF3C6" w14:textId="77777777" w:rsidR="00F370E1" w:rsidRPr="009F227C" w:rsidRDefault="00F370E1" w:rsidP="00172BA1">
      <w:pPr>
        <w:pStyle w:val="ListParagraph"/>
        <w:numPr>
          <w:ilvl w:val="0"/>
          <w:numId w:val="28"/>
        </w:numPr>
        <w:spacing w:after="240"/>
        <w:ind w:hanging="720"/>
        <w:jc w:val="both"/>
      </w:pPr>
      <w:r w:rsidRPr="009F227C">
        <w:t>Conclusion</w:t>
      </w:r>
    </w:p>
    <w:p w14:paraId="0333F2D6" w14:textId="6C70115B" w:rsidR="00F36ABC" w:rsidRPr="009F227C" w:rsidRDefault="0024730A" w:rsidP="00F36ABC">
      <w:pPr>
        <w:pStyle w:val="OrderBody"/>
      </w:pPr>
      <w:r w:rsidRPr="009F227C">
        <w:tab/>
      </w:r>
      <w:r w:rsidR="00F36ABC" w:rsidRPr="009F227C">
        <w:t xml:space="preserve">The </w:t>
      </w:r>
      <w:r w:rsidR="00365F7B">
        <w:t>approved</w:t>
      </w:r>
      <w:r w:rsidR="00F36ABC" w:rsidRPr="009F227C">
        <w:t xml:space="preserve"> rate structures and monthly wastewater rates are shown on Schedule No. 4-B</w:t>
      </w:r>
      <w:r w:rsidR="00F370E1" w:rsidRPr="009F227C">
        <w:t>, attached hereto</w:t>
      </w:r>
      <w:r w:rsidR="00F36ABC" w:rsidRPr="009F227C">
        <w:t xml:space="preserve">. The Utility </w:t>
      </w:r>
      <w:r w:rsidR="00F370E1" w:rsidRPr="009F227C">
        <w:t>shall</w:t>
      </w:r>
      <w:r w:rsidR="00F36ABC" w:rsidRPr="009F227C">
        <w:t xml:space="preserve"> file revised tariff sheets and a proposed customer notice to reflect approved rates. The approved rates </w:t>
      </w:r>
      <w:r w:rsidR="00F370E1" w:rsidRPr="009F227C">
        <w:t>shall</w:t>
      </w:r>
      <w:r w:rsidR="00F36ABC" w:rsidRPr="009F227C">
        <w:t xml:space="preserve"> be effective for service rendered on or after the stamped approval date on the tariff sheets provided customers have received notice pursuant to Rule 25-30.475, F.A.C. In addition, the approved rates </w:t>
      </w:r>
      <w:r w:rsidR="00F370E1" w:rsidRPr="009F227C">
        <w:t>shall</w:t>
      </w:r>
      <w:r w:rsidR="00F36ABC" w:rsidRPr="009F227C">
        <w:t xml:space="preserve"> not be implemented until </w:t>
      </w:r>
      <w:r w:rsidR="001D3577" w:rsidRPr="009F227C">
        <w:t>our staff</w:t>
      </w:r>
      <w:r w:rsidR="00F36ABC" w:rsidRPr="009F227C">
        <w:t xml:space="preserve"> has approved the proposed customer notices and the notices have been received by the customers. The Utility </w:t>
      </w:r>
      <w:r w:rsidR="00F370E1" w:rsidRPr="009F227C">
        <w:t>shall</w:t>
      </w:r>
      <w:r w:rsidR="00F36ABC" w:rsidRPr="009F227C">
        <w:t xml:space="preserve"> provide proof of the date notice was given within 10 days of the date of the notice.</w:t>
      </w:r>
    </w:p>
    <w:p w14:paraId="7AF7B19D" w14:textId="77777777" w:rsidR="007317B8" w:rsidRPr="009F227C" w:rsidRDefault="007317B8" w:rsidP="00F36ABC">
      <w:pPr>
        <w:pStyle w:val="OrderBody"/>
      </w:pPr>
    </w:p>
    <w:p w14:paraId="0B65C4E2" w14:textId="7690FE6D" w:rsidR="007317B8" w:rsidRPr="009F227C" w:rsidRDefault="007317B8" w:rsidP="00172BA1">
      <w:pPr>
        <w:pStyle w:val="ListParagraph"/>
        <w:numPr>
          <w:ilvl w:val="0"/>
          <w:numId w:val="47"/>
        </w:numPr>
        <w:ind w:hanging="1080"/>
        <w:jc w:val="both"/>
        <w:outlineLvl w:val="0"/>
      </w:pPr>
      <w:bookmarkStart w:id="52" w:name="_Toc199321480"/>
      <w:r w:rsidRPr="009F227C">
        <w:rPr>
          <w:u w:val="single"/>
        </w:rPr>
        <w:t>Reuse Rates</w:t>
      </w:r>
      <w:r w:rsidR="00F53318" w:rsidRPr="009F227C">
        <w:rPr>
          <w:u w:val="single"/>
        </w:rPr>
        <w:t xml:space="preserve"> (Issue 37)</w:t>
      </w:r>
      <w:bookmarkEnd w:id="52"/>
    </w:p>
    <w:p w14:paraId="5A3ECB6C" w14:textId="77777777" w:rsidR="007317B8" w:rsidRPr="009F227C" w:rsidRDefault="007317B8" w:rsidP="007317B8">
      <w:pPr>
        <w:jc w:val="both"/>
        <w:outlineLvl w:val="0"/>
      </w:pPr>
    </w:p>
    <w:p w14:paraId="360EC65A" w14:textId="77777777" w:rsidR="007317B8" w:rsidRPr="009F227C" w:rsidRDefault="007317B8" w:rsidP="00172BA1">
      <w:pPr>
        <w:pStyle w:val="ListParagraph"/>
        <w:numPr>
          <w:ilvl w:val="0"/>
          <w:numId w:val="29"/>
        </w:numPr>
        <w:spacing w:after="240"/>
        <w:ind w:hanging="720"/>
        <w:jc w:val="both"/>
      </w:pPr>
      <w:r w:rsidRPr="009F227C">
        <w:t>Analysis</w:t>
      </w:r>
    </w:p>
    <w:p w14:paraId="6FDC358C" w14:textId="77777777" w:rsidR="00F36ABC" w:rsidRPr="009F227C" w:rsidRDefault="00F36ABC" w:rsidP="007317B8">
      <w:pPr>
        <w:spacing w:after="240"/>
        <w:ind w:firstLine="720"/>
        <w:jc w:val="both"/>
      </w:pPr>
      <w:r w:rsidRPr="009F227C">
        <w:t>In its revised MFRs, the Utility reflected proposed residential reuse rates of $11.84 for the BFC and $2.23 for the gallonage charge</w:t>
      </w:r>
      <w:r w:rsidR="00866056" w:rsidRPr="009F227C">
        <w:t xml:space="preserve">. </w:t>
      </w:r>
      <w:r w:rsidRPr="009F227C">
        <w:t xml:space="preserve">Sunshine’s proposed reuse rates are a product of </w:t>
      </w:r>
      <w:r w:rsidRPr="009F227C">
        <w:lastRenderedPageBreak/>
        <w:t xml:space="preserve">applying the Utility’s requested wastewater percentage increase of 16 percent to its existing reuse rates. OPC witness Smith proposed reuse rates of $12.51 for the BFC and $2.35 for the gallonage charge. </w:t>
      </w:r>
    </w:p>
    <w:p w14:paraId="6DFF274E" w14:textId="6FB91102" w:rsidR="00F36ABC" w:rsidRPr="009F227C" w:rsidRDefault="0024730A" w:rsidP="00F36ABC">
      <w:pPr>
        <w:spacing w:after="240"/>
        <w:jc w:val="both"/>
      </w:pPr>
      <w:r w:rsidRPr="009F227C">
        <w:tab/>
      </w:r>
      <w:r w:rsidR="00C67776">
        <w:t>Our</w:t>
      </w:r>
      <w:r w:rsidR="00F36ABC" w:rsidRPr="009F227C">
        <w:t xml:space="preserve"> practice with respect to setting reuse rates does not include a cost based justification. Instead, the charge is typically set to reflect that sales of reuse as a lower cost alternative disposal method. Witness Smith indicated that current ratio of the reuse BFC to the potable water BFC is 75.24 percent ($10.21/$13.57) and current ratio of the reuse gallonage charge to the lowest tier of the potable water gallonage charges is 101.05 percent ($1.92/$1.90)</w:t>
      </w:r>
      <w:r w:rsidR="00866056" w:rsidRPr="009F227C">
        <w:t xml:space="preserve">. </w:t>
      </w:r>
      <w:r w:rsidR="00F36ABC" w:rsidRPr="009F227C">
        <w:t>For the Utility’s proposed rates, the ratio of the BFC charge for reuse to potable water is 71.20 percent ($11.84/$16.63) and the proposed gallonage charge for reuse to the lowest tier of the potable water usage is 95.71 percent ($2.23/$2.33)</w:t>
      </w:r>
      <w:r w:rsidR="00866056" w:rsidRPr="009F227C">
        <w:t xml:space="preserve">. </w:t>
      </w:r>
      <w:r w:rsidR="00F36ABC" w:rsidRPr="009F227C">
        <w:t>Witness Smith argued that consistent with OPC’s proposed reuse rates the current parity should be maintained that exists between the wastewater reuse rates and the rates for the lowest of tier of potable water usage</w:t>
      </w:r>
      <w:r w:rsidR="00866056" w:rsidRPr="009F227C">
        <w:t xml:space="preserve">. </w:t>
      </w:r>
      <w:r w:rsidR="00F36ABC" w:rsidRPr="009F227C">
        <w:t>Witness Smith explained that keeping the reuse rates on a parity level with potable water that makes reuse the better option is in the public interest</w:t>
      </w:r>
      <w:r w:rsidR="00866056" w:rsidRPr="009F227C">
        <w:t xml:space="preserve">. </w:t>
      </w:r>
      <w:r w:rsidR="00F36ABC" w:rsidRPr="009F227C">
        <w:t xml:space="preserve">As a result of OPC’s proposed reuse rates, witness Smith asserts that reuse water revenues should be increased $25,639 to reflect the proposed higher reuse rates. </w:t>
      </w:r>
    </w:p>
    <w:p w14:paraId="7093C774" w14:textId="77777777" w:rsidR="00F36ABC" w:rsidRPr="009F227C" w:rsidRDefault="0024730A" w:rsidP="00F36ABC">
      <w:pPr>
        <w:spacing w:after="240"/>
        <w:jc w:val="both"/>
      </w:pPr>
      <w:r w:rsidRPr="009F227C">
        <w:tab/>
      </w:r>
      <w:r w:rsidR="00F36ABC" w:rsidRPr="009F227C">
        <w:t>There was some disagreement between OPC and Sunshine on the nature of witness Smith’s adjustment as to whether it was a rate design issue or a revenue requirement issue. Witness Smith argued that the adjustment involves some aspects of both while witness Swain attested that the adjustment is a rate design issue</w:t>
      </w:r>
      <w:r w:rsidR="00866056" w:rsidRPr="009F227C">
        <w:t>.</w:t>
      </w:r>
      <w:r w:rsidR="00F549F3" w:rsidRPr="009F227C">
        <w:t xml:space="preserve"> We agree</w:t>
      </w:r>
      <w:r w:rsidR="00F36ABC" w:rsidRPr="009F227C">
        <w:t xml:space="preserve"> with witness Swain. The wastewater revenue requirement encompasses both wastewater and reuse water. The portion of the wastewater revenue requirement recovered through the reuse rates is subtracted from the wastewater revenue requirement to determine the appropriate portion of the wastewater revenue to be used to design the wastewater rates. </w:t>
      </w:r>
      <w:r w:rsidR="00F549F3" w:rsidRPr="009F227C">
        <w:t xml:space="preserve">We agree with </w:t>
      </w:r>
      <w:r w:rsidR="00F36ABC" w:rsidRPr="009F227C">
        <w:t>witness Smith that the proposed adjustment of $25,639 to increase reuse revenues has the effect of reducing the amount of wastewater revenue requirement for designing the wastewater rates</w:t>
      </w:r>
      <w:r w:rsidR="00866056" w:rsidRPr="009F227C">
        <w:t xml:space="preserve">. </w:t>
      </w:r>
      <w:r w:rsidR="00F36ABC" w:rsidRPr="009F227C">
        <w:t xml:space="preserve">However, </w:t>
      </w:r>
      <w:r w:rsidR="00F549F3" w:rsidRPr="009F227C">
        <w:t>we do</w:t>
      </w:r>
      <w:r w:rsidR="00F36ABC" w:rsidRPr="009F227C">
        <w:t xml:space="preserve"> not agree with witness Smith’s proposed reuse rates and its corresponding adjustment.</w:t>
      </w:r>
    </w:p>
    <w:p w14:paraId="7057B189" w14:textId="2AC74FA4" w:rsidR="00F36ABC" w:rsidRDefault="0024730A" w:rsidP="00F36ABC">
      <w:pPr>
        <w:spacing w:after="240"/>
        <w:jc w:val="both"/>
      </w:pPr>
      <w:r w:rsidRPr="009F227C">
        <w:tab/>
      </w:r>
      <w:r w:rsidR="00F36ABC" w:rsidRPr="009F227C">
        <w:t>Witness Smith indicated that reuse rates should be designed such that it is the cheaper option than potable water</w:t>
      </w:r>
      <w:r w:rsidR="00866056" w:rsidRPr="009F227C">
        <w:t xml:space="preserve">. </w:t>
      </w:r>
      <w:r w:rsidR="00F36ABC" w:rsidRPr="009F227C">
        <w:t>Witness Smith</w:t>
      </w:r>
      <w:r w:rsidR="0051052A">
        <w:t>’s</w:t>
      </w:r>
      <w:r w:rsidR="00F36ABC" w:rsidRPr="009F227C">
        <w:t xml:space="preserve"> proposed reuse rates are a cheaper option than potable water, but they are higher than the Utility’s proposed reuse rates. </w:t>
      </w:r>
      <w:r w:rsidR="00F549F3" w:rsidRPr="009F227C">
        <w:t>We find that</w:t>
      </w:r>
      <w:r w:rsidR="00F36ABC" w:rsidRPr="009F227C">
        <w:t xml:space="preserve"> OPC</w:t>
      </w:r>
      <w:r w:rsidR="00F549F3" w:rsidRPr="009F227C">
        <w:t>’s</w:t>
      </w:r>
      <w:r w:rsidR="00F36ABC" w:rsidRPr="009F227C">
        <w:t xml:space="preserve"> proposed reuse rates move closer to the potable water rates than the Utility’s proposed reuse rates, which is counterintuitive to reuse pricing. Bills based on a 4,000 gallon consumption level would be $25.95 for potable water, $20.76 for reuse under </w:t>
      </w:r>
      <w:r w:rsidR="0051052A">
        <w:t xml:space="preserve">the </w:t>
      </w:r>
      <w:r w:rsidR="00F36ABC" w:rsidRPr="009F227C">
        <w:t>Utility</w:t>
      </w:r>
      <w:r w:rsidR="0051052A">
        <w:t>’s proposed</w:t>
      </w:r>
      <w:r w:rsidR="00F36ABC" w:rsidRPr="009F227C">
        <w:t xml:space="preserve"> rates, and $21.91 for reuse under OPC</w:t>
      </w:r>
      <w:r w:rsidR="0051052A">
        <w:t>’s proposed</w:t>
      </w:r>
      <w:r w:rsidR="00F36ABC" w:rsidRPr="009F227C">
        <w:t xml:space="preserve"> rates.</w:t>
      </w:r>
      <w:r w:rsidR="00F549F3" w:rsidRPr="009F227C">
        <w:t xml:space="preserve"> The</w:t>
      </w:r>
      <w:r w:rsidR="00F36ABC" w:rsidRPr="009F227C">
        <w:t xml:space="preserve"> Utility’s proposed reuse rates are priced such that they incentivize customers to choose the reuse water rather than p</w:t>
      </w:r>
      <w:r w:rsidR="00F549F3" w:rsidRPr="009F227C">
        <w:t xml:space="preserve">otable water. Overall, customers are likely to </w:t>
      </w:r>
      <w:r w:rsidR="00F36ABC" w:rsidRPr="009F227C">
        <w:t>cho</w:t>
      </w:r>
      <w:r w:rsidR="00F549F3" w:rsidRPr="009F227C">
        <w:t>o</w:t>
      </w:r>
      <w:r w:rsidR="00F36ABC" w:rsidRPr="009F227C">
        <w:t>se reuse water when it’s available because it avoids them also having to pay for irrigation gallons up to the Utility’s cap on their wastewater bill if they use the potable water. Consistent with</w:t>
      </w:r>
      <w:r w:rsidR="004C3F31">
        <w:t xml:space="preserve"> our analysis of </w:t>
      </w:r>
      <w:r w:rsidR="004C3F31" w:rsidRPr="009F227C">
        <w:rPr>
          <w:u w:val="single"/>
        </w:rPr>
        <w:t>wastewater rate structures and rates</w:t>
      </w:r>
      <w:r w:rsidR="00F36ABC" w:rsidRPr="009F227C">
        <w:t xml:space="preserve"> </w:t>
      </w:r>
      <w:r w:rsidR="004C3F31">
        <w:t>(</w:t>
      </w:r>
      <w:r w:rsidR="00F36ABC" w:rsidRPr="009F227C">
        <w:t>Issue 36</w:t>
      </w:r>
      <w:r w:rsidR="004C3F31">
        <w:t>)</w:t>
      </w:r>
      <w:r w:rsidR="00F36ABC" w:rsidRPr="009F227C">
        <w:t xml:space="preserve">, the Utility’s proposed residential reuse rate </w:t>
      </w:r>
      <w:r w:rsidR="00F549F3" w:rsidRPr="009F227C">
        <w:t>are hereby</w:t>
      </w:r>
      <w:r w:rsidR="00F36ABC" w:rsidRPr="009F227C">
        <w:t xml:space="preserve"> approved.</w:t>
      </w:r>
    </w:p>
    <w:p w14:paraId="3B470EE2" w14:textId="245C7417" w:rsidR="008B3703" w:rsidRDefault="008B3703" w:rsidP="00F36ABC">
      <w:pPr>
        <w:spacing w:after="240"/>
        <w:jc w:val="both"/>
      </w:pPr>
    </w:p>
    <w:p w14:paraId="09DE5706" w14:textId="77777777" w:rsidR="008B3703" w:rsidRPr="009F227C" w:rsidRDefault="008B3703" w:rsidP="00F36ABC">
      <w:pPr>
        <w:spacing w:after="240"/>
        <w:jc w:val="both"/>
      </w:pPr>
    </w:p>
    <w:p w14:paraId="6F42D379" w14:textId="77777777" w:rsidR="00F549F3" w:rsidRPr="009F227C" w:rsidRDefault="00F549F3" w:rsidP="00172BA1">
      <w:pPr>
        <w:pStyle w:val="ListParagraph"/>
        <w:numPr>
          <w:ilvl w:val="0"/>
          <w:numId w:val="29"/>
        </w:numPr>
        <w:spacing w:after="240"/>
        <w:ind w:hanging="720"/>
        <w:jc w:val="both"/>
      </w:pPr>
      <w:r w:rsidRPr="009F227C">
        <w:lastRenderedPageBreak/>
        <w:t>Conclusion</w:t>
      </w:r>
    </w:p>
    <w:p w14:paraId="71B7A8CA" w14:textId="77777777" w:rsidR="00F36ABC" w:rsidRPr="009F227C" w:rsidRDefault="0024730A" w:rsidP="00F36ABC">
      <w:pPr>
        <w:pStyle w:val="OrderBody"/>
      </w:pPr>
      <w:r w:rsidRPr="009F227C">
        <w:tab/>
      </w:r>
      <w:r w:rsidR="00F36ABC" w:rsidRPr="009F227C">
        <w:t>Based on the above, the appropriate reuse rates for wastewater is shown on Schedule No. 2</w:t>
      </w:r>
      <w:r w:rsidR="0037093E" w:rsidRPr="009F227C">
        <w:t>, attached herein</w:t>
      </w:r>
      <w:r w:rsidR="00F36ABC" w:rsidRPr="009F227C">
        <w:t xml:space="preserve">. The Utility </w:t>
      </w:r>
      <w:r w:rsidR="0037093E" w:rsidRPr="009F227C">
        <w:t>shall</w:t>
      </w:r>
      <w:r w:rsidR="00F36ABC" w:rsidRPr="009F227C">
        <w:t xml:space="preserve"> file a revised tariff sheet and a prop</w:t>
      </w:r>
      <w:r w:rsidR="0037093E" w:rsidRPr="009F227C">
        <w:t xml:space="preserve">osed customer notice to reflect the </w:t>
      </w:r>
      <w:r w:rsidR="00F36ABC" w:rsidRPr="009F227C">
        <w:t xml:space="preserve">approved rate. The approved reuse rate </w:t>
      </w:r>
      <w:r w:rsidR="0037093E" w:rsidRPr="009F227C">
        <w:t>shall</w:t>
      </w:r>
      <w:r w:rsidR="00F36ABC" w:rsidRPr="009F227C">
        <w:t xml:space="preserve"> be effective for services rendered on or after the stamped approval date on the tariff sheet pursuant to Rule 25-30.475, F.A.C. In addition, the approved rates </w:t>
      </w:r>
      <w:r w:rsidR="0037093E" w:rsidRPr="009F227C">
        <w:t>shall</w:t>
      </w:r>
      <w:r w:rsidR="00F36ABC" w:rsidRPr="009F227C">
        <w:t xml:space="preserve"> not be implemented until </w:t>
      </w:r>
      <w:r w:rsidR="001D3577" w:rsidRPr="009F227C">
        <w:t>our staff</w:t>
      </w:r>
      <w:r w:rsidR="00F36ABC" w:rsidRPr="009F227C">
        <w:t xml:space="preserve"> has approved the proposed customer notice and the notice has been received by the customers. The Utility </w:t>
      </w:r>
      <w:r w:rsidR="0037093E" w:rsidRPr="009F227C">
        <w:t>shall</w:t>
      </w:r>
      <w:r w:rsidR="00F36ABC" w:rsidRPr="009F227C">
        <w:t xml:space="preserve"> provide proof of the date notice was given within 10 days of the date of the notice.</w:t>
      </w:r>
    </w:p>
    <w:p w14:paraId="2DD33383" w14:textId="77777777" w:rsidR="00F36ABC" w:rsidRPr="009F227C" w:rsidRDefault="00F36ABC" w:rsidP="00F36ABC">
      <w:pPr>
        <w:pStyle w:val="OrderBody"/>
      </w:pPr>
    </w:p>
    <w:p w14:paraId="1A6BF23F" w14:textId="27CC8642" w:rsidR="00872809" w:rsidRPr="009F227C" w:rsidRDefault="00FC5821" w:rsidP="00172BA1">
      <w:pPr>
        <w:pStyle w:val="ListParagraph"/>
        <w:numPr>
          <w:ilvl w:val="0"/>
          <w:numId w:val="47"/>
        </w:numPr>
        <w:ind w:hanging="1080"/>
        <w:jc w:val="both"/>
        <w:outlineLvl w:val="0"/>
      </w:pPr>
      <w:bookmarkStart w:id="53" w:name="_Toc199321481"/>
      <w:r w:rsidRPr="009F227C">
        <w:rPr>
          <w:u w:val="single"/>
        </w:rPr>
        <w:t>Customer Deposits</w:t>
      </w:r>
      <w:r w:rsidR="00114A6C" w:rsidRPr="009F227C">
        <w:rPr>
          <w:u w:val="single"/>
        </w:rPr>
        <w:t xml:space="preserve"> (Issue 38)</w:t>
      </w:r>
      <w:bookmarkEnd w:id="53"/>
    </w:p>
    <w:p w14:paraId="3A392391" w14:textId="1599E0C7" w:rsidR="00E04900" w:rsidRPr="00D574FB" w:rsidRDefault="00E04900" w:rsidP="00CC3ADC">
      <w:pPr>
        <w:spacing w:after="240"/>
        <w:contextualSpacing/>
        <w:jc w:val="both"/>
        <w:outlineLvl w:val="0"/>
        <w:rPr>
          <w:bCs/>
          <w:kern w:val="32"/>
          <w:szCs w:val="32"/>
        </w:rPr>
      </w:pPr>
    </w:p>
    <w:p w14:paraId="3D1652DC" w14:textId="163196E5" w:rsidR="00F36ABC" w:rsidRPr="00E97852" w:rsidRDefault="00FC5821" w:rsidP="00CC3ADC">
      <w:pPr>
        <w:spacing w:after="240"/>
        <w:ind w:firstLine="720"/>
        <w:jc w:val="both"/>
        <w:outlineLvl w:val="0"/>
        <w:rPr>
          <w:rFonts w:ascii="Arial" w:hAnsi="Arial" w:cs="Arial"/>
          <w:b/>
          <w:bCs/>
          <w:i/>
          <w:kern w:val="32"/>
        </w:rPr>
      </w:pPr>
      <w:bookmarkStart w:id="54" w:name="_Toc199321482"/>
      <w:r w:rsidRPr="009F227C">
        <w:t>At the hearing, we approved a Type 1 stipulation as</w:t>
      </w:r>
      <w:r w:rsidRPr="00E97852">
        <w:t xml:space="preserve"> </w:t>
      </w:r>
      <w:r w:rsidRPr="00595C2B">
        <w:t xml:space="preserve">follows: </w:t>
      </w:r>
      <w:r w:rsidR="00F36ABC" w:rsidRPr="00595C2B">
        <w:t>The amount of customer deposits sh</w:t>
      </w:r>
      <w:r w:rsidR="00C639A4" w:rsidRPr="00595C2B">
        <w:t>all</w:t>
      </w:r>
      <w:r w:rsidR="00F36ABC" w:rsidRPr="00595C2B">
        <w:t xml:space="preserve"> be established pursuant to Rule 25-30.311, F.A.C.</w:t>
      </w:r>
      <w:bookmarkEnd w:id="54"/>
    </w:p>
    <w:p w14:paraId="1C758BF4" w14:textId="1025CDDA" w:rsidR="002C5B43" w:rsidRPr="00FE7EAC" w:rsidRDefault="002C5B43" w:rsidP="00172BA1">
      <w:pPr>
        <w:pStyle w:val="ListParagraph"/>
        <w:numPr>
          <w:ilvl w:val="0"/>
          <w:numId w:val="47"/>
        </w:numPr>
        <w:ind w:hanging="1080"/>
        <w:jc w:val="both"/>
        <w:outlineLvl w:val="0"/>
      </w:pPr>
      <w:bookmarkStart w:id="55" w:name="_Toc199321483"/>
      <w:r w:rsidRPr="009F227C">
        <w:rPr>
          <w:u w:val="single"/>
        </w:rPr>
        <w:t>Miscellaneous Service Charges</w:t>
      </w:r>
      <w:r w:rsidR="00E51259" w:rsidRPr="009F227C">
        <w:rPr>
          <w:u w:val="single"/>
        </w:rPr>
        <w:t xml:space="preserve"> (Issue 39)</w:t>
      </w:r>
      <w:bookmarkEnd w:id="55"/>
    </w:p>
    <w:p w14:paraId="6486D4CC" w14:textId="77777777" w:rsidR="00FE7EAC" w:rsidRPr="009F227C" w:rsidRDefault="00FE7EAC" w:rsidP="00FE7EAC">
      <w:pPr>
        <w:jc w:val="both"/>
        <w:outlineLvl w:val="0"/>
      </w:pPr>
    </w:p>
    <w:p w14:paraId="30028468" w14:textId="67042ED2" w:rsidR="00945123" w:rsidRPr="009F227C" w:rsidRDefault="00945123" w:rsidP="00945123">
      <w:pPr>
        <w:pStyle w:val="ListParagraph"/>
        <w:numPr>
          <w:ilvl w:val="0"/>
          <w:numId w:val="51"/>
        </w:numPr>
        <w:spacing w:after="240"/>
        <w:ind w:hanging="720"/>
        <w:jc w:val="both"/>
      </w:pPr>
      <w:r w:rsidRPr="009F227C">
        <w:t>Analysis</w:t>
      </w:r>
    </w:p>
    <w:p w14:paraId="13FC83A1" w14:textId="12B499BD" w:rsidR="00F36ABC" w:rsidRPr="009F227C" w:rsidRDefault="00F36ABC" w:rsidP="002C5B43">
      <w:pPr>
        <w:spacing w:after="240"/>
        <w:ind w:firstLine="720"/>
        <w:jc w:val="both"/>
      </w:pPr>
      <w:r w:rsidRPr="009F227C">
        <w:t>The Utility did not request to revise its existing miscellaneous service charges</w:t>
      </w:r>
      <w:r w:rsidR="00866056" w:rsidRPr="009F227C">
        <w:t xml:space="preserve">. </w:t>
      </w:r>
      <w:r w:rsidRPr="009F227C">
        <w:t xml:space="preserve">Section 367.091, F.S., authorizes </w:t>
      </w:r>
      <w:r w:rsidR="002C5B43" w:rsidRPr="009F227C">
        <w:t>us</w:t>
      </w:r>
      <w:r w:rsidRPr="009F227C">
        <w:t xml:space="preserve"> to establish, increase, or change a rate or charge other than monthly rates or service availability charges. Some of the Utility’s existing charges do not conform to Rule 25-30.460, F.A.C. In its brief, OPC indicated that the appropriate miscellaneous service charges should be calculated based on Witness Smith’s adjustments</w:t>
      </w:r>
      <w:r w:rsidR="00A030DE">
        <w:t>.</w:t>
      </w:r>
      <w:r w:rsidR="00866056" w:rsidRPr="009F227C">
        <w:t xml:space="preserve"> </w:t>
      </w:r>
      <w:r w:rsidRPr="009F227C">
        <w:t xml:space="preserve">Witness Smith’s adjustments reflect an annualization of the impact on miscellaneous revenues of the price index increases to miscellaneous service charges during the test year. This adjustment was made </w:t>
      </w:r>
      <w:r w:rsidR="004C3F31">
        <w:t>to test year revenues</w:t>
      </w:r>
      <w:r w:rsidR="004C3F31" w:rsidRPr="009F227C">
        <w:t xml:space="preserve"> </w:t>
      </w:r>
      <w:r w:rsidR="004C3F31">
        <w:t>(</w:t>
      </w:r>
      <w:r w:rsidRPr="009F227C">
        <w:t>Issue 24</w:t>
      </w:r>
      <w:r w:rsidR="004C3F31">
        <w:t>)</w:t>
      </w:r>
      <w:r w:rsidRPr="009F227C">
        <w:t xml:space="preserve"> for water and wastewater. This has no impact on the miscellaneous service charges.</w:t>
      </w:r>
    </w:p>
    <w:p w14:paraId="59526B0A" w14:textId="621B5806" w:rsidR="00F36ABC" w:rsidRPr="009F227C" w:rsidRDefault="0024730A" w:rsidP="00F36ABC">
      <w:pPr>
        <w:spacing w:after="240"/>
        <w:jc w:val="both"/>
      </w:pPr>
      <w:r w:rsidRPr="009F227C">
        <w:tab/>
      </w:r>
      <w:r w:rsidR="00F36ABC" w:rsidRPr="009F227C">
        <w:t xml:space="preserve">The Utility currently has an initial connection charge, a normal reconnection charge, a violation reconnection charge, and a premises visit charge of $40.06 during business hours. The Utility also has after-hour charges of $49.62 as well as actual cost for the same charges during business hours. Pursuant to Rule 25-30.460, F.A.C., initial and reconnection charges are obsolete and are subsumed in the definition of the premises visit charge. Therefore, </w:t>
      </w:r>
      <w:r w:rsidR="002C5B43" w:rsidRPr="009F227C">
        <w:t xml:space="preserve">we find </w:t>
      </w:r>
      <w:r w:rsidR="00F36ABC" w:rsidRPr="009F227C">
        <w:t xml:space="preserve">that the initial and reconnection charges are obsolete and </w:t>
      </w:r>
      <w:r w:rsidR="002C5B43" w:rsidRPr="009F227C">
        <w:t>shall</w:t>
      </w:r>
      <w:r w:rsidR="00F36ABC" w:rsidRPr="009F227C">
        <w:t xml:space="preserve"> be removed. </w:t>
      </w:r>
      <w:r w:rsidR="00A030DE">
        <w:t>W</w:t>
      </w:r>
      <w:r w:rsidR="002C5B43" w:rsidRPr="009F227C">
        <w:t xml:space="preserve">e </w:t>
      </w:r>
      <w:r w:rsidR="00A030DE">
        <w:t xml:space="preserve">also </w:t>
      </w:r>
      <w:r w:rsidR="002C5B43" w:rsidRPr="009F227C">
        <w:t xml:space="preserve">find </w:t>
      </w:r>
      <w:r w:rsidR="00F36ABC" w:rsidRPr="009F227C">
        <w:t>that the definition for the premises visit charge</w:t>
      </w:r>
      <w:r w:rsidR="002C5B43" w:rsidRPr="009F227C">
        <w:t xml:space="preserve"> shall</w:t>
      </w:r>
      <w:r w:rsidR="00F36ABC" w:rsidRPr="009F227C">
        <w:t xml:space="preserve"> be updated to comply with Rule 25-30.460, F.A.C.</w:t>
      </w:r>
    </w:p>
    <w:p w14:paraId="49E13746" w14:textId="77777777" w:rsidR="002C5B43" w:rsidRPr="009F227C" w:rsidRDefault="002C5B43" w:rsidP="00945123">
      <w:pPr>
        <w:pStyle w:val="ListParagraph"/>
        <w:numPr>
          <w:ilvl w:val="0"/>
          <w:numId w:val="51"/>
        </w:numPr>
        <w:spacing w:after="240"/>
        <w:ind w:hanging="720"/>
        <w:jc w:val="both"/>
      </w:pPr>
      <w:r w:rsidRPr="009F227C">
        <w:t>Conclusion</w:t>
      </w:r>
    </w:p>
    <w:p w14:paraId="4F08B571" w14:textId="0CDD71EC" w:rsidR="00595C2B" w:rsidRPr="009F227C" w:rsidRDefault="0024730A" w:rsidP="00F36ABC">
      <w:pPr>
        <w:pStyle w:val="OrderBody"/>
      </w:pPr>
      <w:r w:rsidRPr="009F227C">
        <w:tab/>
      </w:r>
      <w:r w:rsidR="00F36ABC" w:rsidRPr="009F227C">
        <w:t xml:space="preserve">Based on the above, the appropriate miscellaneous service charges </w:t>
      </w:r>
      <w:r w:rsidR="002C5B43" w:rsidRPr="009F227C">
        <w:t>shall</w:t>
      </w:r>
      <w:r w:rsidR="00F36ABC" w:rsidRPr="009F227C">
        <w:t xml:space="preserve"> reflect the removal of the initial connection and normal reconnection charges. The premises visit charge definition </w:t>
      </w:r>
      <w:r w:rsidR="002C5B43" w:rsidRPr="009F227C">
        <w:t xml:space="preserve">shall </w:t>
      </w:r>
      <w:r w:rsidR="00F36ABC" w:rsidRPr="009F227C">
        <w:t xml:space="preserve">be updated consistent with Rule 25-30.460 F.A.C. The Utility </w:t>
      </w:r>
      <w:r w:rsidR="002C5B43" w:rsidRPr="009F227C">
        <w:t xml:space="preserve">shall </w:t>
      </w:r>
      <w:r w:rsidR="00F36ABC" w:rsidRPr="009F227C">
        <w:t xml:space="preserve">be required to file a proposed customer notice to reflect approved charges. The approved charges </w:t>
      </w:r>
      <w:r w:rsidR="002C5B43" w:rsidRPr="009F227C">
        <w:t xml:space="preserve">shall </w:t>
      </w:r>
      <w:r w:rsidR="00F36ABC" w:rsidRPr="009F227C">
        <w:t xml:space="preserve">be effective for service rendered or connections made on or after the stamped approval date on the tariff sheet pursuant to Rule 25-30.475(1), F.A.C. In addition, the approved charges </w:t>
      </w:r>
      <w:r w:rsidR="002C5B43" w:rsidRPr="009F227C">
        <w:t xml:space="preserve">shall </w:t>
      </w:r>
      <w:r w:rsidR="00F36ABC" w:rsidRPr="009F227C">
        <w:t xml:space="preserve">not be implemented until </w:t>
      </w:r>
      <w:r w:rsidR="001D3577" w:rsidRPr="009F227C">
        <w:t>our staff</w:t>
      </w:r>
      <w:r w:rsidR="00F36ABC" w:rsidRPr="009F227C">
        <w:t xml:space="preserve"> has approved the proposed customer notice and the notice has been </w:t>
      </w:r>
      <w:r w:rsidR="00F36ABC" w:rsidRPr="009F227C">
        <w:lastRenderedPageBreak/>
        <w:t xml:space="preserve">received by customers. The Utility </w:t>
      </w:r>
      <w:r w:rsidR="002C5B43" w:rsidRPr="009F227C">
        <w:t xml:space="preserve">shall </w:t>
      </w:r>
      <w:r w:rsidR="00F36ABC" w:rsidRPr="009F227C">
        <w:t>provide proof of the date notice was given no less than 10 days after the date of the notice.</w:t>
      </w:r>
    </w:p>
    <w:p w14:paraId="393B9AA1" w14:textId="77777777" w:rsidR="00F36ABC" w:rsidRPr="009F227C" w:rsidRDefault="00F36ABC" w:rsidP="00F36ABC">
      <w:pPr>
        <w:pStyle w:val="OrderBody"/>
      </w:pPr>
    </w:p>
    <w:p w14:paraId="3EA7DAB8" w14:textId="739452A0" w:rsidR="002C5B43" w:rsidRPr="00FE7EAC" w:rsidRDefault="002C5B43" w:rsidP="00172BA1">
      <w:pPr>
        <w:pStyle w:val="ListParagraph"/>
        <w:numPr>
          <w:ilvl w:val="0"/>
          <w:numId w:val="47"/>
        </w:numPr>
        <w:ind w:hanging="1080"/>
        <w:jc w:val="both"/>
        <w:outlineLvl w:val="0"/>
      </w:pPr>
      <w:bookmarkStart w:id="56" w:name="_Toc199321485"/>
      <w:r w:rsidRPr="009F227C">
        <w:rPr>
          <w:u w:val="single"/>
        </w:rPr>
        <w:t>Guaranteed Revenue Charges</w:t>
      </w:r>
      <w:r w:rsidR="00BF0F5E" w:rsidRPr="009F227C">
        <w:rPr>
          <w:u w:val="single"/>
        </w:rPr>
        <w:t xml:space="preserve"> (Issue 40)</w:t>
      </w:r>
      <w:bookmarkEnd w:id="56"/>
    </w:p>
    <w:p w14:paraId="487EA294" w14:textId="77777777" w:rsidR="00FE7EAC" w:rsidRPr="00FE7EAC" w:rsidRDefault="00FE7EAC" w:rsidP="00FE7EAC">
      <w:pPr>
        <w:jc w:val="both"/>
        <w:outlineLvl w:val="0"/>
      </w:pPr>
    </w:p>
    <w:p w14:paraId="3D2FEA86" w14:textId="77777777" w:rsidR="002C5B43" w:rsidRPr="009F227C" w:rsidRDefault="002C5B43" w:rsidP="00172BA1">
      <w:pPr>
        <w:pStyle w:val="ListParagraph"/>
        <w:numPr>
          <w:ilvl w:val="0"/>
          <w:numId w:val="31"/>
        </w:numPr>
        <w:spacing w:after="240"/>
        <w:ind w:hanging="720"/>
        <w:jc w:val="both"/>
      </w:pPr>
      <w:r w:rsidRPr="009F227C">
        <w:t>Analysis</w:t>
      </w:r>
    </w:p>
    <w:p w14:paraId="7244D997" w14:textId="3D86367A" w:rsidR="00F36ABC" w:rsidRPr="009F227C" w:rsidRDefault="00F36ABC" w:rsidP="002C5B43">
      <w:pPr>
        <w:spacing w:after="240"/>
        <w:ind w:firstLine="720"/>
        <w:jc w:val="both"/>
      </w:pPr>
      <w:r w:rsidRPr="009F227C">
        <w:t>In its revised MFRs, the Utility did not request a change to its guaranteed revenue charge</w:t>
      </w:r>
      <w:r w:rsidR="00866056" w:rsidRPr="009F227C">
        <w:t xml:space="preserve">. </w:t>
      </w:r>
      <w:r w:rsidRPr="009F227C">
        <w:t>Rule 25-30.515(9), F.A.C., defines a guaranteed revenue charge as a charge designed to cover the utility’s costs including, but not limited to, the cost of operation, maintenance, depreciation, and any ta</w:t>
      </w:r>
      <w:r w:rsidR="00CC3ADC">
        <w:t>xe</w:t>
      </w:r>
      <w:r w:rsidRPr="009F227C">
        <w:t>s, and to provide a reasonable return to a utility for facilities, a port</w:t>
      </w:r>
      <w:r w:rsidR="00CC3ADC">
        <w:t>ion</w:t>
      </w:r>
      <w:r w:rsidRPr="009F227C">
        <w:t xml:space="preserve"> of which may not be used or useful to a utility or its existing customers. The charge is designed to help a utility recover a portion of its cost from the time capacity is reserved until a customer begins to pay monthly service rates.</w:t>
      </w:r>
    </w:p>
    <w:p w14:paraId="565C5790" w14:textId="77777777" w:rsidR="00F36ABC" w:rsidRPr="009F227C" w:rsidRDefault="0024730A" w:rsidP="00F36ABC">
      <w:pPr>
        <w:pStyle w:val="OrderBody"/>
      </w:pPr>
      <w:r w:rsidRPr="009F227C">
        <w:tab/>
      </w:r>
      <w:r w:rsidR="00F36ABC" w:rsidRPr="009F227C">
        <w:t>OPC indicated that the guaranteed revenue charge is dependent on the resolution of other issues</w:t>
      </w:r>
      <w:r w:rsidR="00866056" w:rsidRPr="009F227C">
        <w:t xml:space="preserve">. </w:t>
      </w:r>
      <w:r w:rsidR="002C5B43" w:rsidRPr="009F227C">
        <w:t>We disagree</w:t>
      </w:r>
      <w:r w:rsidR="00F36ABC" w:rsidRPr="009F227C">
        <w:t xml:space="preserve"> with OPC that the appropriate charge is dependent upon other issues in the case. In prior cases, the guaranteed revenue charge has been based on a charge that is equal to a utility’s approved BFC for one ERC.</w:t>
      </w:r>
      <w:r w:rsidR="00F36ABC" w:rsidRPr="009F227C">
        <w:rPr>
          <w:vertAlign w:val="superscript"/>
        </w:rPr>
        <w:footnoteReference w:id="37"/>
      </w:r>
      <w:r w:rsidR="00F36ABC" w:rsidRPr="009F227C">
        <w:t xml:space="preserve"> </w:t>
      </w:r>
      <w:r w:rsidR="002C5B43" w:rsidRPr="009F227C">
        <w:t xml:space="preserve">However, </w:t>
      </w:r>
      <w:r w:rsidR="00F36ABC" w:rsidRPr="009F227C">
        <w:t xml:space="preserve">the Utility did not request the guaranteed revenue charge be changed. As a result, </w:t>
      </w:r>
      <w:r w:rsidR="002C5B43" w:rsidRPr="009F227C">
        <w:t>we find that</w:t>
      </w:r>
      <w:r w:rsidR="00F36ABC" w:rsidRPr="009F227C">
        <w:t xml:space="preserve"> the appropriate guaranteed revenue charge is the existing charge of $25.35</w:t>
      </w:r>
      <w:r w:rsidR="002C5B43" w:rsidRPr="009F227C">
        <w:t>, and the</w:t>
      </w:r>
      <w:r w:rsidR="00F36ABC" w:rsidRPr="009F227C">
        <w:t xml:space="preserve"> guaranteed revenue charge </w:t>
      </w:r>
      <w:r w:rsidR="002C5B43" w:rsidRPr="009F227C">
        <w:t>shall</w:t>
      </w:r>
      <w:r w:rsidR="00F36ABC" w:rsidRPr="009F227C">
        <w:t xml:space="preserve"> remain unchanged.</w:t>
      </w:r>
    </w:p>
    <w:p w14:paraId="2F9803C2" w14:textId="77777777" w:rsidR="002C5B43" w:rsidRPr="009F227C" w:rsidRDefault="002C5B43" w:rsidP="00F36ABC">
      <w:pPr>
        <w:pStyle w:val="OrderBody"/>
      </w:pPr>
    </w:p>
    <w:p w14:paraId="75D4F826" w14:textId="77777777" w:rsidR="00AC5DF8" w:rsidRPr="009F227C" w:rsidRDefault="00AC5DF8" w:rsidP="00172BA1">
      <w:pPr>
        <w:pStyle w:val="ListParagraph"/>
        <w:numPr>
          <w:ilvl w:val="0"/>
          <w:numId w:val="31"/>
        </w:numPr>
        <w:spacing w:after="240"/>
        <w:ind w:hanging="720"/>
        <w:jc w:val="both"/>
      </w:pPr>
      <w:r w:rsidRPr="009F227C">
        <w:t xml:space="preserve">Conclusion </w:t>
      </w:r>
    </w:p>
    <w:p w14:paraId="0640BF5F" w14:textId="77777777" w:rsidR="00AC5DF8" w:rsidRPr="009F227C" w:rsidRDefault="00AC5DF8" w:rsidP="00AC5DF8">
      <w:pPr>
        <w:pStyle w:val="OrderBody"/>
        <w:ind w:firstLine="720"/>
      </w:pPr>
      <w:r w:rsidRPr="009F227C">
        <w:t>The Utility did not request the guaranteed revenue charge be changed. As a result, we find that the appropriate guaranteed revenue charge is the existing charge of $25.35, and the guaranteed revenue charge shall remain unchanged.</w:t>
      </w:r>
    </w:p>
    <w:p w14:paraId="7CFA52D6" w14:textId="77777777" w:rsidR="00F36ABC" w:rsidRPr="009F227C" w:rsidRDefault="00F36ABC" w:rsidP="00F36ABC">
      <w:pPr>
        <w:pStyle w:val="OrderBody"/>
      </w:pPr>
    </w:p>
    <w:p w14:paraId="2A48C5D8" w14:textId="17BE26D1" w:rsidR="008C6870" w:rsidRPr="00FE7EAC" w:rsidRDefault="008C6870" w:rsidP="00172BA1">
      <w:pPr>
        <w:pStyle w:val="ListParagraph"/>
        <w:numPr>
          <w:ilvl w:val="0"/>
          <w:numId w:val="47"/>
        </w:numPr>
        <w:ind w:left="720"/>
        <w:jc w:val="both"/>
        <w:outlineLvl w:val="0"/>
      </w:pPr>
      <w:bookmarkStart w:id="57" w:name="_Toc199321486"/>
      <w:r w:rsidRPr="009F227C">
        <w:rPr>
          <w:u w:val="single"/>
        </w:rPr>
        <w:t>Meter Installation Charges</w:t>
      </w:r>
      <w:r w:rsidR="00BF0F5E" w:rsidRPr="009F227C">
        <w:rPr>
          <w:u w:val="single"/>
        </w:rPr>
        <w:t xml:space="preserve"> (Issue 41)</w:t>
      </w:r>
      <w:bookmarkEnd w:id="57"/>
    </w:p>
    <w:p w14:paraId="44DAAABD" w14:textId="77777777" w:rsidR="00FE7EAC" w:rsidRPr="00FE7EAC" w:rsidRDefault="00FE7EAC" w:rsidP="00FE7EAC">
      <w:pPr>
        <w:jc w:val="both"/>
        <w:outlineLvl w:val="0"/>
      </w:pPr>
    </w:p>
    <w:p w14:paraId="13D4E224" w14:textId="77777777" w:rsidR="008C6870" w:rsidRPr="009F227C" w:rsidRDefault="008C6870" w:rsidP="00172BA1">
      <w:pPr>
        <w:pStyle w:val="ListParagraph"/>
        <w:numPr>
          <w:ilvl w:val="0"/>
          <w:numId w:val="32"/>
        </w:numPr>
        <w:spacing w:after="240"/>
        <w:ind w:hanging="720"/>
        <w:jc w:val="both"/>
      </w:pPr>
      <w:r w:rsidRPr="009F227C">
        <w:t>Analysis</w:t>
      </w:r>
    </w:p>
    <w:p w14:paraId="68F42B82" w14:textId="3CD38C82" w:rsidR="00F36ABC" w:rsidRPr="009F227C" w:rsidRDefault="00F36ABC" w:rsidP="008C6870">
      <w:pPr>
        <w:spacing w:after="240"/>
        <w:ind w:firstLine="720"/>
        <w:jc w:val="both"/>
      </w:pPr>
      <w:r w:rsidRPr="009F227C">
        <w:t>In witness DeStefano’s testimony, the Utility proposed to upgrade its current meters to an AMI metering system</w:t>
      </w:r>
      <w:r w:rsidR="00866056" w:rsidRPr="009F227C">
        <w:t xml:space="preserve">. </w:t>
      </w:r>
      <w:r w:rsidRPr="009F227C">
        <w:t>The Utility proposed to increase its meter installation charge of $201.21 to $591.83 for a 5/8 inch x 3/4 inch meter size and actual cost for all other meter sizes</w:t>
      </w:r>
      <w:r w:rsidR="00866056" w:rsidRPr="009F227C">
        <w:t xml:space="preserve">. </w:t>
      </w:r>
      <w:r w:rsidRPr="009F227C">
        <w:t xml:space="preserve">A meter installation charge is designed to recover the cost of the meter and </w:t>
      </w:r>
      <w:r w:rsidR="00DE630E">
        <w:t>its</w:t>
      </w:r>
      <w:r w:rsidRPr="009F227C">
        <w:t xml:space="preserve"> installation. In witness DeStefano’s testimony, the Utility provided a cost justification</w:t>
      </w:r>
      <w:r w:rsidR="00866056" w:rsidRPr="009F227C">
        <w:t xml:space="preserve">. </w:t>
      </w:r>
      <w:r w:rsidRPr="009F227C">
        <w:t xml:space="preserve">In its brief, OPC asserted that the Utility did not justify its proposed 194 percent increase to its current meter installation charge. OPC asserted that the Utility’s proposal is expensive and unnecessary. Furthermore, OPC indicated that the cost of the meter was not included in the filing and believes that the disallowance of AMI would remove the cellular connector charge of $144.45, which would be a </w:t>
      </w:r>
      <w:r w:rsidRPr="009F227C">
        <w:lastRenderedPageBreak/>
        <w:t xml:space="preserve">savings for future customers. Therefore, OPC recommends that </w:t>
      </w:r>
      <w:r w:rsidR="00426285" w:rsidRPr="009F227C">
        <w:t>we</w:t>
      </w:r>
      <w:r w:rsidRPr="009F227C">
        <w:t xml:space="preserve"> deny the Utility’s proposal to revise its meter installation charge. </w:t>
      </w:r>
    </w:p>
    <w:p w14:paraId="7A360F69" w14:textId="357AB596" w:rsidR="00F36ABC" w:rsidRPr="009F227C" w:rsidRDefault="0024730A" w:rsidP="00F36ABC">
      <w:pPr>
        <w:spacing w:after="240"/>
        <w:jc w:val="both"/>
      </w:pPr>
      <w:r w:rsidRPr="009F227C">
        <w:tab/>
      </w:r>
      <w:r w:rsidR="00F36ABC" w:rsidRPr="009F227C">
        <w:t xml:space="preserve">Despite OPC’s assertion that the cost per meter was not included in the Utility’s filing, </w:t>
      </w:r>
      <w:r w:rsidR="001D3577" w:rsidRPr="009F227C">
        <w:t xml:space="preserve">our </w:t>
      </w:r>
      <w:r w:rsidR="00F36ABC" w:rsidRPr="009F227C">
        <w:t>review of the Utility’s cost justification provided indicates that all the components and costs of the 5/8 inch x 3/4 inch meter size were included. The cost justification also indicate</w:t>
      </w:r>
      <w:r w:rsidR="00AC11C8" w:rsidRPr="009F227C">
        <w:t>s</w:t>
      </w:r>
      <w:r w:rsidR="00F36ABC" w:rsidRPr="009F227C">
        <w:t xml:space="preserve"> the cost and components of other meter sizes as well, which are all shown in Exhibit DMD-2</w:t>
      </w:r>
      <w:r w:rsidR="00866056" w:rsidRPr="009F227C">
        <w:t xml:space="preserve">. </w:t>
      </w:r>
      <w:r w:rsidR="006A26AA" w:rsidRPr="009F227C">
        <w:t>We find</w:t>
      </w:r>
      <w:r w:rsidR="00F36ABC" w:rsidRPr="009F227C">
        <w:t xml:space="preserve"> that the cost justification is appropriate and the Utility’s proposed meter installation charge for the 5/8 inch x 3/4 inch falls within </w:t>
      </w:r>
      <w:r w:rsidR="00DE630E">
        <w:t xml:space="preserve">the range of </w:t>
      </w:r>
      <w:r w:rsidR="006A26AA" w:rsidRPr="009F227C">
        <w:t>our</w:t>
      </w:r>
      <w:r w:rsidR="00F36ABC" w:rsidRPr="009F227C">
        <w:t xml:space="preserve"> recent approval of a meter installation charge of $674.</w:t>
      </w:r>
      <w:r w:rsidR="00F36ABC" w:rsidRPr="009F227C">
        <w:rPr>
          <w:vertAlign w:val="superscript"/>
        </w:rPr>
        <w:footnoteReference w:id="38"/>
      </w:r>
      <w:r w:rsidR="00F36ABC" w:rsidRPr="009F227C">
        <w:t xml:space="preserve"> Therefore, </w:t>
      </w:r>
      <w:r w:rsidR="00426285" w:rsidRPr="009F227C">
        <w:t xml:space="preserve">we </w:t>
      </w:r>
      <w:r w:rsidR="00F36ABC" w:rsidRPr="009F227C">
        <w:t xml:space="preserve">disagree with OPC’s recommendation to deny the Utility’s proposed meter installation charges. Based on </w:t>
      </w:r>
      <w:r w:rsidR="001D3577" w:rsidRPr="009F227C">
        <w:t xml:space="preserve">our </w:t>
      </w:r>
      <w:r w:rsidR="00AC11C8" w:rsidRPr="009F227C">
        <w:t>decision</w:t>
      </w:r>
      <w:r w:rsidR="00F36ABC" w:rsidRPr="009F227C">
        <w:t xml:space="preserve"> to approve the AMI infrastructure</w:t>
      </w:r>
      <w:r w:rsidR="004C3F31">
        <w:t xml:space="preserve"> (Issue 4A)</w:t>
      </w:r>
      <w:r w:rsidR="00F36ABC" w:rsidRPr="009F227C">
        <w:t xml:space="preserve">, the Utility’s meter installation charge of $591.83 for the 5/8 inch x 3/4 inch meter size and all other meter sizes at actual costs is appropriate. </w:t>
      </w:r>
    </w:p>
    <w:p w14:paraId="06FA32A6" w14:textId="77777777" w:rsidR="00AC11C8" w:rsidRPr="009F227C" w:rsidRDefault="0066623D" w:rsidP="00172BA1">
      <w:pPr>
        <w:pStyle w:val="ListParagraph"/>
        <w:numPr>
          <w:ilvl w:val="0"/>
          <w:numId w:val="32"/>
        </w:numPr>
        <w:spacing w:after="240"/>
        <w:ind w:hanging="720"/>
        <w:jc w:val="both"/>
      </w:pPr>
      <w:r w:rsidRPr="009F227C">
        <w:t xml:space="preserve">Conclusion </w:t>
      </w:r>
    </w:p>
    <w:p w14:paraId="4775B563" w14:textId="77777777" w:rsidR="00F36ABC" w:rsidRPr="009F227C" w:rsidRDefault="0024730A" w:rsidP="00F36ABC">
      <w:pPr>
        <w:pStyle w:val="OrderBody"/>
      </w:pPr>
      <w:r w:rsidRPr="009F227C">
        <w:tab/>
      </w:r>
      <w:r w:rsidR="00F36ABC" w:rsidRPr="009F227C">
        <w:t xml:space="preserve">Based on the </w:t>
      </w:r>
      <w:r w:rsidR="00AC11C8" w:rsidRPr="009F227C">
        <w:t>forgoing analysis</w:t>
      </w:r>
      <w:r w:rsidR="00F36ABC" w:rsidRPr="009F227C">
        <w:t xml:space="preserve">, </w:t>
      </w:r>
      <w:r w:rsidR="00AC11C8" w:rsidRPr="009F227C">
        <w:t>we approve</w:t>
      </w:r>
      <w:r w:rsidR="00F36ABC" w:rsidRPr="009F227C">
        <w:t xml:space="preserve"> a meter installation charge of $591.83 for a 5/8 inch x 3/4 inch meter size and actual costs for all oth</w:t>
      </w:r>
      <w:r w:rsidR="00AC11C8" w:rsidRPr="009F227C">
        <w:t>er meter sizes</w:t>
      </w:r>
      <w:r w:rsidR="00F36ABC" w:rsidRPr="009F227C">
        <w:t xml:space="preserve">. The Utility </w:t>
      </w:r>
      <w:r w:rsidR="00AC11C8" w:rsidRPr="009F227C">
        <w:t>shall</w:t>
      </w:r>
      <w:r w:rsidR="00F36ABC" w:rsidRPr="009F227C">
        <w:t xml:space="preserve"> be required to file a proposed customer notice to reflect approved charges. The approved charges </w:t>
      </w:r>
      <w:r w:rsidR="00AC11C8" w:rsidRPr="009F227C">
        <w:t>shall</w:t>
      </w:r>
      <w:r w:rsidR="00F36ABC" w:rsidRPr="009F227C">
        <w:t xml:space="preserve"> be effective for service rendered or connections made on or after the stamped approval date on the tariff sheet pursuant to Rule 25-30.475(1), F.A.C. In addition, the approved charges </w:t>
      </w:r>
      <w:r w:rsidR="00AC11C8" w:rsidRPr="009F227C">
        <w:t>shall</w:t>
      </w:r>
      <w:r w:rsidR="00F36ABC" w:rsidRPr="009F227C">
        <w:t xml:space="preserve"> not be implemented until </w:t>
      </w:r>
      <w:r w:rsidR="001D3577" w:rsidRPr="009F227C">
        <w:t>our staff</w:t>
      </w:r>
      <w:r w:rsidR="00F36ABC" w:rsidRPr="009F227C">
        <w:t xml:space="preserve"> has approved the proposed customer notice and the notice has been received by customers. The Utility </w:t>
      </w:r>
      <w:r w:rsidR="00AC11C8" w:rsidRPr="009F227C">
        <w:t>shall</w:t>
      </w:r>
      <w:r w:rsidR="00F36ABC" w:rsidRPr="009F227C">
        <w:t xml:space="preserve"> provide proof of the date notice was given no less than 10 days after the date of the notice.</w:t>
      </w:r>
    </w:p>
    <w:p w14:paraId="09BC81D1" w14:textId="77777777" w:rsidR="00324B01" w:rsidRPr="009F227C" w:rsidRDefault="00324B01" w:rsidP="0066623D">
      <w:pPr>
        <w:jc w:val="both"/>
        <w:outlineLvl w:val="0"/>
      </w:pPr>
    </w:p>
    <w:p w14:paraId="1FCCE327" w14:textId="64C1E463" w:rsidR="0066623D" w:rsidRPr="009F227C" w:rsidRDefault="0066623D" w:rsidP="00172BA1">
      <w:pPr>
        <w:pStyle w:val="ListParagraph"/>
        <w:numPr>
          <w:ilvl w:val="0"/>
          <w:numId w:val="47"/>
        </w:numPr>
        <w:ind w:left="720"/>
        <w:jc w:val="both"/>
        <w:outlineLvl w:val="0"/>
      </w:pPr>
      <w:bookmarkStart w:id="58" w:name="_Toc199321487"/>
      <w:r w:rsidRPr="009F227C">
        <w:rPr>
          <w:u w:val="single"/>
        </w:rPr>
        <w:t xml:space="preserve">Affordability </w:t>
      </w:r>
      <w:r w:rsidR="00324B01" w:rsidRPr="009F227C">
        <w:rPr>
          <w:u w:val="single"/>
        </w:rPr>
        <w:t>(Issue 41A)</w:t>
      </w:r>
      <w:bookmarkEnd w:id="58"/>
    </w:p>
    <w:p w14:paraId="123319CD" w14:textId="77777777" w:rsidR="00676920" w:rsidRPr="009F227C" w:rsidRDefault="00676920" w:rsidP="00676920">
      <w:pPr>
        <w:jc w:val="both"/>
        <w:outlineLvl w:val="0"/>
      </w:pPr>
    </w:p>
    <w:p w14:paraId="4D717DA7" w14:textId="77777777" w:rsidR="0066623D" w:rsidRPr="009F227C" w:rsidRDefault="0066623D" w:rsidP="00172BA1">
      <w:pPr>
        <w:pStyle w:val="ListParagraph"/>
        <w:numPr>
          <w:ilvl w:val="0"/>
          <w:numId w:val="33"/>
        </w:numPr>
        <w:spacing w:after="240"/>
        <w:ind w:hanging="720"/>
        <w:jc w:val="both"/>
      </w:pPr>
      <w:r w:rsidRPr="009F227C">
        <w:t>Analysis</w:t>
      </w:r>
    </w:p>
    <w:p w14:paraId="15EE41A4" w14:textId="5FD9BBE1" w:rsidR="00F36ABC" w:rsidRPr="009F227C" w:rsidRDefault="002E6120" w:rsidP="0066623D">
      <w:pPr>
        <w:spacing w:after="240"/>
        <w:ind w:firstLine="720"/>
        <w:jc w:val="both"/>
        <w:rPr>
          <w:szCs w:val="22"/>
        </w:rPr>
      </w:pPr>
      <w:r>
        <w:t xml:space="preserve">This issue, proposed by OPC, asks whether the resulting rates are affordable within the meaning of fair, just, and reasonable pursuant to Sections 367.081 and 367.121, F.S. </w:t>
      </w:r>
      <w:r w:rsidR="00F36ABC" w:rsidRPr="009F227C">
        <w:t xml:space="preserve">Section 367.081, F.S., sets forth the factors </w:t>
      </w:r>
      <w:r w:rsidR="00F111C5" w:rsidRPr="009F227C">
        <w:t>w</w:t>
      </w:r>
      <w:r w:rsidR="001D3577" w:rsidRPr="009F227C">
        <w:t>e</w:t>
      </w:r>
      <w:r w:rsidR="00F36ABC" w:rsidRPr="009F227C">
        <w:t xml:space="preserve"> must consider in a water and wastewater rate case. However, there is no mention of “affordability” in Chapter 367</w:t>
      </w:r>
      <w:r w:rsidR="00866056" w:rsidRPr="009F227C">
        <w:t xml:space="preserve">. </w:t>
      </w:r>
      <w:r w:rsidR="00F36ABC" w:rsidRPr="009F227C">
        <w:t xml:space="preserve">What the statutes explicitly require is for </w:t>
      </w:r>
      <w:r w:rsidR="00F111C5" w:rsidRPr="009F227C">
        <w:t>us</w:t>
      </w:r>
      <w:r w:rsidR="00F36ABC" w:rsidRPr="009F227C">
        <w:t xml:space="preserve"> to approve rates that are “just, reasonable, compensatory, and not unfairly discriminatory.” Section 367.081(2)(a)1., F.S.</w:t>
      </w:r>
      <w:r w:rsidR="00F36ABC" w:rsidRPr="009F227C">
        <w:rPr>
          <w:vertAlign w:val="superscript"/>
        </w:rPr>
        <w:footnoteReference w:id="39"/>
      </w:r>
      <w:r w:rsidR="00F36ABC" w:rsidRPr="009F227C">
        <w:t xml:space="preserve"> In order to effectuate a determination of “just, reasonable, compensatory, and not unfairly discriminatory rates,” </w:t>
      </w:r>
      <w:r w:rsidR="00F111C5" w:rsidRPr="009F227C">
        <w:t>w</w:t>
      </w:r>
      <w:r w:rsidR="001D3577" w:rsidRPr="009F227C">
        <w:t>e</w:t>
      </w:r>
      <w:r w:rsidR="00F111C5" w:rsidRPr="009F227C">
        <w:t xml:space="preserve"> consider</w:t>
      </w:r>
      <w:r w:rsidR="00F36ABC" w:rsidRPr="009F227C">
        <w:t xml:space="preserve"> a number of </w:t>
      </w:r>
      <w:r w:rsidR="00F36ABC" w:rsidRPr="009F227C">
        <w:lastRenderedPageBreak/>
        <w:t xml:space="preserve">factors, the weight of which may vary slightly from one rate proceeding to another. For example, </w:t>
      </w:r>
      <w:r w:rsidR="00F111C5" w:rsidRPr="009F227C">
        <w:t>w</w:t>
      </w:r>
      <w:r w:rsidR="001D3577" w:rsidRPr="009F227C">
        <w:t>e</w:t>
      </w:r>
      <w:r w:rsidR="00F36ABC" w:rsidRPr="009F227C">
        <w:t xml:space="preserve"> must consider and weigh evidence on the value and quality of the service,</w:t>
      </w:r>
      <w:r w:rsidR="00F36ABC" w:rsidRPr="009F227C">
        <w:rPr>
          <w:vertAlign w:val="superscript"/>
        </w:rPr>
        <w:footnoteReference w:id="40"/>
      </w:r>
      <w:r w:rsidR="00F36ABC" w:rsidRPr="009F227C">
        <w:t xml:space="preserve"> as well as the ability for the utility to recover a fair return on its investment of utility in property that is used and useful in the public service.</w:t>
      </w:r>
      <w:r w:rsidR="00F36ABC" w:rsidRPr="009F227C">
        <w:rPr>
          <w:vertAlign w:val="superscript"/>
        </w:rPr>
        <w:footnoteReference w:id="41"/>
      </w:r>
      <w:r w:rsidR="00F36ABC" w:rsidRPr="009F227C">
        <w:t xml:space="preserve"> Furthermore, pursuant to Section 367.081(2)(a)2.c., F.S., </w:t>
      </w:r>
      <w:r w:rsidR="00F111C5" w:rsidRPr="009F227C">
        <w:t>w</w:t>
      </w:r>
      <w:r w:rsidR="001D3577" w:rsidRPr="009F227C">
        <w:t>e</w:t>
      </w:r>
      <w:r w:rsidR="00F36ABC" w:rsidRPr="009F227C">
        <w:t xml:space="preserve"> must approve certain expenses that are associated with </w:t>
      </w:r>
      <w:r w:rsidR="00F36ABC" w:rsidRPr="009F227C">
        <w:rPr>
          <w:shd w:val="clear" w:color="auto" w:fill="FFFFFF"/>
        </w:rPr>
        <w:t>“environmental compliance costs,” as well as allow cost recovery for “reasonable rate case expense incurred during a rate proceeding.”</w:t>
      </w:r>
      <w:r w:rsidR="00F36ABC" w:rsidRPr="009F227C">
        <w:t xml:space="preserve"> These factors are typically discrete issues supported by testimony and evidence. </w:t>
      </w:r>
    </w:p>
    <w:p w14:paraId="7058FF7A" w14:textId="77777777" w:rsidR="00F36ABC" w:rsidRPr="009F227C" w:rsidRDefault="0024730A" w:rsidP="00F36ABC">
      <w:pPr>
        <w:spacing w:after="240"/>
        <w:jc w:val="both"/>
      </w:pPr>
      <w:r w:rsidRPr="009F227C">
        <w:tab/>
      </w:r>
      <w:r w:rsidR="00F36ABC" w:rsidRPr="009F227C">
        <w:t xml:space="preserve">OPC is attempting to create an additional factor or standard in this case for </w:t>
      </w:r>
      <w:r w:rsidR="00F111C5" w:rsidRPr="009F227C">
        <w:t>us to weigh –</w:t>
      </w:r>
      <w:r w:rsidR="00F36ABC" w:rsidRPr="009F227C">
        <w:t xml:space="preserve">“affordability,” requesting </w:t>
      </w:r>
      <w:r w:rsidR="00F111C5" w:rsidRPr="009F227C">
        <w:t>that w</w:t>
      </w:r>
      <w:r w:rsidR="001D3577" w:rsidRPr="009F227C">
        <w:t>e</w:t>
      </w:r>
      <w:r w:rsidR="00F36ABC" w:rsidRPr="009F227C">
        <w:t xml:space="preserve"> create a standard for affordability and ultimately to make a</w:t>
      </w:r>
      <w:r w:rsidR="00F111C5" w:rsidRPr="009F227C">
        <w:t xml:space="preserve"> finding on affordability</w:t>
      </w:r>
      <w:r w:rsidR="00F36ABC" w:rsidRPr="009F227C">
        <w:t xml:space="preserve">. OPC asserts that </w:t>
      </w:r>
      <w:r w:rsidR="00F111C5" w:rsidRPr="009F227C">
        <w:t>w</w:t>
      </w:r>
      <w:r w:rsidR="001D3577" w:rsidRPr="009F227C">
        <w:t>e</w:t>
      </w:r>
      <w:r w:rsidR="00F36ABC" w:rsidRPr="009F227C">
        <w:t xml:space="preserve"> should consider affordability to be consistent with other U.S. regulatory jurisdictions. OPC also claims affordability is an issue in this case because Sunshine’s Witness Twomey used the word “affordable” in a line of his testimony, thereby o</w:t>
      </w:r>
      <w:r w:rsidR="00F111C5" w:rsidRPr="009F227C">
        <w:t xml:space="preserve">pening the door to the issue. </w:t>
      </w:r>
      <w:r w:rsidR="00F36ABC" w:rsidRPr="009F227C">
        <w:t>OPC argues that a rate would be unreasonable and prohibitive if it is in excess of what the consumer can afford to pay</w:t>
      </w:r>
      <w:r w:rsidR="00866056" w:rsidRPr="009F227C">
        <w:t xml:space="preserve">. </w:t>
      </w:r>
    </w:p>
    <w:p w14:paraId="214DCF6D" w14:textId="77777777" w:rsidR="00F36ABC" w:rsidRPr="009F227C" w:rsidRDefault="0024730A" w:rsidP="00F36ABC">
      <w:pPr>
        <w:spacing w:after="240"/>
        <w:jc w:val="both"/>
      </w:pPr>
      <w:r w:rsidRPr="009F227C">
        <w:tab/>
      </w:r>
      <w:r w:rsidR="00F36ABC" w:rsidRPr="009F227C">
        <w:t xml:space="preserve">OPC asserts in its brief that </w:t>
      </w:r>
      <w:r w:rsidR="00E9138D" w:rsidRPr="009F227C">
        <w:t>w</w:t>
      </w:r>
      <w:r w:rsidR="001D3577" w:rsidRPr="009F227C">
        <w:t>e</w:t>
      </w:r>
      <w:r w:rsidR="00F36ABC" w:rsidRPr="009F227C">
        <w:t xml:space="preserve"> should consider affordability as a factor in this case, but it fails to adequately address the fact that the word “affordable” is not defined, let alone referenced, in Chapter 367, F.S. </w:t>
      </w:r>
      <w:r w:rsidR="001D3577" w:rsidRPr="009F227C">
        <w:t>We</w:t>
      </w:r>
      <w:r w:rsidR="00E9138D" w:rsidRPr="009F227C">
        <w:t xml:space="preserve"> do</w:t>
      </w:r>
      <w:r w:rsidR="00F36ABC" w:rsidRPr="009F227C">
        <w:t xml:space="preserve"> not have such enabling legislation, because nowhere in Chapter 367, F.S., is “affordability” mentioned as a factor that </w:t>
      </w:r>
      <w:r w:rsidR="00E9138D" w:rsidRPr="009F227C">
        <w:t>w</w:t>
      </w:r>
      <w:r w:rsidR="001D3577" w:rsidRPr="009F227C">
        <w:t>e</w:t>
      </w:r>
      <w:r w:rsidR="00F36ABC" w:rsidRPr="009F227C">
        <w:t xml:space="preserve"> can or should consider when setting rates. </w:t>
      </w:r>
    </w:p>
    <w:p w14:paraId="411B55D9" w14:textId="77777777" w:rsidR="00F36ABC" w:rsidRPr="009F227C" w:rsidRDefault="0024730A" w:rsidP="00F36ABC">
      <w:pPr>
        <w:spacing w:after="240"/>
        <w:jc w:val="both"/>
      </w:pPr>
      <w:r w:rsidRPr="009F227C">
        <w:tab/>
      </w:r>
      <w:r w:rsidR="00F36ABC" w:rsidRPr="009F227C">
        <w:t>OPC also asserts that because Sunshine’s Witness Twomey used the word “affordability” in a line of his testimony, “affordability” became an issue in this case.</w:t>
      </w:r>
      <w:r w:rsidR="00F36ABC" w:rsidRPr="009F227C">
        <w:rPr>
          <w:vertAlign w:val="superscript"/>
        </w:rPr>
        <w:footnoteReference w:id="42"/>
      </w:r>
      <w:r w:rsidR="00F36ABC" w:rsidRPr="009F227C">
        <w:t xml:space="preserve">  However, merely mentioning a word or concept in testimony does not make it an issue that </w:t>
      </w:r>
      <w:r w:rsidR="00E9138D" w:rsidRPr="009F227C">
        <w:t>we have</w:t>
      </w:r>
      <w:r w:rsidR="00F36ABC" w:rsidRPr="009F227C">
        <w:t xml:space="preserve"> the authority to consider. </w:t>
      </w:r>
    </w:p>
    <w:p w14:paraId="50B94A16" w14:textId="77777777" w:rsidR="00F36ABC" w:rsidRPr="009F227C" w:rsidRDefault="0024730A" w:rsidP="00F36ABC">
      <w:pPr>
        <w:spacing w:after="240"/>
        <w:jc w:val="both"/>
      </w:pPr>
      <w:r w:rsidRPr="009F227C">
        <w:tab/>
      </w:r>
      <w:r w:rsidR="00F36ABC" w:rsidRPr="009F227C">
        <w:t xml:space="preserve">In its post-hearing position, OPC contends that </w:t>
      </w:r>
      <w:r w:rsidR="00317DA2" w:rsidRPr="009F227C">
        <w:t>w</w:t>
      </w:r>
      <w:r w:rsidR="001D3577" w:rsidRPr="009F227C">
        <w:t>e</w:t>
      </w:r>
      <w:r w:rsidR="00F36ABC" w:rsidRPr="009F227C">
        <w:t xml:space="preserve"> should consider affordability to be consistent with the trends in the other U.S. regulatory jurisdictions in this proceeding, and all future water and wastewater utility base rate proceedings in evaluating rate increase requests. OPC maintained a similar position in Tampa Electric Company’s (TECO) recent rate case, in which OPC argued that “affordability” should also be an issue.</w:t>
      </w:r>
      <w:r w:rsidR="00F36ABC" w:rsidRPr="009F227C">
        <w:rPr>
          <w:vertAlign w:val="superscript"/>
        </w:rPr>
        <w:footnoteReference w:id="43"/>
      </w:r>
      <w:r w:rsidR="00F36ABC" w:rsidRPr="009F227C">
        <w:t xml:space="preserve"> However, in that case </w:t>
      </w:r>
      <w:r w:rsidR="00317DA2" w:rsidRPr="009F227C">
        <w:t>we</w:t>
      </w:r>
      <w:r w:rsidR="00F36ABC" w:rsidRPr="009F227C">
        <w:t xml:space="preserve"> found that unlike Florida, those other states had express statutory authorization to consider affordability when setting rates.</w:t>
      </w:r>
      <w:r w:rsidR="00F36ABC" w:rsidRPr="009F227C">
        <w:rPr>
          <w:vertAlign w:val="superscript"/>
        </w:rPr>
        <w:footnoteReference w:id="44"/>
      </w:r>
      <w:r w:rsidR="00F36ABC" w:rsidRPr="009F227C">
        <w:t xml:space="preserve"> </w:t>
      </w:r>
      <w:r w:rsidR="001D3577" w:rsidRPr="009F227C">
        <w:t>We</w:t>
      </w:r>
      <w:r w:rsidR="00F36ABC" w:rsidRPr="009F227C">
        <w:t xml:space="preserve"> also addressed the subjective nature of the term “affordability” in the TECO case, and found that while </w:t>
      </w:r>
      <w:r w:rsidR="00317DA2" w:rsidRPr="009F227C">
        <w:t>w</w:t>
      </w:r>
      <w:r w:rsidR="001D3577" w:rsidRPr="009F227C">
        <w:t>e</w:t>
      </w:r>
      <w:r w:rsidR="00F36ABC" w:rsidRPr="009F227C">
        <w:t xml:space="preserve"> had broad discretion to carry out </w:t>
      </w:r>
      <w:r w:rsidR="00317DA2" w:rsidRPr="009F227C">
        <w:t>our</w:t>
      </w:r>
      <w:r w:rsidR="00F36ABC" w:rsidRPr="009F227C">
        <w:t xml:space="preserve"> legislative mandate of </w:t>
      </w:r>
      <w:r w:rsidR="00F36ABC" w:rsidRPr="009F227C">
        <w:lastRenderedPageBreak/>
        <w:t xml:space="preserve">ensuring rates are fair, just, and reasonable, “there exists no statutory authority to infer a specific definition of affordability absent express legislative authorization.” </w:t>
      </w:r>
      <w:r w:rsidR="00F36ABC" w:rsidRPr="009F227C">
        <w:rPr>
          <w:i/>
        </w:rPr>
        <w:t>Id.</w:t>
      </w:r>
      <w:r w:rsidR="00F36ABC" w:rsidRPr="009F227C">
        <w:t xml:space="preserve"> at 184-186.</w:t>
      </w:r>
    </w:p>
    <w:p w14:paraId="6F5C092D" w14:textId="77777777" w:rsidR="00F36ABC" w:rsidRPr="009F227C" w:rsidRDefault="0024730A" w:rsidP="00F36ABC">
      <w:pPr>
        <w:spacing w:after="240"/>
        <w:jc w:val="both"/>
      </w:pPr>
      <w:r w:rsidRPr="009F227C">
        <w:tab/>
      </w:r>
      <w:r w:rsidR="00F36ABC" w:rsidRPr="009F227C">
        <w:t xml:space="preserve">The record in this case does not support findings on “affordability” nor does it allow for </w:t>
      </w:r>
      <w:r w:rsidR="000B1F77" w:rsidRPr="009F227C">
        <w:t>us</w:t>
      </w:r>
      <w:r w:rsidR="00F36ABC" w:rsidRPr="009F227C">
        <w:t xml:space="preserve"> to weigh testimony or evidence on affordability. As argued by Sunshine, </w:t>
      </w:r>
      <w:r w:rsidR="000B1F77" w:rsidRPr="009F227C">
        <w:t>we have</w:t>
      </w:r>
      <w:r w:rsidR="00F36ABC" w:rsidRPr="009F227C">
        <w:t xml:space="preserve"> previously found that affordability is subjective in nature – what constitutes affordability to one person may represent unaffordability to another person</w:t>
      </w:r>
      <w:r w:rsidR="00866056" w:rsidRPr="009F227C">
        <w:t xml:space="preserve">. </w:t>
      </w:r>
      <w:r w:rsidR="00F36ABC" w:rsidRPr="009F227C">
        <w:t xml:space="preserve">In other words, affordability is subjective because utility bills vary depending on many factors beyond the control of a utility or </w:t>
      </w:r>
      <w:r w:rsidR="000B1F77" w:rsidRPr="009F227C">
        <w:t>us</w:t>
      </w:r>
      <w:r w:rsidR="00F36ABC" w:rsidRPr="009F227C">
        <w:t xml:space="preserve">, such as the customer’s personal utility usage choices, income levels, financial obligations, and spending priorities, as well as overall economic factors such as inflation. Nowhere in this record did OPC or the Utility establish a clear standard or measure for what could constitute “affordability” for Sunshine’s customers. </w:t>
      </w:r>
    </w:p>
    <w:p w14:paraId="38D905B9" w14:textId="77777777" w:rsidR="00F111C5" w:rsidRPr="009F227C" w:rsidRDefault="00F111C5" w:rsidP="00172BA1">
      <w:pPr>
        <w:pStyle w:val="ListParagraph"/>
        <w:numPr>
          <w:ilvl w:val="0"/>
          <w:numId w:val="33"/>
        </w:numPr>
        <w:spacing w:after="240"/>
        <w:ind w:hanging="720"/>
        <w:jc w:val="both"/>
      </w:pPr>
      <w:r w:rsidRPr="009F227C">
        <w:t xml:space="preserve">Conclusion </w:t>
      </w:r>
    </w:p>
    <w:p w14:paraId="78BD6624" w14:textId="772D8E8A" w:rsidR="00F36ABC" w:rsidRPr="009F227C" w:rsidRDefault="0024730A" w:rsidP="00F36ABC">
      <w:pPr>
        <w:pStyle w:val="OrderBody"/>
      </w:pPr>
      <w:r w:rsidRPr="009F227C">
        <w:tab/>
      </w:r>
      <w:r w:rsidR="001D3577" w:rsidRPr="009F227C">
        <w:t>We</w:t>
      </w:r>
      <w:r w:rsidR="00F36ABC" w:rsidRPr="009F227C">
        <w:t xml:space="preserve"> </w:t>
      </w:r>
      <w:r w:rsidR="000B1F77" w:rsidRPr="009F227C">
        <w:t>have</w:t>
      </w:r>
      <w:r w:rsidR="00F36ABC" w:rsidRPr="009F227C">
        <w:t xml:space="preserve"> broad discretion to carry out its legislative mandate of ensuring rates are just, reasonable, compensatory, and not unfairly discriminatory. However, there exists no statutory authority to infer a specific definition of affordability absent express legislative authorization. To the extent </w:t>
      </w:r>
      <w:r w:rsidR="000B1F77" w:rsidRPr="009F227C">
        <w:t>w</w:t>
      </w:r>
      <w:r w:rsidR="001D3577" w:rsidRPr="009F227C">
        <w:t>e</w:t>
      </w:r>
      <w:r w:rsidR="00F36ABC" w:rsidRPr="009F227C">
        <w:t xml:space="preserve"> can consider the “affordability” of customer bills, </w:t>
      </w:r>
      <w:r w:rsidR="000B1F77" w:rsidRPr="009F227C">
        <w:t>we</w:t>
      </w:r>
      <w:r w:rsidR="00F36ABC" w:rsidRPr="009F227C">
        <w:t xml:space="preserve"> must do so within the context of </w:t>
      </w:r>
      <w:r w:rsidR="00B44D53">
        <w:t>our</w:t>
      </w:r>
      <w:r w:rsidR="00F36ABC" w:rsidRPr="009F227C">
        <w:t xml:space="preserve"> governing statutes in Chapter 367, F.S.</w:t>
      </w:r>
    </w:p>
    <w:p w14:paraId="15046E6A" w14:textId="77777777" w:rsidR="00F36ABC" w:rsidRPr="009F227C" w:rsidRDefault="00F36ABC" w:rsidP="00F36ABC">
      <w:pPr>
        <w:pStyle w:val="OrderBody"/>
      </w:pPr>
    </w:p>
    <w:p w14:paraId="660C8B62" w14:textId="25AC381F" w:rsidR="00FF2592" w:rsidRPr="00FE7EAC" w:rsidRDefault="00FF2592" w:rsidP="00172BA1">
      <w:pPr>
        <w:pStyle w:val="ListParagraph"/>
        <w:numPr>
          <w:ilvl w:val="0"/>
          <w:numId w:val="47"/>
        </w:numPr>
        <w:ind w:left="720"/>
        <w:jc w:val="both"/>
        <w:outlineLvl w:val="0"/>
      </w:pPr>
      <w:bookmarkStart w:id="59" w:name="_Toc199321488"/>
      <w:r w:rsidRPr="009F227C">
        <w:rPr>
          <w:u w:val="single"/>
        </w:rPr>
        <w:t>Merger Deferral Accounts</w:t>
      </w:r>
      <w:r w:rsidR="006C690F" w:rsidRPr="009F227C">
        <w:rPr>
          <w:u w:val="single"/>
        </w:rPr>
        <w:t xml:space="preserve"> (Issue 42)</w:t>
      </w:r>
      <w:bookmarkEnd w:id="59"/>
    </w:p>
    <w:p w14:paraId="0A4C1542" w14:textId="77777777" w:rsidR="00FE7EAC" w:rsidRPr="00FE7EAC" w:rsidRDefault="00FE7EAC" w:rsidP="00FE7EAC">
      <w:pPr>
        <w:jc w:val="both"/>
        <w:outlineLvl w:val="0"/>
      </w:pPr>
    </w:p>
    <w:p w14:paraId="23D8329C" w14:textId="77777777" w:rsidR="00F36ABC" w:rsidRPr="009F227C" w:rsidRDefault="00FF2592" w:rsidP="00172BA1">
      <w:pPr>
        <w:pStyle w:val="ListParagraph"/>
        <w:numPr>
          <w:ilvl w:val="0"/>
          <w:numId w:val="34"/>
        </w:numPr>
        <w:spacing w:after="240"/>
        <w:ind w:hanging="720"/>
        <w:jc w:val="both"/>
      </w:pPr>
      <w:r w:rsidRPr="009F227C">
        <w:t>Analysis</w:t>
      </w:r>
    </w:p>
    <w:p w14:paraId="381A55E7" w14:textId="77777777" w:rsidR="00F36ABC" w:rsidRPr="009F227C" w:rsidRDefault="00F36ABC" w:rsidP="00FF2592">
      <w:pPr>
        <w:spacing w:after="240"/>
        <w:ind w:firstLine="720"/>
        <w:jc w:val="both"/>
      </w:pPr>
      <w:r w:rsidRPr="009F227C">
        <w:t xml:space="preserve"> Sunshine has requested permission to establish deferral accounts to properly account for both the savings and the expenses related specifically to the Merger of Sunshine’s parent company with </w:t>
      </w:r>
      <w:r w:rsidRPr="009F227C">
        <w:rPr>
          <w:sz w:val="23"/>
          <w:szCs w:val="23"/>
        </w:rPr>
        <w:t>the parent of Southwest Water Company</w:t>
      </w:r>
      <w:r w:rsidRPr="009F227C">
        <w:t xml:space="preserve">. The concept of deferral accounting allows companies to defer costs and benefits due to ongoing events such as the merger and seek recovery through rates at a later time if warranted. If the subject costs and/or benefits are significant, the alternative would be for a company to seek a rate proceeding each time it experiences a large exogenous event. </w:t>
      </w:r>
    </w:p>
    <w:p w14:paraId="655E407A" w14:textId="77777777" w:rsidR="00F36ABC" w:rsidRPr="009F227C" w:rsidRDefault="0024730A" w:rsidP="00F36ABC">
      <w:pPr>
        <w:spacing w:after="240"/>
        <w:jc w:val="both"/>
      </w:pPr>
      <w:r w:rsidRPr="009F227C">
        <w:tab/>
      </w:r>
      <w:r w:rsidR="00F36ABC" w:rsidRPr="009F227C">
        <w:t>Due to the ongoing nature of the merger, Sunshine Witness Lubertozzi has proposed establishing two deferral accounts to track the benefits and costs to achieve benefits related to the Merger</w:t>
      </w:r>
      <w:r w:rsidR="00866056" w:rsidRPr="009F227C">
        <w:t xml:space="preserve">. </w:t>
      </w:r>
      <w:r w:rsidR="00F36ABC" w:rsidRPr="009F227C">
        <w:t>He proposed that in a future rate case, Sunshine may request recovery of the costs incurred which result in achieving benefits to customers, but only up to the amount of the related merger benefits</w:t>
      </w:r>
      <w:r w:rsidR="00866056" w:rsidRPr="009F227C">
        <w:t xml:space="preserve">. </w:t>
      </w:r>
      <w:r w:rsidR="00F36ABC" w:rsidRPr="009F227C">
        <w:t>He indicated that the deferrals would be reviewed in each Sunshine rate case, culminating in a final review in the first Sunshine rate case filing after the completion of the five-year period following the merger closing</w:t>
      </w:r>
      <w:r w:rsidR="00866056" w:rsidRPr="009F227C">
        <w:t xml:space="preserve">. </w:t>
      </w:r>
      <w:r w:rsidR="00F36ABC" w:rsidRPr="009F227C">
        <w:t>He indicated that Sunshine will not request recovery of net costs and will propose to return any deferred net merger benefit to customers in future rate cases</w:t>
      </w:r>
      <w:r w:rsidR="00866056" w:rsidRPr="009F227C">
        <w:t xml:space="preserve">. </w:t>
      </w:r>
      <w:r w:rsidR="00F36ABC" w:rsidRPr="009F227C">
        <w:t>Witness Lubertozzi stated that Sunshine intends to defer costs that were incurred prior to the consummation of the Merger</w:t>
      </w:r>
      <w:r w:rsidR="00866056" w:rsidRPr="009F227C">
        <w:t xml:space="preserve">. </w:t>
      </w:r>
      <w:r w:rsidR="00F36ABC" w:rsidRPr="009F227C">
        <w:t xml:space="preserve">OPC witness Smith agreed that without a deferral, the savings would benefit the Utility and not flow to customers. </w:t>
      </w:r>
    </w:p>
    <w:p w14:paraId="6BDC860C" w14:textId="77777777" w:rsidR="00F36ABC" w:rsidRPr="009F227C" w:rsidRDefault="0024730A" w:rsidP="00F36ABC">
      <w:pPr>
        <w:spacing w:after="240"/>
        <w:jc w:val="both"/>
        <w:rPr>
          <w:rFonts w:ascii="TimesNewRomanPSMT" w:hAnsi="TimesNewRomanPSMT" w:cs="TimesNewRomanPSMT"/>
        </w:rPr>
      </w:pPr>
      <w:r w:rsidRPr="009F227C">
        <w:lastRenderedPageBreak/>
        <w:tab/>
      </w:r>
      <w:r w:rsidR="00F36ABC" w:rsidRPr="009F227C">
        <w:t xml:space="preserve">OPC argues that </w:t>
      </w:r>
      <w:r w:rsidR="00FF2592" w:rsidRPr="009F227C">
        <w:t>we</w:t>
      </w:r>
      <w:r w:rsidR="00F36ABC" w:rsidRPr="009F227C">
        <w:t xml:space="preserve"> </w:t>
      </w:r>
      <w:r w:rsidR="00F36ABC" w:rsidRPr="009F227C">
        <w:rPr>
          <w:rFonts w:ascii="TimesNewRomanPSMT" w:hAnsi="TimesNewRomanPSMT" w:cs="TimesNewRomanPSMT"/>
        </w:rPr>
        <w:t>should deny the Utility’s request to establish any deferral accounts, stating that Sunshine failed to identify any cost categories or accounts to be included in the requested regulatory deferral accounts</w:t>
      </w:r>
      <w:r w:rsidR="00866056" w:rsidRPr="009F227C">
        <w:rPr>
          <w:rFonts w:ascii="TimesNewRomanPSMT" w:hAnsi="TimesNewRomanPSMT" w:cs="TimesNewRomanPSMT"/>
        </w:rPr>
        <w:t xml:space="preserve">. </w:t>
      </w:r>
      <w:r w:rsidR="00F36ABC" w:rsidRPr="009F227C">
        <w:rPr>
          <w:rFonts w:ascii="TimesNewRomanPSMT" w:hAnsi="TimesNewRomanPSMT" w:cs="TimesNewRomanPSMT"/>
        </w:rPr>
        <w:t>Further, the Utility failed to provide any evidence of what costs, benefits, categories, or accounts are associated with these regulatory asset deferral accounts</w:t>
      </w:r>
      <w:r w:rsidR="00866056" w:rsidRPr="009F227C">
        <w:rPr>
          <w:rFonts w:ascii="TimesNewRomanPSMT" w:hAnsi="TimesNewRomanPSMT" w:cs="TimesNewRomanPSMT"/>
        </w:rPr>
        <w:t xml:space="preserve">. </w:t>
      </w:r>
      <w:r w:rsidR="00F36ABC" w:rsidRPr="009F227C">
        <w:rPr>
          <w:rFonts w:ascii="TimesNewRomanPSMT" w:hAnsi="TimesNewRomanPSMT" w:cs="TimesNewRomanPSMT"/>
        </w:rPr>
        <w:t xml:space="preserve">OPC contends </w:t>
      </w:r>
      <w:r w:rsidR="00FF2592" w:rsidRPr="009F227C">
        <w:rPr>
          <w:rFonts w:ascii="TimesNewRomanPSMT" w:hAnsi="TimesNewRomanPSMT" w:cs="TimesNewRomanPSMT"/>
        </w:rPr>
        <w:t>that we</w:t>
      </w:r>
      <w:r w:rsidR="00F36ABC" w:rsidRPr="009F227C">
        <w:rPr>
          <w:rFonts w:ascii="TimesNewRomanPSMT" w:hAnsi="TimesNewRomanPSMT" w:cs="TimesNewRomanPSMT"/>
        </w:rPr>
        <w:t xml:space="preserve"> should deny these deferral accounts as there has been no competent substantial evidence to support the Utility’s request that can be cited to, except for the name of the regulatory asset, and that the Utility “believes the proposed deferral accounts provide customer protection for unknown scale or timing of potential impacts of the merger.” </w:t>
      </w:r>
    </w:p>
    <w:p w14:paraId="060F72A0" w14:textId="4ABAC444" w:rsidR="00F36ABC" w:rsidRPr="009F227C" w:rsidRDefault="0024730A" w:rsidP="00F36ABC">
      <w:pPr>
        <w:spacing w:after="240"/>
        <w:jc w:val="both"/>
      </w:pPr>
      <w:r w:rsidRPr="009F227C">
        <w:tab/>
      </w:r>
      <w:r w:rsidR="00F36ABC" w:rsidRPr="009F227C">
        <w:t>In response to discovery, the Utility explained any benefits that result from integration efforts, such as the consolidation of executive board fees, would be recorded in the deferral accounts</w:t>
      </w:r>
      <w:r w:rsidR="00866056" w:rsidRPr="009F227C">
        <w:t xml:space="preserve">. </w:t>
      </w:r>
      <w:r w:rsidR="00F36ABC" w:rsidRPr="009F227C">
        <w:t>Likewise, Sunshine has requested to track only costs specifically related to achieving the integration benefits, such as severance pay for eliminated positions</w:t>
      </w:r>
      <w:r w:rsidR="00866056" w:rsidRPr="009F227C">
        <w:t xml:space="preserve">. </w:t>
      </w:r>
      <w:r w:rsidR="00F36ABC" w:rsidRPr="009F227C">
        <w:t>The Utility has not requested to recover transaction costs, such as legal and consultant fees directly related to the merger transaction</w:t>
      </w:r>
      <w:r w:rsidR="00866056" w:rsidRPr="009F227C">
        <w:t xml:space="preserve">. </w:t>
      </w:r>
      <w:r w:rsidR="00F36ABC" w:rsidRPr="009F227C">
        <w:t xml:space="preserve">Because of the unique circumstances resulting from the merger, </w:t>
      </w:r>
      <w:r w:rsidR="00FF2592" w:rsidRPr="009F227C">
        <w:t>we</w:t>
      </w:r>
      <w:r w:rsidR="00F36ABC" w:rsidRPr="009F227C">
        <w:t xml:space="preserve"> approve</w:t>
      </w:r>
      <w:r w:rsidR="00FF2592" w:rsidRPr="009F227C">
        <w:t xml:space="preserve"> </w:t>
      </w:r>
      <w:r w:rsidR="00F36ABC" w:rsidRPr="009F227C">
        <w:t>Sunshine’s request to establish deferral accounts for recording benefits that result from integration efforts and costs related to achieving the integration benefits</w:t>
      </w:r>
      <w:r w:rsidR="00FF2592" w:rsidRPr="009F227C">
        <w:t xml:space="preserve"> directly related to the Merger. We </w:t>
      </w:r>
      <w:r w:rsidR="00F36ABC" w:rsidRPr="009F227C">
        <w:t>defer consideration of the potential recovery of the amounts recorded in the accounts to a future proceeding. For the same reasons, it is too early to determine if the total amount and/or all types of the proposed costs and benefits that will be permissible for recovery.</w:t>
      </w:r>
    </w:p>
    <w:p w14:paraId="19AD05C5" w14:textId="77777777" w:rsidR="00F36ABC" w:rsidRPr="009F227C" w:rsidRDefault="0024730A" w:rsidP="00F36ABC">
      <w:pPr>
        <w:spacing w:after="240"/>
        <w:jc w:val="both"/>
      </w:pPr>
      <w:r w:rsidRPr="009F227C">
        <w:tab/>
      </w:r>
      <w:r w:rsidR="00F36ABC" w:rsidRPr="009F227C">
        <w:t xml:space="preserve">The approval to establish the deferral accounts, for accounting purposes, does not limit </w:t>
      </w:r>
      <w:r w:rsidR="00FF2592" w:rsidRPr="009F227C">
        <w:t>our</w:t>
      </w:r>
      <w:r w:rsidR="00F36ABC" w:rsidRPr="009F227C">
        <w:t xml:space="preserve"> ability to review the amounts, recovery method, recovery period, and other related matters for reasonableness in a future proceeding in which the deferral accounts are included. An adversely affected party’s point of entry to request an evidentiary hearing before </w:t>
      </w:r>
      <w:r w:rsidR="00FF2592" w:rsidRPr="009F227C">
        <w:t>us</w:t>
      </w:r>
      <w:r w:rsidR="00F36ABC" w:rsidRPr="009F227C">
        <w:t xml:space="preserve"> will be afforded in a future proceeding addressing cost recovery of the deferral accounts. </w:t>
      </w:r>
    </w:p>
    <w:p w14:paraId="1DC31F66" w14:textId="77777777" w:rsidR="00F36ABC" w:rsidRPr="009F227C" w:rsidRDefault="0024730A" w:rsidP="00F36ABC">
      <w:pPr>
        <w:spacing w:after="240"/>
        <w:jc w:val="both"/>
      </w:pPr>
      <w:r w:rsidRPr="009F227C">
        <w:tab/>
      </w:r>
      <w:r w:rsidR="00F36ABC" w:rsidRPr="009F227C">
        <w:t xml:space="preserve">The deferral account costs and benefits </w:t>
      </w:r>
      <w:r w:rsidR="00FF2592" w:rsidRPr="009F227C">
        <w:t>shall</w:t>
      </w:r>
      <w:r w:rsidR="00F36ABC" w:rsidRPr="009F227C">
        <w:t xml:space="preserve"> be recorded and maintained in a detailed manner that will allow costs and benefits to be readily identifiable in a future proceeding. In addition, Sunshine </w:t>
      </w:r>
      <w:r w:rsidR="00FF2592" w:rsidRPr="009F227C">
        <w:t>shall</w:t>
      </w:r>
      <w:r w:rsidR="00F36ABC" w:rsidRPr="009F227C">
        <w:t xml:space="preserve"> be prepared to explain what actions and efforts it has undertaken to reduce or minimize these costs and to maximize any available benefits.</w:t>
      </w:r>
    </w:p>
    <w:p w14:paraId="619854CF" w14:textId="77777777" w:rsidR="00FF2592" w:rsidRPr="009F227C" w:rsidRDefault="00FF2592" w:rsidP="00172BA1">
      <w:pPr>
        <w:pStyle w:val="ListParagraph"/>
        <w:numPr>
          <w:ilvl w:val="0"/>
          <w:numId w:val="34"/>
        </w:numPr>
        <w:spacing w:after="240"/>
        <w:ind w:hanging="720"/>
        <w:jc w:val="both"/>
      </w:pPr>
      <w:r w:rsidRPr="009F227C">
        <w:t>Conclusion</w:t>
      </w:r>
    </w:p>
    <w:p w14:paraId="2BFA715A" w14:textId="77777777" w:rsidR="00F36ABC" w:rsidRPr="009F227C" w:rsidRDefault="0024730A" w:rsidP="00F36ABC">
      <w:pPr>
        <w:spacing w:after="240"/>
        <w:jc w:val="both"/>
      </w:pPr>
      <w:r w:rsidRPr="009F227C">
        <w:tab/>
      </w:r>
      <w:r w:rsidR="00FF2592" w:rsidRPr="009F227C">
        <w:t>In conclusion, we approve</w:t>
      </w:r>
      <w:r w:rsidR="00F36ABC" w:rsidRPr="009F227C">
        <w:t xml:space="preserve"> of the Utility’s request to establish deferral accounts for recording benefits that result from integration efforts and costs related to achieving the integration benefits directly related to the merger. The approval to establish the deferral accounts, for acc</w:t>
      </w:r>
      <w:r w:rsidR="00FF2592" w:rsidRPr="009F227C">
        <w:t>ounting purposes, does not limit our</w:t>
      </w:r>
      <w:r w:rsidR="00F36ABC" w:rsidRPr="009F227C">
        <w:t xml:space="preserve"> ability to review the amounts, recovery method, recovery period, and other related matters for reasonableness in a future proceeding in which the deferral accounts are included.</w:t>
      </w:r>
    </w:p>
    <w:p w14:paraId="41DB4F9B" w14:textId="77777777" w:rsidR="00FF2592" w:rsidRPr="009F227C" w:rsidRDefault="0024730A" w:rsidP="00F36ABC">
      <w:pPr>
        <w:pStyle w:val="OrderBody"/>
      </w:pPr>
      <w:r w:rsidRPr="009F227C">
        <w:tab/>
      </w:r>
      <w:r w:rsidR="00F36ABC" w:rsidRPr="009F227C">
        <w:t xml:space="preserve">Sunshine </w:t>
      </w:r>
      <w:r w:rsidR="00FF2592" w:rsidRPr="009F227C">
        <w:t>shall</w:t>
      </w:r>
      <w:r w:rsidR="00F36ABC" w:rsidRPr="009F227C">
        <w:t xml:space="preserve"> be required to record and maintain the deferral accounts in a detailed manner that will allow costs and benefits to be readily identifiable in a future proceeding. In addition, Sunshine </w:t>
      </w:r>
      <w:r w:rsidR="00FF2592" w:rsidRPr="009F227C">
        <w:t>shall</w:t>
      </w:r>
      <w:r w:rsidR="00F36ABC" w:rsidRPr="009F227C">
        <w:t xml:space="preserve"> be prepared to explain what actions and efforts it has undertaken to reduce or minimize these costs and to maximize any available benefits.</w:t>
      </w:r>
    </w:p>
    <w:p w14:paraId="1589B2D8" w14:textId="77777777" w:rsidR="00FA6746" w:rsidRPr="009F227C" w:rsidRDefault="00FA6746" w:rsidP="00F36ABC">
      <w:pPr>
        <w:pStyle w:val="OrderBody"/>
      </w:pPr>
    </w:p>
    <w:p w14:paraId="5E9ED186" w14:textId="2CB992E6" w:rsidR="00FA6746" w:rsidRPr="00FE7EAC" w:rsidRDefault="00FA6746" w:rsidP="00172BA1">
      <w:pPr>
        <w:pStyle w:val="ListParagraph"/>
        <w:numPr>
          <w:ilvl w:val="0"/>
          <w:numId w:val="47"/>
        </w:numPr>
        <w:ind w:hanging="1080"/>
        <w:jc w:val="both"/>
        <w:outlineLvl w:val="0"/>
      </w:pPr>
      <w:bookmarkStart w:id="60" w:name="_Toc199321489"/>
      <w:r w:rsidRPr="009F227C">
        <w:rPr>
          <w:u w:val="single"/>
        </w:rPr>
        <w:lastRenderedPageBreak/>
        <w:t xml:space="preserve">Rate Case Expense Amortization </w:t>
      </w:r>
      <w:r w:rsidR="000C6659" w:rsidRPr="009F227C">
        <w:rPr>
          <w:u w:val="single"/>
        </w:rPr>
        <w:t>(Issue 43)</w:t>
      </w:r>
      <w:bookmarkEnd w:id="60"/>
    </w:p>
    <w:p w14:paraId="0DD8DF58" w14:textId="77777777" w:rsidR="00FE7EAC" w:rsidRPr="00FE7EAC" w:rsidRDefault="00FE7EAC" w:rsidP="00FE7EAC">
      <w:pPr>
        <w:jc w:val="both"/>
        <w:outlineLvl w:val="0"/>
      </w:pPr>
    </w:p>
    <w:p w14:paraId="53FCE864" w14:textId="77777777" w:rsidR="00FA6746" w:rsidRPr="009F227C" w:rsidRDefault="00FA6746" w:rsidP="00172BA1">
      <w:pPr>
        <w:pStyle w:val="ListParagraph"/>
        <w:numPr>
          <w:ilvl w:val="0"/>
          <w:numId w:val="35"/>
        </w:numPr>
        <w:spacing w:after="240"/>
        <w:ind w:hanging="720"/>
        <w:jc w:val="both"/>
      </w:pPr>
      <w:r w:rsidRPr="009F227C">
        <w:t>Analysis</w:t>
      </w:r>
    </w:p>
    <w:p w14:paraId="286C31BA" w14:textId="77777777" w:rsidR="00F36ABC" w:rsidRPr="009F227C" w:rsidRDefault="00F36ABC" w:rsidP="00FA6746">
      <w:pPr>
        <w:spacing w:after="240"/>
        <w:ind w:firstLine="720"/>
        <w:jc w:val="both"/>
      </w:pPr>
      <w:r w:rsidRPr="009F227C">
        <w:t xml:space="preserve">Section 367.081(8), F.S., requires that rates be reduced immediately following the expiration of the determined amortization period by the amount of the rate case expense previously included in rates. After weighing the evidence put forth in the record, </w:t>
      </w:r>
      <w:r w:rsidR="00FA6746" w:rsidRPr="009F227C">
        <w:t xml:space="preserve">we find </w:t>
      </w:r>
      <w:r w:rsidRPr="009F227C">
        <w:t>that a four-year amortization period is appropriate. The reduction in revenues will result in the rate decrease as shown on Schedule Nos. 4-A and 4-B,</w:t>
      </w:r>
      <w:r w:rsidR="00FA6746" w:rsidRPr="009F227C">
        <w:t xml:space="preserve"> attached herein,</w:t>
      </w:r>
      <w:r w:rsidRPr="009F227C">
        <w:t xml:space="preserve"> which will remove rate case expense grossed-up for RAFs of $77,437 for water and $72,007 for wastewater.</w:t>
      </w:r>
    </w:p>
    <w:p w14:paraId="59BC678A" w14:textId="77777777" w:rsidR="00FA6746" w:rsidRPr="009F227C" w:rsidRDefault="00FA6746" w:rsidP="00172BA1">
      <w:pPr>
        <w:pStyle w:val="ListParagraph"/>
        <w:numPr>
          <w:ilvl w:val="0"/>
          <w:numId w:val="35"/>
        </w:numPr>
        <w:spacing w:after="240"/>
        <w:ind w:hanging="720"/>
        <w:jc w:val="both"/>
      </w:pPr>
      <w:r w:rsidRPr="009F227C">
        <w:t>Conclusion</w:t>
      </w:r>
    </w:p>
    <w:p w14:paraId="2BDCF11A" w14:textId="77777777" w:rsidR="00F36ABC" w:rsidRPr="009F227C" w:rsidRDefault="0024730A" w:rsidP="00F36ABC">
      <w:pPr>
        <w:pStyle w:val="OrderBody"/>
      </w:pPr>
      <w:r w:rsidRPr="009F227C">
        <w:tab/>
      </w:r>
      <w:r w:rsidR="00F36ABC" w:rsidRPr="009F227C">
        <w:t xml:space="preserve">Sunshine’s water and wastewater rates </w:t>
      </w:r>
      <w:r w:rsidR="00FA6746" w:rsidRPr="009F227C">
        <w:t>shall</w:t>
      </w:r>
      <w:r w:rsidR="00F36ABC" w:rsidRPr="009F227C">
        <w:t xml:space="preserve"> be reduced as shown on Schedule Nos. 4-A and 4-B, respectively. This is to remove rate case expense, grossed up for RAFs, which is being amortized over a four-year period and will result in a reduction of $77,437 for water and $72,007 for wastewater. The decrease in rates </w:t>
      </w:r>
      <w:r w:rsidR="00FA6746" w:rsidRPr="009F227C">
        <w:t>shall</w:t>
      </w:r>
      <w:r w:rsidR="00F36ABC" w:rsidRPr="009F227C">
        <w:t xml:space="preserve"> become effective immediately following the expiration of the four-year rate case expense recovery period pursuant to Section 367.081(8), F.S. Sunshine </w:t>
      </w:r>
      <w:r w:rsidR="00FA6746" w:rsidRPr="009F227C">
        <w:t>shall</w:t>
      </w:r>
      <w:r w:rsidR="00F36ABC" w:rsidRPr="009F227C">
        <w:t xml:space="preserve"> be required to file revised tariff sheets no later than one month prior to the actual date of the required rate reduction. The Utility </w:t>
      </w:r>
      <w:r w:rsidR="00FA6746" w:rsidRPr="009F227C">
        <w:t>shall</w:t>
      </w:r>
      <w:r w:rsidR="00F36ABC" w:rsidRPr="009F227C">
        <w:t xml:space="preserve"> also be required to file a proposed customer notice of the lower rates and the reason for the reduction. If Sunshine files this reduction in conjunction with a price index or pass-through rate adjustment, separate data </w:t>
      </w:r>
      <w:r w:rsidR="00B124C7" w:rsidRPr="009F227C">
        <w:t>shall</w:t>
      </w:r>
      <w:r w:rsidR="00F36ABC" w:rsidRPr="009F227C">
        <w:t xml:space="preserve"> be filed for the price index and/or pass-through increase, and the reduction in the rates due to the amortized rate case expense.</w:t>
      </w:r>
    </w:p>
    <w:p w14:paraId="561A2F5C" w14:textId="77777777" w:rsidR="00F36ABC" w:rsidRPr="009F227C" w:rsidRDefault="00F36ABC" w:rsidP="00F36ABC">
      <w:pPr>
        <w:pStyle w:val="OrderBody"/>
      </w:pPr>
    </w:p>
    <w:p w14:paraId="4597D01C" w14:textId="2FE7E947" w:rsidR="0041442B" w:rsidRPr="00FE7EAC" w:rsidRDefault="0041442B" w:rsidP="00172BA1">
      <w:pPr>
        <w:pStyle w:val="ListParagraph"/>
        <w:numPr>
          <w:ilvl w:val="0"/>
          <w:numId w:val="47"/>
        </w:numPr>
        <w:ind w:hanging="1080"/>
        <w:jc w:val="both"/>
        <w:outlineLvl w:val="0"/>
      </w:pPr>
      <w:bookmarkStart w:id="61" w:name="_Toc199321490"/>
      <w:r w:rsidRPr="009F227C">
        <w:rPr>
          <w:u w:val="single"/>
        </w:rPr>
        <w:t xml:space="preserve">Commission Ordered Adjustments </w:t>
      </w:r>
      <w:r w:rsidR="007C7003" w:rsidRPr="009F227C">
        <w:rPr>
          <w:u w:val="single"/>
        </w:rPr>
        <w:t>(Issue 44)</w:t>
      </w:r>
      <w:bookmarkEnd w:id="61"/>
    </w:p>
    <w:p w14:paraId="6C17AD64" w14:textId="77777777" w:rsidR="00FE7EAC" w:rsidRPr="00FE7EAC" w:rsidRDefault="00FE7EAC" w:rsidP="00FE7EAC">
      <w:pPr>
        <w:jc w:val="both"/>
        <w:outlineLvl w:val="0"/>
      </w:pPr>
    </w:p>
    <w:p w14:paraId="6363D2C2" w14:textId="77777777" w:rsidR="0041442B" w:rsidRPr="009F227C" w:rsidRDefault="0041442B" w:rsidP="00172BA1">
      <w:pPr>
        <w:pStyle w:val="ListParagraph"/>
        <w:numPr>
          <w:ilvl w:val="0"/>
          <w:numId w:val="36"/>
        </w:numPr>
        <w:ind w:hanging="720"/>
        <w:jc w:val="both"/>
      </w:pPr>
      <w:r w:rsidRPr="009F227C">
        <w:t>Analysis</w:t>
      </w:r>
      <w:r w:rsidR="0091471D">
        <w:t xml:space="preserve"> and Conclusion </w:t>
      </w:r>
    </w:p>
    <w:p w14:paraId="07993904" w14:textId="77777777" w:rsidR="006F3A25" w:rsidRPr="009F227C" w:rsidRDefault="006F3A25" w:rsidP="006F3A25">
      <w:pPr>
        <w:jc w:val="both"/>
      </w:pPr>
    </w:p>
    <w:p w14:paraId="1C2D0E72" w14:textId="77777777" w:rsidR="00CA1F30" w:rsidRPr="009F227C" w:rsidRDefault="00F36ABC" w:rsidP="00FF60AA">
      <w:pPr>
        <w:pStyle w:val="OrderBody"/>
        <w:ind w:firstLine="720"/>
      </w:pPr>
      <w:r w:rsidRPr="009F227C">
        <w:t xml:space="preserve">The Utility </w:t>
      </w:r>
      <w:r w:rsidR="006F3A25" w:rsidRPr="009F227C">
        <w:t>shall</w:t>
      </w:r>
      <w:r w:rsidRPr="009F227C">
        <w:t xml:space="preserve"> be required to notify </w:t>
      </w:r>
      <w:r w:rsidR="006F3A25" w:rsidRPr="009F227C">
        <w:t>us</w:t>
      </w:r>
      <w:r w:rsidRPr="009F227C">
        <w:t xml:space="preserve">, in writing that it has adjusted its books in accordance with any ordered adjustments. Sunshine </w:t>
      </w:r>
      <w:r w:rsidR="006F3A25" w:rsidRPr="009F227C">
        <w:t xml:space="preserve">shall </w:t>
      </w:r>
      <w:r w:rsidRPr="009F227C">
        <w:t xml:space="preserve">submit a letter within 90 days of the final order in this docket confirming that the adjustments to all applicable NARUC USOA accounts have been made to the Utility’s books and records. In the event that the Utility needs additional time to complete the adjustments, notice </w:t>
      </w:r>
      <w:r w:rsidR="006F3A25" w:rsidRPr="009F227C">
        <w:t xml:space="preserve">shall </w:t>
      </w:r>
      <w:r w:rsidRPr="009F227C">
        <w:t xml:space="preserve">be provided within seven days prior to the deadline. Upon providing good cause, </w:t>
      </w:r>
      <w:r w:rsidR="001D3577" w:rsidRPr="009F227C">
        <w:t>our staff</w:t>
      </w:r>
      <w:r w:rsidRPr="009F227C">
        <w:t xml:space="preserve"> </w:t>
      </w:r>
      <w:r w:rsidR="006F3A25" w:rsidRPr="009F227C">
        <w:t xml:space="preserve">shall </w:t>
      </w:r>
      <w:r w:rsidRPr="009F227C">
        <w:t>be given administrative authority to grant an extension of up to 60 days.</w:t>
      </w:r>
    </w:p>
    <w:p w14:paraId="078FE38A" w14:textId="77777777" w:rsidR="00F36ABC" w:rsidRPr="009F227C" w:rsidRDefault="00F36ABC" w:rsidP="00F36ABC">
      <w:pPr>
        <w:pStyle w:val="OrderBody"/>
      </w:pPr>
    </w:p>
    <w:p w14:paraId="3618DA7C" w14:textId="77777777" w:rsidR="00677B82" w:rsidRPr="009F227C" w:rsidRDefault="00677B82" w:rsidP="00677B82">
      <w:pPr>
        <w:pStyle w:val="OrderBody"/>
      </w:pPr>
      <w:r w:rsidRPr="009F227C">
        <w:tab/>
        <w:t>Based on the foregoing, it is</w:t>
      </w:r>
    </w:p>
    <w:p w14:paraId="7282871C" w14:textId="77777777" w:rsidR="00677B82" w:rsidRPr="009F227C" w:rsidRDefault="00677B82" w:rsidP="00677B82">
      <w:pPr>
        <w:pStyle w:val="OrderBody"/>
      </w:pPr>
    </w:p>
    <w:p w14:paraId="70FEB205" w14:textId="6A744205" w:rsidR="00294875" w:rsidRDefault="00677B82" w:rsidP="00C504BC">
      <w:pPr>
        <w:jc w:val="both"/>
      </w:pPr>
      <w:r w:rsidRPr="009F227C">
        <w:tab/>
      </w:r>
      <w:r w:rsidR="009F227C" w:rsidRPr="004959A8">
        <w:t xml:space="preserve">ORDERED by the Florida Public Service Commission that </w:t>
      </w:r>
      <w:r w:rsidR="009F227C" w:rsidRPr="009F227C">
        <w:t>Sunshine Water Services Company</w:t>
      </w:r>
      <w:r w:rsidR="00AA1E6F">
        <w:t>’s</w:t>
      </w:r>
      <w:r w:rsidR="009F227C" w:rsidRPr="004959A8">
        <w:t xml:space="preserve"> Petition for Rate Increase is </w:t>
      </w:r>
      <w:r w:rsidR="00AA1E6F">
        <w:t>granted in part</w:t>
      </w:r>
      <w:r w:rsidR="009F227C" w:rsidRPr="004959A8">
        <w:t xml:space="preserve"> and </w:t>
      </w:r>
      <w:r w:rsidR="00AA1E6F">
        <w:t>denied in part</w:t>
      </w:r>
      <w:r w:rsidR="009F227C" w:rsidRPr="004959A8">
        <w:t xml:space="preserve"> as set forth herein. It is further</w:t>
      </w:r>
    </w:p>
    <w:p w14:paraId="511E30CC" w14:textId="77777777" w:rsidR="00991E9D" w:rsidRDefault="00991E9D" w:rsidP="00C504BC">
      <w:pPr>
        <w:jc w:val="both"/>
      </w:pPr>
    </w:p>
    <w:p w14:paraId="76006A04" w14:textId="314022C5" w:rsidR="00C55920" w:rsidRPr="009F227C" w:rsidRDefault="00C55920" w:rsidP="00C55920">
      <w:pPr>
        <w:pStyle w:val="OrderBody"/>
        <w:ind w:firstLine="720"/>
      </w:pPr>
      <w:r>
        <w:t>ORDERED that t</w:t>
      </w:r>
      <w:r w:rsidRPr="009F227C">
        <w:t xml:space="preserve">he quality of service for the Sanlando and Mid-County wastewater systems shall be deemed unsatisfactory. There shall be a 30 basis point reduction in the Utility’s </w:t>
      </w:r>
      <w:r w:rsidRPr="009F227C">
        <w:lastRenderedPageBreak/>
        <w:t xml:space="preserve">Return on Equity. </w:t>
      </w:r>
      <w:r w:rsidRPr="00F8354F">
        <w:t>Sunshine Water Services Company</w:t>
      </w:r>
      <w:r w:rsidRPr="009F227C">
        <w:t xml:space="preserve"> shall file an annual report that details any DEP compliance issues for both the Sanlando and Mid-County wastewater systems</w:t>
      </w:r>
      <w:r w:rsidR="008D1055">
        <w:t>.</w:t>
      </w:r>
      <w:r w:rsidR="008D1055" w:rsidRPr="009F227C" w:rsidDel="008D1055">
        <w:t xml:space="preserve"> </w:t>
      </w:r>
      <w:r w:rsidRPr="00F8354F">
        <w:t>Sunshine Water Services Company</w:t>
      </w:r>
      <w:r w:rsidRPr="009F227C">
        <w:t xml:space="preserve"> shall file its first report one year after this Order is issued. Additionally, we find that the reporting requirements established for the Pasco-Summertree system in the last rate case shall be discontinued.</w:t>
      </w:r>
      <w:r>
        <w:t xml:space="preserve"> It is further</w:t>
      </w:r>
    </w:p>
    <w:p w14:paraId="08F01391" w14:textId="77777777" w:rsidR="009F227C" w:rsidRPr="004959A8" w:rsidRDefault="009F227C" w:rsidP="009F227C">
      <w:pPr>
        <w:jc w:val="both"/>
      </w:pPr>
    </w:p>
    <w:p w14:paraId="7D2B5BBE" w14:textId="0C5E6859" w:rsidR="009F227C" w:rsidRPr="004959A8" w:rsidRDefault="009F227C" w:rsidP="009F227C">
      <w:pPr>
        <w:jc w:val="both"/>
      </w:pPr>
      <w:r w:rsidRPr="004959A8">
        <w:tab/>
        <w:t xml:space="preserve">ORDERED that </w:t>
      </w:r>
      <w:r w:rsidR="00C55920">
        <w:t xml:space="preserve">all other findings </w:t>
      </w:r>
      <w:r w:rsidRPr="004959A8">
        <w:t xml:space="preserve">made in the body of this Order </w:t>
      </w:r>
      <w:r w:rsidR="00C55920">
        <w:t>are</w:t>
      </w:r>
      <w:r w:rsidRPr="004959A8">
        <w:t xml:space="preserve"> hereby approved in every respect. It is further</w:t>
      </w:r>
    </w:p>
    <w:p w14:paraId="036B7F77" w14:textId="77777777" w:rsidR="009F227C" w:rsidRPr="004959A8" w:rsidRDefault="009F227C" w:rsidP="009F227C">
      <w:pPr>
        <w:jc w:val="both"/>
      </w:pPr>
    </w:p>
    <w:p w14:paraId="4E059A06" w14:textId="77777777" w:rsidR="009F227C" w:rsidRDefault="009F227C" w:rsidP="009F227C">
      <w:pPr>
        <w:jc w:val="both"/>
      </w:pPr>
      <w:r w:rsidRPr="004959A8">
        <w:tab/>
        <w:t>ORDERED that all matters contained in the attachments and schedules appended hereto are incorporated by reference. It is further</w:t>
      </w:r>
    </w:p>
    <w:p w14:paraId="107ACEA8" w14:textId="3D17B9F8" w:rsidR="00523A2F" w:rsidRDefault="00523A2F" w:rsidP="009F227C">
      <w:pPr>
        <w:jc w:val="both"/>
      </w:pPr>
    </w:p>
    <w:p w14:paraId="47E4C562" w14:textId="129A89F6" w:rsidR="00E61D32" w:rsidRDefault="00E61D32" w:rsidP="00E61D32">
      <w:pPr>
        <w:jc w:val="both"/>
      </w:pPr>
      <w:r>
        <w:tab/>
        <w:t xml:space="preserve">ORDERED that </w:t>
      </w:r>
      <w:r w:rsidR="00C55920" w:rsidRPr="00F8354F">
        <w:t>Sunshine Water Services Company</w:t>
      </w:r>
      <w:r w:rsidR="00C55920">
        <w:t xml:space="preserve"> </w:t>
      </w:r>
      <w:r>
        <w:t>shall file revised tariff sheets and proposed customer notices to reflect the Commission-approved rates and charges. The approved rates and charges shall be effective for service rendered on or after the stamped approval date on the tariff sheets pursuant to Rule 25-30.475(1), F.A.C. In addition, the approved rates and charges shall not be implemented until our staff has approved the proposed customer notices and the notices have been receive</w:t>
      </w:r>
      <w:r w:rsidR="00C55920">
        <w:t xml:space="preserve">d by the customers. </w:t>
      </w:r>
      <w:r w:rsidR="00C55920" w:rsidRPr="00F8354F">
        <w:t>Sunshine Water Services Company</w:t>
      </w:r>
      <w:r w:rsidR="00C55920">
        <w:t xml:space="preserve"> </w:t>
      </w:r>
      <w:r>
        <w:t>shall provide proof of the date notice was given within 10 days of the date of the notice. It is further</w:t>
      </w:r>
    </w:p>
    <w:p w14:paraId="4DAB655A" w14:textId="5CF993B8" w:rsidR="00DE4927" w:rsidRDefault="00DE4927" w:rsidP="00E61D32">
      <w:pPr>
        <w:jc w:val="both"/>
      </w:pPr>
    </w:p>
    <w:p w14:paraId="6DA4DCAC" w14:textId="2A0CE0AB" w:rsidR="00DE4927" w:rsidRDefault="00DE4927" w:rsidP="00E61D32">
      <w:pPr>
        <w:jc w:val="both"/>
      </w:pPr>
      <w:r>
        <w:tab/>
        <w:t xml:space="preserve">ORDERED that the </w:t>
      </w:r>
      <w:r w:rsidRPr="009F227C">
        <w:t xml:space="preserve">water and wastewater rates </w:t>
      </w:r>
      <w:r>
        <w:t xml:space="preserve">approved herein </w:t>
      </w:r>
      <w:r w:rsidRPr="009F227C">
        <w:t>shall be reduced as shown on Schedule Nos. 4-A and 4-B, respectively</w:t>
      </w:r>
      <w:r>
        <w:t xml:space="preserve">, to </w:t>
      </w:r>
      <w:r w:rsidRPr="009F227C">
        <w:t xml:space="preserve">remove rate case expense, grossed up for </w:t>
      </w:r>
      <w:r>
        <w:t>regulatory assessment fees,</w:t>
      </w:r>
      <w:r w:rsidRPr="009F227C">
        <w:t xml:space="preserve"> which is being amortized over a four-year period and will result in a reduction of $77,437 for water and $72,007 for wastewater. The decrease in rates shall become effective immediately following the expiration of the four-year rate case expense recovery period pursuant to Section 367.081(8), F.S. Sunshine shall be required to file revised tariff sheets no later than one month prior to the actual date of the required rate reduction. The Utility shall also be required to file a proposed customer notice of the lower rates and the reason for the reduction. If Sunshine files this reduction in conjunction with a price index or pass-through rate adjustment, separate data shall be filed for the price index and/or pass-through increase, and the reduction in the rates due to the amortized rate case expense</w:t>
      </w:r>
      <w:r>
        <w:t>. It is further</w:t>
      </w:r>
    </w:p>
    <w:p w14:paraId="2E7529A7" w14:textId="77777777" w:rsidR="001262D8" w:rsidRDefault="001262D8" w:rsidP="00E61D32">
      <w:pPr>
        <w:jc w:val="both"/>
      </w:pPr>
    </w:p>
    <w:p w14:paraId="5FCBB878" w14:textId="77777777" w:rsidR="001262D8" w:rsidRDefault="001262D8" w:rsidP="001262D8">
      <w:pPr>
        <w:jc w:val="both"/>
      </w:pPr>
      <w:r>
        <w:tab/>
        <w:t>ORDERED</w:t>
      </w:r>
      <w:r w:rsidR="0020674B">
        <w:t xml:space="preserve"> </w:t>
      </w:r>
      <w:r>
        <w:t xml:space="preserve">that </w:t>
      </w:r>
      <w:r w:rsidR="00C55920" w:rsidRPr="00F8354F">
        <w:t>Sunshine Water Services Company</w:t>
      </w:r>
      <w:r w:rsidR="00C55920">
        <w:t xml:space="preserve"> </w:t>
      </w:r>
      <w:r>
        <w:t>shall be required to notify us, in writing, that it has adjusted its books in accordance with us ordered adjustments. The Utility shall submit a letter within 90 days of this order in this docket confirming that the adjustments to all applicable NARUC USOA accounts have been made to the Utility’s books and records. In the event that the Utility needs additional time to complete the adjustments, notice shall be provided within seven days prior to the deadline. Upon providing good cause, our staff shall be given administrative authority to grant an extension of up to 60 days. It is further</w:t>
      </w:r>
    </w:p>
    <w:p w14:paraId="2570B467" w14:textId="77777777" w:rsidR="0020674B" w:rsidRDefault="0020674B" w:rsidP="001262D8">
      <w:pPr>
        <w:jc w:val="both"/>
      </w:pPr>
    </w:p>
    <w:p w14:paraId="6FC5A0F7" w14:textId="5BA95686" w:rsidR="009F227C" w:rsidRPr="004959A8" w:rsidRDefault="0020674B" w:rsidP="009F227C">
      <w:pPr>
        <w:jc w:val="both"/>
      </w:pPr>
      <w:r>
        <w:tab/>
        <w:t>ORDERED that th</w:t>
      </w:r>
      <w:r w:rsidRPr="009F227C">
        <w:t xml:space="preserve">is docket </w:t>
      </w:r>
      <w:r>
        <w:t>shall</w:t>
      </w:r>
      <w:r w:rsidRPr="009F227C">
        <w:t xml:space="preserve"> remain open for our staff</w:t>
      </w:r>
      <w:r w:rsidR="00C55920">
        <w:t xml:space="preserve">’s verification that </w:t>
      </w:r>
      <w:r w:rsidR="00C55920" w:rsidRPr="00F8354F">
        <w:t>Sunshine Water Services Company</w:t>
      </w:r>
      <w:r w:rsidR="00C55920" w:rsidRPr="009F227C">
        <w:t xml:space="preserve"> </w:t>
      </w:r>
      <w:r w:rsidRPr="009F227C">
        <w:t>has filed the revised tariff sheets, customer notices have been filed, and that the Utility has notified us in writing that the adjustments set forth herein have been made. Once these actions are complete, this docket sh</w:t>
      </w:r>
      <w:r w:rsidR="00675083">
        <w:t>all</w:t>
      </w:r>
      <w:r w:rsidRPr="009F227C">
        <w:t xml:space="preserve"> be closed administratively.</w:t>
      </w:r>
    </w:p>
    <w:p w14:paraId="0BBD23DD" w14:textId="77777777" w:rsidR="00677B82" w:rsidRPr="009F227C" w:rsidRDefault="00677B82" w:rsidP="00677B82">
      <w:pPr>
        <w:pStyle w:val="OrderBody"/>
      </w:pPr>
    </w:p>
    <w:p w14:paraId="2C915699" w14:textId="2364B56E" w:rsidR="00677B82" w:rsidRDefault="00677B82" w:rsidP="00677B82">
      <w:pPr>
        <w:pStyle w:val="OrderBody"/>
        <w:keepNext/>
        <w:keepLines/>
      </w:pPr>
      <w:r w:rsidRPr="009F227C">
        <w:lastRenderedPageBreak/>
        <w:tab/>
        <w:t xml:space="preserve">By ORDER of the Florida Public Service Commission this </w:t>
      </w:r>
      <w:bookmarkStart w:id="62" w:name="replaceDate"/>
      <w:bookmarkEnd w:id="62"/>
      <w:r w:rsidR="00157E6F">
        <w:rPr>
          <w:u w:val="single"/>
        </w:rPr>
        <w:t>6th</w:t>
      </w:r>
      <w:r w:rsidR="00157E6F">
        <w:t xml:space="preserve"> day of </w:t>
      </w:r>
      <w:r w:rsidR="00157E6F">
        <w:rPr>
          <w:u w:val="single"/>
        </w:rPr>
        <w:t>June</w:t>
      </w:r>
      <w:r w:rsidR="00157E6F">
        <w:t xml:space="preserve">, </w:t>
      </w:r>
      <w:r w:rsidR="00157E6F">
        <w:rPr>
          <w:u w:val="single"/>
        </w:rPr>
        <w:t>2025</w:t>
      </w:r>
      <w:r w:rsidR="00157E6F">
        <w:t>.</w:t>
      </w:r>
    </w:p>
    <w:p w14:paraId="6990F348" w14:textId="77777777" w:rsidR="00157E6F" w:rsidRPr="00157E6F" w:rsidRDefault="00157E6F" w:rsidP="00677B82">
      <w:pPr>
        <w:pStyle w:val="OrderBody"/>
        <w:keepNext/>
        <w:keepLines/>
      </w:pPr>
    </w:p>
    <w:p w14:paraId="5EB3FCE1" w14:textId="0F4A66B9" w:rsidR="00677B82" w:rsidRDefault="00677B82" w:rsidP="00677B82">
      <w:pPr>
        <w:pStyle w:val="OrderBody"/>
        <w:keepNext/>
        <w:keepLines/>
      </w:pPr>
    </w:p>
    <w:p w14:paraId="3453815A" w14:textId="69D1AD2B" w:rsidR="009952D0" w:rsidRDefault="009952D0" w:rsidP="00677B82">
      <w:pPr>
        <w:pStyle w:val="OrderBody"/>
        <w:keepNext/>
        <w:keepLines/>
      </w:pPr>
    </w:p>
    <w:p w14:paraId="2BED298F" w14:textId="77777777" w:rsidR="009952D0" w:rsidRPr="009F227C" w:rsidRDefault="009952D0" w:rsidP="00677B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7B82" w:rsidRPr="009F227C" w14:paraId="18C56A9B" w14:textId="77777777" w:rsidTr="00677B82">
        <w:tc>
          <w:tcPr>
            <w:tcW w:w="720" w:type="dxa"/>
            <w:shd w:val="clear" w:color="auto" w:fill="auto"/>
          </w:tcPr>
          <w:p w14:paraId="39F92F09" w14:textId="77777777" w:rsidR="00677B82" w:rsidRPr="009F227C" w:rsidRDefault="00677B82" w:rsidP="00677B82">
            <w:pPr>
              <w:pStyle w:val="OrderBody"/>
              <w:keepNext/>
              <w:keepLines/>
            </w:pPr>
            <w:bookmarkStart w:id="63" w:name="bkmrkSignature" w:colFirst="0" w:colLast="0"/>
          </w:p>
        </w:tc>
        <w:tc>
          <w:tcPr>
            <w:tcW w:w="4320" w:type="dxa"/>
            <w:tcBorders>
              <w:bottom w:val="single" w:sz="4" w:space="0" w:color="auto"/>
            </w:tcBorders>
            <w:shd w:val="clear" w:color="auto" w:fill="auto"/>
          </w:tcPr>
          <w:p w14:paraId="278E4A4E" w14:textId="12F6A6DA" w:rsidR="00677B82" w:rsidRPr="009F227C" w:rsidRDefault="00157E6F" w:rsidP="00677B82">
            <w:pPr>
              <w:pStyle w:val="OrderBody"/>
              <w:keepNext/>
              <w:keepLines/>
            </w:pPr>
            <w:r>
              <w:t>/s/ Adam J. Teitzman</w:t>
            </w:r>
            <w:bookmarkStart w:id="64" w:name="_GoBack"/>
            <w:bookmarkEnd w:id="64"/>
          </w:p>
        </w:tc>
      </w:tr>
      <w:bookmarkEnd w:id="63"/>
      <w:tr w:rsidR="00677B82" w:rsidRPr="009F227C" w14:paraId="10F60FB1" w14:textId="77777777" w:rsidTr="00677B82">
        <w:tc>
          <w:tcPr>
            <w:tcW w:w="720" w:type="dxa"/>
            <w:shd w:val="clear" w:color="auto" w:fill="auto"/>
          </w:tcPr>
          <w:p w14:paraId="68976EBC" w14:textId="77777777" w:rsidR="00677B82" w:rsidRPr="009F227C" w:rsidRDefault="00677B82" w:rsidP="00677B82">
            <w:pPr>
              <w:pStyle w:val="OrderBody"/>
              <w:keepNext/>
              <w:keepLines/>
            </w:pPr>
          </w:p>
        </w:tc>
        <w:tc>
          <w:tcPr>
            <w:tcW w:w="4320" w:type="dxa"/>
            <w:tcBorders>
              <w:top w:val="single" w:sz="4" w:space="0" w:color="auto"/>
            </w:tcBorders>
            <w:shd w:val="clear" w:color="auto" w:fill="auto"/>
          </w:tcPr>
          <w:p w14:paraId="14800581" w14:textId="77777777" w:rsidR="00677B82" w:rsidRPr="009F227C" w:rsidRDefault="00677B82" w:rsidP="00677B82">
            <w:pPr>
              <w:pStyle w:val="OrderBody"/>
              <w:keepNext/>
              <w:keepLines/>
            </w:pPr>
            <w:r w:rsidRPr="009F227C">
              <w:t>ADAM J. TEITZMAN</w:t>
            </w:r>
          </w:p>
          <w:p w14:paraId="0E5FEC39" w14:textId="77777777" w:rsidR="00677B82" w:rsidRPr="009F227C" w:rsidRDefault="00677B82" w:rsidP="00677B82">
            <w:pPr>
              <w:pStyle w:val="OrderBody"/>
              <w:keepNext/>
              <w:keepLines/>
            </w:pPr>
            <w:r w:rsidRPr="009F227C">
              <w:t>Commission Clerk</w:t>
            </w:r>
          </w:p>
        </w:tc>
      </w:tr>
    </w:tbl>
    <w:p w14:paraId="4AC4A9A1" w14:textId="77777777" w:rsidR="00677B82" w:rsidRPr="009F227C" w:rsidRDefault="00677B82" w:rsidP="00677B82">
      <w:pPr>
        <w:pStyle w:val="OrderSigInfo"/>
        <w:keepNext/>
        <w:keepLines/>
      </w:pPr>
      <w:r w:rsidRPr="009F227C">
        <w:t>Florida Public Service Commission</w:t>
      </w:r>
    </w:p>
    <w:p w14:paraId="75AC6565" w14:textId="77777777" w:rsidR="00677B82" w:rsidRPr="009F227C" w:rsidRDefault="00677B82" w:rsidP="00677B82">
      <w:pPr>
        <w:pStyle w:val="OrderSigInfo"/>
        <w:keepNext/>
        <w:keepLines/>
      </w:pPr>
      <w:r w:rsidRPr="009F227C">
        <w:t>2540 Shumard Oak Boulevard</w:t>
      </w:r>
    </w:p>
    <w:p w14:paraId="71BAC0B6" w14:textId="77777777" w:rsidR="00677B82" w:rsidRPr="009F227C" w:rsidRDefault="00677B82" w:rsidP="00677B82">
      <w:pPr>
        <w:pStyle w:val="OrderSigInfo"/>
        <w:keepNext/>
        <w:keepLines/>
      </w:pPr>
      <w:r w:rsidRPr="009F227C">
        <w:t>Tallahassee, Florida 32399</w:t>
      </w:r>
    </w:p>
    <w:p w14:paraId="247FEB0C" w14:textId="77777777" w:rsidR="00677B82" w:rsidRPr="009F227C" w:rsidRDefault="00677B82" w:rsidP="00677B82">
      <w:pPr>
        <w:pStyle w:val="OrderSigInfo"/>
        <w:keepNext/>
        <w:keepLines/>
      </w:pPr>
      <w:r w:rsidRPr="009F227C">
        <w:t>(850) 413</w:t>
      </w:r>
      <w:r w:rsidRPr="009F227C">
        <w:noBreakHyphen/>
        <w:t>6770</w:t>
      </w:r>
    </w:p>
    <w:p w14:paraId="5A68F89C" w14:textId="77777777" w:rsidR="00677B82" w:rsidRPr="009F227C" w:rsidRDefault="00677B82" w:rsidP="00677B82">
      <w:pPr>
        <w:pStyle w:val="OrderSigInfo"/>
        <w:keepNext/>
        <w:keepLines/>
      </w:pPr>
      <w:r w:rsidRPr="009F227C">
        <w:t>www.floridapsc.com</w:t>
      </w:r>
    </w:p>
    <w:p w14:paraId="08165CEE" w14:textId="77777777" w:rsidR="00677B82" w:rsidRPr="009F227C" w:rsidRDefault="00677B82" w:rsidP="00677B82">
      <w:pPr>
        <w:pStyle w:val="OrderSigInfo"/>
        <w:keepNext/>
        <w:keepLines/>
      </w:pPr>
    </w:p>
    <w:p w14:paraId="5CF7CB49" w14:textId="10B4F2D6" w:rsidR="00677B82" w:rsidRDefault="00677B82" w:rsidP="00E2525C">
      <w:pPr>
        <w:pStyle w:val="OrderSigInfo"/>
        <w:keepNext/>
        <w:keepLines/>
      </w:pPr>
      <w:r w:rsidRPr="009F227C">
        <w:t>Copies furnished:  A copy of this document is provided to the parties of record at the time of issuance and, if applicable, interested persons.</w:t>
      </w:r>
    </w:p>
    <w:p w14:paraId="08D4B777" w14:textId="77777777" w:rsidR="00F070E1" w:rsidRPr="004E23DF" w:rsidRDefault="00F070E1" w:rsidP="00C504BC">
      <w:pPr>
        <w:pStyle w:val="OrderBody"/>
      </w:pPr>
    </w:p>
    <w:p w14:paraId="293E8B88" w14:textId="40CD5D8F" w:rsidR="00677B82" w:rsidRPr="009F227C" w:rsidRDefault="00677B82" w:rsidP="00677B82">
      <w:pPr>
        <w:pStyle w:val="OrderBody"/>
        <w:keepNext/>
        <w:keepLines/>
      </w:pPr>
      <w:r w:rsidRPr="009F227C">
        <w:t>RPS</w:t>
      </w:r>
      <w:r w:rsidR="00F070E1">
        <w:t>/</w:t>
      </w:r>
      <w:r w:rsidR="00C504BC">
        <w:t>SF</w:t>
      </w:r>
    </w:p>
    <w:p w14:paraId="5F7BBC57" w14:textId="77777777" w:rsidR="00677B82" w:rsidRPr="009F227C" w:rsidRDefault="00677B82" w:rsidP="00677B82">
      <w:pPr>
        <w:pStyle w:val="OrderBody"/>
      </w:pPr>
    </w:p>
    <w:p w14:paraId="405A3502" w14:textId="77777777" w:rsidR="00497329" w:rsidRDefault="00497329">
      <w:pPr>
        <w:rPr>
          <w:u w:val="single"/>
        </w:rPr>
      </w:pPr>
      <w:r>
        <w:br w:type="page"/>
      </w:r>
    </w:p>
    <w:p w14:paraId="662EE046" w14:textId="2E103F54" w:rsidR="005F7ACC" w:rsidRPr="009F227C" w:rsidRDefault="005F7ACC" w:rsidP="005F7ACC">
      <w:pPr>
        <w:pStyle w:val="CenterUnderline"/>
      </w:pPr>
      <w:r w:rsidRPr="009F227C">
        <w:lastRenderedPageBreak/>
        <w:t>NOTICE OF FURTHER PROCEEDINGS OR JUDICIAL REVIEW</w:t>
      </w:r>
    </w:p>
    <w:p w14:paraId="2F5EDC82" w14:textId="77777777" w:rsidR="005F7ACC" w:rsidRPr="009F227C" w:rsidRDefault="005F7ACC" w:rsidP="005F7ACC">
      <w:pPr>
        <w:pStyle w:val="OrderBody"/>
      </w:pPr>
    </w:p>
    <w:p w14:paraId="653E4376" w14:textId="77777777" w:rsidR="005F7ACC" w:rsidRPr="009F227C" w:rsidRDefault="005F7ACC" w:rsidP="005F7ACC">
      <w:pPr>
        <w:pStyle w:val="OrderBody"/>
      </w:pPr>
      <w:r w:rsidRPr="009F227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866056" w:rsidRPr="009F227C">
        <w:t xml:space="preserve">. </w:t>
      </w:r>
      <w:r w:rsidRPr="009F227C">
        <w:t>This notice should not be construed to mean all requests for an administrative hearing or judicial review will be granted or result in the relief sought.</w:t>
      </w:r>
    </w:p>
    <w:p w14:paraId="20AEF6B6" w14:textId="77777777" w:rsidR="005F7ACC" w:rsidRPr="009F227C" w:rsidRDefault="005F7ACC" w:rsidP="005F7ACC">
      <w:pPr>
        <w:pStyle w:val="OrderBody"/>
      </w:pPr>
    </w:p>
    <w:p w14:paraId="733B6CB8" w14:textId="77777777" w:rsidR="005F7ACC" w:rsidRPr="009F227C" w:rsidRDefault="005F7ACC" w:rsidP="005F7ACC">
      <w:pPr>
        <w:pStyle w:val="OrderBody"/>
      </w:pPr>
      <w:r w:rsidRPr="009F227C">
        <w:tab/>
        <w:t xml:space="preserve">Any party adversely affected by </w:t>
      </w:r>
      <w:r w:rsidR="00E13A08" w:rsidRPr="009F227C">
        <w:t>the Commission’s</w:t>
      </w:r>
      <w:r w:rsidRPr="009F227C">
        <w:t xml:space="preserve">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w:t>
      </w:r>
      <w:r w:rsidR="00866056" w:rsidRPr="009F227C">
        <w:t xml:space="preserve">. </w:t>
      </w:r>
      <w:r w:rsidRPr="009F227C">
        <w:t>This filing must be completed within thirty (30) days after the issuance of this order, pursuant to Rule 9.110, Florida Rules of Appellate Procedure</w:t>
      </w:r>
      <w:r w:rsidR="00866056" w:rsidRPr="009F227C">
        <w:t xml:space="preserve">. </w:t>
      </w:r>
      <w:r w:rsidRPr="009F227C">
        <w:t>The notice of appeal must be in the form specified in Rule 9.900(a), Florida Rules of Appellate Procedure.</w:t>
      </w:r>
    </w:p>
    <w:p w14:paraId="49C6CF6C" w14:textId="77777777" w:rsidR="00AC30DF" w:rsidRPr="009F227C" w:rsidRDefault="00AC30DF" w:rsidP="005F7ACC">
      <w:pPr>
        <w:pStyle w:val="OrderBody"/>
        <w:sectPr w:rsidR="00AC30DF" w:rsidRPr="009F227C">
          <w:headerReference w:type="default" r:id="rId7"/>
          <w:pgSz w:w="12240" w:h="15840" w:code="1"/>
          <w:pgMar w:top="1440" w:right="1440" w:bottom="1440" w:left="1440" w:header="720" w:footer="720" w:gutter="0"/>
          <w:cols w:space="720"/>
          <w:titlePg/>
          <w:docGrid w:linePitch="360"/>
        </w:sectPr>
      </w:pPr>
    </w:p>
    <w:tbl>
      <w:tblPr>
        <w:tblW w:w="9840" w:type="dxa"/>
        <w:jc w:val="center"/>
        <w:tblLook w:val="04A0" w:firstRow="1" w:lastRow="0" w:firstColumn="1" w:lastColumn="0" w:noHBand="0" w:noVBand="1"/>
      </w:tblPr>
      <w:tblGrid>
        <w:gridCol w:w="480"/>
        <w:gridCol w:w="3260"/>
        <w:gridCol w:w="1316"/>
        <w:gridCol w:w="1250"/>
        <w:gridCol w:w="1316"/>
        <w:gridCol w:w="1220"/>
        <w:gridCol w:w="1316"/>
      </w:tblGrid>
      <w:tr w:rsidR="00AC30DF" w:rsidRPr="009F227C" w14:paraId="0E45E9FD" w14:textId="77777777" w:rsidTr="00AC30DF">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6B103062" w14:textId="77777777" w:rsidR="00AC30DF" w:rsidRPr="009F227C" w:rsidRDefault="00AC30DF" w:rsidP="00AC30DF">
            <w:pPr>
              <w:rPr>
                <w:color w:val="000000"/>
                <w:sz w:val="20"/>
                <w:szCs w:val="20"/>
              </w:rPr>
            </w:pPr>
            <w:r w:rsidRPr="009F227C">
              <w:rPr>
                <w:color w:val="000000"/>
                <w:sz w:val="20"/>
                <w:szCs w:val="20"/>
              </w:rPr>
              <w:lastRenderedPageBreak/>
              <w:t> </w:t>
            </w:r>
          </w:p>
        </w:tc>
        <w:tc>
          <w:tcPr>
            <w:tcW w:w="3260" w:type="dxa"/>
            <w:tcBorders>
              <w:top w:val="single" w:sz="4" w:space="0" w:color="auto"/>
              <w:left w:val="nil"/>
              <w:bottom w:val="nil"/>
              <w:right w:val="nil"/>
            </w:tcBorders>
            <w:shd w:val="clear" w:color="000000" w:fill="FFFFFF"/>
            <w:noWrap/>
            <w:vAlign w:val="bottom"/>
            <w:hideMark/>
          </w:tcPr>
          <w:p w14:paraId="671D0ABF" w14:textId="77777777" w:rsidR="00AC30DF" w:rsidRPr="009F227C" w:rsidRDefault="00AC30DF" w:rsidP="00AC30DF">
            <w:pPr>
              <w:rPr>
                <w:b/>
                <w:bCs/>
                <w:sz w:val="20"/>
                <w:szCs w:val="20"/>
              </w:rPr>
            </w:pPr>
            <w:r w:rsidRPr="009F227C">
              <w:rPr>
                <w:b/>
                <w:bCs/>
                <w:sz w:val="20"/>
                <w:szCs w:val="20"/>
              </w:rPr>
              <w:t> </w:t>
            </w:r>
          </w:p>
        </w:tc>
        <w:tc>
          <w:tcPr>
            <w:tcW w:w="1220" w:type="dxa"/>
            <w:tcBorders>
              <w:top w:val="single" w:sz="4" w:space="0" w:color="auto"/>
              <w:left w:val="nil"/>
              <w:bottom w:val="nil"/>
              <w:right w:val="nil"/>
            </w:tcBorders>
            <w:shd w:val="clear" w:color="000000" w:fill="FFFFFF"/>
            <w:noWrap/>
            <w:vAlign w:val="bottom"/>
            <w:hideMark/>
          </w:tcPr>
          <w:p w14:paraId="603237FF"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auto"/>
              <w:left w:val="nil"/>
              <w:bottom w:val="nil"/>
              <w:right w:val="nil"/>
            </w:tcBorders>
            <w:shd w:val="clear" w:color="000000" w:fill="FFFFFF"/>
            <w:noWrap/>
            <w:vAlign w:val="bottom"/>
            <w:hideMark/>
          </w:tcPr>
          <w:p w14:paraId="019B2016"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auto"/>
              <w:left w:val="nil"/>
              <w:bottom w:val="nil"/>
              <w:right w:val="nil"/>
            </w:tcBorders>
            <w:shd w:val="clear" w:color="000000" w:fill="FFFFFF"/>
            <w:noWrap/>
            <w:vAlign w:val="bottom"/>
            <w:hideMark/>
          </w:tcPr>
          <w:p w14:paraId="372A956E"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auto"/>
              <w:left w:val="nil"/>
              <w:bottom w:val="nil"/>
              <w:right w:val="nil"/>
            </w:tcBorders>
            <w:shd w:val="clear" w:color="000000" w:fill="FFFFFF"/>
            <w:noWrap/>
            <w:vAlign w:val="bottom"/>
            <w:hideMark/>
          </w:tcPr>
          <w:p w14:paraId="77B36198" w14:textId="77777777" w:rsidR="00AC30DF" w:rsidRPr="009F227C" w:rsidRDefault="00AC30DF" w:rsidP="00AC30DF">
            <w:pPr>
              <w:rPr>
                <w:b/>
                <w:bCs/>
                <w:sz w:val="20"/>
                <w:szCs w:val="20"/>
              </w:rPr>
            </w:pPr>
            <w:r w:rsidRPr="009F227C">
              <w:rPr>
                <w:b/>
                <w:bCs/>
                <w:sz w:val="20"/>
                <w:szCs w:val="20"/>
              </w:rPr>
              <w:t> </w:t>
            </w:r>
          </w:p>
        </w:tc>
        <w:tc>
          <w:tcPr>
            <w:tcW w:w="1220" w:type="dxa"/>
            <w:tcBorders>
              <w:top w:val="single" w:sz="4" w:space="0" w:color="auto"/>
              <w:left w:val="nil"/>
              <w:bottom w:val="nil"/>
              <w:right w:val="single" w:sz="4" w:space="0" w:color="auto"/>
            </w:tcBorders>
            <w:shd w:val="clear" w:color="000000" w:fill="FFFFFF"/>
            <w:noWrap/>
            <w:vAlign w:val="bottom"/>
            <w:hideMark/>
          </w:tcPr>
          <w:p w14:paraId="37B3F835" w14:textId="77777777" w:rsidR="00AC30DF" w:rsidRPr="009F227C" w:rsidRDefault="00AC30DF" w:rsidP="00AC30DF">
            <w:pPr>
              <w:rPr>
                <w:color w:val="000000"/>
                <w:sz w:val="20"/>
                <w:szCs w:val="20"/>
              </w:rPr>
            </w:pPr>
            <w:r w:rsidRPr="009F227C">
              <w:rPr>
                <w:color w:val="000000"/>
                <w:sz w:val="20"/>
                <w:szCs w:val="20"/>
              </w:rPr>
              <w:t> </w:t>
            </w:r>
          </w:p>
        </w:tc>
      </w:tr>
      <w:tr w:rsidR="00AC30DF" w:rsidRPr="009F227C" w14:paraId="3016C3F3"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B2E557F" w14:textId="77777777" w:rsidR="00AC30DF" w:rsidRPr="009F227C" w:rsidRDefault="00AC30DF" w:rsidP="00AC30DF">
            <w:pPr>
              <w:rPr>
                <w:color w:val="000000"/>
                <w:sz w:val="20"/>
                <w:szCs w:val="20"/>
              </w:rPr>
            </w:pPr>
            <w:r w:rsidRPr="009F227C">
              <w:rPr>
                <w:color w:val="000000"/>
                <w:sz w:val="20"/>
                <w:szCs w:val="20"/>
              </w:rPr>
              <w:t> </w:t>
            </w:r>
          </w:p>
        </w:tc>
        <w:tc>
          <w:tcPr>
            <w:tcW w:w="4480" w:type="dxa"/>
            <w:gridSpan w:val="2"/>
            <w:tcBorders>
              <w:top w:val="nil"/>
              <w:left w:val="nil"/>
              <w:bottom w:val="nil"/>
              <w:right w:val="nil"/>
            </w:tcBorders>
            <w:shd w:val="clear" w:color="000000" w:fill="FFFFFF"/>
            <w:noWrap/>
            <w:vAlign w:val="bottom"/>
            <w:hideMark/>
          </w:tcPr>
          <w:p w14:paraId="2B92A0A9" w14:textId="77777777" w:rsidR="00AC30DF" w:rsidRPr="009F227C" w:rsidRDefault="00AC30DF" w:rsidP="00AC30DF">
            <w:pPr>
              <w:rPr>
                <w:b/>
                <w:bCs/>
                <w:sz w:val="20"/>
                <w:szCs w:val="20"/>
              </w:rPr>
            </w:pPr>
            <w:r w:rsidRPr="009F227C">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14:paraId="332A3DB9"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768EC33C" w14:textId="77777777" w:rsidR="00AC30DF" w:rsidRPr="009F227C" w:rsidRDefault="00AC30DF" w:rsidP="00AC30DF">
            <w:pPr>
              <w:rPr>
                <w:color w:val="000000"/>
                <w:sz w:val="20"/>
                <w:szCs w:val="20"/>
              </w:rPr>
            </w:pPr>
            <w:r w:rsidRPr="009F227C">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14:paraId="5DE4DD9D" w14:textId="77777777" w:rsidR="00AC30DF" w:rsidRPr="009F227C" w:rsidRDefault="00AC30DF" w:rsidP="00AC30DF">
            <w:pPr>
              <w:jc w:val="right"/>
              <w:rPr>
                <w:b/>
                <w:bCs/>
                <w:sz w:val="20"/>
                <w:szCs w:val="20"/>
              </w:rPr>
            </w:pPr>
            <w:r w:rsidRPr="009F227C">
              <w:rPr>
                <w:b/>
                <w:bCs/>
                <w:sz w:val="20"/>
                <w:szCs w:val="20"/>
              </w:rPr>
              <w:t>Schedule No. 1-A</w:t>
            </w:r>
          </w:p>
        </w:tc>
      </w:tr>
      <w:tr w:rsidR="00AC30DF" w:rsidRPr="009F227C" w14:paraId="2A282564"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4681B0A" w14:textId="77777777" w:rsidR="00AC30DF" w:rsidRPr="009F227C" w:rsidRDefault="00AC30DF" w:rsidP="00AC30DF">
            <w:pPr>
              <w:rPr>
                <w:color w:val="000000"/>
                <w:sz w:val="20"/>
                <w:szCs w:val="20"/>
              </w:rPr>
            </w:pPr>
            <w:r w:rsidRPr="009F227C">
              <w:rPr>
                <w:color w:val="000000"/>
                <w:sz w:val="20"/>
                <w:szCs w:val="20"/>
              </w:rPr>
              <w:t> </w:t>
            </w:r>
          </w:p>
        </w:tc>
        <w:tc>
          <w:tcPr>
            <w:tcW w:w="3260" w:type="dxa"/>
            <w:tcBorders>
              <w:top w:val="nil"/>
              <w:left w:val="nil"/>
              <w:bottom w:val="nil"/>
              <w:right w:val="nil"/>
            </w:tcBorders>
            <w:shd w:val="clear" w:color="000000" w:fill="FFFFFF"/>
            <w:noWrap/>
            <w:vAlign w:val="bottom"/>
            <w:hideMark/>
          </w:tcPr>
          <w:p w14:paraId="58E23FB3" w14:textId="77777777" w:rsidR="00AC30DF" w:rsidRPr="009F227C" w:rsidRDefault="00AC30DF" w:rsidP="00AC30DF">
            <w:pPr>
              <w:rPr>
                <w:b/>
                <w:bCs/>
                <w:sz w:val="20"/>
                <w:szCs w:val="20"/>
              </w:rPr>
            </w:pPr>
            <w:r w:rsidRPr="009F227C">
              <w:rPr>
                <w:b/>
                <w:bCs/>
                <w:sz w:val="20"/>
                <w:szCs w:val="20"/>
              </w:rPr>
              <w:t>Schedule of Water Rate Base</w:t>
            </w:r>
          </w:p>
        </w:tc>
        <w:tc>
          <w:tcPr>
            <w:tcW w:w="1220" w:type="dxa"/>
            <w:tcBorders>
              <w:top w:val="nil"/>
              <w:left w:val="nil"/>
              <w:bottom w:val="nil"/>
              <w:right w:val="nil"/>
            </w:tcBorders>
            <w:shd w:val="clear" w:color="000000" w:fill="FFFFFF"/>
            <w:noWrap/>
            <w:vAlign w:val="bottom"/>
            <w:hideMark/>
          </w:tcPr>
          <w:p w14:paraId="7AB2939C"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2FD5C2DB"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36A116B6" w14:textId="77777777" w:rsidR="00AC30DF" w:rsidRPr="009F227C" w:rsidRDefault="00AC30DF" w:rsidP="00AC30DF">
            <w:pPr>
              <w:rPr>
                <w:color w:val="000000"/>
                <w:sz w:val="20"/>
                <w:szCs w:val="20"/>
              </w:rPr>
            </w:pPr>
            <w:r w:rsidRPr="009F227C">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14:paraId="5CF12513" w14:textId="77777777" w:rsidR="00AC30DF" w:rsidRPr="009F227C" w:rsidRDefault="00AC30DF" w:rsidP="00AC30DF">
            <w:pPr>
              <w:jc w:val="right"/>
              <w:rPr>
                <w:b/>
                <w:bCs/>
                <w:sz w:val="20"/>
                <w:szCs w:val="20"/>
              </w:rPr>
            </w:pPr>
            <w:r w:rsidRPr="009F227C">
              <w:rPr>
                <w:b/>
                <w:bCs/>
                <w:sz w:val="20"/>
                <w:szCs w:val="20"/>
              </w:rPr>
              <w:t>Docket No. 20240068-WS</w:t>
            </w:r>
          </w:p>
        </w:tc>
      </w:tr>
      <w:tr w:rsidR="00AC30DF" w:rsidRPr="009F227C" w14:paraId="63BCFD34"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12F3ED9" w14:textId="77777777" w:rsidR="00AC30DF" w:rsidRPr="009F227C" w:rsidRDefault="00AC30DF" w:rsidP="00AC30DF">
            <w:pPr>
              <w:rPr>
                <w:color w:val="000000"/>
                <w:sz w:val="20"/>
                <w:szCs w:val="20"/>
              </w:rPr>
            </w:pPr>
            <w:r w:rsidRPr="009F227C">
              <w:rPr>
                <w:color w:val="000000"/>
                <w:sz w:val="20"/>
                <w:szCs w:val="20"/>
              </w:rPr>
              <w:t> </w:t>
            </w:r>
          </w:p>
        </w:tc>
        <w:tc>
          <w:tcPr>
            <w:tcW w:w="3260" w:type="dxa"/>
            <w:tcBorders>
              <w:top w:val="nil"/>
              <w:left w:val="nil"/>
              <w:bottom w:val="nil"/>
              <w:right w:val="nil"/>
            </w:tcBorders>
            <w:shd w:val="clear" w:color="000000" w:fill="FFFFFF"/>
            <w:noWrap/>
            <w:vAlign w:val="bottom"/>
            <w:hideMark/>
          </w:tcPr>
          <w:p w14:paraId="6C8AFCA5" w14:textId="77777777" w:rsidR="00AC30DF" w:rsidRPr="009F227C" w:rsidRDefault="00AC30DF" w:rsidP="00AC30DF">
            <w:pPr>
              <w:rPr>
                <w:b/>
                <w:bCs/>
                <w:sz w:val="20"/>
                <w:szCs w:val="20"/>
              </w:rPr>
            </w:pPr>
            <w:r w:rsidRPr="009F227C">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14:paraId="2B0B42C6"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6A0D7115"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20B81397"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0D43CFB"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14:paraId="79343AB4" w14:textId="77777777" w:rsidR="00AC30DF" w:rsidRPr="009F227C" w:rsidRDefault="00AC30DF" w:rsidP="00AC30DF">
            <w:pPr>
              <w:rPr>
                <w:sz w:val="20"/>
                <w:szCs w:val="20"/>
              </w:rPr>
            </w:pPr>
            <w:r w:rsidRPr="009F227C">
              <w:rPr>
                <w:sz w:val="20"/>
                <w:szCs w:val="20"/>
              </w:rPr>
              <w:t> </w:t>
            </w:r>
          </w:p>
        </w:tc>
      </w:tr>
      <w:tr w:rsidR="00AC30DF" w:rsidRPr="009F227C" w14:paraId="1EF2A2C3"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44AB0CB"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206D5415"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1D3F7888"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26FFB726"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3B21FA0E"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2182CF58"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25917CB" w14:textId="77777777" w:rsidR="00AC30DF" w:rsidRPr="009F227C" w:rsidRDefault="00AC30DF" w:rsidP="00AC30DF">
            <w:pPr>
              <w:rPr>
                <w:sz w:val="20"/>
                <w:szCs w:val="20"/>
              </w:rPr>
            </w:pPr>
            <w:r w:rsidRPr="009F227C">
              <w:rPr>
                <w:sz w:val="20"/>
                <w:szCs w:val="20"/>
              </w:rPr>
              <w:t> </w:t>
            </w:r>
          </w:p>
        </w:tc>
      </w:tr>
      <w:tr w:rsidR="00AC30DF" w:rsidRPr="009F227C" w14:paraId="636D3244" w14:textId="77777777" w:rsidTr="00AC30DF">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5D5AC86A" w14:textId="77777777" w:rsidR="00AC30DF" w:rsidRPr="009F227C" w:rsidRDefault="00AC30DF" w:rsidP="00AC30DF">
            <w:pPr>
              <w:rPr>
                <w:sz w:val="20"/>
                <w:szCs w:val="20"/>
              </w:rPr>
            </w:pPr>
            <w:r w:rsidRPr="009F227C">
              <w:rPr>
                <w:sz w:val="20"/>
                <w:szCs w:val="20"/>
              </w:rPr>
              <w:t> </w:t>
            </w:r>
          </w:p>
        </w:tc>
        <w:tc>
          <w:tcPr>
            <w:tcW w:w="3260" w:type="dxa"/>
            <w:tcBorders>
              <w:top w:val="single" w:sz="4" w:space="0" w:color="000000"/>
              <w:left w:val="nil"/>
              <w:bottom w:val="nil"/>
              <w:right w:val="nil"/>
            </w:tcBorders>
            <w:shd w:val="clear" w:color="000000" w:fill="FFFFFF"/>
            <w:noWrap/>
            <w:vAlign w:val="bottom"/>
            <w:hideMark/>
          </w:tcPr>
          <w:p w14:paraId="7EC75F79"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1A6A469"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30FE28F0"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21753C08"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298CC544"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14:paraId="18788AB0" w14:textId="77777777" w:rsidR="00AC30DF" w:rsidRPr="009F227C" w:rsidRDefault="00AC30DF" w:rsidP="00AC30DF">
            <w:pPr>
              <w:rPr>
                <w:sz w:val="20"/>
                <w:szCs w:val="20"/>
              </w:rPr>
            </w:pPr>
            <w:r w:rsidRPr="009F227C">
              <w:rPr>
                <w:sz w:val="20"/>
                <w:szCs w:val="20"/>
              </w:rPr>
              <w:t> </w:t>
            </w:r>
          </w:p>
        </w:tc>
      </w:tr>
      <w:tr w:rsidR="00AC30DF" w:rsidRPr="009F227C" w14:paraId="3A13C561"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F2E3A9C"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5B8B5FB1" w14:textId="77777777" w:rsidR="00AC30DF" w:rsidRPr="009F227C" w:rsidRDefault="00AC30DF" w:rsidP="00AC30DF">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0CE2EE3C" w14:textId="77777777" w:rsidR="00AC30DF" w:rsidRPr="009F227C" w:rsidRDefault="00AC30DF" w:rsidP="00AC30DF">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78DA1A9B" w14:textId="77777777" w:rsidR="00AC30DF" w:rsidRPr="009F227C" w:rsidRDefault="00AC30DF" w:rsidP="00AC30DF">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623BAFF5" w14:textId="77777777" w:rsidR="00AC30DF" w:rsidRPr="009F227C" w:rsidRDefault="00AC30DF" w:rsidP="00AC30DF">
            <w:pPr>
              <w:jc w:val="center"/>
              <w:rPr>
                <w:b/>
                <w:bCs/>
                <w:sz w:val="20"/>
                <w:szCs w:val="20"/>
              </w:rPr>
            </w:pPr>
            <w:r w:rsidRPr="009F227C">
              <w:rPr>
                <w:b/>
                <w:bCs/>
                <w:sz w:val="20"/>
                <w:szCs w:val="20"/>
              </w:rPr>
              <w:t>Adjusted</w:t>
            </w:r>
          </w:p>
        </w:tc>
        <w:tc>
          <w:tcPr>
            <w:tcW w:w="1220" w:type="dxa"/>
            <w:tcBorders>
              <w:top w:val="nil"/>
              <w:left w:val="nil"/>
              <w:bottom w:val="nil"/>
              <w:right w:val="nil"/>
            </w:tcBorders>
            <w:shd w:val="clear" w:color="000000" w:fill="FFFFFF"/>
            <w:noWrap/>
            <w:vAlign w:val="bottom"/>
            <w:hideMark/>
          </w:tcPr>
          <w:p w14:paraId="26DA2964" w14:textId="77777777" w:rsidR="00AC30DF" w:rsidRPr="009F227C" w:rsidRDefault="00E2525C" w:rsidP="00E2525C">
            <w:pPr>
              <w:jc w:val="center"/>
              <w:rPr>
                <w:b/>
                <w:bCs/>
                <w:sz w:val="20"/>
                <w:szCs w:val="20"/>
              </w:rPr>
            </w:pPr>
            <w:r w:rsidRPr="009F227C">
              <w:rPr>
                <w:b/>
                <w:bCs/>
                <w:sz w:val="20"/>
                <w:szCs w:val="20"/>
              </w:rPr>
              <w:t>Approved</w:t>
            </w:r>
          </w:p>
        </w:tc>
        <w:tc>
          <w:tcPr>
            <w:tcW w:w="1220" w:type="dxa"/>
            <w:tcBorders>
              <w:top w:val="nil"/>
              <w:left w:val="nil"/>
              <w:bottom w:val="nil"/>
              <w:right w:val="single" w:sz="4" w:space="0" w:color="auto"/>
            </w:tcBorders>
            <w:shd w:val="clear" w:color="000000" w:fill="FFFFFF"/>
            <w:noWrap/>
            <w:vAlign w:val="bottom"/>
            <w:hideMark/>
          </w:tcPr>
          <w:p w14:paraId="1A729D93" w14:textId="77777777" w:rsidR="00AC30DF" w:rsidRPr="009F227C" w:rsidRDefault="00E2525C" w:rsidP="00E2525C">
            <w:pPr>
              <w:jc w:val="center"/>
              <w:rPr>
                <w:b/>
                <w:bCs/>
                <w:sz w:val="20"/>
                <w:szCs w:val="20"/>
              </w:rPr>
            </w:pPr>
            <w:r w:rsidRPr="009F227C">
              <w:rPr>
                <w:b/>
                <w:bCs/>
                <w:sz w:val="20"/>
                <w:szCs w:val="20"/>
              </w:rPr>
              <w:t>Approved</w:t>
            </w:r>
          </w:p>
        </w:tc>
      </w:tr>
      <w:tr w:rsidR="00AC30DF" w:rsidRPr="009F227C" w14:paraId="6139C0E2"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387DDD3"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2E55BB59" w14:textId="77777777" w:rsidR="00AC30DF" w:rsidRPr="009F227C" w:rsidRDefault="00AC30DF" w:rsidP="00AC30DF">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2A011B0D" w14:textId="77777777" w:rsidR="00AC30DF" w:rsidRPr="009F227C" w:rsidRDefault="00AC30DF" w:rsidP="00AC30DF">
            <w:pPr>
              <w:jc w:val="center"/>
              <w:rPr>
                <w:b/>
                <w:bCs/>
                <w:sz w:val="20"/>
                <w:szCs w:val="20"/>
              </w:rPr>
            </w:pPr>
            <w:r w:rsidRPr="009F227C">
              <w:rPr>
                <w:b/>
                <w:bCs/>
                <w:sz w:val="20"/>
                <w:szCs w:val="20"/>
              </w:rPr>
              <w:t>Per</w:t>
            </w:r>
          </w:p>
        </w:tc>
        <w:tc>
          <w:tcPr>
            <w:tcW w:w="1220" w:type="dxa"/>
            <w:tcBorders>
              <w:top w:val="nil"/>
              <w:left w:val="nil"/>
              <w:bottom w:val="nil"/>
              <w:right w:val="nil"/>
            </w:tcBorders>
            <w:shd w:val="clear" w:color="000000" w:fill="FFFFFF"/>
            <w:noWrap/>
            <w:vAlign w:val="bottom"/>
            <w:hideMark/>
          </w:tcPr>
          <w:p w14:paraId="077793C6" w14:textId="77777777" w:rsidR="00AC30DF" w:rsidRPr="009F227C" w:rsidRDefault="00AC30DF" w:rsidP="00AC30DF">
            <w:pPr>
              <w:jc w:val="center"/>
              <w:rPr>
                <w:b/>
                <w:bCs/>
                <w:sz w:val="20"/>
                <w:szCs w:val="20"/>
              </w:rPr>
            </w:pPr>
            <w:r w:rsidRPr="009F227C">
              <w:rPr>
                <w:b/>
                <w:bCs/>
                <w:sz w:val="20"/>
                <w:szCs w:val="20"/>
              </w:rPr>
              <w:t>Adjust-</w:t>
            </w:r>
          </w:p>
        </w:tc>
        <w:tc>
          <w:tcPr>
            <w:tcW w:w="1220" w:type="dxa"/>
            <w:tcBorders>
              <w:top w:val="nil"/>
              <w:left w:val="nil"/>
              <w:bottom w:val="nil"/>
              <w:right w:val="nil"/>
            </w:tcBorders>
            <w:shd w:val="clear" w:color="000000" w:fill="FFFFFF"/>
            <w:noWrap/>
            <w:vAlign w:val="bottom"/>
            <w:hideMark/>
          </w:tcPr>
          <w:p w14:paraId="116CC270" w14:textId="77777777" w:rsidR="00AC30DF" w:rsidRPr="009F227C" w:rsidRDefault="00AC30DF" w:rsidP="00AC30DF">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146BFC4F" w14:textId="77777777" w:rsidR="00AC30DF" w:rsidRPr="009F227C" w:rsidRDefault="00AC30DF" w:rsidP="00AC30DF">
            <w:pPr>
              <w:jc w:val="center"/>
              <w:rPr>
                <w:b/>
                <w:bCs/>
                <w:sz w:val="20"/>
                <w:szCs w:val="20"/>
              </w:rPr>
            </w:pPr>
            <w:r w:rsidRPr="009F227C">
              <w:rPr>
                <w:b/>
                <w:bCs/>
                <w:sz w:val="20"/>
                <w:szCs w:val="20"/>
              </w:rPr>
              <w:t>Adjust-</w:t>
            </w:r>
          </w:p>
        </w:tc>
        <w:tc>
          <w:tcPr>
            <w:tcW w:w="1220" w:type="dxa"/>
            <w:tcBorders>
              <w:top w:val="nil"/>
              <w:left w:val="nil"/>
              <w:bottom w:val="nil"/>
              <w:right w:val="single" w:sz="4" w:space="0" w:color="auto"/>
            </w:tcBorders>
            <w:shd w:val="clear" w:color="000000" w:fill="FFFFFF"/>
            <w:noWrap/>
            <w:vAlign w:val="bottom"/>
            <w:hideMark/>
          </w:tcPr>
          <w:p w14:paraId="0DBB3054" w14:textId="77777777" w:rsidR="00AC30DF" w:rsidRPr="009F227C" w:rsidRDefault="00AC30DF" w:rsidP="00AC30DF">
            <w:pPr>
              <w:jc w:val="center"/>
              <w:rPr>
                <w:b/>
                <w:bCs/>
                <w:sz w:val="20"/>
                <w:szCs w:val="20"/>
              </w:rPr>
            </w:pPr>
            <w:r w:rsidRPr="009F227C">
              <w:rPr>
                <w:b/>
                <w:bCs/>
                <w:sz w:val="20"/>
                <w:szCs w:val="20"/>
              </w:rPr>
              <w:t>Adjusted</w:t>
            </w:r>
          </w:p>
        </w:tc>
      </w:tr>
      <w:tr w:rsidR="00AC30DF" w:rsidRPr="009F227C" w14:paraId="3D5DE579"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FA98B0B"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2648293F" w14:textId="77777777" w:rsidR="00AC30DF" w:rsidRPr="009F227C" w:rsidRDefault="00AC30DF" w:rsidP="00AC30DF">
            <w:pPr>
              <w:jc w:val="center"/>
              <w:rPr>
                <w:b/>
                <w:bCs/>
                <w:sz w:val="20"/>
                <w:szCs w:val="20"/>
              </w:rPr>
            </w:pPr>
            <w:r w:rsidRPr="009F227C">
              <w:rPr>
                <w:b/>
                <w:bCs/>
                <w:sz w:val="20"/>
                <w:szCs w:val="20"/>
              </w:rPr>
              <w:t>Description</w:t>
            </w:r>
          </w:p>
        </w:tc>
        <w:tc>
          <w:tcPr>
            <w:tcW w:w="1220" w:type="dxa"/>
            <w:tcBorders>
              <w:top w:val="nil"/>
              <w:left w:val="nil"/>
              <w:bottom w:val="nil"/>
              <w:right w:val="nil"/>
            </w:tcBorders>
            <w:shd w:val="clear" w:color="000000" w:fill="FFFFFF"/>
            <w:noWrap/>
            <w:vAlign w:val="bottom"/>
            <w:hideMark/>
          </w:tcPr>
          <w:p w14:paraId="3963204B" w14:textId="77777777" w:rsidR="00AC30DF" w:rsidRPr="009F227C" w:rsidRDefault="00AC30DF" w:rsidP="00AC30DF">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2ADA9EE3" w14:textId="77777777" w:rsidR="00AC30DF" w:rsidRPr="009F227C" w:rsidRDefault="00AC30DF" w:rsidP="00AC30DF">
            <w:pPr>
              <w:jc w:val="center"/>
              <w:rPr>
                <w:b/>
                <w:bCs/>
                <w:sz w:val="20"/>
                <w:szCs w:val="20"/>
              </w:rPr>
            </w:pPr>
            <w:r w:rsidRPr="009F227C">
              <w:rPr>
                <w:b/>
                <w:bCs/>
                <w:sz w:val="20"/>
                <w:szCs w:val="20"/>
              </w:rPr>
              <w:t>ments</w:t>
            </w:r>
          </w:p>
        </w:tc>
        <w:tc>
          <w:tcPr>
            <w:tcW w:w="1220" w:type="dxa"/>
            <w:tcBorders>
              <w:top w:val="nil"/>
              <w:left w:val="nil"/>
              <w:bottom w:val="nil"/>
              <w:right w:val="nil"/>
            </w:tcBorders>
            <w:shd w:val="clear" w:color="000000" w:fill="FFFFFF"/>
            <w:noWrap/>
            <w:vAlign w:val="bottom"/>
            <w:hideMark/>
          </w:tcPr>
          <w:p w14:paraId="200E2270" w14:textId="77777777" w:rsidR="00AC30DF" w:rsidRPr="009F227C" w:rsidRDefault="00AC30DF" w:rsidP="00AC30DF">
            <w:pPr>
              <w:jc w:val="center"/>
              <w:rPr>
                <w:b/>
                <w:bCs/>
                <w:sz w:val="20"/>
                <w:szCs w:val="20"/>
              </w:rPr>
            </w:pPr>
            <w:r w:rsidRPr="009F227C">
              <w:rPr>
                <w:b/>
                <w:bCs/>
                <w:sz w:val="20"/>
                <w:szCs w:val="20"/>
              </w:rPr>
              <w:t>Per Utility</w:t>
            </w:r>
          </w:p>
        </w:tc>
        <w:tc>
          <w:tcPr>
            <w:tcW w:w="1220" w:type="dxa"/>
            <w:tcBorders>
              <w:top w:val="nil"/>
              <w:left w:val="nil"/>
              <w:bottom w:val="nil"/>
              <w:right w:val="nil"/>
            </w:tcBorders>
            <w:shd w:val="clear" w:color="000000" w:fill="FFFFFF"/>
            <w:noWrap/>
            <w:vAlign w:val="bottom"/>
            <w:hideMark/>
          </w:tcPr>
          <w:p w14:paraId="594BF076" w14:textId="77777777" w:rsidR="00AC30DF" w:rsidRPr="009F227C" w:rsidRDefault="00AC30DF" w:rsidP="00AC30DF">
            <w:pPr>
              <w:jc w:val="center"/>
              <w:rPr>
                <w:b/>
                <w:bCs/>
                <w:sz w:val="20"/>
                <w:szCs w:val="20"/>
              </w:rPr>
            </w:pPr>
            <w:r w:rsidRPr="009F227C">
              <w:rPr>
                <w:b/>
                <w:bCs/>
                <w:sz w:val="20"/>
                <w:szCs w:val="20"/>
              </w:rPr>
              <w:t>ments</w:t>
            </w:r>
          </w:p>
        </w:tc>
        <w:tc>
          <w:tcPr>
            <w:tcW w:w="1220" w:type="dxa"/>
            <w:tcBorders>
              <w:top w:val="nil"/>
              <w:left w:val="nil"/>
              <w:bottom w:val="nil"/>
              <w:right w:val="single" w:sz="4" w:space="0" w:color="auto"/>
            </w:tcBorders>
            <w:shd w:val="clear" w:color="000000" w:fill="FFFFFF"/>
            <w:noWrap/>
            <w:vAlign w:val="bottom"/>
            <w:hideMark/>
          </w:tcPr>
          <w:p w14:paraId="5154CD89" w14:textId="77777777" w:rsidR="00AC30DF" w:rsidRPr="009F227C" w:rsidRDefault="00AC30DF" w:rsidP="00AC30DF">
            <w:pPr>
              <w:jc w:val="center"/>
              <w:rPr>
                <w:b/>
                <w:bCs/>
                <w:sz w:val="20"/>
                <w:szCs w:val="20"/>
              </w:rPr>
            </w:pPr>
            <w:r w:rsidRPr="009F227C">
              <w:rPr>
                <w:b/>
                <w:bCs/>
                <w:sz w:val="20"/>
                <w:szCs w:val="20"/>
              </w:rPr>
              <w:t>Test Year</w:t>
            </w:r>
          </w:p>
        </w:tc>
      </w:tr>
      <w:tr w:rsidR="00AC30DF" w:rsidRPr="009F227C" w14:paraId="6DFFE0B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6393197"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6B305781"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899CE0D"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F8288A2"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DC0ACB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3AF61C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A468242" w14:textId="77777777" w:rsidR="00AC30DF" w:rsidRPr="009F227C" w:rsidRDefault="00AC30DF" w:rsidP="00AC30DF">
            <w:pPr>
              <w:rPr>
                <w:sz w:val="20"/>
                <w:szCs w:val="20"/>
              </w:rPr>
            </w:pPr>
            <w:r w:rsidRPr="009F227C">
              <w:rPr>
                <w:sz w:val="20"/>
                <w:szCs w:val="20"/>
              </w:rPr>
              <w:t> </w:t>
            </w:r>
          </w:p>
        </w:tc>
      </w:tr>
      <w:tr w:rsidR="00AC30DF" w:rsidRPr="009F227C" w14:paraId="3F6DAC2F" w14:textId="77777777" w:rsidTr="00AC30DF">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0C5D866F" w14:textId="77777777" w:rsidR="00AC30DF" w:rsidRPr="009F227C" w:rsidRDefault="00AC30DF" w:rsidP="00AC30DF">
            <w:pPr>
              <w:rPr>
                <w:sz w:val="20"/>
                <w:szCs w:val="20"/>
              </w:rPr>
            </w:pPr>
            <w:r w:rsidRPr="009F227C">
              <w:rPr>
                <w:sz w:val="20"/>
                <w:szCs w:val="20"/>
              </w:rPr>
              <w:t> </w:t>
            </w:r>
          </w:p>
        </w:tc>
        <w:tc>
          <w:tcPr>
            <w:tcW w:w="3260" w:type="dxa"/>
            <w:tcBorders>
              <w:top w:val="single" w:sz="4" w:space="0" w:color="000000"/>
              <w:left w:val="nil"/>
              <w:bottom w:val="nil"/>
              <w:right w:val="nil"/>
            </w:tcBorders>
            <w:shd w:val="clear" w:color="000000" w:fill="FFFFFF"/>
            <w:noWrap/>
            <w:vAlign w:val="bottom"/>
            <w:hideMark/>
          </w:tcPr>
          <w:p w14:paraId="7AFB06CB"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B409BFA"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8AC6D9B"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19F5BE75"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3985E9B"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14:paraId="07721A75" w14:textId="77777777" w:rsidR="00AC30DF" w:rsidRPr="009F227C" w:rsidRDefault="00AC30DF" w:rsidP="00AC30DF">
            <w:pPr>
              <w:rPr>
                <w:sz w:val="20"/>
                <w:szCs w:val="20"/>
              </w:rPr>
            </w:pPr>
            <w:r w:rsidRPr="009F227C">
              <w:rPr>
                <w:sz w:val="20"/>
                <w:szCs w:val="20"/>
              </w:rPr>
              <w:t> </w:t>
            </w:r>
          </w:p>
        </w:tc>
      </w:tr>
      <w:tr w:rsidR="00AC30DF" w:rsidRPr="009F227C" w14:paraId="44658668"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D734AF5" w14:textId="77777777" w:rsidR="00AC30DF" w:rsidRPr="009F227C" w:rsidRDefault="00AC30DF" w:rsidP="00AC30DF">
            <w:pPr>
              <w:jc w:val="center"/>
              <w:rPr>
                <w:sz w:val="20"/>
                <w:szCs w:val="20"/>
              </w:rPr>
            </w:pPr>
            <w:r w:rsidRPr="009F227C">
              <w:rPr>
                <w:sz w:val="20"/>
                <w:szCs w:val="20"/>
              </w:rPr>
              <w:t>1</w:t>
            </w:r>
          </w:p>
        </w:tc>
        <w:tc>
          <w:tcPr>
            <w:tcW w:w="3260" w:type="dxa"/>
            <w:tcBorders>
              <w:top w:val="nil"/>
              <w:left w:val="nil"/>
              <w:bottom w:val="nil"/>
              <w:right w:val="nil"/>
            </w:tcBorders>
            <w:shd w:val="clear" w:color="000000" w:fill="FFFFFF"/>
            <w:noWrap/>
            <w:vAlign w:val="bottom"/>
            <w:hideMark/>
          </w:tcPr>
          <w:p w14:paraId="7B0F8892" w14:textId="77777777" w:rsidR="00AC30DF" w:rsidRPr="009F227C" w:rsidRDefault="00AC30DF" w:rsidP="00AC30DF">
            <w:pPr>
              <w:rPr>
                <w:sz w:val="20"/>
                <w:szCs w:val="20"/>
              </w:rPr>
            </w:pPr>
            <w:r w:rsidRPr="009F227C">
              <w:rPr>
                <w:sz w:val="20"/>
                <w:szCs w:val="20"/>
              </w:rPr>
              <w:t>Plant in Service</w:t>
            </w:r>
          </w:p>
        </w:tc>
        <w:tc>
          <w:tcPr>
            <w:tcW w:w="1220" w:type="dxa"/>
            <w:tcBorders>
              <w:top w:val="nil"/>
              <w:left w:val="nil"/>
              <w:bottom w:val="nil"/>
              <w:right w:val="nil"/>
            </w:tcBorders>
            <w:shd w:val="clear" w:color="000000" w:fill="FFFFFF"/>
            <w:noWrap/>
            <w:vAlign w:val="bottom"/>
            <w:hideMark/>
          </w:tcPr>
          <w:p w14:paraId="1DF734B7" w14:textId="77777777" w:rsidR="00AC30DF" w:rsidRPr="009F227C" w:rsidRDefault="00AC30DF" w:rsidP="00AC30DF">
            <w:pPr>
              <w:jc w:val="right"/>
              <w:rPr>
                <w:sz w:val="20"/>
                <w:szCs w:val="20"/>
              </w:rPr>
            </w:pPr>
            <w:r w:rsidRPr="009F227C">
              <w:rPr>
                <w:sz w:val="20"/>
                <w:szCs w:val="20"/>
              </w:rPr>
              <w:t>$154,450,166</w:t>
            </w:r>
          </w:p>
        </w:tc>
        <w:tc>
          <w:tcPr>
            <w:tcW w:w="1220" w:type="dxa"/>
            <w:tcBorders>
              <w:top w:val="nil"/>
              <w:left w:val="nil"/>
              <w:bottom w:val="nil"/>
              <w:right w:val="nil"/>
            </w:tcBorders>
            <w:shd w:val="clear" w:color="000000" w:fill="FFFFFF"/>
            <w:noWrap/>
            <w:vAlign w:val="bottom"/>
            <w:hideMark/>
          </w:tcPr>
          <w:p w14:paraId="2FAE04B5" w14:textId="77777777" w:rsidR="00AC30DF" w:rsidRPr="009F227C" w:rsidRDefault="00AC30DF" w:rsidP="00AC30DF">
            <w:pPr>
              <w:jc w:val="right"/>
              <w:rPr>
                <w:sz w:val="20"/>
                <w:szCs w:val="20"/>
              </w:rPr>
            </w:pPr>
            <w:r w:rsidRPr="009F227C">
              <w:rPr>
                <w:sz w:val="20"/>
                <w:szCs w:val="20"/>
              </w:rPr>
              <w:t>$21,500,216</w:t>
            </w:r>
          </w:p>
        </w:tc>
        <w:tc>
          <w:tcPr>
            <w:tcW w:w="1220" w:type="dxa"/>
            <w:tcBorders>
              <w:top w:val="nil"/>
              <w:left w:val="nil"/>
              <w:bottom w:val="nil"/>
              <w:right w:val="nil"/>
            </w:tcBorders>
            <w:shd w:val="clear" w:color="000000" w:fill="FFFFFF"/>
            <w:noWrap/>
            <w:vAlign w:val="bottom"/>
            <w:hideMark/>
          </w:tcPr>
          <w:p w14:paraId="41F75E62" w14:textId="77777777" w:rsidR="00AC30DF" w:rsidRPr="009F227C" w:rsidRDefault="00AC30DF" w:rsidP="00AC30DF">
            <w:pPr>
              <w:jc w:val="right"/>
              <w:rPr>
                <w:sz w:val="20"/>
                <w:szCs w:val="20"/>
              </w:rPr>
            </w:pPr>
            <w:r w:rsidRPr="009F227C">
              <w:rPr>
                <w:sz w:val="20"/>
                <w:szCs w:val="20"/>
              </w:rPr>
              <w:t>$175,950,382</w:t>
            </w:r>
          </w:p>
        </w:tc>
        <w:tc>
          <w:tcPr>
            <w:tcW w:w="1220" w:type="dxa"/>
            <w:tcBorders>
              <w:top w:val="nil"/>
              <w:left w:val="nil"/>
              <w:bottom w:val="nil"/>
              <w:right w:val="nil"/>
            </w:tcBorders>
            <w:shd w:val="clear" w:color="000000" w:fill="FFFFFF"/>
            <w:noWrap/>
            <w:vAlign w:val="bottom"/>
            <w:hideMark/>
          </w:tcPr>
          <w:p w14:paraId="49ECAC25" w14:textId="77777777" w:rsidR="00AC30DF" w:rsidRPr="009F227C" w:rsidRDefault="00AC30DF" w:rsidP="00AC30DF">
            <w:pPr>
              <w:jc w:val="right"/>
              <w:rPr>
                <w:sz w:val="20"/>
                <w:szCs w:val="20"/>
              </w:rPr>
            </w:pPr>
            <w:r w:rsidRPr="009F227C">
              <w:rPr>
                <w:sz w:val="20"/>
                <w:szCs w:val="20"/>
              </w:rPr>
              <w:t>$2,246,605</w:t>
            </w:r>
          </w:p>
        </w:tc>
        <w:tc>
          <w:tcPr>
            <w:tcW w:w="1220" w:type="dxa"/>
            <w:tcBorders>
              <w:top w:val="nil"/>
              <w:left w:val="nil"/>
              <w:bottom w:val="nil"/>
              <w:right w:val="single" w:sz="4" w:space="0" w:color="auto"/>
            </w:tcBorders>
            <w:shd w:val="clear" w:color="000000" w:fill="FFFFFF"/>
            <w:noWrap/>
            <w:vAlign w:val="bottom"/>
            <w:hideMark/>
          </w:tcPr>
          <w:p w14:paraId="1794D96A" w14:textId="77777777" w:rsidR="00AC30DF" w:rsidRPr="009F227C" w:rsidRDefault="00AC30DF" w:rsidP="00AC30DF">
            <w:pPr>
              <w:jc w:val="right"/>
              <w:rPr>
                <w:sz w:val="20"/>
                <w:szCs w:val="20"/>
              </w:rPr>
            </w:pPr>
            <w:r w:rsidRPr="009F227C">
              <w:rPr>
                <w:sz w:val="20"/>
                <w:szCs w:val="20"/>
              </w:rPr>
              <w:t>$178,196,987</w:t>
            </w:r>
          </w:p>
        </w:tc>
      </w:tr>
      <w:tr w:rsidR="00AC30DF" w:rsidRPr="009F227C" w14:paraId="0E8436E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5E227E4"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5020FCB7"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1C8BDCBD"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C9FF37C"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F4CB80F"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D3DF36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6CAEF1EE" w14:textId="77777777" w:rsidR="00AC30DF" w:rsidRPr="009F227C" w:rsidRDefault="00AC30DF" w:rsidP="00AC30DF">
            <w:pPr>
              <w:rPr>
                <w:sz w:val="20"/>
                <w:szCs w:val="20"/>
              </w:rPr>
            </w:pPr>
            <w:r w:rsidRPr="009F227C">
              <w:rPr>
                <w:sz w:val="20"/>
                <w:szCs w:val="20"/>
              </w:rPr>
              <w:t> </w:t>
            </w:r>
          </w:p>
        </w:tc>
      </w:tr>
      <w:tr w:rsidR="00AC30DF" w:rsidRPr="009F227C" w14:paraId="5BD2A0BD"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13B87CD" w14:textId="77777777" w:rsidR="00AC30DF" w:rsidRPr="009F227C" w:rsidRDefault="00AC30DF" w:rsidP="00AC30DF">
            <w:pPr>
              <w:jc w:val="center"/>
              <w:rPr>
                <w:sz w:val="20"/>
                <w:szCs w:val="20"/>
              </w:rPr>
            </w:pPr>
            <w:r w:rsidRPr="009F227C">
              <w:rPr>
                <w:sz w:val="20"/>
                <w:szCs w:val="20"/>
              </w:rPr>
              <w:t>2</w:t>
            </w:r>
          </w:p>
        </w:tc>
        <w:tc>
          <w:tcPr>
            <w:tcW w:w="3260" w:type="dxa"/>
            <w:tcBorders>
              <w:top w:val="nil"/>
              <w:left w:val="nil"/>
              <w:bottom w:val="nil"/>
              <w:right w:val="nil"/>
            </w:tcBorders>
            <w:shd w:val="clear" w:color="000000" w:fill="FFFFFF"/>
            <w:noWrap/>
            <w:vAlign w:val="bottom"/>
            <w:hideMark/>
          </w:tcPr>
          <w:p w14:paraId="63D58050" w14:textId="77777777" w:rsidR="00AC30DF" w:rsidRPr="009F227C" w:rsidRDefault="00AC30DF" w:rsidP="00AC30DF">
            <w:pPr>
              <w:rPr>
                <w:sz w:val="20"/>
                <w:szCs w:val="20"/>
              </w:rPr>
            </w:pPr>
            <w:r w:rsidRPr="009F227C">
              <w:rPr>
                <w:sz w:val="20"/>
                <w:szCs w:val="20"/>
              </w:rPr>
              <w:t>Land and Land Rights</w:t>
            </w:r>
          </w:p>
        </w:tc>
        <w:tc>
          <w:tcPr>
            <w:tcW w:w="1220" w:type="dxa"/>
            <w:tcBorders>
              <w:top w:val="nil"/>
              <w:left w:val="nil"/>
              <w:bottom w:val="nil"/>
              <w:right w:val="nil"/>
            </w:tcBorders>
            <w:shd w:val="clear" w:color="000000" w:fill="FFFFFF"/>
            <w:noWrap/>
            <w:vAlign w:val="bottom"/>
            <w:hideMark/>
          </w:tcPr>
          <w:p w14:paraId="10A869CA" w14:textId="77777777" w:rsidR="00AC30DF" w:rsidRPr="009F227C" w:rsidRDefault="00AC30DF" w:rsidP="00AC30DF">
            <w:pPr>
              <w:jc w:val="right"/>
              <w:rPr>
                <w:sz w:val="20"/>
                <w:szCs w:val="20"/>
              </w:rPr>
            </w:pPr>
            <w:r w:rsidRPr="009F227C">
              <w:rPr>
                <w:sz w:val="20"/>
                <w:szCs w:val="20"/>
              </w:rPr>
              <w:t xml:space="preserve">345,317 </w:t>
            </w:r>
          </w:p>
        </w:tc>
        <w:tc>
          <w:tcPr>
            <w:tcW w:w="1220" w:type="dxa"/>
            <w:tcBorders>
              <w:top w:val="nil"/>
              <w:left w:val="nil"/>
              <w:bottom w:val="nil"/>
              <w:right w:val="nil"/>
            </w:tcBorders>
            <w:shd w:val="clear" w:color="000000" w:fill="FFFFFF"/>
            <w:noWrap/>
            <w:vAlign w:val="bottom"/>
            <w:hideMark/>
          </w:tcPr>
          <w:p w14:paraId="27EF1877" w14:textId="77777777" w:rsidR="00AC30DF" w:rsidRPr="009F227C" w:rsidRDefault="00AC30DF" w:rsidP="00AC30DF">
            <w:pPr>
              <w:jc w:val="right"/>
              <w:rPr>
                <w:sz w:val="20"/>
                <w:szCs w:val="20"/>
              </w:rPr>
            </w:pPr>
            <w:r w:rsidRPr="009F227C">
              <w:rPr>
                <w:sz w:val="20"/>
                <w:szCs w:val="20"/>
              </w:rPr>
              <w:t>(46,750)</w:t>
            </w:r>
          </w:p>
        </w:tc>
        <w:tc>
          <w:tcPr>
            <w:tcW w:w="1220" w:type="dxa"/>
            <w:tcBorders>
              <w:top w:val="nil"/>
              <w:left w:val="nil"/>
              <w:bottom w:val="nil"/>
              <w:right w:val="nil"/>
            </w:tcBorders>
            <w:shd w:val="clear" w:color="000000" w:fill="FFFFFF"/>
            <w:noWrap/>
            <w:vAlign w:val="bottom"/>
            <w:hideMark/>
          </w:tcPr>
          <w:p w14:paraId="1A8A5BE8" w14:textId="77777777" w:rsidR="00AC30DF" w:rsidRPr="009F227C" w:rsidRDefault="00AC30DF" w:rsidP="00AC30DF">
            <w:pPr>
              <w:jc w:val="right"/>
              <w:rPr>
                <w:sz w:val="20"/>
                <w:szCs w:val="20"/>
              </w:rPr>
            </w:pPr>
            <w:r w:rsidRPr="009F227C">
              <w:rPr>
                <w:sz w:val="20"/>
                <w:szCs w:val="20"/>
              </w:rPr>
              <w:t xml:space="preserve">298,567 </w:t>
            </w:r>
          </w:p>
        </w:tc>
        <w:tc>
          <w:tcPr>
            <w:tcW w:w="1220" w:type="dxa"/>
            <w:tcBorders>
              <w:top w:val="nil"/>
              <w:left w:val="nil"/>
              <w:bottom w:val="nil"/>
              <w:right w:val="nil"/>
            </w:tcBorders>
            <w:shd w:val="clear" w:color="000000" w:fill="FFFFFF"/>
            <w:noWrap/>
            <w:vAlign w:val="bottom"/>
            <w:hideMark/>
          </w:tcPr>
          <w:p w14:paraId="48F4A27B" w14:textId="77777777" w:rsidR="00AC30DF" w:rsidRPr="009F227C" w:rsidRDefault="00AC30DF" w:rsidP="00AC30DF">
            <w:pPr>
              <w:jc w:val="right"/>
              <w:rPr>
                <w:sz w:val="20"/>
                <w:szCs w:val="20"/>
              </w:rPr>
            </w:pPr>
            <w:r w:rsidRPr="009F227C">
              <w:rPr>
                <w:sz w:val="20"/>
                <w:szCs w:val="20"/>
              </w:rPr>
              <w:t>(29,570)</w:t>
            </w:r>
          </w:p>
        </w:tc>
        <w:tc>
          <w:tcPr>
            <w:tcW w:w="1220" w:type="dxa"/>
            <w:tcBorders>
              <w:top w:val="nil"/>
              <w:left w:val="nil"/>
              <w:bottom w:val="nil"/>
              <w:right w:val="single" w:sz="4" w:space="0" w:color="auto"/>
            </w:tcBorders>
            <w:shd w:val="clear" w:color="000000" w:fill="FFFFFF"/>
            <w:noWrap/>
            <w:vAlign w:val="bottom"/>
            <w:hideMark/>
          </w:tcPr>
          <w:p w14:paraId="6C0A224C" w14:textId="77777777" w:rsidR="00AC30DF" w:rsidRPr="009F227C" w:rsidRDefault="00AC30DF" w:rsidP="00AC30DF">
            <w:pPr>
              <w:jc w:val="right"/>
              <w:rPr>
                <w:sz w:val="20"/>
                <w:szCs w:val="20"/>
              </w:rPr>
            </w:pPr>
            <w:r w:rsidRPr="009F227C">
              <w:rPr>
                <w:sz w:val="20"/>
                <w:szCs w:val="20"/>
              </w:rPr>
              <w:t xml:space="preserve">268,997 </w:t>
            </w:r>
          </w:p>
        </w:tc>
      </w:tr>
      <w:tr w:rsidR="00AC30DF" w:rsidRPr="009F227C" w14:paraId="779571A4"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A6D587D"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0FE8877C"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66A24BE1"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B45DA8A"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1DDDE3D"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7A3989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5A227954" w14:textId="77777777" w:rsidR="00AC30DF" w:rsidRPr="009F227C" w:rsidRDefault="00AC30DF" w:rsidP="00AC30DF">
            <w:pPr>
              <w:rPr>
                <w:sz w:val="20"/>
                <w:szCs w:val="20"/>
              </w:rPr>
            </w:pPr>
            <w:r w:rsidRPr="009F227C">
              <w:rPr>
                <w:sz w:val="20"/>
                <w:szCs w:val="20"/>
              </w:rPr>
              <w:t> </w:t>
            </w:r>
          </w:p>
        </w:tc>
      </w:tr>
      <w:tr w:rsidR="00AC30DF" w:rsidRPr="009F227C" w14:paraId="03D401D0"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B359086" w14:textId="77777777" w:rsidR="00AC30DF" w:rsidRPr="009F227C" w:rsidRDefault="00AC30DF" w:rsidP="00AC30DF">
            <w:pPr>
              <w:jc w:val="center"/>
              <w:rPr>
                <w:sz w:val="20"/>
                <w:szCs w:val="20"/>
              </w:rPr>
            </w:pPr>
            <w:r w:rsidRPr="009F227C">
              <w:rPr>
                <w:sz w:val="20"/>
                <w:szCs w:val="20"/>
              </w:rPr>
              <w:t>3</w:t>
            </w:r>
          </w:p>
        </w:tc>
        <w:tc>
          <w:tcPr>
            <w:tcW w:w="3260" w:type="dxa"/>
            <w:tcBorders>
              <w:top w:val="nil"/>
              <w:left w:val="nil"/>
              <w:bottom w:val="nil"/>
              <w:right w:val="nil"/>
            </w:tcBorders>
            <w:shd w:val="clear" w:color="000000" w:fill="FFFFFF"/>
            <w:noWrap/>
            <w:vAlign w:val="bottom"/>
            <w:hideMark/>
          </w:tcPr>
          <w:p w14:paraId="10F6268B" w14:textId="77777777" w:rsidR="00AC30DF" w:rsidRPr="009F227C" w:rsidRDefault="00AC30DF" w:rsidP="00AC30DF">
            <w:pPr>
              <w:rPr>
                <w:sz w:val="20"/>
                <w:szCs w:val="20"/>
              </w:rPr>
            </w:pPr>
            <w:r w:rsidRPr="009F227C">
              <w:rPr>
                <w:sz w:val="20"/>
                <w:szCs w:val="20"/>
              </w:rPr>
              <w:t>Non-used and Useful Components</w:t>
            </w:r>
          </w:p>
        </w:tc>
        <w:tc>
          <w:tcPr>
            <w:tcW w:w="1220" w:type="dxa"/>
            <w:tcBorders>
              <w:top w:val="nil"/>
              <w:left w:val="nil"/>
              <w:bottom w:val="nil"/>
              <w:right w:val="nil"/>
            </w:tcBorders>
            <w:shd w:val="clear" w:color="000000" w:fill="FFFFFF"/>
            <w:noWrap/>
            <w:vAlign w:val="bottom"/>
            <w:hideMark/>
          </w:tcPr>
          <w:p w14:paraId="4E316F5F"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598A7749"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300F1B50"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4E97A633"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14:paraId="2ACFE013" w14:textId="77777777" w:rsidR="00AC30DF" w:rsidRPr="009F227C" w:rsidRDefault="00AC30DF" w:rsidP="00AC30DF">
            <w:pPr>
              <w:jc w:val="right"/>
              <w:rPr>
                <w:sz w:val="20"/>
                <w:szCs w:val="20"/>
              </w:rPr>
            </w:pPr>
            <w:r w:rsidRPr="009F227C">
              <w:rPr>
                <w:sz w:val="20"/>
                <w:szCs w:val="20"/>
              </w:rPr>
              <w:t xml:space="preserve">0 </w:t>
            </w:r>
          </w:p>
        </w:tc>
      </w:tr>
      <w:tr w:rsidR="00AC30DF" w:rsidRPr="009F227C" w14:paraId="12AC4284"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75631EB"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40C60EC4"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09313B91"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0C6CC4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5982FF1"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A73EA1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BE887BE" w14:textId="77777777" w:rsidR="00AC30DF" w:rsidRPr="009F227C" w:rsidRDefault="00AC30DF" w:rsidP="00AC30DF">
            <w:pPr>
              <w:rPr>
                <w:sz w:val="20"/>
                <w:szCs w:val="20"/>
              </w:rPr>
            </w:pPr>
            <w:r w:rsidRPr="009F227C">
              <w:rPr>
                <w:sz w:val="20"/>
                <w:szCs w:val="20"/>
              </w:rPr>
              <w:t> </w:t>
            </w:r>
          </w:p>
        </w:tc>
      </w:tr>
      <w:tr w:rsidR="00AC30DF" w:rsidRPr="009F227C" w14:paraId="4405A048"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5808828" w14:textId="77777777" w:rsidR="00AC30DF" w:rsidRPr="009F227C" w:rsidRDefault="00AC30DF" w:rsidP="00AC30DF">
            <w:pPr>
              <w:jc w:val="center"/>
              <w:rPr>
                <w:sz w:val="20"/>
                <w:szCs w:val="20"/>
              </w:rPr>
            </w:pPr>
            <w:r w:rsidRPr="009F227C">
              <w:rPr>
                <w:sz w:val="20"/>
                <w:szCs w:val="20"/>
              </w:rPr>
              <w:t>4</w:t>
            </w:r>
          </w:p>
        </w:tc>
        <w:tc>
          <w:tcPr>
            <w:tcW w:w="3260" w:type="dxa"/>
            <w:tcBorders>
              <w:top w:val="nil"/>
              <w:left w:val="nil"/>
              <w:bottom w:val="nil"/>
              <w:right w:val="nil"/>
            </w:tcBorders>
            <w:shd w:val="clear" w:color="000000" w:fill="FFFFFF"/>
            <w:noWrap/>
            <w:vAlign w:val="bottom"/>
            <w:hideMark/>
          </w:tcPr>
          <w:p w14:paraId="5EF46E4D" w14:textId="77777777" w:rsidR="00AC30DF" w:rsidRPr="009F227C" w:rsidRDefault="00AC30DF" w:rsidP="00AC30DF">
            <w:pPr>
              <w:rPr>
                <w:sz w:val="20"/>
                <w:szCs w:val="20"/>
              </w:rPr>
            </w:pPr>
            <w:r w:rsidRPr="009F227C">
              <w:rPr>
                <w:sz w:val="20"/>
                <w:szCs w:val="20"/>
              </w:rPr>
              <w:t>Construction Work in Progress</w:t>
            </w:r>
          </w:p>
        </w:tc>
        <w:tc>
          <w:tcPr>
            <w:tcW w:w="1220" w:type="dxa"/>
            <w:tcBorders>
              <w:top w:val="nil"/>
              <w:left w:val="nil"/>
              <w:bottom w:val="nil"/>
              <w:right w:val="nil"/>
            </w:tcBorders>
            <w:shd w:val="clear" w:color="000000" w:fill="FFFFFF"/>
            <w:noWrap/>
            <w:vAlign w:val="bottom"/>
            <w:hideMark/>
          </w:tcPr>
          <w:p w14:paraId="62385EE8" w14:textId="77777777" w:rsidR="00AC30DF" w:rsidRPr="009F227C" w:rsidRDefault="00AC30DF" w:rsidP="00AC30DF">
            <w:pPr>
              <w:jc w:val="right"/>
              <w:rPr>
                <w:sz w:val="20"/>
                <w:szCs w:val="20"/>
              </w:rPr>
            </w:pPr>
            <w:r w:rsidRPr="009F227C">
              <w:rPr>
                <w:sz w:val="20"/>
                <w:szCs w:val="20"/>
              </w:rPr>
              <w:t xml:space="preserve">10,702,753 </w:t>
            </w:r>
          </w:p>
        </w:tc>
        <w:tc>
          <w:tcPr>
            <w:tcW w:w="1220" w:type="dxa"/>
            <w:tcBorders>
              <w:top w:val="nil"/>
              <w:left w:val="nil"/>
              <w:bottom w:val="nil"/>
              <w:right w:val="nil"/>
            </w:tcBorders>
            <w:shd w:val="clear" w:color="000000" w:fill="FFFFFF"/>
            <w:noWrap/>
            <w:vAlign w:val="bottom"/>
            <w:hideMark/>
          </w:tcPr>
          <w:p w14:paraId="279DC971" w14:textId="77777777" w:rsidR="00AC30DF" w:rsidRPr="009F227C" w:rsidRDefault="00AC30DF" w:rsidP="00AC30DF">
            <w:pPr>
              <w:jc w:val="right"/>
              <w:rPr>
                <w:sz w:val="20"/>
                <w:szCs w:val="20"/>
              </w:rPr>
            </w:pPr>
            <w:r w:rsidRPr="009F227C">
              <w:rPr>
                <w:sz w:val="20"/>
                <w:szCs w:val="20"/>
              </w:rPr>
              <w:t>(10,702,753)</w:t>
            </w:r>
          </w:p>
        </w:tc>
        <w:tc>
          <w:tcPr>
            <w:tcW w:w="1220" w:type="dxa"/>
            <w:tcBorders>
              <w:top w:val="nil"/>
              <w:left w:val="nil"/>
              <w:bottom w:val="nil"/>
              <w:right w:val="nil"/>
            </w:tcBorders>
            <w:shd w:val="clear" w:color="000000" w:fill="FFFFFF"/>
            <w:noWrap/>
            <w:vAlign w:val="bottom"/>
            <w:hideMark/>
          </w:tcPr>
          <w:p w14:paraId="6B45C1C0"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6E26CA73"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14:paraId="6131869A" w14:textId="77777777" w:rsidR="00AC30DF" w:rsidRPr="009F227C" w:rsidRDefault="00AC30DF" w:rsidP="00AC30DF">
            <w:pPr>
              <w:rPr>
                <w:sz w:val="20"/>
                <w:szCs w:val="20"/>
              </w:rPr>
            </w:pPr>
            <w:r w:rsidRPr="009F227C">
              <w:rPr>
                <w:sz w:val="20"/>
                <w:szCs w:val="20"/>
              </w:rPr>
              <w:t> </w:t>
            </w:r>
          </w:p>
        </w:tc>
      </w:tr>
      <w:tr w:rsidR="00AC30DF" w:rsidRPr="009F227C" w14:paraId="26AA31B5"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6E2B7EF"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62B71421"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248C1AB2"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DE8D6F0"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88A7879"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33C982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56A58347" w14:textId="77777777" w:rsidR="00AC30DF" w:rsidRPr="009F227C" w:rsidRDefault="00AC30DF" w:rsidP="00AC30DF">
            <w:pPr>
              <w:rPr>
                <w:sz w:val="20"/>
                <w:szCs w:val="20"/>
              </w:rPr>
            </w:pPr>
            <w:r w:rsidRPr="009F227C">
              <w:rPr>
                <w:sz w:val="20"/>
                <w:szCs w:val="20"/>
              </w:rPr>
              <w:t> </w:t>
            </w:r>
          </w:p>
        </w:tc>
      </w:tr>
      <w:tr w:rsidR="00AC30DF" w:rsidRPr="009F227C" w14:paraId="778B97CF"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A41AA58" w14:textId="77777777" w:rsidR="00AC30DF" w:rsidRPr="009F227C" w:rsidRDefault="00AC30DF" w:rsidP="00AC30DF">
            <w:pPr>
              <w:jc w:val="center"/>
              <w:rPr>
                <w:sz w:val="20"/>
                <w:szCs w:val="20"/>
              </w:rPr>
            </w:pPr>
            <w:r w:rsidRPr="009F227C">
              <w:rPr>
                <w:sz w:val="20"/>
                <w:szCs w:val="20"/>
              </w:rPr>
              <w:t>5</w:t>
            </w:r>
          </w:p>
        </w:tc>
        <w:tc>
          <w:tcPr>
            <w:tcW w:w="3260" w:type="dxa"/>
            <w:tcBorders>
              <w:top w:val="nil"/>
              <w:left w:val="nil"/>
              <w:bottom w:val="nil"/>
              <w:right w:val="nil"/>
            </w:tcBorders>
            <w:shd w:val="clear" w:color="000000" w:fill="FFFFFF"/>
            <w:noWrap/>
            <w:vAlign w:val="bottom"/>
            <w:hideMark/>
          </w:tcPr>
          <w:p w14:paraId="7430D7A5" w14:textId="77777777" w:rsidR="00AC30DF" w:rsidRPr="009F227C" w:rsidRDefault="00AC30DF" w:rsidP="00AC30DF">
            <w:pPr>
              <w:rPr>
                <w:sz w:val="20"/>
                <w:szCs w:val="20"/>
              </w:rPr>
            </w:pPr>
            <w:r w:rsidRPr="009F227C">
              <w:rPr>
                <w:sz w:val="20"/>
                <w:szCs w:val="20"/>
              </w:rPr>
              <w:t>Accumulated Depreciation</w:t>
            </w:r>
          </w:p>
        </w:tc>
        <w:tc>
          <w:tcPr>
            <w:tcW w:w="1220" w:type="dxa"/>
            <w:tcBorders>
              <w:top w:val="nil"/>
              <w:left w:val="nil"/>
              <w:bottom w:val="nil"/>
              <w:right w:val="nil"/>
            </w:tcBorders>
            <w:shd w:val="clear" w:color="000000" w:fill="FFFFFF"/>
            <w:noWrap/>
            <w:vAlign w:val="bottom"/>
            <w:hideMark/>
          </w:tcPr>
          <w:p w14:paraId="10CDC171" w14:textId="77777777" w:rsidR="00AC30DF" w:rsidRPr="009F227C" w:rsidRDefault="00AC30DF" w:rsidP="00AC30DF">
            <w:pPr>
              <w:jc w:val="right"/>
              <w:rPr>
                <w:sz w:val="20"/>
                <w:szCs w:val="20"/>
              </w:rPr>
            </w:pPr>
            <w:r w:rsidRPr="009F227C">
              <w:rPr>
                <w:sz w:val="20"/>
                <w:szCs w:val="20"/>
              </w:rPr>
              <w:t>(72,724,166)</w:t>
            </w:r>
          </w:p>
        </w:tc>
        <w:tc>
          <w:tcPr>
            <w:tcW w:w="1220" w:type="dxa"/>
            <w:tcBorders>
              <w:top w:val="nil"/>
              <w:left w:val="nil"/>
              <w:bottom w:val="nil"/>
              <w:right w:val="nil"/>
            </w:tcBorders>
            <w:shd w:val="clear" w:color="000000" w:fill="FFFFFF"/>
            <w:noWrap/>
            <w:vAlign w:val="bottom"/>
            <w:hideMark/>
          </w:tcPr>
          <w:p w14:paraId="4082C020" w14:textId="77777777" w:rsidR="00AC30DF" w:rsidRPr="009F227C" w:rsidRDefault="00AC30DF" w:rsidP="00AC30DF">
            <w:pPr>
              <w:jc w:val="right"/>
              <w:rPr>
                <w:sz w:val="20"/>
                <w:szCs w:val="20"/>
              </w:rPr>
            </w:pPr>
            <w:r w:rsidRPr="009F227C">
              <w:rPr>
                <w:sz w:val="20"/>
                <w:szCs w:val="20"/>
              </w:rPr>
              <w:t xml:space="preserve">10,253,994 </w:t>
            </w:r>
          </w:p>
        </w:tc>
        <w:tc>
          <w:tcPr>
            <w:tcW w:w="1220" w:type="dxa"/>
            <w:tcBorders>
              <w:top w:val="nil"/>
              <w:left w:val="nil"/>
              <w:bottom w:val="nil"/>
              <w:right w:val="nil"/>
            </w:tcBorders>
            <w:shd w:val="clear" w:color="000000" w:fill="FFFFFF"/>
            <w:noWrap/>
            <w:vAlign w:val="bottom"/>
            <w:hideMark/>
          </w:tcPr>
          <w:p w14:paraId="73116EAD" w14:textId="77777777" w:rsidR="00AC30DF" w:rsidRPr="009F227C" w:rsidRDefault="00AC30DF" w:rsidP="00AC30DF">
            <w:pPr>
              <w:jc w:val="right"/>
              <w:rPr>
                <w:sz w:val="20"/>
                <w:szCs w:val="20"/>
              </w:rPr>
            </w:pPr>
            <w:r w:rsidRPr="009F227C">
              <w:rPr>
                <w:sz w:val="20"/>
                <w:szCs w:val="20"/>
              </w:rPr>
              <w:t>(62,470,172)</w:t>
            </w:r>
          </w:p>
        </w:tc>
        <w:tc>
          <w:tcPr>
            <w:tcW w:w="1220" w:type="dxa"/>
            <w:tcBorders>
              <w:top w:val="nil"/>
              <w:left w:val="nil"/>
              <w:bottom w:val="nil"/>
              <w:right w:val="nil"/>
            </w:tcBorders>
            <w:shd w:val="clear" w:color="000000" w:fill="FFFFFF"/>
            <w:noWrap/>
            <w:vAlign w:val="bottom"/>
            <w:hideMark/>
          </w:tcPr>
          <w:p w14:paraId="7ECFE7FE" w14:textId="77777777" w:rsidR="00AC30DF" w:rsidRPr="009F227C" w:rsidRDefault="00AC30DF" w:rsidP="00AC30DF">
            <w:pPr>
              <w:jc w:val="right"/>
              <w:rPr>
                <w:sz w:val="20"/>
                <w:szCs w:val="20"/>
              </w:rPr>
            </w:pPr>
            <w:r w:rsidRPr="009F227C">
              <w:rPr>
                <w:sz w:val="20"/>
                <w:szCs w:val="20"/>
              </w:rPr>
              <w:t xml:space="preserve">513,318 </w:t>
            </w:r>
          </w:p>
        </w:tc>
        <w:tc>
          <w:tcPr>
            <w:tcW w:w="1220" w:type="dxa"/>
            <w:tcBorders>
              <w:top w:val="nil"/>
              <w:left w:val="nil"/>
              <w:bottom w:val="nil"/>
              <w:right w:val="single" w:sz="4" w:space="0" w:color="auto"/>
            </w:tcBorders>
            <w:shd w:val="clear" w:color="000000" w:fill="FFFFFF"/>
            <w:noWrap/>
            <w:vAlign w:val="bottom"/>
            <w:hideMark/>
          </w:tcPr>
          <w:p w14:paraId="0903F2F0" w14:textId="77777777" w:rsidR="00AC30DF" w:rsidRPr="009F227C" w:rsidRDefault="00AC30DF" w:rsidP="00AC30DF">
            <w:pPr>
              <w:jc w:val="right"/>
              <w:rPr>
                <w:sz w:val="20"/>
                <w:szCs w:val="20"/>
              </w:rPr>
            </w:pPr>
            <w:r w:rsidRPr="009F227C">
              <w:rPr>
                <w:sz w:val="20"/>
                <w:szCs w:val="20"/>
              </w:rPr>
              <w:t>(61,956,854)</w:t>
            </w:r>
          </w:p>
        </w:tc>
      </w:tr>
      <w:tr w:rsidR="00AC30DF" w:rsidRPr="009F227C" w14:paraId="269A66D9"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14BCA00"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139127C3"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42AF1B70"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2BC68FC"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114687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6F8335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1AD63420" w14:textId="77777777" w:rsidR="00AC30DF" w:rsidRPr="009F227C" w:rsidRDefault="00AC30DF" w:rsidP="00AC30DF">
            <w:pPr>
              <w:rPr>
                <w:sz w:val="20"/>
                <w:szCs w:val="20"/>
              </w:rPr>
            </w:pPr>
            <w:r w:rsidRPr="009F227C">
              <w:rPr>
                <w:sz w:val="20"/>
                <w:szCs w:val="20"/>
              </w:rPr>
              <w:t> </w:t>
            </w:r>
          </w:p>
        </w:tc>
      </w:tr>
      <w:tr w:rsidR="00AC30DF" w:rsidRPr="009F227C" w14:paraId="54EFE9A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C6867A8" w14:textId="77777777" w:rsidR="00AC30DF" w:rsidRPr="009F227C" w:rsidRDefault="00AC30DF" w:rsidP="00AC30DF">
            <w:pPr>
              <w:jc w:val="center"/>
              <w:rPr>
                <w:sz w:val="20"/>
                <w:szCs w:val="20"/>
              </w:rPr>
            </w:pPr>
            <w:r w:rsidRPr="009F227C">
              <w:rPr>
                <w:sz w:val="20"/>
                <w:szCs w:val="20"/>
              </w:rPr>
              <w:t>6</w:t>
            </w:r>
          </w:p>
        </w:tc>
        <w:tc>
          <w:tcPr>
            <w:tcW w:w="3260" w:type="dxa"/>
            <w:tcBorders>
              <w:top w:val="nil"/>
              <w:left w:val="nil"/>
              <w:bottom w:val="nil"/>
              <w:right w:val="nil"/>
            </w:tcBorders>
            <w:shd w:val="clear" w:color="000000" w:fill="FFFFFF"/>
            <w:noWrap/>
            <w:vAlign w:val="bottom"/>
            <w:hideMark/>
          </w:tcPr>
          <w:p w14:paraId="1C5D3CD3" w14:textId="77777777" w:rsidR="00AC30DF" w:rsidRPr="009F227C" w:rsidRDefault="00AC30DF" w:rsidP="00AC30DF">
            <w:pPr>
              <w:rPr>
                <w:sz w:val="20"/>
                <w:szCs w:val="20"/>
              </w:rPr>
            </w:pPr>
            <w:r w:rsidRPr="009F227C">
              <w:rPr>
                <w:sz w:val="20"/>
                <w:szCs w:val="20"/>
              </w:rPr>
              <w:t>CIAC</w:t>
            </w:r>
          </w:p>
        </w:tc>
        <w:tc>
          <w:tcPr>
            <w:tcW w:w="1220" w:type="dxa"/>
            <w:tcBorders>
              <w:top w:val="nil"/>
              <w:left w:val="nil"/>
              <w:bottom w:val="nil"/>
              <w:right w:val="nil"/>
            </w:tcBorders>
            <w:shd w:val="clear" w:color="000000" w:fill="FFFFFF"/>
            <w:noWrap/>
            <w:vAlign w:val="bottom"/>
            <w:hideMark/>
          </w:tcPr>
          <w:p w14:paraId="3FF3253F" w14:textId="77777777" w:rsidR="00AC30DF" w:rsidRPr="009F227C" w:rsidRDefault="00AC30DF" w:rsidP="00AC30DF">
            <w:pPr>
              <w:jc w:val="right"/>
              <w:rPr>
                <w:sz w:val="20"/>
                <w:szCs w:val="20"/>
              </w:rPr>
            </w:pPr>
            <w:r w:rsidRPr="009F227C">
              <w:rPr>
                <w:sz w:val="20"/>
                <w:szCs w:val="20"/>
              </w:rPr>
              <w:t>(64,533,345)</w:t>
            </w:r>
          </w:p>
        </w:tc>
        <w:tc>
          <w:tcPr>
            <w:tcW w:w="1220" w:type="dxa"/>
            <w:tcBorders>
              <w:top w:val="nil"/>
              <w:left w:val="nil"/>
              <w:bottom w:val="nil"/>
              <w:right w:val="nil"/>
            </w:tcBorders>
            <w:shd w:val="clear" w:color="000000" w:fill="FFFFFF"/>
            <w:noWrap/>
            <w:vAlign w:val="bottom"/>
            <w:hideMark/>
          </w:tcPr>
          <w:p w14:paraId="6DE8BD5F" w14:textId="77777777" w:rsidR="00AC30DF" w:rsidRPr="009F227C" w:rsidRDefault="00AC30DF" w:rsidP="00AC30DF">
            <w:pPr>
              <w:jc w:val="right"/>
              <w:rPr>
                <w:sz w:val="20"/>
                <w:szCs w:val="20"/>
              </w:rPr>
            </w:pPr>
            <w:r w:rsidRPr="009F227C">
              <w:rPr>
                <w:sz w:val="20"/>
                <w:szCs w:val="20"/>
              </w:rPr>
              <w:t xml:space="preserve">451,677 </w:t>
            </w:r>
          </w:p>
        </w:tc>
        <w:tc>
          <w:tcPr>
            <w:tcW w:w="1220" w:type="dxa"/>
            <w:tcBorders>
              <w:top w:val="nil"/>
              <w:left w:val="nil"/>
              <w:bottom w:val="nil"/>
              <w:right w:val="nil"/>
            </w:tcBorders>
            <w:shd w:val="clear" w:color="000000" w:fill="FFFFFF"/>
            <w:noWrap/>
            <w:vAlign w:val="bottom"/>
            <w:hideMark/>
          </w:tcPr>
          <w:p w14:paraId="14B5DD66" w14:textId="77777777" w:rsidR="00AC30DF" w:rsidRPr="009F227C" w:rsidRDefault="00AC30DF" w:rsidP="00AC30DF">
            <w:pPr>
              <w:jc w:val="right"/>
              <w:rPr>
                <w:sz w:val="20"/>
                <w:szCs w:val="20"/>
              </w:rPr>
            </w:pPr>
            <w:r w:rsidRPr="009F227C">
              <w:rPr>
                <w:sz w:val="20"/>
                <w:szCs w:val="20"/>
              </w:rPr>
              <w:t>(64,081,668)</w:t>
            </w:r>
          </w:p>
        </w:tc>
        <w:tc>
          <w:tcPr>
            <w:tcW w:w="1220" w:type="dxa"/>
            <w:tcBorders>
              <w:top w:val="nil"/>
              <w:left w:val="nil"/>
              <w:bottom w:val="nil"/>
              <w:right w:val="nil"/>
            </w:tcBorders>
            <w:shd w:val="clear" w:color="000000" w:fill="FFFFFF"/>
            <w:noWrap/>
            <w:vAlign w:val="bottom"/>
            <w:hideMark/>
          </w:tcPr>
          <w:p w14:paraId="1FFB5D82" w14:textId="77777777" w:rsidR="00AC30DF" w:rsidRPr="009F227C" w:rsidRDefault="00AC30DF" w:rsidP="00AC30DF">
            <w:pPr>
              <w:jc w:val="right"/>
              <w:rPr>
                <w:sz w:val="20"/>
                <w:szCs w:val="20"/>
              </w:rPr>
            </w:pPr>
            <w:r w:rsidRPr="009F227C">
              <w:rPr>
                <w:sz w:val="20"/>
                <w:szCs w:val="20"/>
              </w:rPr>
              <w:t>(193,877)</w:t>
            </w:r>
          </w:p>
        </w:tc>
        <w:tc>
          <w:tcPr>
            <w:tcW w:w="1220" w:type="dxa"/>
            <w:tcBorders>
              <w:top w:val="nil"/>
              <w:left w:val="nil"/>
              <w:bottom w:val="nil"/>
              <w:right w:val="single" w:sz="4" w:space="0" w:color="auto"/>
            </w:tcBorders>
            <w:shd w:val="clear" w:color="000000" w:fill="FFFFFF"/>
            <w:noWrap/>
            <w:vAlign w:val="bottom"/>
            <w:hideMark/>
          </w:tcPr>
          <w:p w14:paraId="093F1AB3" w14:textId="77777777" w:rsidR="00AC30DF" w:rsidRPr="009F227C" w:rsidRDefault="00AC30DF" w:rsidP="00AC30DF">
            <w:pPr>
              <w:jc w:val="right"/>
              <w:rPr>
                <w:sz w:val="20"/>
                <w:szCs w:val="20"/>
              </w:rPr>
            </w:pPr>
            <w:r w:rsidRPr="009F227C">
              <w:rPr>
                <w:sz w:val="20"/>
                <w:szCs w:val="20"/>
              </w:rPr>
              <w:t>(64,275,545)</w:t>
            </w:r>
          </w:p>
        </w:tc>
      </w:tr>
      <w:tr w:rsidR="00AC30DF" w:rsidRPr="009F227C" w14:paraId="7EA22994"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2E41825"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537F00CF"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4A4ED5F9"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D7383F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39A00F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6237E43"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AAFA037" w14:textId="77777777" w:rsidR="00AC30DF" w:rsidRPr="009F227C" w:rsidRDefault="00AC30DF" w:rsidP="00AC30DF">
            <w:pPr>
              <w:rPr>
                <w:sz w:val="20"/>
                <w:szCs w:val="20"/>
              </w:rPr>
            </w:pPr>
            <w:r w:rsidRPr="009F227C">
              <w:rPr>
                <w:sz w:val="20"/>
                <w:szCs w:val="20"/>
              </w:rPr>
              <w:t> </w:t>
            </w:r>
          </w:p>
        </w:tc>
      </w:tr>
      <w:tr w:rsidR="00AC30DF" w:rsidRPr="009F227C" w14:paraId="310CEABD"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E221D89" w14:textId="77777777" w:rsidR="00AC30DF" w:rsidRPr="009F227C" w:rsidRDefault="00AC30DF" w:rsidP="00AC30DF">
            <w:pPr>
              <w:jc w:val="center"/>
              <w:rPr>
                <w:sz w:val="20"/>
                <w:szCs w:val="20"/>
              </w:rPr>
            </w:pPr>
            <w:r w:rsidRPr="009F227C">
              <w:rPr>
                <w:sz w:val="20"/>
                <w:szCs w:val="20"/>
              </w:rPr>
              <w:t>7</w:t>
            </w:r>
          </w:p>
        </w:tc>
        <w:tc>
          <w:tcPr>
            <w:tcW w:w="3260" w:type="dxa"/>
            <w:tcBorders>
              <w:top w:val="nil"/>
              <w:left w:val="nil"/>
              <w:bottom w:val="nil"/>
              <w:right w:val="nil"/>
            </w:tcBorders>
            <w:shd w:val="clear" w:color="000000" w:fill="FFFFFF"/>
            <w:noWrap/>
            <w:vAlign w:val="bottom"/>
            <w:hideMark/>
          </w:tcPr>
          <w:p w14:paraId="6DD3D387" w14:textId="77777777" w:rsidR="00AC30DF" w:rsidRPr="009F227C" w:rsidRDefault="00AC30DF" w:rsidP="00AC30DF">
            <w:pPr>
              <w:rPr>
                <w:sz w:val="20"/>
                <w:szCs w:val="20"/>
              </w:rPr>
            </w:pPr>
            <w:r w:rsidRPr="009F227C">
              <w:rPr>
                <w:sz w:val="20"/>
                <w:szCs w:val="20"/>
              </w:rPr>
              <w:t>Amortization of CIAC</w:t>
            </w:r>
          </w:p>
        </w:tc>
        <w:tc>
          <w:tcPr>
            <w:tcW w:w="1220" w:type="dxa"/>
            <w:tcBorders>
              <w:top w:val="nil"/>
              <w:left w:val="nil"/>
              <w:bottom w:val="nil"/>
              <w:right w:val="nil"/>
            </w:tcBorders>
            <w:shd w:val="clear" w:color="000000" w:fill="FFFFFF"/>
            <w:noWrap/>
            <w:vAlign w:val="bottom"/>
            <w:hideMark/>
          </w:tcPr>
          <w:p w14:paraId="7266DC2C" w14:textId="77777777" w:rsidR="00AC30DF" w:rsidRPr="009F227C" w:rsidRDefault="00AC30DF" w:rsidP="00AC30DF">
            <w:pPr>
              <w:jc w:val="right"/>
              <w:rPr>
                <w:sz w:val="20"/>
                <w:szCs w:val="20"/>
              </w:rPr>
            </w:pPr>
            <w:r w:rsidRPr="009F227C">
              <w:rPr>
                <w:sz w:val="20"/>
                <w:szCs w:val="20"/>
              </w:rPr>
              <w:t xml:space="preserve">32,293,395 </w:t>
            </w:r>
          </w:p>
        </w:tc>
        <w:tc>
          <w:tcPr>
            <w:tcW w:w="1220" w:type="dxa"/>
            <w:tcBorders>
              <w:top w:val="nil"/>
              <w:left w:val="nil"/>
              <w:bottom w:val="nil"/>
              <w:right w:val="nil"/>
            </w:tcBorders>
            <w:shd w:val="clear" w:color="000000" w:fill="FFFFFF"/>
            <w:noWrap/>
            <w:vAlign w:val="bottom"/>
            <w:hideMark/>
          </w:tcPr>
          <w:p w14:paraId="6F19872E" w14:textId="77777777" w:rsidR="00AC30DF" w:rsidRPr="009F227C" w:rsidRDefault="00AC30DF" w:rsidP="00AC30DF">
            <w:pPr>
              <w:jc w:val="right"/>
              <w:rPr>
                <w:sz w:val="20"/>
                <w:szCs w:val="20"/>
              </w:rPr>
            </w:pPr>
            <w:r w:rsidRPr="009F227C">
              <w:rPr>
                <w:sz w:val="20"/>
                <w:szCs w:val="20"/>
              </w:rPr>
              <w:t>(457,037)</w:t>
            </w:r>
          </w:p>
        </w:tc>
        <w:tc>
          <w:tcPr>
            <w:tcW w:w="1220" w:type="dxa"/>
            <w:tcBorders>
              <w:top w:val="nil"/>
              <w:left w:val="nil"/>
              <w:bottom w:val="nil"/>
              <w:right w:val="nil"/>
            </w:tcBorders>
            <w:shd w:val="clear" w:color="000000" w:fill="FFFFFF"/>
            <w:noWrap/>
            <w:vAlign w:val="bottom"/>
            <w:hideMark/>
          </w:tcPr>
          <w:p w14:paraId="4163F203" w14:textId="77777777" w:rsidR="00AC30DF" w:rsidRPr="009F227C" w:rsidRDefault="00AC30DF" w:rsidP="00AC30DF">
            <w:pPr>
              <w:jc w:val="right"/>
              <w:rPr>
                <w:sz w:val="20"/>
                <w:szCs w:val="20"/>
              </w:rPr>
            </w:pPr>
            <w:r w:rsidRPr="009F227C">
              <w:rPr>
                <w:sz w:val="20"/>
                <w:szCs w:val="20"/>
              </w:rPr>
              <w:t xml:space="preserve">31,836,358 </w:t>
            </w:r>
          </w:p>
        </w:tc>
        <w:tc>
          <w:tcPr>
            <w:tcW w:w="1220" w:type="dxa"/>
            <w:tcBorders>
              <w:top w:val="nil"/>
              <w:left w:val="nil"/>
              <w:bottom w:val="nil"/>
              <w:right w:val="nil"/>
            </w:tcBorders>
            <w:shd w:val="clear" w:color="000000" w:fill="FFFFFF"/>
            <w:noWrap/>
            <w:vAlign w:val="bottom"/>
            <w:hideMark/>
          </w:tcPr>
          <w:p w14:paraId="32483222" w14:textId="77777777" w:rsidR="00AC30DF" w:rsidRPr="009F227C" w:rsidRDefault="00AC30DF" w:rsidP="00AC30DF">
            <w:pPr>
              <w:jc w:val="right"/>
              <w:rPr>
                <w:sz w:val="20"/>
                <w:szCs w:val="20"/>
              </w:rPr>
            </w:pPr>
            <w:r w:rsidRPr="009F227C">
              <w:rPr>
                <w:sz w:val="20"/>
                <w:szCs w:val="20"/>
              </w:rPr>
              <w:t xml:space="preserve">184,078 </w:t>
            </w:r>
          </w:p>
        </w:tc>
        <w:tc>
          <w:tcPr>
            <w:tcW w:w="1220" w:type="dxa"/>
            <w:tcBorders>
              <w:top w:val="nil"/>
              <w:left w:val="nil"/>
              <w:bottom w:val="nil"/>
              <w:right w:val="single" w:sz="4" w:space="0" w:color="auto"/>
            </w:tcBorders>
            <w:shd w:val="clear" w:color="000000" w:fill="FFFFFF"/>
            <w:noWrap/>
            <w:vAlign w:val="bottom"/>
            <w:hideMark/>
          </w:tcPr>
          <w:p w14:paraId="16B8226A" w14:textId="77777777" w:rsidR="00AC30DF" w:rsidRPr="009F227C" w:rsidRDefault="00AC30DF" w:rsidP="00AC30DF">
            <w:pPr>
              <w:jc w:val="right"/>
              <w:rPr>
                <w:sz w:val="20"/>
                <w:szCs w:val="20"/>
              </w:rPr>
            </w:pPr>
            <w:r w:rsidRPr="009F227C">
              <w:rPr>
                <w:sz w:val="20"/>
                <w:szCs w:val="20"/>
              </w:rPr>
              <w:t xml:space="preserve">32,020,436 </w:t>
            </w:r>
          </w:p>
        </w:tc>
      </w:tr>
      <w:tr w:rsidR="00AC30DF" w:rsidRPr="009F227C" w14:paraId="7ADF7C0F"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7963145"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37ED1163"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1CC0DD55"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DF7BB9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3E4E5D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F52AD0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1C55876" w14:textId="77777777" w:rsidR="00AC30DF" w:rsidRPr="009F227C" w:rsidRDefault="00AC30DF" w:rsidP="00AC30DF">
            <w:pPr>
              <w:rPr>
                <w:sz w:val="20"/>
                <w:szCs w:val="20"/>
              </w:rPr>
            </w:pPr>
            <w:r w:rsidRPr="009F227C">
              <w:rPr>
                <w:sz w:val="20"/>
                <w:szCs w:val="20"/>
              </w:rPr>
              <w:t> </w:t>
            </w:r>
          </w:p>
        </w:tc>
      </w:tr>
      <w:tr w:rsidR="00AC30DF" w:rsidRPr="009F227C" w14:paraId="0CA0C6C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AA73971" w14:textId="77777777" w:rsidR="00AC30DF" w:rsidRPr="009F227C" w:rsidRDefault="00AC30DF" w:rsidP="00AC30DF">
            <w:pPr>
              <w:jc w:val="center"/>
              <w:rPr>
                <w:sz w:val="20"/>
                <w:szCs w:val="20"/>
              </w:rPr>
            </w:pPr>
            <w:r w:rsidRPr="009F227C">
              <w:rPr>
                <w:sz w:val="20"/>
                <w:szCs w:val="20"/>
              </w:rPr>
              <w:t>8</w:t>
            </w:r>
          </w:p>
        </w:tc>
        <w:tc>
          <w:tcPr>
            <w:tcW w:w="3260" w:type="dxa"/>
            <w:tcBorders>
              <w:top w:val="nil"/>
              <w:left w:val="nil"/>
              <w:bottom w:val="nil"/>
              <w:right w:val="nil"/>
            </w:tcBorders>
            <w:shd w:val="clear" w:color="000000" w:fill="FFFFFF"/>
            <w:noWrap/>
            <w:vAlign w:val="bottom"/>
            <w:hideMark/>
          </w:tcPr>
          <w:p w14:paraId="2C5396C4" w14:textId="77777777" w:rsidR="00AC30DF" w:rsidRPr="009F227C" w:rsidRDefault="00AC30DF" w:rsidP="00AC30DF">
            <w:pPr>
              <w:rPr>
                <w:sz w:val="20"/>
                <w:szCs w:val="20"/>
              </w:rPr>
            </w:pPr>
            <w:r w:rsidRPr="009F227C">
              <w:rPr>
                <w:sz w:val="20"/>
                <w:szCs w:val="20"/>
              </w:rPr>
              <w:t>Acquisition Adjustments</w:t>
            </w:r>
          </w:p>
        </w:tc>
        <w:tc>
          <w:tcPr>
            <w:tcW w:w="1220" w:type="dxa"/>
            <w:tcBorders>
              <w:top w:val="nil"/>
              <w:left w:val="nil"/>
              <w:bottom w:val="nil"/>
              <w:right w:val="nil"/>
            </w:tcBorders>
            <w:shd w:val="clear" w:color="000000" w:fill="FFFFFF"/>
            <w:noWrap/>
            <w:vAlign w:val="bottom"/>
            <w:hideMark/>
          </w:tcPr>
          <w:p w14:paraId="1DCBBA91" w14:textId="77777777" w:rsidR="00AC30DF" w:rsidRPr="009F227C" w:rsidRDefault="00AC30DF" w:rsidP="00AC30DF">
            <w:pPr>
              <w:jc w:val="right"/>
              <w:rPr>
                <w:sz w:val="20"/>
                <w:szCs w:val="20"/>
              </w:rPr>
            </w:pPr>
            <w:r w:rsidRPr="009F227C">
              <w:rPr>
                <w:sz w:val="20"/>
                <w:szCs w:val="20"/>
              </w:rPr>
              <w:t xml:space="preserve">1,292,816 </w:t>
            </w:r>
          </w:p>
        </w:tc>
        <w:tc>
          <w:tcPr>
            <w:tcW w:w="1220" w:type="dxa"/>
            <w:tcBorders>
              <w:top w:val="nil"/>
              <w:left w:val="nil"/>
              <w:bottom w:val="nil"/>
              <w:right w:val="nil"/>
            </w:tcBorders>
            <w:shd w:val="clear" w:color="000000" w:fill="FFFFFF"/>
            <w:noWrap/>
            <w:vAlign w:val="bottom"/>
            <w:hideMark/>
          </w:tcPr>
          <w:p w14:paraId="2BC10C97" w14:textId="77777777" w:rsidR="00AC30DF" w:rsidRPr="009F227C" w:rsidRDefault="00AC30DF" w:rsidP="00AC30DF">
            <w:pPr>
              <w:jc w:val="right"/>
              <w:rPr>
                <w:sz w:val="20"/>
                <w:szCs w:val="20"/>
              </w:rPr>
            </w:pPr>
            <w:r w:rsidRPr="009F227C">
              <w:rPr>
                <w:sz w:val="20"/>
                <w:szCs w:val="20"/>
              </w:rPr>
              <w:t>(1,292,816)</w:t>
            </w:r>
          </w:p>
        </w:tc>
        <w:tc>
          <w:tcPr>
            <w:tcW w:w="1220" w:type="dxa"/>
            <w:tcBorders>
              <w:top w:val="nil"/>
              <w:left w:val="nil"/>
              <w:bottom w:val="nil"/>
              <w:right w:val="nil"/>
            </w:tcBorders>
            <w:shd w:val="clear" w:color="000000" w:fill="FFFFFF"/>
            <w:noWrap/>
            <w:vAlign w:val="bottom"/>
            <w:hideMark/>
          </w:tcPr>
          <w:p w14:paraId="280CD460"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0F3C2059"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14:paraId="10B1B606" w14:textId="77777777" w:rsidR="00AC30DF" w:rsidRPr="009F227C" w:rsidRDefault="00AC30DF" w:rsidP="00AC30DF">
            <w:pPr>
              <w:jc w:val="right"/>
              <w:rPr>
                <w:sz w:val="20"/>
                <w:szCs w:val="20"/>
              </w:rPr>
            </w:pPr>
            <w:r w:rsidRPr="009F227C">
              <w:rPr>
                <w:sz w:val="20"/>
                <w:szCs w:val="20"/>
              </w:rPr>
              <w:t xml:space="preserve">0 </w:t>
            </w:r>
          </w:p>
        </w:tc>
      </w:tr>
      <w:tr w:rsidR="00AC30DF" w:rsidRPr="009F227C" w14:paraId="6815A871"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EF71F95"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398355B2"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7E7B5AD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D58C76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1E626B7"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567F6B9"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6070F28B" w14:textId="77777777" w:rsidR="00AC30DF" w:rsidRPr="009F227C" w:rsidRDefault="00AC30DF" w:rsidP="00AC30DF">
            <w:pPr>
              <w:rPr>
                <w:sz w:val="20"/>
                <w:szCs w:val="20"/>
              </w:rPr>
            </w:pPr>
            <w:r w:rsidRPr="009F227C">
              <w:rPr>
                <w:sz w:val="20"/>
                <w:szCs w:val="20"/>
              </w:rPr>
              <w:t> </w:t>
            </w:r>
          </w:p>
        </w:tc>
      </w:tr>
      <w:tr w:rsidR="00AC30DF" w:rsidRPr="009F227C" w14:paraId="78B3F869"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1EBF11C" w14:textId="77777777" w:rsidR="00AC30DF" w:rsidRPr="009F227C" w:rsidRDefault="00AC30DF" w:rsidP="00AC30DF">
            <w:pPr>
              <w:jc w:val="center"/>
              <w:rPr>
                <w:sz w:val="20"/>
                <w:szCs w:val="20"/>
              </w:rPr>
            </w:pPr>
            <w:r w:rsidRPr="009F227C">
              <w:rPr>
                <w:sz w:val="20"/>
                <w:szCs w:val="20"/>
              </w:rPr>
              <w:t>9</w:t>
            </w:r>
          </w:p>
        </w:tc>
        <w:tc>
          <w:tcPr>
            <w:tcW w:w="3260" w:type="dxa"/>
            <w:tcBorders>
              <w:top w:val="nil"/>
              <w:left w:val="nil"/>
              <w:bottom w:val="nil"/>
              <w:right w:val="nil"/>
            </w:tcBorders>
            <w:shd w:val="clear" w:color="000000" w:fill="FFFFFF"/>
            <w:noWrap/>
            <w:vAlign w:val="bottom"/>
            <w:hideMark/>
          </w:tcPr>
          <w:p w14:paraId="738D94E3" w14:textId="77777777" w:rsidR="00AC30DF" w:rsidRPr="009F227C" w:rsidRDefault="00AC30DF" w:rsidP="00AC30DF">
            <w:pPr>
              <w:rPr>
                <w:sz w:val="20"/>
                <w:szCs w:val="20"/>
              </w:rPr>
            </w:pPr>
            <w:r w:rsidRPr="009F227C">
              <w:rPr>
                <w:sz w:val="20"/>
                <w:szCs w:val="20"/>
              </w:rPr>
              <w:t>AA of Acquisition Adjustment</w:t>
            </w:r>
          </w:p>
        </w:tc>
        <w:tc>
          <w:tcPr>
            <w:tcW w:w="1220" w:type="dxa"/>
            <w:tcBorders>
              <w:top w:val="nil"/>
              <w:left w:val="nil"/>
              <w:bottom w:val="nil"/>
              <w:right w:val="nil"/>
            </w:tcBorders>
            <w:shd w:val="clear" w:color="000000" w:fill="FFFFFF"/>
            <w:noWrap/>
            <w:vAlign w:val="bottom"/>
            <w:hideMark/>
          </w:tcPr>
          <w:p w14:paraId="1995C0E1" w14:textId="77777777" w:rsidR="00AC30DF" w:rsidRPr="009F227C" w:rsidRDefault="00AC30DF" w:rsidP="00AC30DF">
            <w:pPr>
              <w:jc w:val="right"/>
              <w:rPr>
                <w:sz w:val="20"/>
                <w:szCs w:val="20"/>
              </w:rPr>
            </w:pPr>
            <w:r w:rsidRPr="009F227C">
              <w:rPr>
                <w:sz w:val="20"/>
                <w:szCs w:val="20"/>
              </w:rPr>
              <w:t xml:space="preserve">114,806 </w:t>
            </w:r>
          </w:p>
        </w:tc>
        <w:tc>
          <w:tcPr>
            <w:tcW w:w="1220" w:type="dxa"/>
            <w:tcBorders>
              <w:top w:val="nil"/>
              <w:left w:val="nil"/>
              <w:bottom w:val="nil"/>
              <w:right w:val="nil"/>
            </w:tcBorders>
            <w:shd w:val="clear" w:color="000000" w:fill="FFFFFF"/>
            <w:noWrap/>
            <w:vAlign w:val="bottom"/>
            <w:hideMark/>
          </w:tcPr>
          <w:p w14:paraId="21152752" w14:textId="77777777" w:rsidR="00AC30DF" w:rsidRPr="009F227C" w:rsidRDefault="00AC30DF" w:rsidP="00AC30DF">
            <w:pPr>
              <w:jc w:val="right"/>
              <w:rPr>
                <w:sz w:val="20"/>
                <w:szCs w:val="20"/>
              </w:rPr>
            </w:pPr>
            <w:r w:rsidRPr="009F227C">
              <w:rPr>
                <w:sz w:val="20"/>
                <w:szCs w:val="20"/>
              </w:rPr>
              <w:t>(114,806)</w:t>
            </w:r>
          </w:p>
        </w:tc>
        <w:tc>
          <w:tcPr>
            <w:tcW w:w="1220" w:type="dxa"/>
            <w:tcBorders>
              <w:top w:val="nil"/>
              <w:left w:val="nil"/>
              <w:bottom w:val="nil"/>
              <w:right w:val="nil"/>
            </w:tcBorders>
            <w:shd w:val="clear" w:color="000000" w:fill="FFFFFF"/>
            <w:noWrap/>
            <w:vAlign w:val="bottom"/>
            <w:hideMark/>
          </w:tcPr>
          <w:p w14:paraId="43923561"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5B1693BE"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14:paraId="0C2EC122" w14:textId="77777777" w:rsidR="00AC30DF" w:rsidRPr="009F227C" w:rsidRDefault="00AC30DF" w:rsidP="00AC30DF">
            <w:pPr>
              <w:jc w:val="right"/>
              <w:rPr>
                <w:sz w:val="20"/>
                <w:szCs w:val="20"/>
              </w:rPr>
            </w:pPr>
            <w:r w:rsidRPr="009F227C">
              <w:rPr>
                <w:sz w:val="20"/>
                <w:szCs w:val="20"/>
              </w:rPr>
              <w:t xml:space="preserve">0 </w:t>
            </w:r>
          </w:p>
        </w:tc>
      </w:tr>
      <w:tr w:rsidR="00AC30DF" w:rsidRPr="009F227C" w14:paraId="02FB4804"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B4DC3CA"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615CE8BC"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445951A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19E804F"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8AD2E3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6D2D3D1"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114B89E" w14:textId="77777777" w:rsidR="00AC30DF" w:rsidRPr="009F227C" w:rsidRDefault="00AC30DF" w:rsidP="00AC30DF">
            <w:pPr>
              <w:rPr>
                <w:sz w:val="20"/>
                <w:szCs w:val="20"/>
              </w:rPr>
            </w:pPr>
            <w:r w:rsidRPr="009F227C">
              <w:rPr>
                <w:sz w:val="20"/>
                <w:szCs w:val="20"/>
              </w:rPr>
              <w:t> </w:t>
            </w:r>
          </w:p>
        </w:tc>
      </w:tr>
      <w:tr w:rsidR="00AC30DF" w:rsidRPr="009F227C" w14:paraId="3E76F01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D0660EB" w14:textId="77777777" w:rsidR="00AC30DF" w:rsidRPr="009F227C" w:rsidRDefault="00AC30DF" w:rsidP="00AC30DF">
            <w:pPr>
              <w:jc w:val="center"/>
              <w:rPr>
                <w:sz w:val="20"/>
                <w:szCs w:val="20"/>
              </w:rPr>
            </w:pPr>
            <w:r w:rsidRPr="009F227C">
              <w:rPr>
                <w:sz w:val="20"/>
                <w:szCs w:val="20"/>
              </w:rPr>
              <w:t>10</w:t>
            </w:r>
          </w:p>
        </w:tc>
        <w:tc>
          <w:tcPr>
            <w:tcW w:w="3260" w:type="dxa"/>
            <w:tcBorders>
              <w:top w:val="nil"/>
              <w:left w:val="nil"/>
              <w:bottom w:val="nil"/>
              <w:right w:val="nil"/>
            </w:tcBorders>
            <w:shd w:val="clear" w:color="000000" w:fill="FFFFFF"/>
            <w:noWrap/>
            <w:vAlign w:val="bottom"/>
            <w:hideMark/>
          </w:tcPr>
          <w:p w14:paraId="78C122A9" w14:textId="77777777" w:rsidR="00AC30DF" w:rsidRPr="009F227C" w:rsidRDefault="00AC30DF" w:rsidP="00AC30DF">
            <w:pPr>
              <w:rPr>
                <w:sz w:val="20"/>
                <w:szCs w:val="20"/>
              </w:rPr>
            </w:pPr>
            <w:r w:rsidRPr="009F227C">
              <w:rPr>
                <w:sz w:val="20"/>
                <w:szCs w:val="20"/>
              </w:rPr>
              <w:t>Advances for Construction</w:t>
            </w:r>
          </w:p>
        </w:tc>
        <w:tc>
          <w:tcPr>
            <w:tcW w:w="1220" w:type="dxa"/>
            <w:tcBorders>
              <w:top w:val="nil"/>
              <w:left w:val="nil"/>
              <w:bottom w:val="nil"/>
              <w:right w:val="nil"/>
            </w:tcBorders>
            <w:shd w:val="clear" w:color="000000" w:fill="FFFFFF"/>
            <w:noWrap/>
            <w:vAlign w:val="bottom"/>
            <w:hideMark/>
          </w:tcPr>
          <w:p w14:paraId="245BB7F0" w14:textId="77777777" w:rsidR="00AC30DF" w:rsidRPr="009F227C" w:rsidRDefault="00AC30DF" w:rsidP="00AC30DF">
            <w:pPr>
              <w:jc w:val="right"/>
              <w:rPr>
                <w:sz w:val="20"/>
                <w:szCs w:val="20"/>
              </w:rPr>
            </w:pPr>
            <w:r w:rsidRPr="009F227C">
              <w:rPr>
                <w:sz w:val="20"/>
                <w:szCs w:val="20"/>
              </w:rPr>
              <w:t>(35,452)</w:t>
            </w:r>
          </w:p>
        </w:tc>
        <w:tc>
          <w:tcPr>
            <w:tcW w:w="1220" w:type="dxa"/>
            <w:tcBorders>
              <w:top w:val="nil"/>
              <w:left w:val="nil"/>
              <w:bottom w:val="nil"/>
              <w:right w:val="nil"/>
            </w:tcBorders>
            <w:shd w:val="clear" w:color="000000" w:fill="FFFFFF"/>
            <w:noWrap/>
            <w:vAlign w:val="bottom"/>
            <w:hideMark/>
          </w:tcPr>
          <w:p w14:paraId="6DAC467B"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0518C3CA" w14:textId="77777777" w:rsidR="00AC30DF" w:rsidRPr="009F227C" w:rsidRDefault="00AC30DF" w:rsidP="00AC30DF">
            <w:pPr>
              <w:jc w:val="right"/>
              <w:rPr>
                <w:sz w:val="20"/>
                <w:szCs w:val="20"/>
              </w:rPr>
            </w:pPr>
            <w:r w:rsidRPr="009F227C">
              <w:rPr>
                <w:sz w:val="20"/>
                <w:szCs w:val="20"/>
              </w:rPr>
              <w:t>(35,452)</w:t>
            </w:r>
          </w:p>
        </w:tc>
        <w:tc>
          <w:tcPr>
            <w:tcW w:w="1220" w:type="dxa"/>
            <w:tcBorders>
              <w:top w:val="nil"/>
              <w:left w:val="nil"/>
              <w:bottom w:val="nil"/>
              <w:right w:val="nil"/>
            </w:tcBorders>
            <w:shd w:val="clear" w:color="000000" w:fill="FFFFFF"/>
            <w:noWrap/>
            <w:vAlign w:val="bottom"/>
            <w:hideMark/>
          </w:tcPr>
          <w:p w14:paraId="221BCD77"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14:paraId="1FA600BC" w14:textId="77777777" w:rsidR="00AC30DF" w:rsidRPr="009F227C" w:rsidRDefault="00AC30DF" w:rsidP="00AC30DF">
            <w:pPr>
              <w:jc w:val="right"/>
              <w:rPr>
                <w:sz w:val="20"/>
                <w:szCs w:val="20"/>
              </w:rPr>
            </w:pPr>
            <w:r w:rsidRPr="009F227C">
              <w:rPr>
                <w:sz w:val="20"/>
                <w:szCs w:val="20"/>
              </w:rPr>
              <w:t>(35,452)</w:t>
            </w:r>
          </w:p>
        </w:tc>
      </w:tr>
      <w:tr w:rsidR="00AC30DF" w:rsidRPr="009F227C" w14:paraId="5792E2ED"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3E62468"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5F0F997F"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748096BE"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423EFA9"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1ADEAF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81B7433"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10458F30" w14:textId="77777777" w:rsidR="00AC30DF" w:rsidRPr="009F227C" w:rsidRDefault="00AC30DF" w:rsidP="00AC30DF">
            <w:pPr>
              <w:rPr>
                <w:sz w:val="20"/>
                <w:szCs w:val="20"/>
              </w:rPr>
            </w:pPr>
            <w:r w:rsidRPr="009F227C">
              <w:rPr>
                <w:sz w:val="20"/>
                <w:szCs w:val="20"/>
              </w:rPr>
              <w:t> </w:t>
            </w:r>
          </w:p>
        </w:tc>
      </w:tr>
      <w:tr w:rsidR="00AC30DF" w:rsidRPr="009F227C" w14:paraId="51E4CA3D"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9188AAB" w14:textId="77777777" w:rsidR="00AC30DF" w:rsidRPr="009F227C" w:rsidRDefault="00AC30DF" w:rsidP="00AC30DF">
            <w:pPr>
              <w:jc w:val="center"/>
              <w:rPr>
                <w:sz w:val="20"/>
                <w:szCs w:val="20"/>
              </w:rPr>
            </w:pPr>
            <w:r w:rsidRPr="009F227C">
              <w:rPr>
                <w:sz w:val="20"/>
                <w:szCs w:val="20"/>
              </w:rPr>
              <w:t>11</w:t>
            </w:r>
          </w:p>
        </w:tc>
        <w:tc>
          <w:tcPr>
            <w:tcW w:w="3260" w:type="dxa"/>
            <w:tcBorders>
              <w:top w:val="nil"/>
              <w:left w:val="nil"/>
              <w:bottom w:val="nil"/>
              <w:right w:val="nil"/>
            </w:tcBorders>
            <w:shd w:val="clear" w:color="000000" w:fill="FFFFFF"/>
            <w:noWrap/>
            <w:vAlign w:val="bottom"/>
            <w:hideMark/>
          </w:tcPr>
          <w:p w14:paraId="7D8CA386" w14:textId="77777777" w:rsidR="00AC30DF" w:rsidRPr="009F227C" w:rsidRDefault="00AC30DF" w:rsidP="00AC30DF">
            <w:pPr>
              <w:rPr>
                <w:sz w:val="20"/>
                <w:szCs w:val="20"/>
              </w:rPr>
            </w:pPr>
            <w:r w:rsidRPr="009F227C">
              <w:rPr>
                <w:sz w:val="20"/>
                <w:szCs w:val="20"/>
              </w:rPr>
              <w:t>Working Capital Allowance</w:t>
            </w:r>
          </w:p>
        </w:tc>
        <w:tc>
          <w:tcPr>
            <w:tcW w:w="1220" w:type="dxa"/>
            <w:tcBorders>
              <w:top w:val="nil"/>
              <w:left w:val="nil"/>
              <w:bottom w:val="nil"/>
              <w:right w:val="nil"/>
            </w:tcBorders>
            <w:shd w:val="clear" w:color="000000" w:fill="FFFFFF"/>
            <w:noWrap/>
            <w:vAlign w:val="bottom"/>
            <w:hideMark/>
          </w:tcPr>
          <w:p w14:paraId="176A50FB" w14:textId="77777777" w:rsidR="00AC30DF" w:rsidRPr="009F227C" w:rsidRDefault="00AC30DF" w:rsidP="00AC30DF">
            <w:pPr>
              <w:jc w:val="right"/>
              <w:rPr>
                <w:sz w:val="20"/>
                <w:szCs w:val="20"/>
                <w:u w:val="single"/>
              </w:rPr>
            </w:pPr>
            <w:r w:rsidRPr="009F227C">
              <w:rPr>
                <w:sz w:val="20"/>
                <w:szCs w:val="20"/>
                <w:u w:val="single"/>
              </w:rPr>
              <w:t>0</w:t>
            </w:r>
          </w:p>
        </w:tc>
        <w:tc>
          <w:tcPr>
            <w:tcW w:w="1220" w:type="dxa"/>
            <w:tcBorders>
              <w:top w:val="nil"/>
              <w:left w:val="nil"/>
              <w:bottom w:val="nil"/>
              <w:right w:val="nil"/>
            </w:tcBorders>
            <w:shd w:val="clear" w:color="000000" w:fill="FFFFFF"/>
            <w:noWrap/>
            <w:vAlign w:val="bottom"/>
            <w:hideMark/>
          </w:tcPr>
          <w:p w14:paraId="64B1660D" w14:textId="77777777" w:rsidR="00AC30DF" w:rsidRPr="009F227C" w:rsidRDefault="00AC30DF" w:rsidP="00AC30DF">
            <w:pPr>
              <w:jc w:val="right"/>
              <w:rPr>
                <w:sz w:val="20"/>
                <w:szCs w:val="20"/>
                <w:u w:val="single"/>
              </w:rPr>
            </w:pPr>
            <w:r w:rsidRPr="009F227C">
              <w:rPr>
                <w:sz w:val="20"/>
                <w:szCs w:val="20"/>
                <w:u w:val="single"/>
              </w:rPr>
              <w:t>1,746,652</w:t>
            </w:r>
          </w:p>
        </w:tc>
        <w:tc>
          <w:tcPr>
            <w:tcW w:w="1220" w:type="dxa"/>
            <w:tcBorders>
              <w:top w:val="nil"/>
              <w:left w:val="nil"/>
              <w:bottom w:val="nil"/>
              <w:right w:val="nil"/>
            </w:tcBorders>
            <w:shd w:val="clear" w:color="000000" w:fill="FFFFFF"/>
            <w:noWrap/>
            <w:vAlign w:val="bottom"/>
            <w:hideMark/>
          </w:tcPr>
          <w:p w14:paraId="04A4FBC2" w14:textId="77777777" w:rsidR="00AC30DF" w:rsidRPr="009F227C" w:rsidRDefault="00AC30DF" w:rsidP="00AC30DF">
            <w:pPr>
              <w:jc w:val="right"/>
              <w:rPr>
                <w:sz w:val="20"/>
                <w:szCs w:val="20"/>
                <w:u w:val="single"/>
              </w:rPr>
            </w:pPr>
            <w:r w:rsidRPr="009F227C">
              <w:rPr>
                <w:sz w:val="20"/>
                <w:szCs w:val="20"/>
                <w:u w:val="single"/>
              </w:rPr>
              <w:t>1,746,652</w:t>
            </w:r>
          </w:p>
        </w:tc>
        <w:tc>
          <w:tcPr>
            <w:tcW w:w="1220" w:type="dxa"/>
            <w:tcBorders>
              <w:top w:val="nil"/>
              <w:left w:val="nil"/>
              <w:bottom w:val="nil"/>
              <w:right w:val="nil"/>
            </w:tcBorders>
            <w:shd w:val="clear" w:color="000000" w:fill="FFFFFF"/>
            <w:noWrap/>
            <w:vAlign w:val="bottom"/>
            <w:hideMark/>
          </w:tcPr>
          <w:p w14:paraId="485AFEB1" w14:textId="77777777" w:rsidR="00AC30DF" w:rsidRPr="009F227C" w:rsidRDefault="00AC30DF" w:rsidP="00AC30DF">
            <w:pPr>
              <w:jc w:val="right"/>
              <w:rPr>
                <w:sz w:val="20"/>
                <w:szCs w:val="20"/>
                <w:u w:val="single"/>
              </w:rPr>
            </w:pPr>
            <w:r w:rsidRPr="009F227C">
              <w:rPr>
                <w:sz w:val="20"/>
                <w:szCs w:val="20"/>
                <w:u w:val="single"/>
              </w:rPr>
              <w:t>(6,017)</w:t>
            </w:r>
          </w:p>
        </w:tc>
        <w:tc>
          <w:tcPr>
            <w:tcW w:w="1220" w:type="dxa"/>
            <w:tcBorders>
              <w:top w:val="nil"/>
              <w:left w:val="nil"/>
              <w:bottom w:val="nil"/>
              <w:right w:val="single" w:sz="4" w:space="0" w:color="auto"/>
            </w:tcBorders>
            <w:shd w:val="clear" w:color="000000" w:fill="FFFFFF"/>
            <w:noWrap/>
            <w:vAlign w:val="bottom"/>
            <w:hideMark/>
          </w:tcPr>
          <w:p w14:paraId="65E9B580" w14:textId="77777777" w:rsidR="00AC30DF" w:rsidRPr="009F227C" w:rsidRDefault="00AC30DF" w:rsidP="00AC30DF">
            <w:pPr>
              <w:jc w:val="right"/>
              <w:rPr>
                <w:sz w:val="20"/>
                <w:szCs w:val="20"/>
                <w:u w:val="single"/>
              </w:rPr>
            </w:pPr>
            <w:r w:rsidRPr="009F227C">
              <w:rPr>
                <w:sz w:val="20"/>
                <w:szCs w:val="20"/>
                <w:u w:val="single"/>
              </w:rPr>
              <w:t>1,740,635</w:t>
            </w:r>
          </w:p>
        </w:tc>
      </w:tr>
      <w:tr w:rsidR="00AC30DF" w:rsidRPr="009F227C" w14:paraId="256891B7"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12F5EBA"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2151D3DF"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B39E4BB"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708C827"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06F3616E"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41ED6398"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14:paraId="4B12A59F" w14:textId="77777777" w:rsidR="00AC30DF" w:rsidRPr="009F227C" w:rsidRDefault="00AC30DF" w:rsidP="00AC30DF">
            <w:pPr>
              <w:rPr>
                <w:sz w:val="20"/>
                <w:szCs w:val="20"/>
              </w:rPr>
            </w:pPr>
            <w:r w:rsidRPr="009F227C">
              <w:rPr>
                <w:sz w:val="20"/>
                <w:szCs w:val="20"/>
              </w:rPr>
              <w:t> </w:t>
            </w:r>
          </w:p>
        </w:tc>
      </w:tr>
      <w:tr w:rsidR="00AC30DF" w:rsidRPr="009F227C" w14:paraId="25C80E0D"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7AAE1DD" w14:textId="77777777" w:rsidR="00AC30DF" w:rsidRPr="009F227C" w:rsidRDefault="00AC30DF" w:rsidP="00AC30DF">
            <w:pPr>
              <w:jc w:val="center"/>
              <w:rPr>
                <w:sz w:val="20"/>
                <w:szCs w:val="20"/>
              </w:rPr>
            </w:pPr>
            <w:r w:rsidRPr="009F227C">
              <w:rPr>
                <w:sz w:val="20"/>
                <w:szCs w:val="20"/>
              </w:rPr>
              <w:t>12</w:t>
            </w:r>
          </w:p>
        </w:tc>
        <w:tc>
          <w:tcPr>
            <w:tcW w:w="3260" w:type="dxa"/>
            <w:tcBorders>
              <w:top w:val="nil"/>
              <w:left w:val="nil"/>
              <w:bottom w:val="nil"/>
              <w:right w:val="nil"/>
            </w:tcBorders>
            <w:shd w:val="clear" w:color="000000" w:fill="FFFFFF"/>
            <w:noWrap/>
            <w:vAlign w:val="bottom"/>
            <w:hideMark/>
          </w:tcPr>
          <w:p w14:paraId="31A7A098" w14:textId="77777777" w:rsidR="00AC30DF" w:rsidRPr="009F227C" w:rsidRDefault="00AC30DF" w:rsidP="00AC30DF">
            <w:pPr>
              <w:rPr>
                <w:b/>
                <w:bCs/>
                <w:sz w:val="20"/>
                <w:szCs w:val="20"/>
              </w:rPr>
            </w:pPr>
            <w:r w:rsidRPr="009F227C">
              <w:rPr>
                <w:b/>
                <w:bCs/>
                <w:sz w:val="20"/>
                <w:szCs w:val="20"/>
              </w:rPr>
              <w:t>Rate Base</w:t>
            </w:r>
          </w:p>
        </w:tc>
        <w:tc>
          <w:tcPr>
            <w:tcW w:w="1220" w:type="dxa"/>
            <w:tcBorders>
              <w:top w:val="nil"/>
              <w:left w:val="nil"/>
              <w:bottom w:val="nil"/>
              <w:right w:val="nil"/>
            </w:tcBorders>
            <w:shd w:val="clear" w:color="000000" w:fill="FFFFFF"/>
            <w:noWrap/>
            <w:vAlign w:val="bottom"/>
            <w:hideMark/>
          </w:tcPr>
          <w:p w14:paraId="06C8C1BC" w14:textId="77777777" w:rsidR="00AC30DF" w:rsidRPr="009F227C" w:rsidRDefault="00AC30DF" w:rsidP="00AC30DF">
            <w:pPr>
              <w:jc w:val="right"/>
              <w:rPr>
                <w:sz w:val="20"/>
                <w:szCs w:val="20"/>
                <w:u w:val="double"/>
              </w:rPr>
            </w:pPr>
            <w:r w:rsidRPr="009F227C">
              <w:rPr>
                <w:sz w:val="20"/>
                <w:szCs w:val="20"/>
                <w:u w:val="double"/>
              </w:rPr>
              <w:t>$61,906,290</w:t>
            </w:r>
          </w:p>
        </w:tc>
        <w:tc>
          <w:tcPr>
            <w:tcW w:w="1220" w:type="dxa"/>
            <w:tcBorders>
              <w:top w:val="nil"/>
              <w:left w:val="nil"/>
              <w:bottom w:val="nil"/>
              <w:right w:val="nil"/>
            </w:tcBorders>
            <w:shd w:val="clear" w:color="000000" w:fill="FFFFFF"/>
            <w:noWrap/>
            <w:vAlign w:val="bottom"/>
            <w:hideMark/>
          </w:tcPr>
          <w:p w14:paraId="5EBD0CF5" w14:textId="77777777" w:rsidR="00AC30DF" w:rsidRPr="009F227C" w:rsidRDefault="00AC30DF" w:rsidP="00AC30DF">
            <w:pPr>
              <w:jc w:val="right"/>
              <w:rPr>
                <w:sz w:val="20"/>
                <w:szCs w:val="20"/>
                <w:u w:val="double"/>
              </w:rPr>
            </w:pPr>
            <w:r w:rsidRPr="009F227C">
              <w:rPr>
                <w:sz w:val="20"/>
                <w:szCs w:val="20"/>
                <w:u w:val="double"/>
              </w:rPr>
              <w:t>$21,338,377</w:t>
            </w:r>
          </w:p>
        </w:tc>
        <w:tc>
          <w:tcPr>
            <w:tcW w:w="1220" w:type="dxa"/>
            <w:tcBorders>
              <w:top w:val="nil"/>
              <w:left w:val="nil"/>
              <w:bottom w:val="nil"/>
              <w:right w:val="nil"/>
            </w:tcBorders>
            <w:shd w:val="clear" w:color="000000" w:fill="FFFFFF"/>
            <w:noWrap/>
            <w:vAlign w:val="bottom"/>
            <w:hideMark/>
          </w:tcPr>
          <w:p w14:paraId="15A6EDAC" w14:textId="77777777" w:rsidR="00AC30DF" w:rsidRPr="009F227C" w:rsidRDefault="00AC30DF" w:rsidP="00AC30DF">
            <w:pPr>
              <w:jc w:val="right"/>
              <w:rPr>
                <w:sz w:val="20"/>
                <w:szCs w:val="20"/>
                <w:u w:val="double"/>
              </w:rPr>
            </w:pPr>
            <w:r w:rsidRPr="009F227C">
              <w:rPr>
                <w:sz w:val="20"/>
                <w:szCs w:val="20"/>
                <w:u w:val="double"/>
              </w:rPr>
              <w:t>$83,244,667</w:t>
            </w:r>
          </w:p>
        </w:tc>
        <w:tc>
          <w:tcPr>
            <w:tcW w:w="1220" w:type="dxa"/>
            <w:tcBorders>
              <w:top w:val="nil"/>
              <w:left w:val="nil"/>
              <w:bottom w:val="nil"/>
              <w:right w:val="nil"/>
            </w:tcBorders>
            <w:shd w:val="clear" w:color="000000" w:fill="FFFFFF"/>
            <w:noWrap/>
            <w:vAlign w:val="bottom"/>
            <w:hideMark/>
          </w:tcPr>
          <w:p w14:paraId="3FF88AB8" w14:textId="77777777" w:rsidR="00AC30DF" w:rsidRPr="009F227C" w:rsidRDefault="00AC30DF" w:rsidP="00AC30DF">
            <w:pPr>
              <w:jc w:val="right"/>
              <w:rPr>
                <w:sz w:val="20"/>
                <w:szCs w:val="20"/>
                <w:u w:val="double"/>
              </w:rPr>
            </w:pPr>
            <w:r w:rsidRPr="009F227C">
              <w:rPr>
                <w:sz w:val="20"/>
                <w:szCs w:val="20"/>
                <w:u w:val="double"/>
              </w:rPr>
              <w:t>$2,714,537</w:t>
            </w:r>
          </w:p>
        </w:tc>
        <w:tc>
          <w:tcPr>
            <w:tcW w:w="1220" w:type="dxa"/>
            <w:tcBorders>
              <w:top w:val="nil"/>
              <w:left w:val="nil"/>
              <w:bottom w:val="nil"/>
              <w:right w:val="single" w:sz="4" w:space="0" w:color="auto"/>
            </w:tcBorders>
            <w:shd w:val="clear" w:color="000000" w:fill="FFFFFF"/>
            <w:noWrap/>
            <w:vAlign w:val="bottom"/>
            <w:hideMark/>
          </w:tcPr>
          <w:p w14:paraId="3CEE8744" w14:textId="77777777" w:rsidR="00AC30DF" w:rsidRPr="009F227C" w:rsidRDefault="00AC30DF" w:rsidP="00AC30DF">
            <w:pPr>
              <w:jc w:val="right"/>
              <w:rPr>
                <w:sz w:val="20"/>
                <w:szCs w:val="20"/>
                <w:u w:val="double"/>
              </w:rPr>
            </w:pPr>
            <w:r w:rsidRPr="009F227C">
              <w:rPr>
                <w:sz w:val="20"/>
                <w:szCs w:val="20"/>
                <w:u w:val="double"/>
              </w:rPr>
              <w:t>$85,959,204</w:t>
            </w:r>
          </w:p>
        </w:tc>
      </w:tr>
      <w:tr w:rsidR="00AC30DF" w:rsidRPr="009F227C" w14:paraId="5119B4EE" w14:textId="77777777" w:rsidTr="00AC30DF">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06CFD41B" w14:textId="77777777" w:rsidR="00AC30DF" w:rsidRPr="009F227C" w:rsidRDefault="00AC30DF" w:rsidP="00AC30DF">
            <w:pPr>
              <w:rPr>
                <w:sz w:val="20"/>
                <w:szCs w:val="20"/>
                <w:u w:val="single"/>
              </w:rPr>
            </w:pPr>
          </w:p>
        </w:tc>
        <w:tc>
          <w:tcPr>
            <w:tcW w:w="3260" w:type="dxa"/>
            <w:tcBorders>
              <w:top w:val="nil"/>
              <w:left w:val="nil"/>
              <w:bottom w:val="single" w:sz="4" w:space="0" w:color="auto"/>
              <w:right w:val="nil"/>
            </w:tcBorders>
            <w:shd w:val="clear" w:color="000000" w:fill="FFFFFF"/>
            <w:noWrap/>
            <w:vAlign w:val="bottom"/>
            <w:hideMark/>
          </w:tcPr>
          <w:p w14:paraId="6E08B8F1" w14:textId="77777777" w:rsidR="00AC30DF" w:rsidRPr="009F227C" w:rsidRDefault="00AC30DF" w:rsidP="00AC30DF">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14:paraId="5FABEB09" w14:textId="77777777" w:rsidR="00AC30DF" w:rsidRPr="009F227C" w:rsidRDefault="00AC30DF" w:rsidP="00AC30DF">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14:paraId="6164B147" w14:textId="77777777" w:rsidR="00AC30DF" w:rsidRPr="009F227C" w:rsidRDefault="00AC30DF" w:rsidP="00AC30DF">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14:paraId="6EF1D80B" w14:textId="77777777" w:rsidR="00AC30DF" w:rsidRPr="009F227C" w:rsidRDefault="00AC30DF" w:rsidP="00AC30DF">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14:paraId="4EFA0360" w14:textId="77777777" w:rsidR="00AC30DF" w:rsidRPr="009F227C" w:rsidRDefault="00AC30DF" w:rsidP="00AC30DF">
            <w:pPr>
              <w:rPr>
                <w:sz w:val="20"/>
                <w:szCs w:val="20"/>
                <w:u w:val="single"/>
              </w:rPr>
            </w:pPr>
          </w:p>
        </w:tc>
        <w:tc>
          <w:tcPr>
            <w:tcW w:w="1220" w:type="dxa"/>
            <w:tcBorders>
              <w:top w:val="nil"/>
              <w:left w:val="nil"/>
              <w:bottom w:val="single" w:sz="4" w:space="0" w:color="auto"/>
              <w:right w:val="single" w:sz="4" w:space="0" w:color="auto"/>
            </w:tcBorders>
            <w:shd w:val="clear" w:color="000000" w:fill="FFFFFF"/>
            <w:noWrap/>
            <w:vAlign w:val="bottom"/>
            <w:hideMark/>
          </w:tcPr>
          <w:p w14:paraId="68604A92" w14:textId="77777777" w:rsidR="00AC30DF" w:rsidRPr="009F227C" w:rsidRDefault="00AC30DF" w:rsidP="00AC30DF">
            <w:pPr>
              <w:rPr>
                <w:sz w:val="20"/>
                <w:szCs w:val="20"/>
                <w:u w:val="single"/>
              </w:rPr>
            </w:pPr>
          </w:p>
        </w:tc>
      </w:tr>
    </w:tbl>
    <w:p w14:paraId="623EEBE5" w14:textId="77777777" w:rsidR="005F7ACC" w:rsidRPr="009F227C" w:rsidRDefault="005F7ACC" w:rsidP="005F7ACC">
      <w:pPr>
        <w:pStyle w:val="OrderBody"/>
      </w:pPr>
    </w:p>
    <w:p w14:paraId="22EC9D70" w14:textId="77777777" w:rsidR="00AC30DF" w:rsidRPr="009F227C" w:rsidRDefault="00AC30DF" w:rsidP="005F7ACC">
      <w:pPr>
        <w:pStyle w:val="OrderBody"/>
        <w:sectPr w:rsidR="00AC30DF" w:rsidRPr="009F227C">
          <w:headerReference w:type="first" r:id="rId8"/>
          <w:pgSz w:w="12240" w:h="15840" w:code="1"/>
          <w:pgMar w:top="1440" w:right="1440" w:bottom="1440" w:left="1440" w:header="720" w:footer="720" w:gutter="0"/>
          <w:cols w:space="720"/>
          <w:titlePg/>
          <w:docGrid w:linePitch="360"/>
        </w:sectPr>
      </w:pPr>
    </w:p>
    <w:tbl>
      <w:tblPr>
        <w:tblW w:w="9840" w:type="dxa"/>
        <w:jc w:val="center"/>
        <w:tblLook w:val="04A0" w:firstRow="1" w:lastRow="0" w:firstColumn="1" w:lastColumn="0" w:noHBand="0" w:noVBand="1"/>
      </w:tblPr>
      <w:tblGrid>
        <w:gridCol w:w="480"/>
        <w:gridCol w:w="3260"/>
        <w:gridCol w:w="1316"/>
        <w:gridCol w:w="1250"/>
        <w:gridCol w:w="1316"/>
        <w:gridCol w:w="1220"/>
        <w:gridCol w:w="1316"/>
      </w:tblGrid>
      <w:tr w:rsidR="00AC30DF" w:rsidRPr="009F227C" w14:paraId="1408DC8F" w14:textId="77777777" w:rsidTr="00AC30DF">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6A60A515" w14:textId="77777777" w:rsidR="00AC30DF" w:rsidRPr="009F227C" w:rsidRDefault="00AC30DF" w:rsidP="00AC30DF">
            <w:pPr>
              <w:rPr>
                <w:sz w:val="20"/>
                <w:szCs w:val="20"/>
              </w:rPr>
            </w:pPr>
            <w:bookmarkStart w:id="66" w:name="RANGE!A44:G73"/>
            <w:r w:rsidRPr="009F227C">
              <w:rPr>
                <w:sz w:val="20"/>
                <w:szCs w:val="20"/>
              </w:rPr>
              <w:lastRenderedPageBreak/>
              <w:t> </w:t>
            </w:r>
            <w:bookmarkEnd w:id="66"/>
          </w:p>
        </w:tc>
        <w:tc>
          <w:tcPr>
            <w:tcW w:w="3260" w:type="dxa"/>
            <w:tcBorders>
              <w:top w:val="single" w:sz="4" w:space="0" w:color="auto"/>
              <w:left w:val="nil"/>
              <w:bottom w:val="nil"/>
              <w:right w:val="nil"/>
            </w:tcBorders>
            <w:shd w:val="clear" w:color="000000" w:fill="FFFFFF"/>
            <w:noWrap/>
            <w:vAlign w:val="bottom"/>
            <w:hideMark/>
          </w:tcPr>
          <w:p w14:paraId="18A9F6D7" w14:textId="77777777" w:rsidR="00AC30DF" w:rsidRPr="009F227C" w:rsidRDefault="00AC30DF" w:rsidP="00AC30DF">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4B6F5246" w14:textId="77777777" w:rsidR="00AC30DF" w:rsidRPr="009F227C" w:rsidRDefault="00AC30DF" w:rsidP="00AC30DF">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08B41BCD" w14:textId="77777777" w:rsidR="00AC30DF" w:rsidRPr="009F227C" w:rsidRDefault="00AC30DF" w:rsidP="00AC30DF">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009B4F2F" w14:textId="77777777" w:rsidR="00AC30DF" w:rsidRPr="009F227C" w:rsidRDefault="00AC30DF" w:rsidP="00AC30DF">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61396B08" w14:textId="77777777" w:rsidR="00AC30DF" w:rsidRPr="009F227C" w:rsidRDefault="00AC30DF" w:rsidP="00AC30DF">
            <w:pPr>
              <w:rPr>
                <w:sz w:val="20"/>
                <w:szCs w:val="20"/>
              </w:rPr>
            </w:pPr>
            <w:r w:rsidRPr="009F227C">
              <w:rPr>
                <w:sz w:val="20"/>
                <w:szCs w:val="20"/>
              </w:rPr>
              <w:t> </w:t>
            </w:r>
          </w:p>
        </w:tc>
        <w:tc>
          <w:tcPr>
            <w:tcW w:w="1220" w:type="dxa"/>
            <w:tcBorders>
              <w:top w:val="single" w:sz="4" w:space="0" w:color="auto"/>
              <w:left w:val="nil"/>
              <w:bottom w:val="nil"/>
              <w:right w:val="single" w:sz="4" w:space="0" w:color="auto"/>
            </w:tcBorders>
            <w:shd w:val="clear" w:color="000000" w:fill="FFFFFF"/>
            <w:noWrap/>
            <w:vAlign w:val="bottom"/>
            <w:hideMark/>
          </w:tcPr>
          <w:p w14:paraId="72CBEB25" w14:textId="77777777" w:rsidR="00AC30DF" w:rsidRPr="009F227C" w:rsidRDefault="00AC30DF" w:rsidP="00AC30DF">
            <w:pPr>
              <w:rPr>
                <w:sz w:val="20"/>
                <w:szCs w:val="20"/>
              </w:rPr>
            </w:pPr>
            <w:r w:rsidRPr="009F227C">
              <w:rPr>
                <w:sz w:val="20"/>
                <w:szCs w:val="20"/>
              </w:rPr>
              <w:t> </w:t>
            </w:r>
          </w:p>
        </w:tc>
      </w:tr>
      <w:tr w:rsidR="00AC30DF" w:rsidRPr="009F227C" w14:paraId="1680921F"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3022601" w14:textId="77777777" w:rsidR="00AC30DF" w:rsidRPr="009F227C" w:rsidRDefault="00AC30DF" w:rsidP="00AC30DF">
            <w:pPr>
              <w:rPr>
                <w:color w:val="000000"/>
                <w:sz w:val="20"/>
                <w:szCs w:val="20"/>
              </w:rPr>
            </w:pPr>
            <w:r w:rsidRPr="009F227C">
              <w:rPr>
                <w:color w:val="000000"/>
                <w:sz w:val="20"/>
                <w:szCs w:val="20"/>
              </w:rPr>
              <w:t> </w:t>
            </w:r>
          </w:p>
        </w:tc>
        <w:tc>
          <w:tcPr>
            <w:tcW w:w="4480" w:type="dxa"/>
            <w:gridSpan w:val="2"/>
            <w:tcBorders>
              <w:top w:val="nil"/>
              <w:left w:val="nil"/>
              <w:bottom w:val="nil"/>
              <w:right w:val="nil"/>
            </w:tcBorders>
            <w:shd w:val="clear" w:color="000000" w:fill="FFFFFF"/>
            <w:noWrap/>
            <w:vAlign w:val="bottom"/>
            <w:hideMark/>
          </w:tcPr>
          <w:p w14:paraId="7478B5D9" w14:textId="77777777" w:rsidR="00AC30DF" w:rsidRPr="009F227C" w:rsidRDefault="00AC30DF" w:rsidP="00AC30DF">
            <w:pPr>
              <w:rPr>
                <w:b/>
                <w:bCs/>
                <w:sz w:val="20"/>
                <w:szCs w:val="20"/>
              </w:rPr>
            </w:pPr>
            <w:r w:rsidRPr="009F227C">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14:paraId="55E53C98"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652694F" w14:textId="77777777" w:rsidR="00AC30DF" w:rsidRPr="009F227C" w:rsidRDefault="00AC30DF" w:rsidP="00AC30DF">
            <w:pPr>
              <w:rPr>
                <w:color w:val="000000"/>
                <w:sz w:val="20"/>
                <w:szCs w:val="20"/>
              </w:rPr>
            </w:pPr>
            <w:r w:rsidRPr="009F227C">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14:paraId="329EF097" w14:textId="77777777" w:rsidR="00AC30DF" w:rsidRPr="009F227C" w:rsidRDefault="00AC30DF" w:rsidP="00AC30DF">
            <w:pPr>
              <w:jc w:val="right"/>
              <w:rPr>
                <w:b/>
                <w:bCs/>
                <w:sz w:val="20"/>
                <w:szCs w:val="20"/>
              </w:rPr>
            </w:pPr>
            <w:r w:rsidRPr="009F227C">
              <w:rPr>
                <w:b/>
                <w:bCs/>
                <w:sz w:val="20"/>
                <w:szCs w:val="20"/>
              </w:rPr>
              <w:t>Schedule No. 1-B</w:t>
            </w:r>
          </w:p>
        </w:tc>
      </w:tr>
      <w:tr w:rsidR="00AC30DF" w:rsidRPr="009F227C" w14:paraId="16158D3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D726AC1" w14:textId="77777777" w:rsidR="00AC30DF" w:rsidRPr="009F227C" w:rsidRDefault="00AC30DF" w:rsidP="00AC30DF">
            <w:pPr>
              <w:rPr>
                <w:color w:val="000000"/>
                <w:sz w:val="20"/>
                <w:szCs w:val="20"/>
              </w:rPr>
            </w:pPr>
            <w:r w:rsidRPr="009F227C">
              <w:rPr>
                <w:color w:val="000000"/>
                <w:sz w:val="20"/>
                <w:szCs w:val="20"/>
              </w:rPr>
              <w:t> </w:t>
            </w:r>
          </w:p>
        </w:tc>
        <w:tc>
          <w:tcPr>
            <w:tcW w:w="3260" w:type="dxa"/>
            <w:tcBorders>
              <w:top w:val="nil"/>
              <w:left w:val="nil"/>
              <w:bottom w:val="nil"/>
              <w:right w:val="nil"/>
            </w:tcBorders>
            <w:shd w:val="clear" w:color="000000" w:fill="FFFFFF"/>
            <w:noWrap/>
            <w:vAlign w:val="bottom"/>
            <w:hideMark/>
          </w:tcPr>
          <w:p w14:paraId="0976507F" w14:textId="77777777" w:rsidR="00AC30DF" w:rsidRPr="009F227C" w:rsidRDefault="00AC30DF" w:rsidP="00AC30DF">
            <w:pPr>
              <w:rPr>
                <w:b/>
                <w:bCs/>
                <w:sz w:val="20"/>
                <w:szCs w:val="20"/>
              </w:rPr>
            </w:pPr>
            <w:r w:rsidRPr="009F227C">
              <w:rPr>
                <w:b/>
                <w:bCs/>
                <w:sz w:val="20"/>
                <w:szCs w:val="20"/>
              </w:rPr>
              <w:t>Schedule of Wastewater Rate Base</w:t>
            </w:r>
          </w:p>
        </w:tc>
        <w:tc>
          <w:tcPr>
            <w:tcW w:w="1220" w:type="dxa"/>
            <w:tcBorders>
              <w:top w:val="nil"/>
              <w:left w:val="nil"/>
              <w:bottom w:val="nil"/>
              <w:right w:val="nil"/>
            </w:tcBorders>
            <w:shd w:val="clear" w:color="000000" w:fill="FFFFFF"/>
            <w:noWrap/>
            <w:vAlign w:val="bottom"/>
            <w:hideMark/>
          </w:tcPr>
          <w:p w14:paraId="1AFADE92"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253956FD"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23CAFA7C" w14:textId="77777777" w:rsidR="00AC30DF" w:rsidRPr="009F227C" w:rsidRDefault="00AC30DF" w:rsidP="00AC30DF">
            <w:pPr>
              <w:rPr>
                <w:color w:val="000000"/>
                <w:sz w:val="20"/>
                <w:szCs w:val="20"/>
              </w:rPr>
            </w:pPr>
            <w:r w:rsidRPr="009F227C">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14:paraId="3CF820F8" w14:textId="77777777" w:rsidR="00AC30DF" w:rsidRPr="009F227C" w:rsidRDefault="00AC30DF" w:rsidP="00AC30DF">
            <w:pPr>
              <w:jc w:val="right"/>
              <w:rPr>
                <w:b/>
                <w:bCs/>
                <w:sz w:val="20"/>
                <w:szCs w:val="20"/>
              </w:rPr>
            </w:pPr>
            <w:r w:rsidRPr="009F227C">
              <w:rPr>
                <w:b/>
                <w:bCs/>
                <w:sz w:val="20"/>
                <w:szCs w:val="20"/>
              </w:rPr>
              <w:t>Docket No. 20240068-WS</w:t>
            </w:r>
          </w:p>
        </w:tc>
      </w:tr>
      <w:tr w:rsidR="00AC30DF" w:rsidRPr="009F227C" w14:paraId="2D1B88FE"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3D7E0AE" w14:textId="77777777" w:rsidR="00AC30DF" w:rsidRPr="009F227C" w:rsidRDefault="00AC30DF" w:rsidP="00AC30DF">
            <w:pPr>
              <w:rPr>
                <w:color w:val="000000"/>
                <w:sz w:val="20"/>
                <w:szCs w:val="20"/>
              </w:rPr>
            </w:pPr>
            <w:r w:rsidRPr="009F227C">
              <w:rPr>
                <w:color w:val="000000"/>
                <w:sz w:val="20"/>
                <w:szCs w:val="20"/>
              </w:rPr>
              <w:t> </w:t>
            </w:r>
          </w:p>
        </w:tc>
        <w:tc>
          <w:tcPr>
            <w:tcW w:w="3260" w:type="dxa"/>
            <w:tcBorders>
              <w:top w:val="nil"/>
              <w:left w:val="nil"/>
              <w:bottom w:val="nil"/>
              <w:right w:val="nil"/>
            </w:tcBorders>
            <w:shd w:val="clear" w:color="000000" w:fill="FFFFFF"/>
            <w:noWrap/>
            <w:vAlign w:val="bottom"/>
            <w:hideMark/>
          </w:tcPr>
          <w:p w14:paraId="1BD361A8" w14:textId="77777777" w:rsidR="00AC30DF" w:rsidRPr="009F227C" w:rsidRDefault="00AC30DF" w:rsidP="00AC30DF">
            <w:pPr>
              <w:rPr>
                <w:b/>
                <w:bCs/>
                <w:sz w:val="20"/>
                <w:szCs w:val="20"/>
              </w:rPr>
            </w:pPr>
            <w:r w:rsidRPr="009F227C">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14:paraId="175639D5"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61F56503"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1E310C9E"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ABDCBC9"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E3FB550" w14:textId="77777777" w:rsidR="00AC30DF" w:rsidRPr="009F227C" w:rsidRDefault="00AC30DF" w:rsidP="00AC30DF">
            <w:pPr>
              <w:rPr>
                <w:sz w:val="20"/>
                <w:szCs w:val="20"/>
              </w:rPr>
            </w:pPr>
            <w:r w:rsidRPr="009F227C">
              <w:rPr>
                <w:sz w:val="20"/>
                <w:szCs w:val="20"/>
              </w:rPr>
              <w:t> </w:t>
            </w:r>
          </w:p>
        </w:tc>
      </w:tr>
      <w:tr w:rsidR="00AC30DF" w:rsidRPr="009F227C" w14:paraId="5AEF13D3"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4634454"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3F410C01"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3D7652C3"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7F51D8DB"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01F9377C"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0D22F24"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A676088" w14:textId="77777777" w:rsidR="00AC30DF" w:rsidRPr="009F227C" w:rsidRDefault="00AC30DF" w:rsidP="00AC30DF">
            <w:pPr>
              <w:rPr>
                <w:sz w:val="20"/>
                <w:szCs w:val="20"/>
              </w:rPr>
            </w:pPr>
            <w:r w:rsidRPr="009F227C">
              <w:rPr>
                <w:sz w:val="20"/>
                <w:szCs w:val="20"/>
              </w:rPr>
              <w:t> </w:t>
            </w:r>
          </w:p>
        </w:tc>
      </w:tr>
      <w:tr w:rsidR="00AC30DF" w:rsidRPr="009F227C" w14:paraId="79A89AF3" w14:textId="77777777" w:rsidTr="00AC30DF">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20D87E5D" w14:textId="77777777" w:rsidR="00AC30DF" w:rsidRPr="009F227C" w:rsidRDefault="00AC30DF" w:rsidP="00AC30DF">
            <w:pPr>
              <w:rPr>
                <w:sz w:val="20"/>
                <w:szCs w:val="20"/>
              </w:rPr>
            </w:pPr>
            <w:r w:rsidRPr="009F227C">
              <w:rPr>
                <w:sz w:val="20"/>
                <w:szCs w:val="20"/>
              </w:rPr>
              <w:t> </w:t>
            </w:r>
          </w:p>
        </w:tc>
        <w:tc>
          <w:tcPr>
            <w:tcW w:w="3260" w:type="dxa"/>
            <w:tcBorders>
              <w:top w:val="single" w:sz="4" w:space="0" w:color="000000"/>
              <w:left w:val="nil"/>
              <w:bottom w:val="nil"/>
              <w:right w:val="nil"/>
            </w:tcBorders>
            <w:shd w:val="clear" w:color="000000" w:fill="FFFFFF"/>
            <w:noWrap/>
            <w:vAlign w:val="bottom"/>
            <w:hideMark/>
          </w:tcPr>
          <w:p w14:paraId="2C74812A"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C8BF7C3"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70AC9C99"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29009298"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1604922F" w14:textId="77777777" w:rsidR="00AC30DF" w:rsidRPr="009F227C" w:rsidRDefault="00AC30DF" w:rsidP="00AC30DF">
            <w:pPr>
              <w:rPr>
                <w:sz w:val="20"/>
                <w:szCs w:val="20"/>
              </w:rPr>
            </w:pPr>
            <w:r w:rsidRPr="009F227C">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14:paraId="4868DB0F" w14:textId="77777777" w:rsidR="00AC30DF" w:rsidRPr="009F227C" w:rsidRDefault="00AC30DF" w:rsidP="00AC30DF">
            <w:pPr>
              <w:rPr>
                <w:sz w:val="20"/>
                <w:szCs w:val="20"/>
              </w:rPr>
            </w:pPr>
            <w:r w:rsidRPr="009F227C">
              <w:rPr>
                <w:sz w:val="20"/>
                <w:szCs w:val="20"/>
              </w:rPr>
              <w:t> </w:t>
            </w:r>
          </w:p>
        </w:tc>
      </w:tr>
      <w:tr w:rsidR="00AC30DF" w:rsidRPr="009F227C" w14:paraId="463D42F3"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44D4793"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33BFB070" w14:textId="77777777" w:rsidR="00AC30DF" w:rsidRPr="009F227C" w:rsidRDefault="00AC30DF" w:rsidP="00AC30DF">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5BE090F4" w14:textId="77777777" w:rsidR="00AC30DF" w:rsidRPr="009F227C" w:rsidRDefault="00AC30DF" w:rsidP="00AC30DF">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5125B96E" w14:textId="77777777" w:rsidR="00AC30DF" w:rsidRPr="009F227C" w:rsidRDefault="00AC30DF" w:rsidP="00AC30DF">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2F47942B" w14:textId="77777777" w:rsidR="00AC30DF" w:rsidRPr="009F227C" w:rsidRDefault="00AC30DF" w:rsidP="00AC30DF">
            <w:pPr>
              <w:jc w:val="center"/>
              <w:rPr>
                <w:b/>
                <w:bCs/>
                <w:sz w:val="20"/>
                <w:szCs w:val="20"/>
              </w:rPr>
            </w:pPr>
            <w:r w:rsidRPr="009F227C">
              <w:rPr>
                <w:b/>
                <w:bCs/>
                <w:sz w:val="20"/>
                <w:szCs w:val="20"/>
              </w:rPr>
              <w:t>Adjusted</w:t>
            </w:r>
          </w:p>
        </w:tc>
        <w:tc>
          <w:tcPr>
            <w:tcW w:w="1220" w:type="dxa"/>
            <w:tcBorders>
              <w:top w:val="nil"/>
              <w:left w:val="nil"/>
              <w:bottom w:val="nil"/>
              <w:right w:val="nil"/>
            </w:tcBorders>
            <w:shd w:val="clear" w:color="000000" w:fill="FFFFFF"/>
            <w:noWrap/>
            <w:vAlign w:val="bottom"/>
            <w:hideMark/>
          </w:tcPr>
          <w:p w14:paraId="680BFBFA" w14:textId="77777777" w:rsidR="00AC30DF" w:rsidRPr="009F227C" w:rsidRDefault="00F5231E" w:rsidP="00F5231E">
            <w:pPr>
              <w:jc w:val="center"/>
              <w:rPr>
                <w:b/>
                <w:bCs/>
                <w:sz w:val="20"/>
                <w:szCs w:val="20"/>
              </w:rPr>
            </w:pPr>
            <w:r w:rsidRPr="009F227C">
              <w:rPr>
                <w:b/>
                <w:bCs/>
                <w:sz w:val="20"/>
                <w:szCs w:val="20"/>
              </w:rPr>
              <w:t>Approved</w:t>
            </w:r>
          </w:p>
        </w:tc>
        <w:tc>
          <w:tcPr>
            <w:tcW w:w="1220" w:type="dxa"/>
            <w:tcBorders>
              <w:top w:val="nil"/>
              <w:left w:val="nil"/>
              <w:bottom w:val="nil"/>
              <w:right w:val="single" w:sz="4" w:space="0" w:color="auto"/>
            </w:tcBorders>
            <w:shd w:val="clear" w:color="000000" w:fill="FFFFFF"/>
            <w:noWrap/>
            <w:vAlign w:val="bottom"/>
            <w:hideMark/>
          </w:tcPr>
          <w:p w14:paraId="2ECE952A" w14:textId="77777777" w:rsidR="00AC30DF" w:rsidRPr="009F227C" w:rsidRDefault="00F5231E" w:rsidP="00F5231E">
            <w:pPr>
              <w:jc w:val="center"/>
              <w:rPr>
                <w:b/>
                <w:bCs/>
                <w:sz w:val="20"/>
                <w:szCs w:val="20"/>
              </w:rPr>
            </w:pPr>
            <w:r w:rsidRPr="009F227C">
              <w:rPr>
                <w:b/>
                <w:bCs/>
                <w:sz w:val="20"/>
                <w:szCs w:val="20"/>
              </w:rPr>
              <w:t>Approved</w:t>
            </w:r>
          </w:p>
        </w:tc>
      </w:tr>
      <w:tr w:rsidR="00AC30DF" w:rsidRPr="009F227C" w14:paraId="44BA490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73E4430"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6ACAAC18" w14:textId="77777777" w:rsidR="00AC30DF" w:rsidRPr="009F227C" w:rsidRDefault="00AC30DF" w:rsidP="00AC30DF">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7C38F992" w14:textId="77777777" w:rsidR="00AC30DF" w:rsidRPr="009F227C" w:rsidRDefault="00AC30DF" w:rsidP="00AC30DF">
            <w:pPr>
              <w:jc w:val="center"/>
              <w:rPr>
                <w:b/>
                <w:bCs/>
                <w:sz w:val="20"/>
                <w:szCs w:val="20"/>
              </w:rPr>
            </w:pPr>
            <w:r w:rsidRPr="009F227C">
              <w:rPr>
                <w:b/>
                <w:bCs/>
                <w:sz w:val="20"/>
                <w:szCs w:val="20"/>
              </w:rPr>
              <w:t>Per</w:t>
            </w:r>
          </w:p>
        </w:tc>
        <w:tc>
          <w:tcPr>
            <w:tcW w:w="1220" w:type="dxa"/>
            <w:tcBorders>
              <w:top w:val="nil"/>
              <w:left w:val="nil"/>
              <w:bottom w:val="nil"/>
              <w:right w:val="nil"/>
            </w:tcBorders>
            <w:shd w:val="clear" w:color="000000" w:fill="FFFFFF"/>
            <w:noWrap/>
            <w:vAlign w:val="bottom"/>
            <w:hideMark/>
          </w:tcPr>
          <w:p w14:paraId="30CB42C3" w14:textId="77777777" w:rsidR="00AC30DF" w:rsidRPr="009F227C" w:rsidRDefault="00AC30DF" w:rsidP="00AC30DF">
            <w:pPr>
              <w:jc w:val="center"/>
              <w:rPr>
                <w:b/>
                <w:bCs/>
                <w:sz w:val="20"/>
                <w:szCs w:val="20"/>
              </w:rPr>
            </w:pPr>
            <w:r w:rsidRPr="009F227C">
              <w:rPr>
                <w:b/>
                <w:bCs/>
                <w:sz w:val="20"/>
                <w:szCs w:val="20"/>
              </w:rPr>
              <w:t>Adjust-</w:t>
            </w:r>
          </w:p>
        </w:tc>
        <w:tc>
          <w:tcPr>
            <w:tcW w:w="1220" w:type="dxa"/>
            <w:tcBorders>
              <w:top w:val="nil"/>
              <w:left w:val="nil"/>
              <w:bottom w:val="nil"/>
              <w:right w:val="nil"/>
            </w:tcBorders>
            <w:shd w:val="clear" w:color="000000" w:fill="FFFFFF"/>
            <w:noWrap/>
            <w:vAlign w:val="bottom"/>
            <w:hideMark/>
          </w:tcPr>
          <w:p w14:paraId="00CCFBE6" w14:textId="77777777" w:rsidR="00AC30DF" w:rsidRPr="009F227C" w:rsidRDefault="00AC30DF" w:rsidP="00AC30DF">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52E85DDA" w14:textId="77777777" w:rsidR="00AC30DF" w:rsidRPr="009F227C" w:rsidRDefault="00AC30DF" w:rsidP="00AC30DF">
            <w:pPr>
              <w:jc w:val="center"/>
              <w:rPr>
                <w:b/>
                <w:bCs/>
                <w:sz w:val="20"/>
                <w:szCs w:val="20"/>
              </w:rPr>
            </w:pPr>
            <w:r w:rsidRPr="009F227C">
              <w:rPr>
                <w:b/>
                <w:bCs/>
                <w:sz w:val="20"/>
                <w:szCs w:val="20"/>
              </w:rPr>
              <w:t>Adjust-</w:t>
            </w:r>
          </w:p>
        </w:tc>
        <w:tc>
          <w:tcPr>
            <w:tcW w:w="1220" w:type="dxa"/>
            <w:tcBorders>
              <w:top w:val="nil"/>
              <w:left w:val="nil"/>
              <w:bottom w:val="nil"/>
              <w:right w:val="single" w:sz="4" w:space="0" w:color="auto"/>
            </w:tcBorders>
            <w:shd w:val="clear" w:color="000000" w:fill="FFFFFF"/>
            <w:noWrap/>
            <w:vAlign w:val="bottom"/>
            <w:hideMark/>
          </w:tcPr>
          <w:p w14:paraId="37654FFC" w14:textId="77777777" w:rsidR="00AC30DF" w:rsidRPr="009F227C" w:rsidRDefault="00AC30DF" w:rsidP="00AC30DF">
            <w:pPr>
              <w:jc w:val="center"/>
              <w:rPr>
                <w:b/>
                <w:bCs/>
                <w:sz w:val="20"/>
                <w:szCs w:val="20"/>
              </w:rPr>
            </w:pPr>
            <w:r w:rsidRPr="009F227C">
              <w:rPr>
                <w:b/>
                <w:bCs/>
                <w:sz w:val="20"/>
                <w:szCs w:val="20"/>
              </w:rPr>
              <w:t>Adjusted</w:t>
            </w:r>
          </w:p>
        </w:tc>
      </w:tr>
      <w:tr w:rsidR="00AC30DF" w:rsidRPr="009F227C" w14:paraId="76E5E27F"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9910450"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0B5F3853" w14:textId="77777777" w:rsidR="00AC30DF" w:rsidRPr="009F227C" w:rsidRDefault="00AC30DF" w:rsidP="00AC30DF">
            <w:pPr>
              <w:jc w:val="center"/>
              <w:rPr>
                <w:b/>
                <w:bCs/>
                <w:sz w:val="20"/>
                <w:szCs w:val="20"/>
              </w:rPr>
            </w:pPr>
            <w:r w:rsidRPr="009F227C">
              <w:rPr>
                <w:b/>
                <w:bCs/>
                <w:sz w:val="20"/>
                <w:szCs w:val="20"/>
              </w:rPr>
              <w:t>Description</w:t>
            </w:r>
          </w:p>
        </w:tc>
        <w:tc>
          <w:tcPr>
            <w:tcW w:w="1220" w:type="dxa"/>
            <w:tcBorders>
              <w:top w:val="nil"/>
              <w:left w:val="nil"/>
              <w:bottom w:val="nil"/>
              <w:right w:val="nil"/>
            </w:tcBorders>
            <w:shd w:val="clear" w:color="000000" w:fill="FFFFFF"/>
            <w:noWrap/>
            <w:vAlign w:val="bottom"/>
            <w:hideMark/>
          </w:tcPr>
          <w:p w14:paraId="5F0071A9" w14:textId="77777777" w:rsidR="00AC30DF" w:rsidRPr="009F227C" w:rsidRDefault="00AC30DF" w:rsidP="00AC30DF">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2F15525D" w14:textId="77777777" w:rsidR="00AC30DF" w:rsidRPr="009F227C" w:rsidRDefault="00AC30DF" w:rsidP="00AC30DF">
            <w:pPr>
              <w:jc w:val="center"/>
              <w:rPr>
                <w:b/>
                <w:bCs/>
                <w:sz w:val="20"/>
                <w:szCs w:val="20"/>
              </w:rPr>
            </w:pPr>
            <w:r w:rsidRPr="009F227C">
              <w:rPr>
                <w:b/>
                <w:bCs/>
                <w:sz w:val="20"/>
                <w:szCs w:val="20"/>
              </w:rPr>
              <w:t>ments</w:t>
            </w:r>
          </w:p>
        </w:tc>
        <w:tc>
          <w:tcPr>
            <w:tcW w:w="1220" w:type="dxa"/>
            <w:tcBorders>
              <w:top w:val="nil"/>
              <w:left w:val="nil"/>
              <w:bottom w:val="nil"/>
              <w:right w:val="nil"/>
            </w:tcBorders>
            <w:shd w:val="clear" w:color="000000" w:fill="FFFFFF"/>
            <w:noWrap/>
            <w:vAlign w:val="bottom"/>
            <w:hideMark/>
          </w:tcPr>
          <w:p w14:paraId="600577D3" w14:textId="77777777" w:rsidR="00AC30DF" w:rsidRPr="009F227C" w:rsidRDefault="00AC30DF" w:rsidP="00AC30DF">
            <w:pPr>
              <w:jc w:val="center"/>
              <w:rPr>
                <w:b/>
                <w:bCs/>
                <w:sz w:val="20"/>
                <w:szCs w:val="20"/>
              </w:rPr>
            </w:pPr>
            <w:r w:rsidRPr="009F227C">
              <w:rPr>
                <w:b/>
                <w:bCs/>
                <w:sz w:val="20"/>
                <w:szCs w:val="20"/>
              </w:rPr>
              <w:t>Per Utility</w:t>
            </w:r>
          </w:p>
        </w:tc>
        <w:tc>
          <w:tcPr>
            <w:tcW w:w="1220" w:type="dxa"/>
            <w:tcBorders>
              <w:top w:val="nil"/>
              <w:left w:val="nil"/>
              <w:bottom w:val="nil"/>
              <w:right w:val="nil"/>
            </w:tcBorders>
            <w:shd w:val="clear" w:color="000000" w:fill="FFFFFF"/>
            <w:noWrap/>
            <w:vAlign w:val="bottom"/>
            <w:hideMark/>
          </w:tcPr>
          <w:p w14:paraId="4CD2C2C7" w14:textId="77777777" w:rsidR="00AC30DF" w:rsidRPr="009F227C" w:rsidRDefault="00AC30DF" w:rsidP="00AC30DF">
            <w:pPr>
              <w:jc w:val="center"/>
              <w:rPr>
                <w:b/>
                <w:bCs/>
                <w:sz w:val="20"/>
                <w:szCs w:val="20"/>
              </w:rPr>
            </w:pPr>
            <w:r w:rsidRPr="009F227C">
              <w:rPr>
                <w:b/>
                <w:bCs/>
                <w:sz w:val="20"/>
                <w:szCs w:val="20"/>
              </w:rPr>
              <w:t>ments</w:t>
            </w:r>
          </w:p>
        </w:tc>
        <w:tc>
          <w:tcPr>
            <w:tcW w:w="1220" w:type="dxa"/>
            <w:tcBorders>
              <w:top w:val="nil"/>
              <w:left w:val="nil"/>
              <w:bottom w:val="nil"/>
              <w:right w:val="single" w:sz="4" w:space="0" w:color="auto"/>
            </w:tcBorders>
            <w:shd w:val="clear" w:color="000000" w:fill="FFFFFF"/>
            <w:noWrap/>
            <w:vAlign w:val="bottom"/>
            <w:hideMark/>
          </w:tcPr>
          <w:p w14:paraId="4C872010" w14:textId="77777777" w:rsidR="00AC30DF" w:rsidRPr="009F227C" w:rsidRDefault="00AC30DF" w:rsidP="00AC30DF">
            <w:pPr>
              <w:jc w:val="center"/>
              <w:rPr>
                <w:b/>
                <w:bCs/>
                <w:sz w:val="20"/>
                <w:szCs w:val="20"/>
              </w:rPr>
            </w:pPr>
            <w:r w:rsidRPr="009F227C">
              <w:rPr>
                <w:b/>
                <w:bCs/>
                <w:sz w:val="20"/>
                <w:szCs w:val="20"/>
              </w:rPr>
              <w:t>Test Year</w:t>
            </w:r>
          </w:p>
        </w:tc>
      </w:tr>
      <w:tr w:rsidR="00AC30DF" w:rsidRPr="009F227C" w14:paraId="0990B3AE"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C2F166C"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657C29D7"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75DF9A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B3EEEEF"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860FEF2"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C2165A1"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4844918D" w14:textId="77777777" w:rsidR="00AC30DF" w:rsidRPr="009F227C" w:rsidRDefault="00AC30DF" w:rsidP="00AC30DF">
            <w:pPr>
              <w:rPr>
                <w:sz w:val="20"/>
                <w:szCs w:val="20"/>
              </w:rPr>
            </w:pPr>
            <w:r w:rsidRPr="009F227C">
              <w:rPr>
                <w:sz w:val="20"/>
                <w:szCs w:val="20"/>
              </w:rPr>
              <w:t> </w:t>
            </w:r>
          </w:p>
        </w:tc>
      </w:tr>
      <w:tr w:rsidR="00AC30DF" w:rsidRPr="009F227C" w14:paraId="1DA11927" w14:textId="77777777" w:rsidTr="00AC30DF">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0F49CB71" w14:textId="77777777" w:rsidR="00AC30DF" w:rsidRPr="009F227C" w:rsidRDefault="00AC30DF" w:rsidP="00AC30DF">
            <w:pPr>
              <w:rPr>
                <w:sz w:val="20"/>
                <w:szCs w:val="20"/>
              </w:rPr>
            </w:pPr>
            <w:r w:rsidRPr="009F227C">
              <w:rPr>
                <w:sz w:val="20"/>
                <w:szCs w:val="20"/>
              </w:rPr>
              <w:t> </w:t>
            </w:r>
          </w:p>
        </w:tc>
        <w:tc>
          <w:tcPr>
            <w:tcW w:w="3260" w:type="dxa"/>
            <w:tcBorders>
              <w:top w:val="single" w:sz="4" w:space="0" w:color="000000"/>
              <w:left w:val="nil"/>
              <w:bottom w:val="nil"/>
              <w:right w:val="nil"/>
            </w:tcBorders>
            <w:shd w:val="clear" w:color="000000" w:fill="FFFFFF"/>
            <w:noWrap/>
            <w:vAlign w:val="bottom"/>
            <w:hideMark/>
          </w:tcPr>
          <w:p w14:paraId="1D0E6E7E"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DB19357"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306E59F5"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147DCE52"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3960C9C0"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14:paraId="512899CC" w14:textId="77777777" w:rsidR="00AC30DF" w:rsidRPr="009F227C" w:rsidRDefault="00AC30DF" w:rsidP="00AC30DF">
            <w:pPr>
              <w:rPr>
                <w:sz w:val="20"/>
                <w:szCs w:val="20"/>
              </w:rPr>
            </w:pPr>
            <w:r w:rsidRPr="009F227C">
              <w:rPr>
                <w:sz w:val="20"/>
                <w:szCs w:val="20"/>
              </w:rPr>
              <w:t> </w:t>
            </w:r>
          </w:p>
        </w:tc>
      </w:tr>
      <w:tr w:rsidR="00AC30DF" w:rsidRPr="009F227C" w14:paraId="67CA55F2"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84EB22D"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0E164D5B"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08A249D8"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4F79645"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394CB4C0"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4EBF01DD"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14:paraId="10B76C81" w14:textId="77777777" w:rsidR="00AC30DF" w:rsidRPr="009F227C" w:rsidRDefault="00AC30DF" w:rsidP="00AC30DF">
            <w:pPr>
              <w:rPr>
                <w:sz w:val="20"/>
                <w:szCs w:val="20"/>
              </w:rPr>
            </w:pPr>
            <w:r w:rsidRPr="009F227C">
              <w:rPr>
                <w:sz w:val="20"/>
                <w:szCs w:val="20"/>
              </w:rPr>
              <w:t> </w:t>
            </w:r>
          </w:p>
        </w:tc>
      </w:tr>
      <w:tr w:rsidR="00AC30DF" w:rsidRPr="009F227C" w14:paraId="066F19B5"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85010E2" w14:textId="77777777" w:rsidR="00AC30DF" w:rsidRPr="009F227C" w:rsidRDefault="00AC30DF" w:rsidP="00AC30DF">
            <w:pPr>
              <w:jc w:val="center"/>
              <w:rPr>
                <w:sz w:val="20"/>
                <w:szCs w:val="20"/>
              </w:rPr>
            </w:pPr>
            <w:r w:rsidRPr="009F227C">
              <w:rPr>
                <w:sz w:val="20"/>
                <w:szCs w:val="20"/>
              </w:rPr>
              <w:t>1</w:t>
            </w:r>
          </w:p>
        </w:tc>
        <w:tc>
          <w:tcPr>
            <w:tcW w:w="3260" w:type="dxa"/>
            <w:tcBorders>
              <w:top w:val="nil"/>
              <w:left w:val="nil"/>
              <w:bottom w:val="nil"/>
              <w:right w:val="nil"/>
            </w:tcBorders>
            <w:shd w:val="clear" w:color="000000" w:fill="FFFFFF"/>
            <w:noWrap/>
            <w:vAlign w:val="bottom"/>
            <w:hideMark/>
          </w:tcPr>
          <w:p w14:paraId="12A4A47E" w14:textId="77777777" w:rsidR="00AC30DF" w:rsidRPr="009F227C" w:rsidRDefault="00AC30DF" w:rsidP="00AC30DF">
            <w:pPr>
              <w:rPr>
                <w:sz w:val="20"/>
                <w:szCs w:val="20"/>
              </w:rPr>
            </w:pPr>
            <w:r w:rsidRPr="009F227C">
              <w:rPr>
                <w:sz w:val="20"/>
                <w:szCs w:val="20"/>
              </w:rPr>
              <w:t>Plant in Service</w:t>
            </w:r>
          </w:p>
        </w:tc>
        <w:tc>
          <w:tcPr>
            <w:tcW w:w="1220" w:type="dxa"/>
            <w:tcBorders>
              <w:top w:val="nil"/>
              <w:left w:val="nil"/>
              <w:bottom w:val="nil"/>
              <w:right w:val="nil"/>
            </w:tcBorders>
            <w:shd w:val="clear" w:color="000000" w:fill="FFFFFF"/>
            <w:noWrap/>
            <w:vAlign w:val="bottom"/>
            <w:hideMark/>
          </w:tcPr>
          <w:p w14:paraId="514728F3" w14:textId="77777777" w:rsidR="00AC30DF" w:rsidRPr="009F227C" w:rsidRDefault="00AC30DF" w:rsidP="00AC30DF">
            <w:pPr>
              <w:jc w:val="right"/>
              <w:rPr>
                <w:sz w:val="20"/>
                <w:szCs w:val="20"/>
              </w:rPr>
            </w:pPr>
            <w:r w:rsidRPr="009F227C">
              <w:rPr>
                <w:sz w:val="20"/>
                <w:szCs w:val="20"/>
              </w:rPr>
              <w:t>$153,190,867</w:t>
            </w:r>
          </w:p>
        </w:tc>
        <w:tc>
          <w:tcPr>
            <w:tcW w:w="1220" w:type="dxa"/>
            <w:tcBorders>
              <w:top w:val="nil"/>
              <w:left w:val="nil"/>
              <w:bottom w:val="nil"/>
              <w:right w:val="nil"/>
            </w:tcBorders>
            <w:shd w:val="clear" w:color="000000" w:fill="FFFFFF"/>
            <w:noWrap/>
            <w:vAlign w:val="bottom"/>
            <w:hideMark/>
          </w:tcPr>
          <w:p w14:paraId="31FACE71" w14:textId="77777777" w:rsidR="00AC30DF" w:rsidRPr="009F227C" w:rsidRDefault="00AC30DF" w:rsidP="00AC30DF">
            <w:pPr>
              <w:jc w:val="right"/>
              <w:rPr>
                <w:sz w:val="20"/>
                <w:szCs w:val="20"/>
              </w:rPr>
            </w:pPr>
            <w:r w:rsidRPr="009F227C">
              <w:rPr>
                <w:sz w:val="20"/>
                <w:szCs w:val="20"/>
              </w:rPr>
              <w:t>$31,399,624</w:t>
            </w:r>
          </w:p>
        </w:tc>
        <w:tc>
          <w:tcPr>
            <w:tcW w:w="1220" w:type="dxa"/>
            <w:tcBorders>
              <w:top w:val="nil"/>
              <w:left w:val="nil"/>
              <w:bottom w:val="nil"/>
              <w:right w:val="nil"/>
            </w:tcBorders>
            <w:shd w:val="clear" w:color="000000" w:fill="FFFFFF"/>
            <w:noWrap/>
            <w:vAlign w:val="bottom"/>
            <w:hideMark/>
          </w:tcPr>
          <w:p w14:paraId="7DCE888F" w14:textId="77777777" w:rsidR="00AC30DF" w:rsidRPr="009F227C" w:rsidRDefault="00AC30DF" w:rsidP="00AC30DF">
            <w:pPr>
              <w:jc w:val="right"/>
              <w:rPr>
                <w:sz w:val="20"/>
                <w:szCs w:val="20"/>
              </w:rPr>
            </w:pPr>
            <w:r w:rsidRPr="009F227C">
              <w:rPr>
                <w:sz w:val="20"/>
                <w:szCs w:val="20"/>
              </w:rPr>
              <w:t>$184,590,491</w:t>
            </w:r>
          </w:p>
        </w:tc>
        <w:tc>
          <w:tcPr>
            <w:tcW w:w="1220" w:type="dxa"/>
            <w:tcBorders>
              <w:top w:val="nil"/>
              <w:left w:val="nil"/>
              <w:bottom w:val="nil"/>
              <w:right w:val="nil"/>
            </w:tcBorders>
            <w:shd w:val="clear" w:color="000000" w:fill="FFFFFF"/>
            <w:noWrap/>
            <w:vAlign w:val="bottom"/>
            <w:hideMark/>
          </w:tcPr>
          <w:p w14:paraId="7759C909" w14:textId="77777777" w:rsidR="00AC30DF" w:rsidRPr="009F227C" w:rsidRDefault="00AC30DF" w:rsidP="00AC30DF">
            <w:pPr>
              <w:jc w:val="right"/>
              <w:rPr>
                <w:sz w:val="20"/>
                <w:szCs w:val="20"/>
              </w:rPr>
            </w:pPr>
            <w:r w:rsidRPr="009F227C">
              <w:rPr>
                <w:sz w:val="20"/>
                <w:szCs w:val="20"/>
              </w:rPr>
              <w:t>$9,565,370</w:t>
            </w:r>
          </w:p>
        </w:tc>
        <w:tc>
          <w:tcPr>
            <w:tcW w:w="1220" w:type="dxa"/>
            <w:tcBorders>
              <w:top w:val="nil"/>
              <w:left w:val="nil"/>
              <w:bottom w:val="nil"/>
              <w:right w:val="single" w:sz="4" w:space="0" w:color="auto"/>
            </w:tcBorders>
            <w:shd w:val="clear" w:color="000000" w:fill="FFFFFF"/>
            <w:noWrap/>
            <w:vAlign w:val="bottom"/>
            <w:hideMark/>
          </w:tcPr>
          <w:p w14:paraId="4A825E79" w14:textId="77777777" w:rsidR="00AC30DF" w:rsidRPr="009F227C" w:rsidRDefault="00AC30DF" w:rsidP="00AC30DF">
            <w:pPr>
              <w:jc w:val="right"/>
              <w:rPr>
                <w:sz w:val="20"/>
                <w:szCs w:val="20"/>
              </w:rPr>
            </w:pPr>
            <w:r w:rsidRPr="009F227C">
              <w:rPr>
                <w:sz w:val="20"/>
                <w:szCs w:val="20"/>
              </w:rPr>
              <w:t>$194,155,861</w:t>
            </w:r>
          </w:p>
        </w:tc>
      </w:tr>
      <w:tr w:rsidR="00AC30DF" w:rsidRPr="009F227C" w14:paraId="33947677"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F39EEBF"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1C8905DB"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4FB26EC3"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B4FFE4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6DA3EDD"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DAA54B0"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1A7FCAD1" w14:textId="77777777" w:rsidR="00AC30DF" w:rsidRPr="009F227C" w:rsidRDefault="00AC30DF" w:rsidP="00AC30DF">
            <w:pPr>
              <w:rPr>
                <w:sz w:val="20"/>
                <w:szCs w:val="20"/>
              </w:rPr>
            </w:pPr>
            <w:r w:rsidRPr="009F227C">
              <w:rPr>
                <w:sz w:val="20"/>
                <w:szCs w:val="20"/>
              </w:rPr>
              <w:t> </w:t>
            </w:r>
          </w:p>
        </w:tc>
      </w:tr>
      <w:tr w:rsidR="00AC30DF" w:rsidRPr="009F227C" w14:paraId="10A48B76"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1917218" w14:textId="77777777" w:rsidR="00AC30DF" w:rsidRPr="009F227C" w:rsidRDefault="00AC30DF" w:rsidP="00AC30DF">
            <w:pPr>
              <w:jc w:val="center"/>
              <w:rPr>
                <w:sz w:val="20"/>
                <w:szCs w:val="20"/>
              </w:rPr>
            </w:pPr>
            <w:r w:rsidRPr="009F227C">
              <w:rPr>
                <w:sz w:val="20"/>
                <w:szCs w:val="20"/>
              </w:rPr>
              <w:t>2</w:t>
            </w:r>
          </w:p>
        </w:tc>
        <w:tc>
          <w:tcPr>
            <w:tcW w:w="3260" w:type="dxa"/>
            <w:tcBorders>
              <w:top w:val="nil"/>
              <w:left w:val="nil"/>
              <w:bottom w:val="nil"/>
              <w:right w:val="nil"/>
            </w:tcBorders>
            <w:shd w:val="clear" w:color="000000" w:fill="FFFFFF"/>
            <w:noWrap/>
            <w:vAlign w:val="bottom"/>
            <w:hideMark/>
          </w:tcPr>
          <w:p w14:paraId="23D2EBC5" w14:textId="77777777" w:rsidR="00AC30DF" w:rsidRPr="009F227C" w:rsidRDefault="00AC30DF" w:rsidP="00AC30DF">
            <w:pPr>
              <w:rPr>
                <w:sz w:val="20"/>
                <w:szCs w:val="20"/>
              </w:rPr>
            </w:pPr>
            <w:r w:rsidRPr="009F227C">
              <w:rPr>
                <w:sz w:val="20"/>
                <w:szCs w:val="20"/>
              </w:rPr>
              <w:t>Land and Land Rights</w:t>
            </w:r>
          </w:p>
        </w:tc>
        <w:tc>
          <w:tcPr>
            <w:tcW w:w="1220" w:type="dxa"/>
            <w:tcBorders>
              <w:top w:val="nil"/>
              <w:left w:val="nil"/>
              <w:bottom w:val="nil"/>
              <w:right w:val="nil"/>
            </w:tcBorders>
            <w:shd w:val="clear" w:color="000000" w:fill="FFFFFF"/>
            <w:noWrap/>
            <w:vAlign w:val="bottom"/>
            <w:hideMark/>
          </w:tcPr>
          <w:p w14:paraId="6DABB15E" w14:textId="77777777" w:rsidR="00AC30DF" w:rsidRPr="009F227C" w:rsidRDefault="00AC30DF" w:rsidP="00AC30DF">
            <w:pPr>
              <w:jc w:val="right"/>
              <w:rPr>
                <w:sz w:val="20"/>
                <w:szCs w:val="20"/>
              </w:rPr>
            </w:pPr>
            <w:r w:rsidRPr="009F227C">
              <w:rPr>
                <w:sz w:val="20"/>
                <w:szCs w:val="20"/>
              </w:rPr>
              <w:t>510,063</w:t>
            </w:r>
          </w:p>
        </w:tc>
        <w:tc>
          <w:tcPr>
            <w:tcW w:w="1220" w:type="dxa"/>
            <w:tcBorders>
              <w:top w:val="nil"/>
              <w:left w:val="nil"/>
              <w:bottom w:val="nil"/>
              <w:right w:val="nil"/>
            </w:tcBorders>
            <w:shd w:val="clear" w:color="000000" w:fill="FFFFFF"/>
            <w:noWrap/>
            <w:vAlign w:val="bottom"/>
            <w:hideMark/>
          </w:tcPr>
          <w:p w14:paraId="6EC043F4" w14:textId="77777777" w:rsidR="00AC30DF" w:rsidRPr="009F227C" w:rsidRDefault="00AC30DF" w:rsidP="00AC30DF">
            <w:pPr>
              <w:jc w:val="right"/>
              <w:rPr>
                <w:sz w:val="20"/>
                <w:szCs w:val="20"/>
              </w:rPr>
            </w:pPr>
            <w:r w:rsidRPr="009F227C">
              <w:rPr>
                <w:sz w:val="20"/>
                <w:szCs w:val="20"/>
              </w:rPr>
              <w:t>46,750</w:t>
            </w:r>
          </w:p>
        </w:tc>
        <w:tc>
          <w:tcPr>
            <w:tcW w:w="1220" w:type="dxa"/>
            <w:tcBorders>
              <w:top w:val="nil"/>
              <w:left w:val="nil"/>
              <w:bottom w:val="nil"/>
              <w:right w:val="nil"/>
            </w:tcBorders>
            <w:shd w:val="clear" w:color="000000" w:fill="FFFFFF"/>
            <w:noWrap/>
            <w:vAlign w:val="bottom"/>
            <w:hideMark/>
          </w:tcPr>
          <w:p w14:paraId="60FBDB8E" w14:textId="77777777" w:rsidR="00AC30DF" w:rsidRPr="009F227C" w:rsidRDefault="00AC30DF" w:rsidP="00AC30DF">
            <w:pPr>
              <w:jc w:val="right"/>
              <w:rPr>
                <w:sz w:val="20"/>
                <w:szCs w:val="20"/>
              </w:rPr>
            </w:pPr>
            <w:r w:rsidRPr="009F227C">
              <w:rPr>
                <w:sz w:val="20"/>
                <w:szCs w:val="20"/>
              </w:rPr>
              <w:t>556,813</w:t>
            </w:r>
          </w:p>
        </w:tc>
        <w:tc>
          <w:tcPr>
            <w:tcW w:w="1220" w:type="dxa"/>
            <w:tcBorders>
              <w:top w:val="nil"/>
              <w:left w:val="nil"/>
              <w:bottom w:val="nil"/>
              <w:right w:val="nil"/>
            </w:tcBorders>
            <w:shd w:val="clear" w:color="000000" w:fill="FFFFFF"/>
            <w:noWrap/>
            <w:vAlign w:val="bottom"/>
            <w:hideMark/>
          </w:tcPr>
          <w:p w14:paraId="3922B06D" w14:textId="77777777" w:rsidR="00AC30DF" w:rsidRPr="009F227C" w:rsidRDefault="00AC30DF" w:rsidP="00AC30DF">
            <w:pPr>
              <w:jc w:val="right"/>
              <w:rPr>
                <w:sz w:val="20"/>
                <w:szCs w:val="20"/>
              </w:rPr>
            </w:pPr>
            <w:r w:rsidRPr="009F227C">
              <w:rPr>
                <w:sz w:val="20"/>
                <w:szCs w:val="20"/>
              </w:rPr>
              <w:t>(27,486)</w:t>
            </w:r>
          </w:p>
        </w:tc>
        <w:tc>
          <w:tcPr>
            <w:tcW w:w="1220" w:type="dxa"/>
            <w:tcBorders>
              <w:top w:val="nil"/>
              <w:left w:val="nil"/>
              <w:bottom w:val="nil"/>
              <w:right w:val="single" w:sz="4" w:space="0" w:color="auto"/>
            </w:tcBorders>
            <w:shd w:val="clear" w:color="000000" w:fill="FFFFFF"/>
            <w:noWrap/>
            <w:vAlign w:val="bottom"/>
            <w:hideMark/>
          </w:tcPr>
          <w:p w14:paraId="02D71746" w14:textId="77777777" w:rsidR="00AC30DF" w:rsidRPr="009F227C" w:rsidRDefault="00AC30DF" w:rsidP="00AC30DF">
            <w:pPr>
              <w:jc w:val="right"/>
              <w:rPr>
                <w:sz w:val="20"/>
                <w:szCs w:val="20"/>
              </w:rPr>
            </w:pPr>
            <w:r w:rsidRPr="009F227C">
              <w:rPr>
                <w:sz w:val="20"/>
                <w:szCs w:val="20"/>
              </w:rPr>
              <w:t>529,327</w:t>
            </w:r>
          </w:p>
        </w:tc>
      </w:tr>
      <w:tr w:rsidR="00AC30DF" w:rsidRPr="009F227C" w14:paraId="7EEF8DF5"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386D5BC"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36C249B1"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5691CE3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2A0CF53"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E3E779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D7EF742"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AE06E2D" w14:textId="77777777" w:rsidR="00AC30DF" w:rsidRPr="009F227C" w:rsidRDefault="00AC30DF" w:rsidP="00AC30DF">
            <w:pPr>
              <w:rPr>
                <w:sz w:val="20"/>
                <w:szCs w:val="20"/>
              </w:rPr>
            </w:pPr>
            <w:r w:rsidRPr="009F227C">
              <w:rPr>
                <w:sz w:val="20"/>
                <w:szCs w:val="20"/>
              </w:rPr>
              <w:t> </w:t>
            </w:r>
          </w:p>
        </w:tc>
      </w:tr>
      <w:tr w:rsidR="00AC30DF" w:rsidRPr="009F227C" w14:paraId="5359BF5F"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725F97F" w14:textId="77777777" w:rsidR="00AC30DF" w:rsidRPr="009F227C" w:rsidRDefault="00AC30DF" w:rsidP="00AC30DF">
            <w:pPr>
              <w:jc w:val="center"/>
              <w:rPr>
                <w:sz w:val="20"/>
                <w:szCs w:val="20"/>
              </w:rPr>
            </w:pPr>
            <w:r w:rsidRPr="009F227C">
              <w:rPr>
                <w:sz w:val="20"/>
                <w:szCs w:val="20"/>
              </w:rPr>
              <w:t>3</w:t>
            </w:r>
          </w:p>
        </w:tc>
        <w:tc>
          <w:tcPr>
            <w:tcW w:w="3260" w:type="dxa"/>
            <w:tcBorders>
              <w:top w:val="nil"/>
              <w:left w:val="nil"/>
              <w:bottom w:val="nil"/>
              <w:right w:val="nil"/>
            </w:tcBorders>
            <w:shd w:val="clear" w:color="000000" w:fill="FFFFFF"/>
            <w:noWrap/>
            <w:vAlign w:val="bottom"/>
            <w:hideMark/>
          </w:tcPr>
          <w:p w14:paraId="16E162F8" w14:textId="77777777" w:rsidR="00AC30DF" w:rsidRPr="009F227C" w:rsidRDefault="00AC30DF" w:rsidP="00AC30DF">
            <w:pPr>
              <w:rPr>
                <w:sz w:val="20"/>
                <w:szCs w:val="20"/>
              </w:rPr>
            </w:pPr>
            <w:r w:rsidRPr="009F227C">
              <w:rPr>
                <w:sz w:val="20"/>
                <w:szCs w:val="20"/>
              </w:rPr>
              <w:t>Non-used and Useful Components</w:t>
            </w:r>
          </w:p>
        </w:tc>
        <w:tc>
          <w:tcPr>
            <w:tcW w:w="1220" w:type="dxa"/>
            <w:tcBorders>
              <w:top w:val="nil"/>
              <w:left w:val="nil"/>
              <w:bottom w:val="nil"/>
              <w:right w:val="nil"/>
            </w:tcBorders>
            <w:shd w:val="clear" w:color="000000" w:fill="FFFFFF"/>
            <w:noWrap/>
            <w:vAlign w:val="bottom"/>
            <w:hideMark/>
          </w:tcPr>
          <w:p w14:paraId="5F9E71CC"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5C8097AB" w14:textId="77777777" w:rsidR="00AC30DF" w:rsidRPr="009F227C" w:rsidRDefault="00AC30DF" w:rsidP="00AC30DF">
            <w:pPr>
              <w:jc w:val="right"/>
              <w:rPr>
                <w:sz w:val="20"/>
                <w:szCs w:val="20"/>
              </w:rPr>
            </w:pPr>
            <w:r w:rsidRPr="009F227C">
              <w:rPr>
                <w:sz w:val="20"/>
                <w:szCs w:val="20"/>
              </w:rPr>
              <w:t>(140,657)</w:t>
            </w:r>
          </w:p>
        </w:tc>
        <w:tc>
          <w:tcPr>
            <w:tcW w:w="1220" w:type="dxa"/>
            <w:tcBorders>
              <w:top w:val="nil"/>
              <w:left w:val="nil"/>
              <w:bottom w:val="nil"/>
              <w:right w:val="nil"/>
            </w:tcBorders>
            <w:shd w:val="clear" w:color="000000" w:fill="FFFFFF"/>
            <w:noWrap/>
            <w:vAlign w:val="bottom"/>
            <w:hideMark/>
          </w:tcPr>
          <w:p w14:paraId="4C475EED" w14:textId="77777777" w:rsidR="00AC30DF" w:rsidRPr="009F227C" w:rsidRDefault="00AC30DF" w:rsidP="00AC30DF">
            <w:pPr>
              <w:jc w:val="right"/>
              <w:rPr>
                <w:sz w:val="20"/>
                <w:szCs w:val="20"/>
              </w:rPr>
            </w:pPr>
            <w:r w:rsidRPr="009F227C">
              <w:rPr>
                <w:sz w:val="20"/>
                <w:szCs w:val="20"/>
              </w:rPr>
              <w:t>(140,657)</w:t>
            </w:r>
          </w:p>
        </w:tc>
        <w:tc>
          <w:tcPr>
            <w:tcW w:w="1220" w:type="dxa"/>
            <w:tcBorders>
              <w:top w:val="nil"/>
              <w:left w:val="nil"/>
              <w:bottom w:val="nil"/>
              <w:right w:val="nil"/>
            </w:tcBorders>
            <w:shd w:val="clear" w:color="000000" w:fill="FFFFFF"/>
            <w:noWrap/>
            <w:vAlign w:val="bottom"/>
            <w:hideMark/>
          </w:tcPr>
          <w:p w14:paraId="691181D6"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14:paraId="5FAEE37B" w14:textId="77777777" w:rsidR="00AC30DF" w:rsidRPr="009F227C" w:rsidRDefault="00AC30DF" w:rsidP="00AC30DF">
            <w:pPr>
              <w:jc w:val="right"/>
              <w:rPr>
                <w:sz w:val="20"/>
                <w:szCs w:val="20"/>
              </w:rPr>
            </w:pPr>
            <w:r w:rsidRPr="009F227C">
              <w:rPr>
                <w:sz w:val="20"/>
                <w:szCs w:val="20"/>
              </w:rPr>
              <w:t>(140,657)</w:t>
            </w:r>
          </w:p>
        </w:tc>
      </w:tr>
      <w:tr w:rsidR="00AC30DF" w:rsidRPr="009F227C" w14:paraId="31F17C1A"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50F899C"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301F074E"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316808D0"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F26E65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2602640"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DA81C07"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0547E38E" w14:textId="77777777" w:rsidR="00AC30DF" w:rsidRPr="009F227C" w:rsidRDefault="00AC30DF" w:rsidP="00AC30DF">
            <w:pPr>
              <w:rPr>
                <w:sz w:val="20"/>
                <w:szCs w:val="20"/>
              </w:rPr>
            </w:pPr>
            <w:r w:rsidRPr="009F227C">
              <w:rPr>
                <w:sz w:val="20"/>
                <w:szCs w:val="20"/>
              </w:rPr>
              <w:t> </w:t>
            </w:r>
          </w:p>
        </w:tc>
      </w:tr>
      <w:tr w:rsidR="00AC30DF" w:rsidRPr="009F227C" w14:paraId="77DF4855"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832D028" w14:textId="77777777" w:rsidR="00AC30DF" w:rsidRPr="009F227C" w:rsidRDefault="00AC30DF" w:rsidP="00AC30DF">
            <w:pPr>
              <w:jc w:val="center"/>
              <w:rPr>
                <w:sz w:val="20"/>
                <w:szCs w:val="20"/>
              </w:rPr>
            </w:pPr>
            <w:r w:rsidRPr="009F227C">
              <w:rPr>
                <w:sz w:val="20"/>
                <w:szCs w:val="20"/>
              </w:rPr>
              <w:t>4</w:t>
            </w:r>
          </w:p>
        </w:tc>
        <w:tc>
          <w:tcPr>
            <w:tcW w:w="3260" w:type="dxa"/>
            <w:tcBorders>
              <w:top w:val="nil"/>
              <w:left w:val="nil"/>
              <w:bottom w:val="nil"/>
              <w:right w:val="nil"/>
            </w:tcBorders>
            <w:shd w:val="clear" w:color="000000" w:fill="FFFFFF"/>
            <w:noWrap/>
            <w:vAlign w:val="bottom"/>
            <w:hideMark/>
          </w:tcPr>
          <w:p w14:paraId="706858C8" w14:textId="77777777" w:rsidR="00AC30DF" w:rsidRPr="009F227C" w:rsidRDefault="00AC30DF" w:rsidP="00AC30DF">
            <w:pPr>
              <w:rPr>
                <w:sz w:val="20"/>
                <w:szCs w:val="20"/>
              </w:rPr>
            </w:pPr>
            <w:r w:rsidRPr="009F227C">
              <w:rPr>
                <w:sz w:val="20"/>
                <w:szCs w:val="20"/>
              </w:rPr>
              <w:t>Construction Work in Progress</w:t>
            </w:r>
          </w:p>
        </w:tc>
        <w:tc>
          <w:tcPr>
            <w:tcW w:w="1220" w:type="dxa"/>
            <w:tcBorders>
              <w:top w:val="nil"/>
              <w:left w:val="nil"/>
              <w:bottom w:val="nil"/>
              <w:right w:val="nil"/>
            </w:tcBorders>
            <w:shd w:val="clear" w:color="000000" w:fill="FFFFFF"/>
            <w:noWrap/>
            <w:vAlign w:val="bottom"/>
            <w:hideMark/>
          </w:tcPr>
          <w:p w14:paraId="6E22F115" w14:textId="77777777" w:rsidR="00AC30DF" w:rsidRPr="009F227C" w:rsidRDefault="00AC30DF" w:rsidP="00AC30DF">
            <w:pPr>
              <w:jc w:val="right"/>
              <w:rPr>
                <w:sz w:val="20"/>
                <w:szCs w:val="20"/>
              </w:rPr>
            </w:pPr>
            <w:r w:rsidRPr="009F227C">
              <w:rPr>
                <w:sz w:val="20"/>
                <w:szCs w:val="20"/>
              </w:rPr>
              <w:t xml:space="preserve">14,693,009 </w:t>
            </w:r>
          </w:p>
        </w:tc>
        <w:tc>
          <w:tcPr>
            <w:tcW w:w="1220" w:type="dxa"/>
            <w:tcBorders>
              <w:top w:val="nil"/>
              <w:left w:val="nil"/>
              <w:bottom w:val="nil"/>
              <w:right w:val="nil"/>
            </w:tcBorders>
            <w:shd w:val="clear" w:color="000000" w:fill="FFFFFF"/>
            <w:noWrap/>
            <w:vAlign w:val="bottom"/>
            <w:hideMark/>
          </w:tcPr>
          <w:p w14:paraId="4D87995B" w14:textId="77777777" w:rsidR="00AC30DF" w:rsidRPr="009F227C" w:rsidRDefault="00AC30DF" w:rsidP="00AC30DF">
            <w:pPr>
              <w:jc w:val="right"/>
              <w:rPr>
                <w:sz w:val="20"/>
                <w:szCs w:val="20"/>
              </w:rPr>
            </w:pPr>
            <w:r w:rsidRPr="009F227C">
              <w:rPr>
                <w:sz w:val="20"/>
                <w:szCs w:val="20"/>
              </w:rPr>
              <w:t>(14,693,009)</w:t>
            </w:r>
          </w:p>
        </w:tc>
        <w:tc>
          <w:tcPr>
            <w:tcW w:w="1220" w:type="dxa"/>
            <w:tcBorders>
              <w:top w:val="nil"/>
              <w:left w:val="nil"/>
              <w:bottom w:val="nil"/>
              <w:right w:val="nil"/>
            </w:tcBorders>
            <w:shd w:val="clear" w:color="000000" w:fill="FFFFFF"/>
            <w:noWrap/>
            <w:vAlign w:val="bottom"/>
            <w:hideMark/>
          </w:tcPr>
          <w:p w14:paraId="66131318"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nil"/>
            </w:tcBorders>
            <w:shd w:val="clear" w:color="000000" w:fill="FFFFFF"/>
            <w:noWrap/>
            <w:vAlign w:val="bottom"/>
            <w:hideMark/>
          </w:tcPr>
          <w:p w14:paraId="04D07429" w14:textId="77777777" w:rsidR="00AC30DF" w:rsidRPr="009F227C" w:rsidRDefault="00AC30DF" w:rsidP="00AC30DF">
            <w:pPr>
              <w:jc w:val="right"/>
              <w:rPr>
                <w:sz w:val="20"/>
                <w:szCs w:val="20"/>
              </w:rPr>
            </w:pPr>
            <w:r w:rsidRPr="009F227C">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14:paraId="4C0506B6" w14:textId="77777777" w:rsidR="00AC30DF" w:rsidRPr="009F227C" w:rsidRDefault="00AC30DF" w:rsidP="00AC30DF">
            <w:pPr>
              <w:jc w:val="right"/>
              <w:rPr>
                <w:sz w:val="20"/>
                <w:szCs w:val="20"/>
              </w:rPr>
            </w:pPr>
            <w:r w:rsidRPr="009F227C">
              <w:rPr>
                <w:sz w:val="20"/>
                <w:szCs w:val="20"/>
              </w:rPr>
              <w:t>0</w:t>
            </w:r>
          </w:p>
        </w:tc>
      </w:tr>
      <w:tr w:rsidR="00AC30DF" w:rsidRPr="009F227C" w14:paraId="658D9F8F"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BE6EB60"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74E09D82"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68078A0C"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447D81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33982C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05B14BC"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1376796" w14:textId="77777777" w:rsidR="00AC30DF" w:rsidRPr="009F227C" w:rsidRDefault="00AC30DF" w:rsidP="00AC30DF">
            <w:pPr>
              <w:rPr>
                <w:sz w:val="20"/>
                <w:szCs w:val="20"/>
              </w:rPr>
            </w:pPr>
            <w:r w:rsidRPr="009F227C">
              <w:rPr>
                <w:sz w:val="20"/>
                <w:szCs w:val="20"/>
              </w:rPr>
              <w:t> </w:t>
            </w:r>
          </w:p>
        </w:tc>
      </w:tr>
      <w:tr w:rsidR="00AC30DF" w:rsidRPr="009F227C" w14:paraId="5B50369A"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52F2864" w14:textId="77777777" w:rsidR="00AC30DF" w:rsidRPr="009F227C" w:rsidRDefault="00AC30DF" w:rsidP="00AC30DF">
            <w:pPr>
              <w:jc w:val="center"/>
              <w:rPr>
                <w:sz w:val="20"/>
                <w:szCs w:val="20"/>
              </w:rPr>
            </w:pPr>
            <w:r w:rsidRPr="009F227C">
              <w:rPr>
                <w:sz w:val="20"/>
                <w:szCs w:val="20"/>
              </w:rPr>
              <w:t>5</w:t>
            </w:r>
          </w:p>
        </w:tc>
        <w:tc>
          <w:tcPr>
            <w:tcW w:w="3260" w:type="dxa"/>
            <w:tcBorders>
              <w:top w:val="nil"/>
              <w:left w:val="nil"/>
              <w:bottom w:val="nil"/>
              <w:right w:val="nil"/>
            </w:tcBorders>
            <w:shd w:val="clear" w:color="000000" w:fill="FFFFFF"/>
            <w:noWrap/>
            <w:vAlign w:val="bottom"/>
            <w:hideMark/>
          </w:tcPr>
          <w:p w14:paraId="7D2D25F8" w14:textId="77777777" w:rsidR="00AC30DF" w:rsidRPr="009F227C" w:rsidRDefault="00AC30DF" w:rsidP="00AC30DF">
            <w:pPr>
              <w:rPr>
                <w:sz w:val="20"/>
                <w:szCs w:val="20"/>
              </w:rPr>
            </w:pPr>
            <w:r w:rsidRPr="009F227C">
              <w:rPr>
                <w:sz w:val="20"/>
                <w:szCs w:val="20"/>
              </w:rPr>
              <w:t>Accumulated Depreciation</w:t>
            </w:r>
          </w:p>
        </w:tc>
        <w:tc>
          <w:tcPr>
            <w:tcW w:w="1220" w:type="dxa"/>
            <w:tcBorders>
              <w:top w:val="nil"/>
              <w:left w:val="nil"/>
              <w:bottom w:val="nil"/>
              <w:right w:val="nil"/>
            </w:tcBorders>
            <w:shd w:val="clear" w:color="000000" w:fill="FFFFFF"/>
            <w:noWrap/>
            <w:vAlign w:val="bottom"/>
            <w:hideMark/>
          </w:tcPr>
          <w:p w14:paraId="48168A4A" w14:textId="77777777" w:rsidR="00AC30DF" w:rsidRPr="009F227C" w:rsidRDefault="00AC30DF" w:rsidP="00AC30DF">
            <w:pPr>
              <w:jc w:val="right"/>
              <w:rPr>
                <w:sz w:val="20"/>
                <w:szCs w:val="20"/>
              </w:rPr>
            </w:pPr>
            <w:r w:rsidRPr="009F227C">
              <w:rPr>
                <w:sz w:val="20"/>
                <w:szCs w:val="20"/>
              </w:rPr>
              <w:t>(67,120,600)</w:t>
            </w:r>
          </w:p>
        </w:tc>
        <w:tc>
          <w:tcPr>
            <w:tcW w:w="1220" w:type="dxa"/>
            <w:tcBorders>
              <w:top w:val="nil"/>
              <w:left w:val="nil"/>
              <w:bottom w:val="nil"/>
              <w:right w:val="nil"/>
            </w:tcBorders>
            <w:shd w:val="clear" w:color="000000" w:fill="FFFFFF"/>
            <w:noWrap/>
            <w:vAlign w:val="bottom"/>
            <w:hideMark/>
          </w:tcPr>
          <w:p w14:paraId="23C401A4" w14:textId="77777777" w:rsidR="00AC30DF" w:rsidRPr="009F227C" w:rsidRDefault="00AC30DF" w:rsidP="00AC30DF">
            <w:pPr>
              <w:jc w:val="right"/>
              <w:rPr>
                <w:sz w:val="20"/>
                <w:szCs w:val="20"/>
              </w:rPr>
            </w:pPr>
            <w:r w:rsidRPr="009F227C">
              <w:rPr>
                <w:sz w:val="20"/>
                <w:szCs w:val="20"/>
              </w:rPr>
              <w:t>(8,198,980)</w:t>
            </w:r>
          </w:p>
        </w:tc>
        <w:tc>
          <w:tcPr>
            <w:tcW w:w="1220" w:type="dxa"/>
            <w:tcBorders>
              <w:top w:val="nil"/>
              <w:left w:val="nil"/>
              <w:bottom w:val="nil"/>
              <w:right w:val="nil"/>
            </w:tcBorders>
            <w:shd w:val="clear" w:color="000000" w:fill="FFFFFF"/>
            <w:noWrap/>
            <w:vAlign w:val="bottom"/>
            <w:hideMark/>
          </w:tcPr>
          <w:p w14:paraId="317FB25E" w14:textId="77777777" w:rsidR="00AC30DF" w:rsidRPr="009F227C" w:rsidRDefault="00AC30DF" w:rsidP="00AC30DF">
            <w:pPr>
              <w:jc w:val="right"/>
              <w:rPr>
                <w:sz w:val="20"/>
                <w:szCs w:val="20"/>
              </w:rPr>
            </w:pPr>
            <w:r w:rsidRPr="009F227C">
              <w:rPr>
                <w:sz w:val="20"/>
                <w:szCs w:val="20"/>
              </w:rPr>
              <w:t>(75,319,580)</w:t>
            </w:r>
          </w:p>
        </w:tc>
        <w:tc>
          <w:tcPr>
            <w:tcW w:w="1220" w:type="dxa"/>
            <w:tcBorders>
              <w:top w:val="nil"/>
              <w:left w:val="nil"/>
              <w:bottom w:val="nil"/>
              <w:right w:val="nil"/>
            </w:tcBorders>
            <w:shd w:val="clear" w:color="000000" w:fill="FFFFFF"/>
            <w:noWrap/>
            <w:vAlign w:val="bottom"/>
            <w:hideMark/>
          </w:tcPr>
          <w:p w14:paraId="0AEA860F" w14:textId="77777777" w:rsidR="00AC30DF" w:rsidRPr="009F227C" w:rsidRDefault="00AC30DF" w:rsidP="00AC30DF">
            <w:pPr>
              <w:jc w:val="right"/>
              <w:rPr>
                <w:sz w:val="20"/>
                <w:szCs w:val="20"/>
              </w:rPr>
            </w:pPr>
            <w:r w:rsidRPr="009F227C">
              <w:rPr>
                <w:sz w:val="20"/>
                <w:szCs w:val="20"/>
              </w:rPr>
              <w:t xml:space="preserve">331,687 </w:t>
            </w:r>
          </w:p>
        </w:tc>
        <w:tc>
          <w:tcPr>
            <w:tcW w:w="1220" w:type="dxa"/>
            <w:tcBorders>
              <w:top w:val="nil"/>
              <w:left w:val="nil"/>
              <w:bottom w:val="nil"/>
              <w:right w:val="single" w:sz="4" w:space="0" w:color="auto"/>
            </w:tcBorders>
            <w:shd w:val="clear" w:color="000000" w:fill="FFFFFF"/>
            <w:noWrap/>
            <w:vAlign w:val="bottom"/>
            <w:hideMark/>
          </w:tcPr>
          <w:p w14:paraId="6225B2FB" w14:textId="77777777" w:rsidR="00AC30DF" w:rsidRPr="009F227C" w:rsidRDefault="00AC30DF" w:rsidP="00AC30DF">
            <w:pPr>
              <w:jc w:val="right"/>
              <w:rPr>
                <w:sz w:val="20"/>
                <w:szCs w:val="20"/>
              </w:rPr>
            </w:pPr>
            <w:r w:rsidRPr="009F227C">
              <w:rPr>
                <w:sz w:val="20"/>
                <w:szCs w:val="20"/>
              </w:rPr>
              <w:t>(74,987,893)</w:t>
            </w:r>
          </w:p>
        </w:tc>
      </w:tr>
      <w:tr w:rsidR="00AC30DF" w:rsidRPr="009F227C" w14:paraId="1419AE67"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F4B8F9B"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00D1091A"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6E56CB1D"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2BAF8DF"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9EA403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AAEDA4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40F863CE" w14:textId="77777777" w:rsidR="00AC30DF" w:rsidRPr="009F227C" w:rsidRDefault="00AC30DF" w:rsidP="00AC30DF">
            <w:pPr>
              <w:rPr>
                <w:sz w:val="20"/>
                <w:szCs w:val="20"/>
              </w:rPr>
            </w:pPr>
            <w:r w:rsidRPr="009F227C">
              <w:rPr>
                <w:sz w:val="20"/>
                <w:szCs w:val="20"/>
              </w:rPr>
              <w:t> </w:t>
            </w:r>
          </w:p>
        </w:tc>
      </w:tr>
      <w:tr w:rsidR="00AC30DF" w:rsidRPr="009F227C" w14:paraId="1B45001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84473B8" w14:textId="77777777" w:rsidR="00AC30DF" w:rsidRPr="009F227C" w:rsidRDefault="00AC30DF" w:rsidP="00AC30DF">
            <w:pPr>
              <w:jc w:val="center"/>
              <w:rPr>
                <w:sz w:val="20"/>
                <w:szCs w:val="20"/>
              </w:rPr>
            </w:pPr>
            <w:r w:rsidRPr="009F227C">
              <w:rPr>
                <w:sz w:val="20"/>
                <w:szCs w:val="20"/>
              </w:rPr>
              <w:t>6</w:t>
            </w:r>
          </w:p>
        </w:tc>
        <w:tc>
          <w:tcPr>
            <w:tcW w:w="3260" w:type="dxa"/>
            <w:tcBorders>
              <w:top w:val="nil"/>
              <w:left w:val="nil"/>
              <w:bottom w:val="nil"/>
              <w:right w:val="nil"/>
            </w:tcBorders>
            <w:shd w:val="clear" w:color="000000" w:fill="FFFFFF"/>
            <w:noWrap/>
            <w:vAlign w:val="bottom"/>
            <w:hideMark/>
          </w:tcPr>
          <w:p w14:paraId="35182C91" w14:textId="77777777" w:rsidR="00AC30DF" w:rsidRPr="009F227C" w:rsidRDefault="00AC30DF" w:rsidP="00AC30DF">
            <w:pPr>
              <w:rPr>
                <w:sz w:val="20"/>
                <w:szCs w:val="20"/>
              </w:rPr>
            </w:pPr>
            <w:r w:rsidRPr="009F227C">
              <w:rPr>
                <w:sz w:val="20"/>
                <w:szCs w:val="20"/>
              </w:rPr>
              <w:t>CIAC</w:t>
            </w:r>
          </w:p>
        </w:tc>
        <w:tc>
          <w:tcPr>
            <w:tcW w:w="1220" w:type="dxa"/>
            <w:tcBorders>
              <w:top w:val="nil"/>
              <w:left w:val="nil"/>
              <w:bottom w:val="nil"/>
              <w:right w:val="nil"/>
            </w:tcBorders>
            <w:shd w:val="clear" w:color="000000" w:fill="FFFFFF"/>
            <w:noWrap/>
            <w:vAlign w:val="bottom"/>
            <w:hideMark/>
          </w:tcPr>
          <w:p w14:paraId="7B727E87" w14:textId="77777777" w:rsidR="00AC30DF" w:rsidRPr="009F227C" w:rsidRDefault="00AC30DF" w:rsidP="00AC30DF">
            <w:pPr>
              <w:jc w:val="right"/>
              <w:rPr>
                <w:sz w:val="20"/>
                <w:szCs w:val="20"/>
              </w:rPr>
            </w:pPr>
            <w:r w:rsidRPr="009F227C">
              <w:rPr>
                <w:sz w:val="20"/>
                <w:szCs w:val="20"/>
              </w:rPr>
              <w:t>(37,475,393)</w:t>
            </w:r>
          </w:p>
        </w:tc>
        <w:tc>
          <w:tcPr>
            <w:tcW w:w="1220" w:type="dxa"/>
            <w:tcBorders>
              <w:top w:val="nil"/>
              <w:left w:val="nil"/>
              <w:bottom w:val="nil"/>
              <w:right w:val="nil"/>
            </w:tcBorders>
            <w:shd w:val="clear" w:color="000000" w:fill="FFFFFF"/>
            <w:noWrap/>
            <w:vAlign w:val="bottom"/>
            <w:hideMark/>
          </w:tcPr>
          <w:p w14:paraId="726D08A9" w14:textId="77777777" w:rsidR="00AC30DF" w:rsidRPr="009F227C" w:rsidRDefault="00AC30DF" w:rsidP="00AC30DF">
            <w:pPr>
              <w:jc w:val="right"/>
              <w:rPr>
                <w:sz w:val="20"/>
                <w:szCs w:val="20"/>
              </w:rPr>
            </w:pPr>
            <w:r w:rsidRPr="009F227C">
              <w:rPr>
                <w:sz w:val="20"/>
                <w:szCs w:val="20"/>
              </w:rPr>
              <w:t xml:space="preserve">240,934 </w:t>
            </w:r>
          </w:p>
        </w:tc>
        <w:tc>
          <w:tcPr>
            <w:tcW w:w="1220" w:type="dxa"/>
            <w:tcBorders>
              <w:top w:val="nil"/>
              <w:left w:val="nil"/>
              <w:bottom w:val="nil"/>
              <w:right w:val="nil"/>
            </w:tcBorders>
            <w:shd w:val="clear" w:color="000000" w:fill="FFFFFF"/>
            <w:noWrap/>
            <w:vAlign w:val="bottom"/>
            <w:hideMark/>
          </w:tcPr>
          <w:p w14:paraId="5BF232E7" w14:textId="77777777" w:rsidR="00AC30DF" w:rsidRPr="009F227C" w:rsidRDefault="00AC30DF" w:rsidP="00AC30DF">
            <w:pPr>
              <w:jc w:val="right"/>
              <w:rPr>
                <w:sz w:val="20"/>
                <w:szCs w:val="20"/>
              </w:rPr>
            </w:pPr>
            <w:r w:rsidRPr="009F227C">
              <w:rPr>
                <w:sz w:val="20"/>
                <w:szCs w:val="20"/>
              </w:rPr>
              <w:t>(37,234,459)</w:t>
            </w:r>
          </w:p>
        </w:tc>
        <w:tc>
          <w:tcPr>
            <w:tcW w:w="1220" w:type="dxa"/>
            <w:tcBorders>
              <w:top w:val="nil"/>
              <w:left w:val="nil"/>
              <w:bottom w:val="nil"/>
              <w:right w:val="nil"/>
            </w:tcBorders>
            <w:shd w:val="clear" w:color="000000" w:fill="FFFFFF"/>
            <w:noWrap/>
            <w:vAlign w:val="bottom"/>
            <w:hideMark/>
          </w:tcPr>
          <w:p w14:paraId="7597BD54" w14:textId="77777777" w:rsidR="00AC30DF" w:rsidRPr="009F227C" w:rsidRDefault="00AC30DF" w:rsidP="00AC30DF">
            <w:pPr>
              <w:jc w:val="right"/>
              <w:rPr>
                <w:sz w:val="20"/>
                <w:szCs w:val="20"/>
              </w:rPr>
            </w:pPr>
            <w:r w:rsidRPr="009F227C">
              <w:rPr>
                <w:sz w:val="20"/>
                <w:szCs w:val="20"/>
              </w:rPr>
              <w:t xml:space="preserve">20,166 </w:t>
            </w:r>
          </w:p>
        </w:tc>
        <w:tc>
          <w:tcPr>
            <w:tcW w:w="1220" w:type="dxa"/>
            <w:tcBorders>
              <w:top w:val="nil"/>
              <w:left w:val="nil"/>
              <w:bottom w:val="nil"/>
              <w:right w:val="single" w:sz="4" w:space="0" w:color="auto"/>
            </w:tcBorders>
            <w:shd w:val="clear" w:color="000000" w:fill="FFFFFF"/>
            <w:noWrap/>
            <w:vAlign w:val="bottom"/>
            <w:hideMark/>
          </w:tcPr>
          <w:p w14:paraId="5947318E" w14:textId="77777777" w:rsidR="00AC30DF" w:rsidRPr="009F227C" w:rsidRDefault="00AC30DF" w:rsidP="00AC30DF">
            <w:pPr>
              <w:jc w:val="right"/>
              <w:rPr>
                <w:sz w:val="20"/>
                <w:szCs w:val="20"/>
              </w:rPr>
            </w:pPr>
            <w:r w:rsidRPr="009F227C">
              <w:rPr>
                <w:sz w:val="20"/>
                <w:szCs w:val="20"/>
              </w:rPr>
              <w:t>(37,214,293)</w:t>
            </w:r>
          </w:p>
        </w:tc>
      </w:tr>
      <w:tr w:rsidR="00AC30DF" w:rsidRPr="009F227C" w14:paraId="26A65B0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121FEC0"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5036D7A7"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62FBFB95"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7EF5BC4"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4A069D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909057F"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A2488F1" w14:textId="77777777" w:rsidR="00AC30DF" w:rsidRPr="009F227C" w:rsidRDefault="00AC30DF" w:rsidP="00AC30DF">
            <w:pPr>
              <w:rPr>
                <w:sz w:val="20"/>
                <w:szCs w:val="20"/>
              </w:rPr>
            </w:pPr>
            <w:r w:rsidRPr="009F227C">
              <w:rPr>
                <w:sz w:val="20"/>
                <w:szCs w:val="20"/>
              </w:rPr>
              <w:t> </w:t>
            </w:r>
          </w:p>
        </w:tc>
      </w:tr>
      <w:tr w:rsidR="00AC30DF" w:rsidRPr="009F227C" w14:paraId="5DE11230"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6FF9880" w14:textId="77777777" w:rsidR="00AC30DF" w:rsidRPr="009F227C" w:rsidRDefault="00AC30DF" w:rsidP="00AC30DF">
            <w:pPr>
              <w:jc w:val="center"/>
              <w:rPr>
                <w:sz w:val="20"/>
                <w:szCs w:val="20"/>
              </w:rPr>
            </w:pPr>
            <w:r w:rsidRPr="009F227C">
              <w:rPr>
                <w:sz w:val="20"/>
                <w:szCs w:val="20"/>
              </w:rPr>
              <w:t>7</w:t>
            </w:r>
          </w:p>
        </w:tc>
        <w:tc>
          <w:tcPr>
            <w:tcW w:w="3260" w:type="dxa"/>
            <w:tcBorders>
              <w:top w:val="nil"/>
              <w:left w:val="nil"/>
              <w:bottom w:val="nil"/>
              <w:right w:val="nil"/>
            </w:tcBorders>
            <w:shd w:val="clear" w:color="000000" w:fill="FFFFFF"/>
            <w:noWrap/>
            <w:vAlign w:val="bottom"/>
            <w:hideMark/>
          </w:tcPr>
          <w:p w14:paraId="268A48BC" w14:textId="77777777" w:rsidR="00AC30DF" w:rsidRPr="009F227C" w:rsidRDefault="00AC30DF" w:rsidP="00AC30DF">
            <w:pPr>
              <w:rPr>
                <w:sz w:val="20"/>
                <w:szCs w:val="20"/>
              </w:rPr>
            </w:pPr>
            <w:r w:rsidRPr="009F227C">
              <w:rPr>
                <w:sz w:val="20"/>
                <w:szCs w:val="20"/>
              </w:rPr>
              <w:t>Amortization of CIAC</w:t>
            </w:r>
          </w:p>
        </w:tc>
        <w:tc>
          <w:tcPr>
            <w:tcW w:w="1220" w:type="dxa"/>
            <w:tcBorders>
              <w:top w:val="nil"/>
              <w:left w:val="nil"/>
              <w:bottom w:val="nil"/>
              <w:right w:val="nil"/>
            </w:tcBorders>
            <w:shd w:val="clear" w:color="000000" w:fill="FFFFFF"/>
            <w:noWrap/>
            <w:vAlign w:val="bottom"/>
            <w:hideMark/>
          </w:tcPr>
          <w:p w14:paraId="22150CCC" w14:textId="77777777" w:rsidR="00AC30DF" w:rsidRPr="009F227C" w:rsidRDefault="00AC30DF" w:rsidP="00AC30DF">
            <w:pPr>
              <w:jc w:val="right"/>
              <w:rPr>
                <w:sz w:val="20"/>
                <w:szCs w:val="20"/>
              </w:rPr>
            </w:pPr>
            <w:r w:rsidRPr="009F227C">
              <w:rPr>
                <w:sz w:val="20"/>
                <w:szCs w:val="20"/>
              </w:rPr>
              <w:t xml:space="preserve">29,588,418 </w:t>
            </w:r>
          </w:p>
        </w:tc>
        <w:tc>
          <w:tcPr>
            <w:tcW w:w="1220" w:type="dxa"/>
            <w:tcBorders>
              <w:top w:val="nil"/>
              <w:left w:val="nil"/>
              <w:bottom w:val="nil"/>
              <w:right w:val="nil"/>
            </w:tcBorders>
            <w:shd w:val="clear" w:color="000000" w:fill="FFFFFF"/>
            <w:noWrap/>
            <w:vAlign w:val="bottom"/>
            <w:hideMark/>
          </w:tcPr>
          <w:p w14:paraId="1C989FF0" w14:textId="77777777" w:rsidR="00AC30DF" w:rsidRPr="009F227C" w:rsidRDefault="00AC30DF" w:rsidP="00AC30DF">
            <w:pPr>
              <w:jc w:val="right"/>
              <w:rPr>
                <w:sz w:val="20"/>
                <w:szCs w:val="20"/>
              </w:rPr>
            </w:pPr>
            <w:r w:rsidRPr="009F227C">
              <w:rPr>
                <w:sz w:val="20"/>
                <w:szCs w:val="20"/>
              </w:rPr>
              <w:t>(3,085,974)</w:t>
            </w:r>
          </w:p>
        </w:tc>
        <w:tc>
          <w:tcPr>
            <w:tcW w:w="1220" w:type="dxa"/>
            <w:tcBorders>
              <w:top w:val="nil"/>
              <w:left w:val="nil"/>
              <w:bottom w:val="nil"/>
              <w:right w:val="nil"/>
            </w:tcBorders>
            <w:shd w:val="clear" w:color="000000" w:fill="FFFFFF"/>
            <w:noWrap/>
            <w:vAlign w:val="bottom"/>
            <w:hideMark/>
          </w:tcPr>
          <w:p w14:paraId="263C8C03" w14:textId="77777777" w:rsidR="00AC30DF" w:rsidRPr="009F227C" w:rsidRDefault="00AC30DF" w:rsidP="00AC30DF">
            <w:pPr>
              <w:jc w:val="right"/>
              <w:rPr>
                <w:sz w:val="20"/>
                <w:szCs w:val="20"/>
              </w:rPr>
            </w:pPr>
            <w:r w:rsidRPr="009F227C">
              <w:rPr>
                <w:sz w:val="20"/>
                <w:szCs w:val="20"/>
              </w:rPr>
              <w:t xml:space="preserve">26,502,444 </w:t>
            </w:r>
          </w:p>
        </w:tc>
        <w:tc>
          <w:tcPr>
            <w:tcW w:w="1220" w:type="dxa"/>
            <w:tcBorders>
              <w:top w:val="nil"/>
              <w:left w:val="nil"/>
              <w:bottom w:val="nil"/>
              <w:right w:val="nil"/>
            </w:tcBorders>
            <w:shd w:val="clear" w:color="000000" w:fill="FFFFFF"/>
            <w:noWrap/>
            <w:vAlign w:val="bottom"/>
            <w:hideMark/>
          </w:tcPr>
          <w:p w14:paraId="7BD4100D" w14:textId="77777777" w:rsidR="00AC30DF" w:rsidRPr="009F227C" w:rsidRDefault="00AC30DF" w:rsidP="00AC30DF">
            <w:pPr>
              <w:jc w:val="right"/>
              <w:rPr>
                <w:sz w:val="20"/>
                <w:szCs w:val="20"/>
              </w:rPr>
            </w:pPr>
            <w:r w:rsidRPr="009F227C">
              <w:rPr>
                <w:sz w:val="20"/>
                <w:szCs w:val="20"/>
              </w:rPr>
              <w:t>(29,277)</w:t>
            </w:r>
          </w:p>
        </w:tc>
        <w:tc>
          <w:tcPr>
            <w:tcW w:w="1220" w:type="dxa"/>
            <w:tcBorders>
              <w:top w:val="nil"/>
              <w:left w:val="nil"/>
              <w:bottom w:val="nil"/>
              <w:right w:val="single" w:sz="4" w:space="0" w:color="auto"/>
            </w:tcBorders>
            <w:shd w:val="clear" w:color="000000" w:fill="FFFFFF"/>
            <w:noWrap/>
            <w:vAlign w:val="bottom"/>
            <w:hideMark/>
          </w:tcPr>
          <w:p w14:paraId="1178AF12" w14:textId="77777777" w:rsidR="00AC30DF" w:rsidRPr="009F227C" w:rsidRDefault="00AC30DF" w:rsidP="00AC30DF">
            <w:pPr>
              <w:jc w:val="right"/>
              <w:rPr>
                <w:sz w:val="20"/>
                <w:szCs w:val="20"/>
              </w:rPr>
            </w:pPr>
            <w:r w:rsidRPr="009F227C">
              <w:rPr>
                <w:sz w:val="20"/>
                <w:szCs w:val="20"/>
              </w:rPr>
              <w:t xml:space="preserve">26,473,167 </w:t>
            </w:r>
          </w:p>
        </w:tc>
      </w:tr>
      <w:tr w:rsidR="00AC30DF" w:rsidRPr="009F227C" w14:paraId="2F812FC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E83B4AD" w14:textId="77777777" w:rsidR="00AC30DF" w:rsidRPr="009F227C" w:rsidRDefault="00AC30DF" w:rsidP="00AC30DF">
            <w:pPr>
              <w:jc w:val="cente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3DB70047"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30927CCF"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ECAE2F1"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8713E46"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B6ECDAF"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4D58CA4" w14:textId="77777777" w:rsidR="00AC30DF" w:rsidRPr="009F227C" w:rsidRDefault="00AC30DF" w:rsidP="00AC30DF">
            <w:pPr>
              <w:rPr>
                <w:sz w:val="20"/>
                <w:szCs w:val="20"/>
              </w:rPr>
            </w:pPr>
            <w:r w:rsidRPr="009F227C">
              <w:rPr>
                <w:sz w:val="20"/>
                <w:szCs w:val="20"/>
              </w:rPr>
              <w:t> </w:t>
            </w:r>
          </w:p>
        </w:tc>
      </w:tr>
      <w:tr w:rsidR="00AC30DF" w:rsidRPr="009F227C" w14:paraId="536439D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A134BC7" w14:textId="77777777" w:rsidR="00AC30DF" w:rsidRPr="009F227C" w:rsidRDefault="00AC30DF" w:rsidP="00AC30DF">
            <w:pPr>
              <w:jc w:val="center"/>
              <w:rPr>
                <w:sz w:val="20"/>
                <w:szCs w:val="20"/>
              </w:rPr>
            </w:pPr>
            <w:r w:rsidRPr="009F227C">
              <w:rPr>
                <w:sz w:val="20"/>
                <w:szCs w:val="20"/>
              </w:rPr>
              <w:t>8</w:t>
            </w:r>
          </w:p>
        </w:tc>
        <w:tc>
          <w:tcPr>
            <w:tcW w:w="3260" w:type="dxa"/>
            <w:tcBorders>
              <w:top w:val="nil"/>
              <w:left w:val="nil"/>
              <w:bottom w:val="nil"/>
              <w:right w:val="nil"/>
            </w:tcBorders>
            <w:shd w:val="clear" w:color="000000" w:fill="FFFFFF"/>
            <w:noWrap/>
            <w:vAlign w:val="bottom"/>
            <w:hideMark/>
          </w:tcPr>
          <w:p w14:paraId="214EBA48" w14:textId="77777777" w:rsidR="00AC30DF" w:rsidRPr="009F227C" w:rsidRDefault="00AC30DF" w:rsidP="00AC30DF">
            <w:pPr>
              <w:rPr>
                <w:sz w:val="20"/>
                <w:szCs w:val="20"/>
              </w:rPr>
            </w:pPr>
            <w:r w:rsidRPr="009F227C">
              <w:rPr>
                <w:sz w:val="20"/>
                <w:szCs w:val="20"/>
              </w:rPr>
              <w:t>Working Capital Allowance</w:t>
            </w:r>
          </w:p>
        </w:tc>
        <w:tc>
          <w:tcPr>
            <w:tcW w:w="1220" w:type="dxa"/>
            <w:tcBorders>
              <w:top w:val="nil"/>
              <w:left w:val="nil"/>
              <w:bottom w:val="nil"/>
              <w:right w:val="nil"/>
            </w:tcBorders>
            <w:shd w:val="clear" w:color="000000" w:fill="FFFFFF"/>
            <w:noWrap/>
            <w:vAlign w:val="bottom"/>
            <w:hideMark/>
          </w:tcPr>
          <w:p w14:paraId="644D1D58" w14:textId="77777777" w:rsidR="00AC30DF" w:rsidRPr="009F227C" w:rsidRDefault="00AC30DF" w:rsidP="00AC30DF">
            <w:pPr>
              <w:jc w:val="right"/>
              <w:rPr>
                <w:sz w:val="20"/>
                <w:szCs w:val="20"/>
                <w:u w:val="single"/>
              </w:rPr>
            </w:pPr>
            <w:r w:rsidRPr="009F227C">
              <w:rPr>
                <w:sz w:val="20"/>
                <w:szCs w:val="20"/>
                <w:u w:val="single"/>
              </w:rPr>
              <w:t>0</w:t>
            </w:r>
          </w:p>
        </w:tc>
        <w:tc>
          <w:tcPr>
            <w:tcW w:w="1220" w:type="dxa"/>
            <w:tcBorders>
              <w:top w:val="nil"/>
              <w:left w:val="nil"/>
              <w:bottom w:val="nil"/>
              <w:right w:val="nil"/>
            </w:tcBorders>
            <w:shd w:val="clear" w:color="000000" w:fill="FFFFFF"/>
            <w:noWrap/>
            <w:vAlign w:val="bottom"/>
            <w:hideMark/>
          </w:tcPr>
          <w:p w14:paraId="7D6B93DA" w14:textId="77777777" w:rsidR="00AC30DF" w:rsidRPr="009F227C" w:rsidRDefault="00AC30DF" w:rsidP="00AC30DF">
            <w:pPr>
              <w:jc w:val="right"/>
              <w:rPr>
                <w:sz w:val="20"/>
                <w:szCs w:val="20"/>
                <w:u w:val="single"/>
              </w:rPr>
            </w:pPr>
            <w:r w:rsidRPr="009F227C">
              <w:rPr>
                <w:sz w:val="20"/>
                <w:szCs w:val="20"/>
                <w:u w:val="single"/>
              </w:rPr>
              <w:t>2,617,989</w:t>
            </w:r>
          </w:p>
        </w:tc>
        <w:tc>
          <w:tcPr>
            <w:tcW w:w="1220" w:type="dxa"/>
            <w:tcBorders>
              <w:top w:val="nil"/>
              <w:left w:val="nil"/>
              <w:bottom w:val="nil"/>
              <w:right w:val="nil"/>
            </w:tcBorders>
            <w:shd w:val="clear" w:color="000000" w:fill="FFFFFF"/>
            <w:noWrap/>
            <w:vAlign w:val="bottom"/>
            <w:hideMark/>
          </w:tcPr>
          <w:p w14:paraId="23141F10" w14:textId="77777777" w:rsidR="00AC30DF" w:rsidRPr="009F227C" w:rsidRDefault="00AC30DF" w:rsidP="00AC30DF">
            <w:pPr>
              <w:jc w:val="right"/>
              <w:rPr>
                <w:sz w:val="20"/>
                <w:szCs w:val="20"/>
                <w:u w:val="single"/>
              </w:rPr>
            </w:pPr>
            <w:r w:rsidRPr="009F227C">
              <w:rPr>
                <w:sz w:val="20"/>
                <w:szCs w:val="20"/>
                <w:u w:val="single"/>
              </w:rPr>
              <w:t>2,617,989</w:t>
            </w:r>
          </w:p>
        </w:tc>
        <w:tc>
          <w:tcPr>
            <w:tcW w:w="1220" w:type="dxa"/>
            <w:tcBorders>
              <w:top w:val="nil"/>
              <w:left w:val="nil"/>
              <w:bottom w:val="nil"/>
              <w:right w:val="nil"/>
            </w:tcBorders>
            <w:shd w:val="clear" w:color="000000" w:fill="FFFFFF"/>
            <w:noWrap/>
            <w:vAlign w:val="bottom"/>
            <w:hideMark/>
          </w:tcPr>
          <w:p w14:paraId="55F86EDF" w14:textId="77777777" w:rsidR="00AC30DF" w:rsidRPr="009F227C" w:rsidRDefault="00AC30DF" w:rsidP="00AC30DF">
            <w:pPr>
              <w:jc w:val="right"/>
              <w:rPr>
                <w:sz w:val="20"/>
                <w:szCs w:val="20"/>
                <w:u w:val="single"/>
              </w:rPr>
            </w:pPr>
            <w:r w:rsidRPr="009F227C">
              <w:rPr>
                <w:sz w:val="20"/>
                <w:szCs w:val="20"/>
                <w:u w:val="single"/>
              </w:rPr>
              <w:t>6,017</w:t>
            </w:r>
          </w:p>
        </w:tc>
        <w:tc>
          <w:tcPr>
            <w:tcW w:w="1220" w:type="dxa"/>
            <w:tcBorders>
              <w:top w:val="nil"/>
              <w:left w:val="nil"/>
              <w:bottom w:val="nil"/>
              <w:right w:val="single" w:sz="4" w:space="0" w:color="auto"/>
            </w:tcBorders>
            <w:shd w:val="clear" w:color="000000" w:fill="FFFFFF"/>
            <w:noWrap/>
            <w:vAlign w:val="bottom"/>
            <w:hideMark/>
          </w:tcPr>
          <w:p w14:paraId="36C2347C" w14:textId="77777777" w:rsidR="00AC30DF" w:rsidRPr="009F227C" w:rsidRDefault="00AC30DF" w:rsidP="00AC30DF">
            <w:pPr>
              <w:jc w:val="right"/>
              <w:rPr>
                <w:sz w:val="20"/>
                <w:szCs w:val="20"/>
                <w:u w:val="single"/>
              </w:rPr>
            </w:pPr>
            <w:r w:rsidRPr="009F227C">
              <w:rPr>
                <w:sz w:val="20"/>
                <w:szCs w:val="20"/>
                <w:u w:val="single"/>
              </w:rPr>
              <w:t>2,624,006</w:t>
            </w:r>
          </w:p>
        </w:tc>
      </w:tr>
      <w:tr w:rsidR="00AC30DF" w:rsidRPr="009F227C" w14:paraId="11886537"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70C8B55"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nil"/>
              <w:right w:val="nil"/>
            </w:tcBorders>
            <w:shd w:val="clear" w:color="000000" w:fill="FFFFFF"/>
            <w:noWrap/>
            <w:vAlign w:val="bottom"/>
            <w:hideMark/>
          </w:tcPr>
          <w:p w14:paraId="474A109F" w14:textId="77777777" w:rsidR="00AC30DF" w:rsidRPr="009F227C" w:rsidRDefault="00AC30DF" w:rsidP="00AC30DF">
            <w:pPr>
              <w:rPr>
                <w:color w:val="000000"/>
                <w:sz w:val="20"/>
                <w:szCs w:val="20"/>
              </w:rPr>
            </w:pPr>
            <w:r w:rsidRPr="009F227C">
              <w:rPr>
                <w:color w:val="000000"/>
                <w:sz w:val="20"/>
                <w:szCs w:val="20"/>
              </w:rPr>
              <w:t> </w:t>
            </w:r>
          </w:p>
        </w:tc>
        <w:tc>
          <w:tcPr>
            <w:tcW w:w="1220" w:type="dxa"/>
            <w:tcBorders>
              <w:top w:val="nil"/>
              <w:left w:val="nil"/>
              <w:bottom w:val="nil"/>
              <w:right w:val="nil"/>
            </w:tcBorders>
            <w:shd w:val="clear" w:color="000000" w:fill="FFFFFF"/>
            <w:noWrap/>
            <w:vAlign w:val="bottom"/>
            <w:hideMark/>
          </w:tcPr>
          <w:p w14:paraId="7F6C8E4E"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29C51C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1FA1A7B"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2D6BCB3"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7311EB9A" w14:textId="77777777" w:rsidR="00AC30DF" w:rsidRPr="009F227C" w:rsidRDefault="00AC30DF" w:rsidP="00AC30DF">
            <w:pPr>
              <w:rPr>
                <w:sz w:val="20"/>
                <w:szCs w:val="20"/>
              </w:rPr>
            </w:pPr>
            <w:r w:rsidRPr="009F227C">
              <w:rPr>
                <w:sz w:val="20"/>
                <w:szCs w:val="20"/>
              </w:rPr>
              <w:t> </w:t>
            </w:r>
          </w:p>
        </w:tc>
      </w:tr>
      <w:tr w:rsidR="00AC30DF" w:rsidRPr="009F227C" w14:paraId="6F02741A"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89FA29B" w14:textId="77777777" w:rsidR="00AC30DF" w:rsidRPr="009F227C" w:rsidRDefault="00AC30DF" w:rsidP="00AC30DF">
            <w:pPr>
              <w:jc w:val="center"/>
              <w:rPr>
                <w:sz w:val="20"/>
                <w:szCs w:val="20"/>
              </w:rPr>
            </w:pPr>
            <w:r w:rsidRPr="009F227C">
              <w:rPr>
                <w:sz w:val="20"/>
                <w:szCs w:val="20"/>
              </w:rPr>
              <w:t>9</w:t>
            </w:r>
          </w:p>
        </w:tc>
        <w:tc>
          <w:tcPr>
            <w:tcW w:w="3260" w:type="dxa"/>
            <w:tcBorders>
              <w:top w:val="nil"/>
              <w:left w:val="nil"/>
              <w:bottom w:val="nil"/>
              <w:right w:val="nil"/>
            </w:tcBorders>
            <w:shd w:val="clear" w:color="000000" w:fill="FFFFFF"/>
            <w:noWrap/>
            <w:vAlign w:val="bottom"/>
            <w:hideMark/>
          </w:tcPr>
          <w:p w14:paraId="5F2DF3EA" w14:textId="77777777" w:rsidR="00AC30DF" w:rsidRPr="009F227C" w:rsidRDefault="00AC30DF" w:rsidP="00AC30DF">
            <w:pPr>
              <w:rPr>
                <w:b/>
                <w:bCs/>
                <w:sz w:val="20"/>
                <w:szCs w:val="20"/>
              </w:rPr>
            </w:pPr>
            <w:r w:rsidRPr="009F227C">
              <w:rPr>
                <w:b/>
                <w:bCs/>
                <w:sz w:val="20"/>
                <w:szCs w:val="20"/>
              </w:rPr>
              <w:t>Rate Base</w:t>
            </w:r>
          </w:p>
        </w:tc>
        <w:tc>
          <w:tcPr>
            <w:tcW w:w="1220" w:type="dxa"/>
            <w:tcBorders>
              <w:top w:val="nil"/>
              <w:left w:val="nil"/>
              <w:bottom w:val="nil"/>
              <w:right w:val="nil"/>
            </w:tcBorders>
            <w:shd w:val="clear" w:color="000000" w:fill="FFFFFF"/>
            <w:noWrap/>
            <w:vAlign w:val="bottom"/>
            <w:hideMark/>
          </w:tcPr>
          <w:p w14:paraId="00F34F86" w14:textId="77777777" w:rsidR="00AC30DF" w:rsidRPr="009F227C" w:rsidRDefault="00AC30DF" w:rsidP="00AC30DF">
            <w:pPr>
              <w:jc w:val="right"/>
              <w:rPr>
                <w:sz w:val="20"/>
                <w:szCs w:val="20"/>
                <w:u w:val="double"/>
              </w:rPr>
            </w:pPr>
            <w:r w:rsidRPr="009F227C">
              <w:rPr>
                <w:sz w:val="20"/>
                <w:szCs w:val="20"/>
                <w:u w:val="double"/>
              </w:rPr>
              <w:t>$93,386,364</w:t>
            </w:r>
          </w:p>
        </w:tc>
        <w:tc>
          <w:tcPr>
            <w:tcW w:w="1220" w:type="dxa"/>
            <w:tcBorders>
              <w:top w:val="nil"/>
              <w:left w:val="nil"/>
              <w:bottom w:val="nil"/>
              <w:right w:val="nil"/>
            </w:tcBorders>
            <w:shd w:val="clear" w:color="000000" w:fill="FFFFFF"/>
            <w:noWrap/>
            <w:vAlign w:val="bottom"/>
            <w:hideMark/>
          </w:tcPr>
          <w:p w14:paraId="113E704B" w14:textId="77777777" w:rsidR="00AC30DF" w:rsidRPr="009F227C" w:rsidRDefault="00AC30DF" w:rsidP="00AC30DF">
            <w:pPr>
              <w:jc w:val="right"/>
              <w:rPr>
                <w:sz w:val="20"/>
                <w:szCs w:val="20"/>
                <w:u w:val="double"/>
              </w:rPr>
            </w:pPr>
            <w:r w:rsidRPr="009F227C">
              <w:rPr>
                <w:sz w:val="20"/>
                <w:szCs w:val="20"/>
                <w:u w:val="double"/>
              </w:rPr>
              <w:t>$8,186,677</w:t>
            </w:r>
          </w:p>
        </w:tc>
        <w:tc>
          <w:tcPr>
            <w:tcW w:w="1220" w:type="dxa"/>
            <w:tcBorders>
              <w:top w:val="nil"/>
              <w:left w:val="nil"/>
              <w:bottom w:val="nil"/>
              <w:right w:val="nil"/>
            </w:tcBorders>
            <w:shd w:val="clear" w:color="000000" w:fill="FFFFFF"/>
            <w:noWrap/>
            <w:vAlign w:val="bottom"/>
            <w:hideMark/>
          </w:tcPr>
          <w:p w14:paraId="2366B1F5" w14:textId="77777777" w:rsidR="00AC30DF" w:rsidRPr="009F227C" w:rsidRDefault="00AC30DF" w:rsidP="00AC30DF">
            <w:pPr>
              <w:jc w:val="right"/>
              <w:rPr>
                <w:sz w:val="20"/>
                <w:szCs w:val="20"/>
                <w:u w:val="double"/>
              </w:rPr>
            </w:pPr>
            <w:r w:rsidRPr="009F227C">
              <w:rPr>
                <w:sz w:val="20"/>
                <w:szCs w:val="20"/>
                <w:u w:val="double"/>
              </w:rPr>
              <w:t>$101,573,041</w:t>
            </w:r>
          </w:p>
        </w:tc>
        <w:tc>
          <w:tcPr>
            <w:tcW w:w="1220" w:type="dxa"/>
            <w:tcBorders>
              <w:top w:val="nil"/>
              <w:left w:val="nil"/>
              <w:bottom w:val="nil"/>
              <w:right w:val="nil"/>
            </w:tcBorders>
            <w:shd w:val="clear" w:color="000000" w:fill="FFFFFF"/>
            <w:noWrap/>
            <w:vAlign w:val="bottom"/>
            <w:hideMark/>
          </w:tcPr>
          <w:p w14:paraId="35C5D8A3" w14:textId="77777777" w:rsidR="00AC30DF" w:rsidRPr="009F227C" w:rsidRDefault="00AC30DF" w:rsidP="00AC30DF">
            <w:pPr>
              <w:jc w:val="right"/>
              <w:rPr>
                <w:sz w:val="20"/>
                <w:szCs w:val="20"/>
                <w:u w:val="double"/>
              </w:rPr>
            </w:pPr>
            <w:r w:rsidRPr="009F227C">
              <w:rPr>
                <w:sz w:val="20"/>
                <w:szCs w:val="20"/>
                <w:u w:val="double"/>
              </w:rPr>
              <w:t>$9,866,477</w:t>
            </w:r>
          </w:p>
        </w:tc>
        <w:tc>
          <w:tcPr>
            <w:tcW w:w="1220" w:type="dxa"/>
            <w:tcBorders>
              <w:top w:val="nil"/>
              <w:left w:val="nil"/>
              <w:bottom w:val="nil"/>
              <w:right w:val="single" w:sz="4" w:space="0" w:color="auto"/>
            </w:tcBorders>
            <w:shd w:val="clear" w:color="000000" w:fill="FFFFFF"/>
            <w:noWrap/>
            <w:vAlign w:val="bottom"/>
            <w:hideMark/>
          </w:tcPr>
          <w:p w14:paraId="0214B222" w14:textId="77777777" w:rsidR="00AC30DF" w:rsidRPr="009F227C" w:rsidRDefault="00AC30DF" w:rsidP="00AC30DF">
            <w:pPr>
              <w:jc w:val="right"/>
              <w:rPr>
                <w:sz w:val="20"/>
                <w:szCs w:val="20"/>
                <w:u w:val="double"/>
              </w:rPr>
            </w:pPr>
            <w:r w:rsidRPr="009F227C">
              <w:rPr>
                <w:sz w:val="20"/>
                <w:szCs w:val="20"/>
                <w:u w:val="double"/>
              </w:rPr>
              <w:t>$111,439,518</w:t>
            </w:r>
          </w:p>
        </w:tc>
      </w:tr>
      <w:tr w:rsidR="00AC30DF" w:rsidRPr="009F227C" w14:paraId="5E3F88D2" w14:textId="77777777" w:rsidTr="00AC30DF">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4C2CFAAA" w14:textId="77777777" w:rsidR="00AC30DF" w:rsidRPr="009F227C" w:rsidRDefault="00AC30DF" w:rsidP="00AC30DF">
            <w:pPr>
              <w:rPr>
                <w:sz w:val="20"/>
                <w:szCs w:val="20"/>
              </w:rPr>
            </w:pPr>
            <w:r w:rsidRPr="009F227C">
              <w:rPr>
                <w:sz w:val="20"/>
                <w:szCs w:val="20"/>
              </w:rPr>
              <w:t> </w:t>
            </w:r>
          </w:p>
        </w:tc>
        <w:tc>
          <w:tcPr>
            <w:tcW w:w="3260" w:type="dxa"/>
            <w:tcBorders>
              <w:top w:val="nil"/>
              <w:left w:val="nil"/>
              <w:bottom w:val="single" w:sz="4" w:space="0" w:color="auto"/>
              <w:right w:val="nil"/>
            </w:tcBorders>
            <w:shd w:val="clear" w:color="000000" w:fill="FFFFFF"/>
            <w:noWrap/>
            <w:vAlign w:val="bottom"/>
            <w:hideMark/>
          </w:tcPr>
          <w:p w14:paraId="749927D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329A6C60"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693C6FB8"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4E96E5AC"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0DF5CCAE" w14:textId="77777777" w:rsidR="00AC30DF" w:rsidRPr="009F227C" w:rsidRDefault="00AC30DF" w:rsidP="00AC30DF">
            <w:pPr>
              <w:rPr>
                <w:sz w:val="20"/>
                <w:szCs w:val="20"/>
              </w:rPr>
            </w:pPr>
            <w:r w:rsidRPr="009F227C">
              <w:rPr>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29B9F6D8" w14:textId="77777777" w:rsidR="00AC30DF" w:rsidRPr="009F227C" w:rsidRDefault="00AC30DF" w:rsidP="00AC30DF">
            <w:pPr>
              <w:rPr>
                <w:sz w:val="20"/>
                <w:szCs w:val="20"/>
              </w:rPr>
            </w:pPr>
            <w:r w:rsidRPr="009F227C">
              <w:rPr>
                <w:sz w:val="20"/>
                <w:szCs w:val="20"/>
              </w:rPr>
              <w:t> </w:t>
            </w:r>
          </w:p>
        </w:tc>
      </w:tr>
    </w:tbl>
    <w:p w14:paraId="4670BDA6" w14:textId="77777777" w:rsidR="00AC30DF" w:rsidRPr="009F227C" w:rsidRDefault="00AC30DF" w:rsidP="005F7ACC">
      <w:pPr>
        <w:pStyle w:val="OrderBody"/>
      </w:pPr>
    </w:p>
    <w:p w14:paraId="6E286F94" w14:textId="77777777" w:rsidR="00AC30DF" w:rsidRPr="009F227C" w:rsidRDefault="00AC30DF" w:rsidP="005F7ACC">
      <w:pPr>
        <w:pStyle w:val="OrderBody"/>
        <w:sectPr w:rsidR="00AC30DF" w:rsidRPr="009F227C">
          <w:headerReference w:type="first" r:id="rId9"/>
          <w:pgSz w:w="12240" w:h="15840" w:code="1"/>
          <w:pgMar w:top="1440" w:right="1440" w:bottom="1440" w:left="1440" w:header="720" w:footer="720" w:gutter="0"/>
          <w:cols w:space="720"/>
          <w:titlePg/>
          <w:docGrid w:linePitch="360"/>
        </w:sectPr>
      </w:pPr>
    </w:p>
    <w:tbl>
      <w:tblPr>
        <w:tblW w:w="9600" w:type="dxa"/>
        <w:jc w:val="center"/>
        <w:tblLook w:val="04A0" w:firstRow="1" w:lastRow="0" w:firstColumn="1" w:lastColumn="0" w:noHBand="0" w:noVBand="1"/>
      </w:tblPr>
      <w:tblGrid>
        <w:gridCol w:w="480"/>
        <w:gridCol w:w="5940"/>
        <w:gridCol w:w="1520"/>
        <w:gridCol w:w="1660"/>
      </w:tblGrid>
      <w:tr w:rsidR="00AC30DF" w:rsidRPr="009F227C" w14:paraId="3C044CBA" w14:textId="77777777" w:rsidTr="00AC30DF">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204D7EA6" w14:textId="77777777" w:rsidR="00AC30DF" w:rsidRPr="009F227C" w:rsidRDefault="00AC30DF" w:rsidP="00AC30DF">
            <w:pPr>
              <w:rPr>
                <w:sz w:val="20"/>
                <w:szCs w:val="20"/>
              </w:rPr>
            </w:pPr>
            <w:bookmarkStart w:id="67" w:name="RANGE!B5:E46"/>
            <w:r w:rsidRPr="009F227C">
              <w:rPr>
                <w:sz w:val="20"/>
                <w:szCs w:val="20"/>
              </w:rPr>
              <w:lastRenderedPageBreak/>
              <w:t> </w:t>
            </w:r>
            <w:bookmarkEnd w:id="67"/>
          </w:p>
        </w:tc>
        <w:tc>
          <w:tcPr>
            <w:tcW w:w="5940" w:type="dxa"/>
            <w:tcBorders>
              <w:top w:val="single" w:sz="4" w:space="0" w:color="auto"/>
              <w:left w:val="nil"/>
              <w:bottom w:val="nil"/>
              <w:right w:val="nil"/>
            </w:tcBorders>
            <w:shd w:val="clear" w:color="000000" w:fill="FFFFFF"/>
            <w:noWrap/>
            <w:vAlign w:val="bottom"/>
            <w:hideMark/>
          </w:tcPr>
          <w:p w14:paraId="58005FC6" w14:textId="77777777" w:rsidR="00AC30DF" w:rsidRPr="009F227C" w:rsidRDefault="00AC30DF" w:rsidP="00AC30DF">
            <w:pPr>
              <w:rPr>
                <w:sz w:val="20"/>
                <w:szCs w:val="20"/>
              </w:rPr>
            </w:pPr>
            <w:r w:rsidRPr="009F227C">
              <w:rPr>
                <w:sz w:val="20"/>
                <w:szCs w:val="20"/>
              </w:rPr>
              <w:t> </w:t>
            </w:r>
          </w:p>
        </w:tc>
        <w:tc>
          <w:tcPr>
            <w:tcW w:w="1520" w:type="dxa"/>
            <w:tcBorders>
              <w:top w:val="single" w:sz="4" w:space="0" w:color="auto"/>
              <w:left w:val="nil"/>
              <w:bottom w:val="nil"/>
              <w:right w:val="nil"/>
            </w:tcBorders>
            <w:shd w:val="clear" w:color="000000" w:fill="FFFFFF"/>
            <w:noWrap/>
            <w:vAlign w:val="bottom"/>
            <w:hideMark/>
          </w:tcPr>
          <w:p w14:paraId="216714FC" w14:textId="77777777" w:rsidR="00AC30DF" w:rsidRPr="009F227C" w:rsidRDefault="00AC30DF" w:rsidP="00AC30DF">
            <w:pPr>
              <w:rPr>
                <w:sz w:val="20"/>
                <w:szCs w:val="20"/>
              </w:rPr>
            </w:pPr>
            <w:r w:rsidRPr="009F227C">
              <w:rPr>
                <w:sz w:val="20"/>
                <w:szCs w:val="2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0A9CCA29" w14:textId="77777777" w:rsidR="00AC30DF" w:rsidRPr="009F227C" w:rsidRDefault="00AC30DF" w:rsidP="00AC30DF">
            <w:pPr>
              <w:rPr>
                <w:sz w:val="20"/>
                <w:szCs w:val="20"/>
              </w:rPr>
            </w:pPr>
            <w:r w:rsidRPr="009F227C">
              <w:rPr>
                <w:sz w:val="20"/>
                <w:szCs w:val="20"/>
              </w:rPr>
              <w:t> </w:t>
            </w:r>
          </w:p>
        </w:tc>
      </w:tr>
      <w:tr w:rsidR="00AC30DF" w:rsidRPr="009F227C" w14:paraId="0E924CAA"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C006081" w14:textId="77777777" w:rsidR="00AC30DF" w:rsidRPr="009F227C" w:rsidRDefault="00AC30DF" w:rsidP="00AC30DF">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0582DBAE" w14:textId="77777777" w:rsidR="00AC30DF" w:rsidRPr="009F227C" w:rsidRDefault="00AC30DF" w:rsidP="00AC30DF">
            <w:pPr>
              <w:rPr>
                <w:b/>
                <w:bCs/>
                <w:sz w:val="20"/>
                <w:szCs w:val="20"/>
              </w:rPr>
            </w:pPr>
            <w:r w:rsidRPr="009F227C">
              <w:rPr>
                <w:b/>
                <w:bCs/>
                <w:sz w:val="20"/>
                <w:szCs w:val="20"/>
              </w:rPr>
              <w:t>Sunshine Water Services Company</w:t>
            </w:r>
          </w:p>
        </w:tc>
        <w:tc>
          <w:tcPr>
            <w:tcW w:w="3180" w:type="dxa"/>
            <w:gridSpan w:val="2"/>
            <w:tcBorders>
              <w:top w:val="nil"/>
              <w:left w:val="nil"/>
              <w:bottom w:val="nil"/>
              <w:right w:val="single" w:sz="4" w:space="0" w:color="auto"/>
            </w:tcBorders>
            <w:shd w:val="clear" w:color="000000" w:fill="FFFFFF"/>
            <w:noWrap/>
            <w:vAlign w:val="bottom"/>
            <w:hideMark/>
          </w:tcPr>
          <w:p w14:paraId="08325923" w14:textId="77777777" w:rsidR="00AC30DF" w:rsidRPr="009F227C" w:rsidRDefault="00AC30DF" w:rsidP="00AC30DF">
            <w:pPr>
              <w:jc w:val="right"/>
              <w:rPr>
                <w:b/>
                <w:bCs/>
                <w:sz w:val="20"/>
                <w:szCs w:val="20"/>
              </w:rPr>
            </w:pPr>
            <w:r w:rsidRPr="009F227C">
              <w:rPr>
                <w:b/>
                <w:bCs/>
                <w:sz w:val="20"/>
                <w:szCs w:val="20"/>
              </w:rPr>
              <w:t>Schedule No. 1-C</w:t>
            </w:r>
          </w:p>
        </w:tc>
      </w:tr>
      <w:tr w:rsidR="00AC30DF" w:rsidRPr="009F227C" w14:paraId="5AE28EA3"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D93CB09" w14:textId="77777777" w:rsidR="00AC30DF" w:rsidRPr="009F227C" w:rsidRDefault="00AC30DF" w:rsidP="00AC30DF">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49E0D15D" w14:textId="77777777" w:rsidR="00AC30DF" w:rsidRPr="009F227C" w:rsidRDefault="00AC30DF" w:rsidP="00AC30DF">
            <w:pPr>
              <w:rPr>
                <w:b/>
                <w:bCs/>
                <w:sz w:val="20"/>
                <w:szCs w:val="20"/>
              </w:rPr>
            </w:pPr>
            <w:r w:rsidRPr="009F227C">
              <w:rPr>
                <w:b/>
                <w:bCs/>
                <w:sz w:val="20"/>
                <w:szCs w:val="20"/>
              </w:rPr>
              <w:t>Adjustments to Rate Base</w:t>
            </w:r>
          </w:p>
        </w:tc>
        <w:tc>
          <w:tcPr>
            <w:tcW w:w="3180" w:type="dxa"/>
            <w:gridSpan w:val="2"/>
            <w:tcBorders>
              <w:top w:val="nil"/>
              <w:left w:val="nil"/>
              <w:bottom w:val="nil"/>
              <w:right w:val="single" w:sz="4" w:space="0" w:color="auto"/>
            </w:tcBorders>
            <w:shd w:val="clear" w:color="000000" w:fill="FFFFFF"/>
            <w:noWrap/>
            <w:vAlign w:val="bottom"/>
            <w:hideMark/>
          </w:tcPr>
          <w:p w14:paraId="50CCC65C" w14:textId="77777777" w:rsidR="00AC30DF" w:rsidRPr="009F227C" w:rsidRDefault="00AC30DF" w:rsidP="00AC30DF">
            <w:pPr>
              <w:jc w:val="right"/>
              <w:rPr>
                <w:b/>
                <w:bCs/>
                <w:sz w:val="20"/>
                <w:szCs w:val="20"/>
              </w:rPr>
            </w:pPr>
            <w:r w:rsidRPr="009F227C">
              <w:rPr>
                <w:b/>
                <w:bCs/>
                <w:sz w:val="20"/>
                <w:szCs w:val="20"/>
              </w:rPr>
              <w:t>Docket No. 20240068-WS</w:t>
            </w:r>
          </w:p>
        </w:tc>
      </w:tr>
      <w:tr w:rsidR="00AC30DF" w:rsidRPr="009F227C" w14:paraId="3C587E4F"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086ED8A" w14:textId="77777777" w:rsidR="00AC30DF" w:rsidRPr="009F227C" w:rsidRDefault="00AC30DF" w:rsidP="00AC30DF">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1353974F" w14:textId="77777777" w:rsidR="00AC30DF" w:rsidRPr="009F227C" w:rsidRDefault="00AC30DF" w:rsidP="00AC30DF">
            <w:pPr>
              <w:rPr>
                <w:b/>
                <w:bCs/>
                <w:sz w:val="20"/>
                <w:szCs w:val="20"/>
              </w:rPr>
            </w:pPr>
            <w:r w:rsidRPr="009F227C">
              <w:rPr>
                <w:b/>
                <w:bCs/>
                <w:sz w:val="20"/>
                <w:szCs w:val="20"/>
              </w:rPr>
              <w:t>Test Year Ended 12/31/2023</w:t>
            </w:r>
          </w:p>
        </w:tc>
        <w:tc>
          <w:tcPr>
            <w:tcW w:w="1520" w:type="dxa"/>
            <w:tcBorders>
              <w:top w:val="nil"/>
              <w:left w:val="nil"/>
              <w:bottom w:val="nil"/>
              <w:right w:val="nil"/>
            </w:tcBorders>
            <w:shd w:val="clear" w:color="000000" w:fill="FFFFFF"/>
            <w:noWrap/>
            <w:vAlign w:val="bottom"/>
            <w:hideMark/>
          </w:tcPr>
          <w:p w14:paraId="08E072D1" w14:textId="77777777" w:rsidR="00AC30DF" w:rsidRPr="009F227C" w:rsidRDefault="00AC30DF" w:rsidP="00AC30DF">
            <w:pPr>
              <w:jc w:val="right"/>
              <w:rPr>
                <w:b/>
                <w:bCs/>
                <w:sz w:val="20"/>
                <w:szCs w:val="20"/>
              </w:rPr>
            </w:pPr>
            <w:r w:rsidRPr="009F227C">
              <w:rPr>
                <w:b/>
                <w:bCs/>
                <w:sz w:val="20"/>
                <w:szCs w:val="20"/>
              </w:rPr>
              <w:t> </w:t>
            </w:r>
          </w:p>
        </w:tc>
        <w:tc>
          <w:tcPr>
            <w:tcW w:w="1660" w:type="dxa"/>
            <w:tcBorders>
              <w:top w:val="nil"/>
              <w:left w:val="nil"/>
              <w:bottom w:val="nil"/>
              <w:right w:val="single" w:sz="4" w:space="0" w:color="auto"/>
            </w:tcBorders>
            <w:shd w:val="clear" w:color="000000" w:fill="FFFFFF"/>
            <w:noWrap/>
            <w:vAlign w:val="bottom"/>
            <w:hideMark/>
          </w:tcPr>
          <w:p w14:paraId="25A1697C" w14:textId="77777777" w:rsidR="00AC30DF" w:rsidRPr="009F227C" w:rsidRDefault="00AC30DF" w:rsidP="00AC30DF">
            <w:pPr>
              <w:rPr>
                <w:b/>
                <w:bCs/>
                <w:sz w:val="20"/>
                <w:szCs w:val="20"/>
              </w:rPr>
            </w:pPr>
            <w:r w:rsidRPr="009F227C">
              <w:rPr>
                <w:b/>
                <w:bCs/>
                <w:sz w:val="20"/>
                <w:szCs w:val="20"/>
              </w:rPr>
              <w:t> </w:t>
            </w:r>
          </w:p>
        </w:tc>
      </w:tr>
      <w:tr w:rsidR="00AC30DF" w:rsidRPr="009F227C" w14:paraId="7C364D19"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9F26262" w14:textId="77777777" w:rsidR="00AC30DF" w:rsidRPr="009F227C" w:rsidRDefault="00AC30DF" w:rsidP="00AC30DF">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52B52098"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09B03CA4"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491315C0" w14:textId="77777777" w:rsidR="00AC30DF" w:rsidRPr="009F227C" w:rsidRDefault="00AC30DF" w:rsidP="00AC30DF">
            <w:pPr>
              <w:rPr>
                <w:sz w:val="20"/>
                <w:szCs w:val="20"/>
              </w:rPr>
            </w:pPr>
            <w:r w:rsidRPr="009F227C">
              <w:rPr>
                <w:sz w:val="20"/>
                <w:szCs w:val="20"/>
              </w:rPr>
              <w:t> </w:t>
            </w:r>
          </w:p>
        </w:tc>
      </w:tr>
      <w:tr w:rsidR="00AC30DF" w:rsidRPr="009F227C" w14:paraId="2EA89A61" w14:textId="77777777" w:rsidTr="00AC30DF">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4A38BCEE" w14:textId="77777777" w:rsidR="00AC30DF" w:rsidRPr="009F227C" w:rsidRDefault="00AC30DF" w:rsidP="00AC30DF">
            <w:pPr>
              <w:rPr>
                <w:sz w:val="20"/>
                <w:szCs w:val="20"/>
              </w:rPr>
            </w:pPr>
            <w:r w:rsidRPr="009F227C">
              <w:rPr>
                <w:sz w:val="20"/>
                <w:szCs w:val="20"/>
              </w:rPr>
              <w:t> </w:t>
            </w:r>
          </w:p>
        </w:tc>
        <w:tc>
          <w:tcPr>
            <w:tcW w:w="5940" w:type="dxa"/>
            <w:tcBorders>
              <w:top w:val="single" w:sz="4" w:space="0" w:color="000000"/>
              <w:left w:val="nil"/>
              <w:bottom w:val="nil"/>
              <w:right w:val="nil"/>
            </w:tcBorders>
            <w:shd w:val="clear" w:color="000000" w:fill="FFFFFF"/>
            <w:noWrap/>
            <w:vAlign w:val="bottom"/>
            <w:hideMark/>
          </w:tcPr>
          <w:p w14:paraId="7DB4D23F" w14:textId="77777777" w:rsidR="00AC30DF" w:rsidRPr="009F227C" w:rsidRDefault="00AC30DF" w:rsidP="00AC30DF">
            <w:pPr>
              <w:rPr>
                <w:sz w:val="20"/>
                <w:szCs w:val="20"/>
              </w:rPr>
            </w:pPr>
            <w:r w:rsidRPr="009F227C">
              <w:rPr>
                <w:sz w:val="20"/>
                <w:szCs w:val="20"/>
              </w:rPr>
              <w:t> </w:t>
            </w:r>
          </w:p>
        </w:tc>
        <w:tc>
          <w:tcPr>
            <w:tcW w:w="1520" w:type="dxa"/>
            <w:tcBorders>
              <w:top w:val="single" w:sz="4" w:space="0" w:color="000000"/>
              <w:left w:val="nil"/>
              <w:bottom w:val="nil"/>
              <w:right w:val="nil"/>
            </w:tcBorders>
            <w:shd w:val="clear" w:color="000000" w:fill="FFFFFF"/>
            <w:noWrap/>
            <w:vAlign w:val="bottom"/>
            <w:hideMark/>
          </w:tcPr>
          <w:p w14:paraId="1CF2A849" w14:textId="77777777" w:rsidR="00AC30DF" w:rsidRPr="009F227C" w:rsidRDefault="00AC30DF" w:rsidP="00AC30DF">
            <w:pPr>
              <w:rPr>
                <w:sz w:val="20"/>
                <w:szCs w:val="20"/>
              </w:rPr>
            </w:pPr>
            <w:r w:rsidRPr="009F227C">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14:paraId="242EB37D" w14:textId="77777777" w:rsidR="00AC30DF" w:rsidRPr="009F227C" w:rsidRDefault="00AC30DF" w:rsidP="00AC30DF">
            <w:pPr>
              <w:rPr>
                <w:sz w:val="20"/>
                <w:szCs w:val="20"/>
              </w:rPr>
            </w:pPr>
            <w:r w:rsidRPr="009F227C">
              <w:rPr>
                <w:sz w:val="20"/>
                <w:szCs w:val="20"/>
              </w:rPr>
              <w:t> </w:t>
            </w:r>
          </w:p>
        </w:tc>
      </w:tr>
      <w:tr w:rsidR="00AC30DF" w:rsidRPr="009F227C" w14:paraId="43B72AA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5373828" w14:textId="77777777" w:rsidR="00AC30DF" w:rsidRPr="009F227C" w:rsidRDefault="00AC30DF" w:rsidP="00AC30DF">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027223DD" w14:textId="77777777" w:rsidR="00AC30DF" w:rsidRPr="009F227C" w:rsidRDefault="00AC30DF" w:rsidP="00AC30DF">
            <w:pPr>
              <w:rPr>
                <w:b/>
                <w:bCs/>
                <w:sz w:val="20"/>
                <w:szCs w:val="20"/>
              </w:rPr>
            </w:pPr>
            <w:r w:rsidRPr="009F227C">
              <w:rPr>
                <w:b/>
                <w:bCs/>
                <w:sz w:val="20"/>
                <w:szCs w:val="20"/>
              </w:rPr>
              <w:t>Explanation</w:t>
            </w:r>
          </w:p>
        </w:tc>
        <w:tc>
          <w:tcPr>
            <w:tcW w:w="1520" w:type="dxa"/>
            <w:tcBorders>
              <w:top w:val="nil"/>
              <w:left w:val="nil"/>
              <w:bottom w:val="nil"/>
              <w:right w:val="nil"/>
            </w:tcBorders>
            <w:shd w:val="clear" w:color="000000" w:fill="FFFFFF"/>
            <w:noWrap/>
            <w:vAlign w:val="bottom"/>
            <w:hideMark/>
          </w:tcPr>
          <w:p w14:paraId="6FD673C7" w14:textId="77777777" w:rsidR="00AC30DF" w:rsidRPr="009F227C" w:rsidRDefault="00AC30DF" w:rsidP="00AC30DF">
            <w:pPr>
              <w:jc w:val="center"/>
              <w:rPr>
                <w:b/>
                <w:bCs/>
                <w:sz w:val="20"/>
                <w:szCs w:val="20"/>
              </w:rPr>
            </w:pPr>
            <w:r w:rsidRPr="009F227C">
              <w:rPr>
                <w:b/>
                <w:bCs/>
                <w:sz w:val="20"/>
                <w:szCs w:val="20"/>
              </w:rPr>
              <w:t>Water</w:t>
            </w:r>
          </w:p>
        </w:tc>
        <w:tc>
          <w:tcPr>
            <w:tcW w:w="1660" w:type="dxa"/>
            <w:tcBorders>
              <w:top w:val="nil"/>
              <w:left w:val="nil"/>
              <w:bottom w:val="nil"/>
              <w:right w:val="single" w:sz="4" w:space="0" w:color="auto"/>
            </w:tcBorders>
            <w:shd w:val="clear" w:color="000000" w:fill="FFFFFF"/>
            <w:noWrap/>
            <w:vAlign w:val="bottom"/>
            <w:hideMark/>
          </w:tcPr>
          <w:p w14:paraId="112496BA" w14:textId="77777777" w:rsidR="00AC30DF" w:rsidRPr="009F227C" w:rsidRDefault="00AC30DF" w:rsidP="00AC30DF">
            <w:pPr>
              <w:jc w:val="center"/>
              <w:rPr>
                <w:b/>
                <w:bCs/>
                <w:sz w:val="20"/>
                <w:szCs w:val="20"/>
              </w:rPr>
            </w:pPr>
            <w:r w:rsidRPr="009F227C">
              <w:rPr>
                <w:b/>
                <w:bCs/>
                <w:sz w:val="20"/>
                <w:szCs w:val="20"/>
              </w:rPr>
              <w:t>Wastewater</w:t>
            </w:r>
          </w:p>
        </w:tc>
      </w:tr>
      <w:tr w:rsidR="00AC30DF" w:rsidRPr="009F227C" w14:paraId="5926AED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4ECDECD" w14:textId="77777777" w:rsidR="00AC30DF" w:rsidRPr="009F227C" w:rsidRDefault="00AC30DF" w:rsidP="00AC30DF">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6E2C41E6"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32E9162F"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3304C5D8" w14:textId="77777777" w:rsidR="00AC30DF" w:rsidRPr="009F227C" w:rsidRDefault="00AC30DF" w:rsidP="00AC30DF">
            <w:pPr>
              <w:rPr>
                <w:sz w:val="20"/>
                <w:szCs w:val="20"/>
              </w:rPr>
            </w:pPr>
            <w:r w:rsidRPr="009F227C">
              <w:rPr>
                <w:sz w:val="20"/>
                <w:szCs w:val="20"/>
              </w:rPr>
              <w:t> </w:t>
            </w:r>
          </w:p>
        </w:tc>
      </w:tr>
      <w:tr w:rsidR="00AC30DF" w:rsidRPr="009F227C" w14:paraId="6FCA1551" w14:textId="77777777" w:rsidTr="00AC30DF">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3C0EFB06" w14:textId="77777777" w:rsidR="00AC30DF" w:rsidRPr="009F227C" w:rsidRDefault="00AC30DF" w:rsidP="00AC30DF">
            <w:pPr>
              <w:jc w:val="center"/>
              <w:rPr>
                <w:sz w:val="20"/>
                <w:szCs w:val="20"/>
              </w:rPr>
            </w:pPr>
            <w:r w:rsidRPr="009F227C">
              <w:rPr>
                <w:sz w:val="20"/>
                <w:szCs w:val="20"/>
              </w:rPr>
              <w:t> </w:t>
            </w:r>
          </w:p>
        </w:tc>
        <w:tc>
          <w:tcPr>
            <w:tcW w:w="5940" w:type="dxa"/>
            <w:tcBorders>
              <w:top w:val="single" w:sz="4" w:space="0" w:color="000000"/>
              <w:left w:val="nil"/>
              <w:bottom w:val="nil"/>
              <w:right w:val="nil"/>
            </w:tcBorders>
            <w:shd w:val="clear" w:color="000000" w:fill="FFFFFF"/>
            <w:noWrap/>
            <w:vAlign w:val="bottom"/>
            <w:hideMark/>
          </w:tcPr>
          <w:p w14:paraId="25C0EB80" w14:textId="77777777" w:rsidR="00AC30DF" w:rsidRPr="009F227C" w:rsidRDefault="00AC30DF" w:rsidP="00AC30DF">
            <w:pPr>
              <w:rPr>
                <w:sz w:val="20"/>
                <w:szCs w:val="20"/>
              </w:rPr>
            </w:pPr>
            <w:r w:rsidRPr="009F227C">
              <w:rPr>
                <w:sz w:val="20"/>
                <w:szCs w:val="20"/>
              </w:rPr>
              <w:t> </w:t>
            </w:r>
          </w:p>
        </w:tc>
        <w:tc>
          <w:tcPr>
            <w:tcW w:w="1520" w:type="dxa"/>
            <w:tcBorders>
              <w:top w:val="single" w:sz="4" w:space="0" w:color="000000"/>
              <w:left w:val="nil"/>
              <w:bottom w:val="nil"/>
              <w:right w:val="nil"/>
            </w:tcBorders>
            <w:shd w:val="clear" w:color="000000" w:fill="FFFFFF"/>
            <w:noWrap/>
            <w:vAlign w:val="bottom"/>
            <w:hideMark/>
          </w:tcPr>
          <w:p w14:paraId="75174A90" w14:textId="77777777" w:rsidR="00AC30DF" w:rsidRPr="009F227C" w:rsidRDefault="00AC30DF" w:rsidP="00AC30DF">
            <w:pPr>
              <w:rPr>
                <w:sz w:val="20"/>
                <w:szCs w:val="20"/>
              </w:rPr>
            </w:pPr>
            <w:r w:rsidRPr="009F227C">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14:paraId="199477F1" w14:textId="77777777" w:rsidR="00AC30DF" w:rsidRPr="009F227C" w:rsidRDefault="00AC30DF" w:rsidP="00AC30DF">
            <w:pPr>
              <w:rPr>
                <w:sz w:val="20"/>
                <w:szCs w:val="20"/>
              </w:rPr>
            </w:pPr>
            <w:r w:rsidRPr="009F227C">
              <w:rPr>
                <w:sz w:val="20"/>
                <w:szCs w:val="20"/>
              </w:rPr>
              <w:t> </w:t>
            </w:r>
          </w:p>
        </w:tc>
      </w:tr>
      <w:tr w:rsidR="00AC30DF" w:rsidRPr="009F227C" w14:paraId="4821444A"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6A0AA2E"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4CAD73F6" w14:textId="77777777" w:rsidR="00AC30DF" w:rsidRPr="009F227C" w:rsidRDefault="00AC30DF" w:rsidP="00AC30DF">
            <w:pPr>
              <w:rPr>
                <w:sz w:val="20"/>
                <w:szCs w:val="20"/>
                <w:u w:val="single"/>
              </w:rPr>
            </w:pPr>
            <w:r w:rsidRPr="009F227C">
              <w:rPr>
                <w:sz w:val="20"/>
                <w:szCs w:val="20"/>
                <w:u w:val="single"/>
              </w:rPr>
              <w:t>Plant In Service</w:t>
            </w:r>
          </w:p>
        </w:tc>
        <w:tc>
          <w:tcPr>
            <w:tcW w:w="1520" w:type="dxa"/>
            <w:tcBorders>
              <w:top w:val="nil"/>
              <w:left w:val="nil"/>
              <w:bottom w:val="nil"/>
              <w:right w:val="nil"/>
            </w:tcBorders>
            <w:shd w:val="clear" w:color="000000" w:fill="FFFFFF"/>
            <w:noWrap/>
            <w:vAlign w:val="bottom"/>
            <w:hideMark/>
          </w:tcPr>
          <w:p w14:paraId="3546889F"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6DF416F2" w14:textId="77777777" w:rsidR="00AC30DF" w:rsidRPr="009F227C" w:rsidRDefault="00AC30DF" w:rsidP="00AC30DF">
            <w:pPr>
              <w:rPr>
                <w:sz w:val="20"/>
                <w:szCs w:val="20"/>
              </w:rPr>
            </w:pPr>
            <w:r w:rsidRPr="009F227C">
              <w:rPr>
                <w:sz w:val="20"/>
                <w:szCs w:val="20"/>
              </w:rPr>
              <w:t> </w:t>
            </w:r>
          </w:p>
        </w:tc>
      </w:tr>
      <w:tr w:rsidR="00AC30DF" w:rsidRPr="009F227C" w14:paraId="52B0A6F0"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F45A6D2" w14:textId="77777777" w:rsidR="00AC30DF" w:rsidRPr="009F227C" w:rsidRDefault="00AC30DF" w:rsidP="00AC30DF">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6E1D9B41" w14:textId="3373E9C9" w:rsidR="00AC30DF" w:rsidRPr="009F227C" w:rsidRDefault="00AC30DF" w:rsidP="00345615">
            <w:pPr>
              <w:rPr>
                <w:sz w:val="20"/>
                <w:szCs w:val="20"/>
              </w:rPr>
            </w:pPr>
            <w:r w:rsidRPr="009F227C">
              <w:rPr>
                <w:sz w:val="20"/>
                <w:szCs w:val="20"/>
              </w:rPr>
              <w:t xml:space="preserve">To reflect </w:t>
            </w:r>
            <w:r w:rsidR="00345615">
              <w:rPr>
                <w:sz w:val="20"/>
                <w:szCs w:val="20"/>
              </w:rPr>
              <w:t>approved</w:t>
            </w:r>
            <w:r w:rsidRPr="009F227C">
              <w:rPr>
                <w:sz w:val="20"/>
                <w:szCs w:val="20"/>
              </w:rPr>
              <w:t xml:space="preserve"> pro forma plant. (I-4)</w:t>
            </w:r>
          </w:p>
        </w:tc>
        <w:tc>
          <w:tcPr>
            <w:tcW w:w="1520" w:type="dxa"/>
            <w:tcBorders>
              <w:top w:val="nil"/>
              <w:left w:val="nil"/>
              <w:bottom w:val="nil"/>
              <w:right w:val="nil"/>
            </w:tcBorders>
            <w:shd w:val="clear" w:color="000000" w:fill="FFFFFF"/>
            <w:noWrap/>
            <w:vAlign w:val="bottom"/>
            <w:hideMark/>
          </w:tcPr>
          <w:p w14:paraId="00DA0C12" w14:textId="77777777" w:rsidR="00AC30DF" w:rsidRPr="009F227C" w:rsidRDefault="00AC30DF" w:rsidP="00AC30DF">
            <w:pPr>
              <w:jc w:val="right"/>
              <w:rPr>
                <w:sz w:val="20"/>
                <w:szCs w:val="20"/>
              </w:rPr>
            </w:pPr>
            <w:r w:rsidRPr="009F227C">
              <w:rPr>
                <w:sz w:val="20"/>
                <w:szCs w:val="20"/>
              </w:rPr>
              <w:t>($1,310,997)</w:t>
            </w:r>
          </w:p>
        </w:tc>
        <w:tc>
          <w:tcPr>
            <w:tcW w:w="1660" w:type="dxa"/>
            <w:tcBorders>
              <w:top w:val="nil"/>
              <w:left w:val="nil"/>
              <w:bottom w:val="nil"/>
              <w:right w:val="single" w:sz="4" w:space="0" w:color="auto"/>
            </w:tcBorders>
            <w:shd w:val="clear" w:color="000000" w:fill="FFFFFF"/>
            <w:noWrap/>
            <w:vAlign w:val="bottom"/>
            <w:hideMark/>
          </w:tcPr>
          <w:p w14:paraId="480DC0F7" w14:textId="77777777" w:rsidR="00AC30DF" w:rsidRPr="009F227C" w:rsidRDefault="00AC30DF" w:rsidP="00AC30DF">
            <w:pPr>
              <w:jc w:val="right"/>
              <w:rPr>
                <w:sz w:val="20"/>
                <w:szCs w:val="20"/>
              </w:rPr>
            </w:pPr>
            <w:r w:rsidRPr="009F227C">
              <w:rPr>
                <w:sz w:val="20"/>
                <w:szCs w:val="20"/>
              </w:rPr>
              <w:t xml:space="preserve">$1,600,372 </w:t>
            </w:r>
          </w:p>
        </w:tc>
      </w:tr>
      <w:tr w:rsidR="00AC30DF" w:rsidRPr="009F227C" w14:paraId="19E62FAD"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E011702" w14:textId="77777777" w:rsidR="00AC30DF" w:rsidRPr="009F227C" w:rsidRDefault="00AC30DF" w:rsidP="00AC30DF">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6ADC8F0D" w14:textId="77777777" w:rsidR="00AC30DF" w:rsidRPr="009F227C" w:rsidRDefault="00AC30DF" w:rsidP="00AC30DF">
            <w:pPr>
              <w:rPr>
                <w:sz w:val="20"/>
                <w:szCs w:val="20"/>
              </w:rPr>
            </w:pPr>
            <w:r w:rsidRPr="009F227C">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14:paraId="2A68D212" w14:textId="77777777" w:rsidR="00AC30DF" w:rsidRPr="009F227C" w:rsidRDefault="00AC30DF" w:rsidP="00AC30DF">
            <w:pPr>
              <w:jc w:val="right"/>
              <w:rPr>
                <w:sz w:val="20"/>
                <w:szCs w:val="20"/>
              </w:rPr>
            </w:pPr>
            <w:r w:rsidRPr="009F227C">
              <w:rPr>
                <w:sz w:val="20"/>
                <w:szCs w:val="20"/>
              </w:rPr>
              <w:t>(361,118)</w:t>
            </w:r>
          </w:p>
        </w:tc>
        <w:tc>
          <w:tcPr>
            <w:tcW w:w="1660" w:type="dxa"/>
            <w:tcBorders>
              <w:top w:val="nil"/>
              <w:left w:val="nil"/>
              <w:bottom w:val="nil"/>
              <w:right w:val="single" w:sz="4" w:space="0" w:color="auto"/>
            </w:tcBorders>
            <w:shd w:val="clear" w:color="000000" w:fill="FFFFFF"/>
            <w:noWrap/>
            <w:vAlign w:val="bottom"/>
            <w:hideMark/>
          </w:tcPr>
          <w:p w14:paraId="124FC932" w14:textId="77777777" w:rsidR="00AC30DF" w:rsidRPr="009F227C" w:rsidRDefault="00AC30DF" w:rsidP="00AC30DF">
            <w:pPr>
              <w:jc w:val="right"/>
              <w:rPr>
                <w:sz w:val="20"/>
                <w:szCs w:val="20"/>
              </w:rPr>
            </w:pPr>
            <w:r w:rsidRPr="009F227C">
              <w:rPr>
                <w:sz w:val="20"/>
                <w:szCs w:val="20"/>
              </w:rPr>
              <w:t>(320,367)</w:t>
            </w:r>
          </w:p>
        </w:tc>
      </w:tr>
      <w:tr w:rsidR="00AC30DF" w:rsidRPr="009F227C" w14:paraId="61EEAC88"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EBFAF47" w14:textId="77777777" w:rsidR="00AC30DF" w:rsidRPr="009F227C" w:rsidRDefault="00AC30DF" w:rsidP="00AC30DF">
            <w:pPr>
              <w:jc w:val="center"/>
              <w:rPr>
                <w:sz w:val="20"/>
                <w:szCs w:val="20"/>
              </w:rPr>
            </w:pPr>
            <w:r w:rsidRPr="009F227C">
              <w:rPr>
                <w:sz w:val="20"/>
                <w:szCs w:val="20"/>
              </w:rPr>
              <w:t>3</w:t>
            </w:r>
          </w:p>
        </w:tc>
        <w:tc>
          <w:tcPr>
            <w:tcW w:w="5940" w:type="dxa"/>
            <w:tcBorders>
              <w:top w:val="nil"/>
              <w:left w:val="nil"/>
              <w:bottom w:val="nil"/>
              <w:right w:val="nil"/>
            </w:tcBorders>
            <w:shd w:val="clear" w:color="000000" w:fill="FFFFFF"/>
            <w:noWrap/>
            <w:vAlign w:val="bottom"/>
            <w:hideMark/>
          </w:tcPr>
          <w:p w14:paraId="0AB40FD0" w14:textId="77777777" w:rsidR="00AC30DF" w:rsidRPr="009F227C" w:rsidRDefault="00AC30DF" w:rsidP="00AC30DF">
            <w:pPr>
              <w:rPr>
                <w:sz w:val="20"/>
                <w:szCs w:val="20"/>
              </w:rPr>
            </w:pPr>
            <w:r w:rsidRPr="009F227C">
              <w:rPr>
                <w:sz w:val="20"/>
                <w:szCs w:val="20"/>
              </w:rPr>
              <w:t>To reflect annualization of test year plant additions. (I-3)</w:t>
            </w:r>
          </w:p>
        </w:tc>
        <w:tc>
          <w:tcPr>
            <w:tcW w:w="1520" w:type="dxa"/>
            <w:tcBorders>
              <w:top w:val="nil"/>
              <w:left w:val="nil"/>
              <w:bottom w:val="nil"/>
              <w:right w:val="nil"/>
            </w:tcBorders>
            <w:shd w:val="clear" w:color="000000" w:fill="FFFFFF"/>
            <w:noWrap/>
            <w:vAlign w:val="bottom"/>
            <w:hideMark/>
          </w:tcPr>
          <w:p w14:paraId="38CF49F2" w14:textId="77777777" w:rsidR="00AC30DF" w:rsidRPr="009F227C" w:rsidRDefault="00AC30DF" w:rsidP="00AC30DF">
            <w:pPr>
              <w:jc w:val="right"/>
              <w:rPr>
                <w:sz w:val="20"/>
                <w:szCs w:val="20"/>
                <w:u w:val="single"/>
              </w:rPr>
            </w:pPr>
            <w:r w:rsidRPr="009F227C">
              <w:rPr>
                <w:sz w:val="20"/>
                <w:szCs w:val="20"/>
                <w:u w:val="single"/>
              </w:rPr>
              <w:t xml:space="preserve">3,918,720 </w:t>
            </w:r>
          </w:p>
        </w:tc>
        <w:tc>
          <w:tcPr>
            <w:tcW w:w="1660" w:type="dxa"/>
            <w:tcBorders>
              <w:top w:val="nil"/>
              <w:left w:val="nil"/>
              <w:bottom w:val="nil"/>
              <w:right w:val="single" w:sz="4" w:space="0" w:color="auto"/>
            </w:tcBorders>
            <w:shd w:val="clear" w:color="000000" w:fill="FFFFFF"/>
            <w:noWrap/>
            <w:vAlign w:val="bottom"/>
            <w:hideMark/>
          </w:tcPr>
          <w:p w14:paraId="0354A947" w14:textId="77777777" w:rsidR="00AC30DF" w:rsidRPr="009F227C" w:rsidRDefault="00AC30DF" w:rsidP="00AC30DF">
            <w:pPr>
              <w:jc w:val="right"/>
              <w:rPr>
                <w:sz w:val="20"/>
                <w:szCs w:val="20"/>
                <w:u w:val="single"/>
              </w:rPr>
            </w:pPr>
            <w:r w:rsidRPr="009F227C">
              <w:rPr>
                <w:sz w:val="20"/>
                <w:szCs w:val="20"/>
                <w:u w:val="single"/>
              </w:rPr>
              <w:t xml:space="preserve">8,285,365 </w:t>
            </w:r>
          </w:p>
        </w:tc>
      </w:tr>
      <w:tr w:rsidR="00AC30DF" w:rsidRPr="009F227C" w14:paraId="662A38C7"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C5DCFE7"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55FD8A03" w14:textId="77777777" w:rsidR="00AC30DF" w:rsidRPr="009F227C" w:rsidRDefault="00AC30DF" w:rsidP="00AC30DF">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7AA47EA9" w14:textId="77777777" w:rsidR="00AC30DF" w:rsidRPr="009F227C" w:rsidRDefault="00AC30DF" w:rsidP="00AC30DF">
            <w:pPr>
              <w:jc w:val="right"/>
              <w:rPr>
                <w:sz w:val="20"/>
                <w:szCs w:val="20"/>
                <w:u w:val="double"/>
              </w:rPr>
            </w:pPr>
            <w:r w:rsidRPr="009F227C">
              <w:rPr>
                <w:sz w:val="20"/>
                <w:szCs w:val="20"/>
                <w:u w:val="double"/>
              </w:rPr>
              <w:t xml:space="preserve">$2,246,605 </w:t>
            </w:r>
          </w:p>
        </w:tc>
        <w:tc>
          <w:tcPr>
            <w:tcW w:w="1660" w:type="dxa"/>
            <w:tcBorders>
              <w:top w:val="nil"/>
              <w:left w:val="nil"/>
              <w:bottom w:val="nil"/>
              <w:right w:val="single" w:sz="4" w:space="0" w:color="auto"/>
            </w:tcBorders>
            <w:shd w:val="clear" w:color="000000" w:fill="FFFFFF"/>
            <w:noWrap/>
            <w:vAlign w:val="bottom"/>
            <w:hideMark/>
          </w:tcPr>
          <w:p w14:paraId="139C16FA" w14:textId="77777777" w:rsidR="00AC30DF" w:rsidRPr="009F227C" w:rsidRDefault="00AC30DF" w:rsidP="00AC30DF">
            <w:pPr>
              <w:jc w:val="right"/>
              <w:rPr>
                <w:sz w:val="20"/>
                <w:szCs w:val="20"/>
                <w:u w:val="double"/>
              </w:rPr>
            </w:pPr>
            <w:r w:rsidRPr="009F227C">
              <w:rPr>
                <w:sz w:val="20"/>
                <w:szCs w:val="20"/>
                <w:u w:val="double"/>
              </w:rPr>
              <w:t xml:space="preserve">$9,565,370 </w:t>
            </w:r>
          </w:p>
        </w:tc>
      </w:tr>
      <w:tr w:rsidR="00AC30DF" w:rsidRPr="009F227C" w14:paraId="3DCDDC8B"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CD120D3"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7DE54C7D"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60B451C4"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00B1BDE0" w14:textId="77777777" w:rsidR="00AC30DF" w:rsidRPr="009F227C" w:rsidRDefault="00AC30DF" w:rsidP="00AC30DF">
            <w:pPr>
              <w:rPr>
                <w:sz w:val="20"/>
                <w:szCs w:val="20"/>
              </w:rPr>
            </w:pPr>
            <w:r w:rsidRPr="009F227C">
              <w:rPr>
                <w:sz w:val="20"/>
                <w:szCs w:val="20"/>
              </w:rPr>
              <w:t> </w:t>
            </w:r>
          </w:p>
        </w:tc>
      </w:tr>
      <w:tr w:rsidR="00AC30DF" w:rsidRPr="009F227C" w14:paraId="782ECF75"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1D9293BF"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1B3ABDC3" w14:textId="77777777" w:rsidR="00AC30DF" w:rsidRPr="009F227C" w:rsidRDefault="00AC30DF" w:rsidP="00AC30DF">
            <w:pPr>
              <w:rPr>
                <w:sz w:val="20"/>
                <w:szCs w:val="20"/>
                <w:u w:val="single"/>
              </w:rPr>
            </w:pPr>
            <w:r w:rsidRPr="009F227C">
              <w:rPr>
                <w:sz w:val="20"/>
                <w:szCs w:val="20"/>
                <w:u w:val="single"/>
              </w:rPr>
              <w:t>Land</w:t>
            </w:r>
          </w:p>
        </w:tc>
        <w:tc>
          <w:tcPr>
            <w:tcW w:w="1520" w:type="dxa"/>
            <w:tcBorders>
              <w:top w:val="nil"/>
              <w:left w:val="nil"/>
              <w:bottom w:val="nil"/>
              <w:right w:val="nil"/>
            </w:tcBorders>
            <w:shd w:val="clear" w:color="000000" w:fill="FFFFFF"/>
            <w:noWrap/>
            <w:vAlign w:val="bottom"/>
            <w:hideMark/>
          </w:tcPr>
          <w:p w14:paraId="378E9E3C"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755926B4" w14:textId="77777777" w:rsidR="00AC30DF" w:rsidRPr="009F227C" w:rsidRDefault="00AC30DF" w:rsidP="00AC30DF">
            <w:pPr>
              <w:rPr>
                <w:sz w:val="20"/>
                <w:szCs w:val="20"/>
              </w:rPr>
            </w:pPr>
            <w:r w:rsidRPr="009F227C">
              <w:rPr>
                <w:sz w:val="20"/>
                <w:szCs w:val="20"/>
              </w:rPr>
              <w:t> </w:t>
            </w:r>
          </w:p>
        </w:tc>
      </w:tr>
      <w:tr w:rsidR="00AC30DF" w:rsidRPr="009F227C" w14:paraId="71CC1E1A"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6D9B650" w14:textId="77777777" w:rsidR="00AC30DF" w:rsidRPr="009F227C" w:rsidRDefault="00AC30DF" w:rsidP="00AC30DF">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5933E9D0" w14:textId="77777777" w:rsidR="00AC30DF" w:rsidRPr="009F227C" w:rsidRDefault="00AC30DF" w:rsidP="00AC30DF">
            <w:pPr>
              <w:rPr>
                <w:sz w:val="20"/>
                <w:szCs w:val="20"/>
              </w:rPr>
            </w:pPr>
            <w:r w:rsidRPr="009F227C">
              <w:rPr>
                <w:sz w:val="20"/>
                <w:szCs w:val="20"/>
              </w:rPr>
              <w:t>To reflect Audit Finding No. 7. (I-3)</w:t>
            </w:r>
          </w:p>
        </w:tc>
        <w:tc>
          <w:tcPr>
            <w:tcW w:w="1520" w:type="dxa"/>
            <w:tcBorders>
              <w:top w:val="nil"/>
              <w:left w:val="nil"/>
              <w:bottom w:val="nil"/>
              <w:right w:val="nil"/>
            </w:tcBorders>
            <w:shd w:val="clear" w:color="000000" w:fill="FFFFFF"/>
            <w:noWrap/>
            <w:vAlign w:val="bottom"/>
            <w:hideMark/>
          </w:tcPr>
          <w:p w14:paraId="379DA6BB" w14:textId="77777777" w:rsidR="00AC30DF" w:rsidRPr="009F227C" w:rsidRDefault="00AC30DF" w:rsidP="00AC30DF">
            <w:pPr>
              <w:jc w:val="right"/>
              <w:rPr>
                <w:sz w:val="20"/>
                <w:szCs w:val="20"/>
                <w:u w:val="single"/>
              </w:rPr>
            </w:pPr>
            <w:r w:rsidRPr="009F227C">
              <w:rPr>
                <w:sz w:val="20"/>
                <w:szCs w:val="20"/>
                <w:u w:val="single"/>
              </w:rPr>
              <w:t>($29,570)</w:t>
            </w:r>
          </w:p>
        </w:tc>
        <w:tc>
          <w:tcPr>
            <w:tcW w:w="1660" w:type="dxa"/>
            <w:tcBorders>
              <w:top w:val="nil"/>
              <w:left w:val="nil"/>
              <w:bottom w:val="nil"/>
              <w:right w:val="single" w:sz="4" w:space="0" w:color="auto"/>
            </w:tcBorders>
            <w:shd w:val="clear" w:color="000000" w:fill="FFFFFF"/>
            <w:noWrap/>
            <w:vAlign w:val="bottom"/>
            <w:hideMark/>
          </w:tcPr>
          <w:p w14:paraId="3612296D" w14:textId="77777777" w:rsidR="00AC30DF" w:rsidRPr="009F227C" w:rsidRDefault="00AC30DF" w:rsidP="00AC30DF">
            <w:pPr>
              <w:jc w:val="right"/>
              <w:rPr>
                <w:sz w:val="20"/>
                <w:szCs w:val="20"/>
                <w:u w:val="single"/>
              </w:rPr>
            </w:pPr>
            <w:r w:rsidRPr="009F227C">
              <w:rPr>
                <w:sz w:val="20"/>
                <w:szCs w:val="20"/>
                <w:u w:val="single"/>
              </w:rPr>
              <w:t>($27,486)</w:t>
            </w:r>
          </w:p>
        </w:tc>
      </w:tr>
      <w:tr w:rsidR="00AC30DF" w:rsidRPr="009F227C" w14:paraId="694127D3"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EABADAD"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5B32A4C8" w14:textId="77777777" w:rsidR="00AC30DF" w:rsidRPr="009F227C" w:rsidRDefault="00AC30DF" w:rsidP="00AC30DF">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40E86BD1" w14:textId="77777777" w:rsidR="00AC30DF" w:rsidRPr="009F227C" w:rsidRDefault="00AC30DF" w:rsidP="00AC30DF">
            <w:pPr>
              <w:jc w:val="right"/>
              <w:rPr>
                <w:sz w:val="20"/>
                <w:szCs w:val="20"/>
                <w:u w:val="double"/>
              </w:rPr>
            </w:pPr>
            <w:r w:rsidRPr="009F227C">
              <w:rPr>
                <w:sz w:val="20"/>
                <w:szCs w:val="20"/>
                <w:u w:val="double"/>
              </w:rPr>
              <w:t>($29,570)</w:t>
            </w:r>
          </w:p>
        </w:tc>
        <w:tc>
          <w:tcPr>
            <w:tcW w:w="1660" w:type="dxa"/>
            <w:tcBorders>
              <w:top w:val="nil"/>
              <w:left w:val="nil"/>
              <w:bottom w:val="nil"/>
              <w:right w:val="single" w:sz="4" w:space="0" w:color="auto"/>
            </w:tcBorders>
            <w:shd w:val="clear" w:color="000000" w:fill="FFFFFF"/>
            <w:noWrap/>
            <w:vAlign w:val="bottom"/>
            <w:hideMark/>
          </w:tcPr>
          <w:p w14:paraId="2F7CFEA1" w14:textId="77777777" w:rsidR="00AC30DF" w:rsidRPr="009F227C" w:rsidRDefault="00AC30DF" w:rsidP="00AC30DF">
            <w:pPr>
              <w:jc w:val="right"/>
              <w:rPr>
                <w:sz w:val="20"/>
                <w:szCs w:val="20"/>
                <w:u w:val="double"/>
              </w:rPr>
            </w:pPr>
            <w:r w:rsidRPr="009F227C">
              <w:rPr>
                <w:sz w:val="20"/>
                <w:szCs w:val="20"/>
                <w:u w:val="double"/>
              </w:rPr>
              <w:t>($27,486)</w:t>
            </w:r>
          </w:p>
        </w:tc>
      </w:tr>
      <w:tr w:rsidR="00AC30DF" w:rsidRPr="009F227C" w14:paraId="4C7D9C3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3A1B27B"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6D48D094"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1D76AAF0"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6C8885B0" w14:textId="77777777" w:rsidR="00AC30DF" w:rsidRPr="009F227C" w:rsidRDefault="00AC30DF" w:rsidP="00AC30DF">
            <w:pPr>
              <w:rPr>
                <w:sz w:val="20"/>
                <w:szCs w:val="20"/>
              </w:rPr>
            </w:pPr>
            <w:r w:rsidRPr="009F227C">
              <w:rPr>
                <w:sz w:val="20"/>
                <w:szCs w:val="20"/>
              </w:rPr>
              <w:t> </w:t>
            </w:r>
          </w:p>
        </w:tc>
      </w:tr>
      <w:tr w:rsidR="00AC30DF" w:rsidRPr="009F227C" w14:paraId="1ED47870"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9DF87D6"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5F6ACEA5" w14:textId="77777777" w:rsidR="00AC30DF" w:rsidRPr="009F227C" w:rsidRDefault="00AC30DF" w:rsidP="00AC30DF">
            <w:pPr>
              <w:rPr>
                <w:sz w:val="20"/>
                <w:szCs w:val="20"/>
                <w:u w:val="single"/>
              </w:rPr>
            </w:pPr>
            <w:r w:rsidRPr="009F227C">
              <w:rPr>
                <w:sz w:val="20"/>
                <w:szCs w:val="20"/>
                <w:u w:val="single"/>
              </w:rPr>
              <w:t>Non-used and Useful</w:t>
            </w:r>
          </w:p>
        </w:tc>
        <w:tc>
          <w:tcPr>
            <w:tcW w:w="1520" w:type="dxa"/>
            <w:tcBorders>
              <w:top w:val="nil"/>
              <w:left w:val="nil"/>
              <w:bottom w:val="nil"/>
              <w:right w:val="nil"/>
            </w:tcBorders>
            <w:shd w:val="clear" w:color="000000" w:fill="FFFFFF"/>
            <w:noWrap/>
            <w:vAlign w:val="bottom"/>
            <w:hideMark/>
          </w:tcPr>
          <w:p w14:paraId="1F8668BC"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026CB125" w14:textId="77777777" w:rsidR="00AC30DF" w:rsidRPr="009F227C" w:rsidRDefault="00AC30DF" w:rsidP="00AC30DF">
            <w:pPr>
              <w:rPr>
                <w:sz w:val="20"/>
                <w:szCs w:val="20"/>
              </w:rPr>
            </w:pPr>
            <w:r w:rsidRPr="009F227C">
              <w:rPr>
                <w:sz w:val="20"/>
                <w:szCs w:val="20"/>
              </w:rPr>
              <w:t> </w:t>
            </w:r>
          </w:p>
        </w:tc>
      </w:tr>
      <w:tr w:rsidR="00AC30DF" w:rsidRPr="009F227C" w14:paraId="30472C16"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81D29AB"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71D472D0" w14:textId="77777777" w:rsidR="00AC30DF" w:rsidRPr="009F227C" w:rsidRDefault="00AC30DF" w:rsidP="00AC30DF">
            <w:pPr>
              <w:rPr>
                <w:sz w:val="20"/>
                <w:szCs w:val="20"/>
              </w:rPr>
            </w:pPr>
            <w:r w:rsidRPr="009F227C">
              <w:rPr>
                <w:sz w:val="20"/>
                <w:szCs w:val="20"/>
              </w:rPr>
              <w:t>To reflect net non-used and useful adjustment</w:t>
            </w:r>
          </w:p>
        </w:tc>
        <w:tc>
          <w:tcPr>
            <w:tcW w:w="1520" w:type="dxa"/>
            <w:tcBorders>
              <w:top w:val="nil"/>
              <w:left w:val="nil"/>
              <w:bottom w:val="nil"/>
              <w:right w:val="nil"/>
            </w:tcBorders>
            <w:shd w:val="clear" w:color="000000" w:fill="FFFFFF"/>
            <w:noWrap/>
            <w:vAlign w:val="bottom"/>
            <w:hideMark/>
          </w:tcPr>
          <w:p w14:paraId="7E4592C4" w14:textId="77777777" w:rsidR="00AC30DF" w:rsidRPr="009F227C" w:rsidRDefault="00AC30DF" w:rsidP="00AC30DF">
            <w:pPr>
              <w:jc w:val="right"/>
              <w:rPr>
                <w:sz w:val="20"/>
                <w:szCs w:val="20"/>
                <w:u w:val="double"/>
              </w:rPr>
            </w:pPr>
            <w:r w:rsidRPr="009F227C">
              <w:rPr>
                <w:sz w:val="20"/>
                <w:szCs w:val="20"/>
                <w:u w:val="double"/>
              </w:rPr>
              <w:t xml:space="preserve">$0 </w:t>
            </w:r>
          </w:p>
        </w:tc>
        <w:tc>
          <w:tcPr>
            <w:tcW w:w="1660" w:type="dxa"/>
            <w:tcBorders>
              <w:top w:val="nil"/>
              <w:left w:val="nil"/>
              <w:bottom w:val="nil"/>
              <w:right w:val="single" w:sz="4" w:space="0" w:color="auto"/>
            </w:tcBorders>
            <w:shd w:val="clear" w:color="000000" w:fill="FFFFFF"/>
            <w:noWrap/>
            <w:vAlign w:val="bottom"/>
            <w:hideMark/>
          </w:tcPr>
          <w:p w14:paraId="4E1C571F" w14:textId="77777777" w:rsidR="00AC30DF" w:rsidRPr="009F227C" w:rsidRDefault="00AC30DF" w:rsidP="00AC30DF">
            <w:pPr>
              <w:jc w:val="right"/>
              <w:rPr>
                <w:sz w:val="20"/>
                <w:szCs w:val="20"/>
                <w:u w:val="double"/>
              </w:rPr>
            </w:pPr>
            <w:r w:rsidRPr="009F227C">
              <w:rPr>
                <w:sz w:val="20"/>
                <w:szCs w:val="20"/>
                <w:u w:val="double"/>
              </w:rPr>
              <w:t xml:space="preserve">$0 </w:t>
            </w:r>
          </w:p>
        </w:tc>
      </w:tr>
      <w:tr w:rsidR="00AC30DF" w:rsidRPr="009F227C" w14:paraId="7DE4F09E"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5730A14"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1956830D"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26EE3EC6"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1CEAFC7C" w14:textId="77777777" w:rsidR="00AC30DF" w:rsidRPr="009F227C" w:rsidRDefault="00AC30DF" w:rsidP="00AC30DF">
            <w:pPr>
              <w:rPr>
                <w:sz w:val="20"/>
                <w:szCs w:val="20"/>
              </w:rPr>
            </w:pPr>
            <w:r w:rsidRPr="009F227C">
              <w:rPr>
                <w:sz w:val="20"/>
                <w:szCs w:val="20"/>
              </w:rPr>
              <w:t> </w:t>
            </w:r>
          </w:p>
        </w:tc>
      </w:tr>
      <w:tr w:rsidR="00AC30DF" w:rsidRPr="009F227C" w14:paraId="00736F2E"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2EFD9DA"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56857528" w14:textId="77777777" w:rsidR="00AC30DF" w:rsidRPr="009F227C" w:rsidRDefault="00AC30DF" w:rsidP="00AC30DF">
            <w:pPr>
              <w:rPr>
                <w:sz w:val="20"/>
                <w:szCs w:val="20"/>
                <w:u w:val="single"/>
              </w:rPr>
            </w:pPr>
            <w:r w:rsidRPr="009F227C">
              <w:rPr>
                <w:sz w:val="20"/>
                <w:szCs w:val="20"/>
                <w:u w:val="single"/>
              </w:rPr>
              <w:t>Accumulated Depreciation</w:t>
            </w:r>
          </w:p>
        </w:tc>
        <w:tc>
          <w:tcPr>
            <w:tcW w:w="1520" w:type="dxa"/>
            <w:tcBorders>
              <w:top w:val="nil"/>
              <w:left w:val="nil"/>
              <w:bottom w:val="nil"/>
              <w:right w:val="nil"/>
            </w:tcBorders>
            <w:shd w:val="clear" w:color="000000" w:fill="FFFFFF"/>
            <w:noWrap/>
            <w:vAlign w:val="bottom"/>
            <w:hideMark/>
          </w:tcPr>
          <w:p w14:paraId="58EC6E20"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01499F5D" w14:textId="77777777" w:rsidR="00AC30DF" w:rsidRPr="009F227C" w:rsidRDefault="00AC30DF" w:rsidP="00AC30DF">
            <w:pPr>
              <w:rPr>
                <w:sz w:val="20"/>
                <w:szCs w:val="20"/>
              </w:rPr>
            </w:pPr>
            <w:r w:rsidRPr="009F227C">
              <w:rPr>
                <w:sz w:val="20"/>
                <w:szCs w:val="20"/>
              </w:rPr>
              <w:t> </w:t>
            </w:r>
          </w:p>
        </w:tc>
      </w:tr>
      <w:tr w:rsidR="00AC30DF" w:rsidRPr="009F227C" w14:paraId="66523E9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77CFA9F" w14:textId="77777777" w:rsidR="00AC30DF" w:rsidRPr="009F227C" w:rsidRDefault="00AC30DF" w:rsidP="00AC30DF">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40A792F8" w14:textId="77777777" w:rsidR="00AC30DF" w:rsidRPr="009F227C" w:rsidRDefault="00AC30DF" w:rsidP="00AC30DF">
            <w:pPr>
              <w:rPr>
                <w:sz w:val="20"/>
                <w:szCs w:val="20"/>
              </w:rPr>
            </w:pPr>
            <w:r w:rsidRPr="009F227C">
              <w:rPr>
                <w:sz w:val="20"/>
                <w:szCs w:val="20"/>
              </w:rPr>
              <w:t>Correction for Net Salvage Value. (I-3)</w:t>
            </w:r>
          </w:p>
        </w:tc>
        <w:tc>
          <w:tcPr>
            <w:tcW w:w="1520" w:type="dxa"/>
            <w:tcBorders>
              <w:top w:val="nil"/>
              <w:left w:val="nil"/>
              <w:bottom w:val="nil"/>
              <w:right w:val="nil"/>
            </w:tcBorders>
            <w:shd w:val="clear" w:color="000000" w:fill="FFFFFF"/>
            <w:noWrap/>
            <w:vAlign w:val="bottom"/>
            <w:hideMark/>
          </w:tcPr>
          <w:p w14:paraId="77BE0038" w14:textId="77777777" w:rsidR="00AC30DF" w:rsidRPr="009F227C" w:rsidRDefault="00AC30DF" w:rsidP="00AC30DF">
            <w:pPr>
              <w:jc w:val="right"/>
              <w:rPr>
                <w:sz w:val="20"/>
                <w:szCs w:val="20"/>
              </w:rPr>
            </w:pPr>
            <w:r w:rsidRPr="009F227C">
              <w:rPr>
                <w:sz w:val="20"/>
                <w:szCs w:val="20"/>
              </w:rPr>
              <w:t xml:space="preserve">$35,830 </w:t>
            </w:r>
          </w:p>
        </w:tc>
        <w:tc>
          <w:tcPr>
            <w:tcW w:w="1660" w:type="dxa"/>
            <w:tcBorders>
              <w:top w:val="nil"/>
              <w:left w:val="nil"/>
              <w:bottom w:val="nil"/>
              <w:right w:val="single" w:sz="4" w:space="0" w:color="auto"/>
            </w:tcBorders>
            <w:shd w:val="clear" w:color="000000" w:fill="FFFFFF"/>
            <w:noWrap/>
            <w:vAlign w:val="bottom"/>
            <w:hideMark/>
          </w:tcPr>
          <w:p w14:paraId="4F1B5329" w14:textId="77777777" w:rsidR="00AC30DF" w:rsidRPr="009F227C" w:rsidRDefault="00AC30DF" w:rsidP="00AC30DF">
            <w:pPr>
              <w:jc w:val="right"/>
              <w:rPr>
                <w:sz w:val="20"/>
                <w:szCs w:val="20"/>
              </w:rPr>
            </w:pPr>
            <w:r w:rsidRPr="009F227C">
              <w:rPr>
                <w:sz w:val="20"/>
                <w:szCs w:val="20"/>
              </w:rPr>
              <w:t xml:space="preserve">$37,410 </w:t>
            </w:r>
          </w:p>
        </w:tc>
      </w:tr>
      <w:tr w:rsidR="00AC30DF" w:rsidRPr="009F227C" w14:paraId="1FCC22E2"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C38C407" w14:textId="77777777" w:rsidR="00AC30DF" w:rsidRPr="009F227C" w:rsidRDefault="00AC30DF" w:rsidP="00AC30DF">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28C54D2F" w14:textId="6FF7D3FA" w:rsidR="00AC30DF" w:rsidRPr="009F227C" w:rsidRDefault="00AC30DF">
            <w:pPr>
              <w:rPr>
                <w:sz w:val="20"/>
                <w:szCs w:val="20"/>
              </w:rPr>
            </w:pPr>
            <w:r w:rsidRPr="009F227C">
              <w:rPr>
                <w:sz w:val="20"/>
                <w:szCs w:val="20"/>
              </w:rPr>
              <w:t xml:space="preserve">To reflect </w:t>
            </w:r>
            <w:r w:rsidR="00344F82">
              <w:rPr>
                <w:sz w:val="20"/>
                <w:szCs w:val="20"/>
              </w:rPr>
              <w:t>approved</w:t>
            </w:r>
            <w:r w:rsidRPr="009F227C">
              <w:rPr>
                <w:sz w:val="20"/>
                <w:szCs w:val="20"/>
              </w:rPr>
              <w:t xml:space="preserve"> pro forma plant. (I-4)</w:t>
            </w:r>
          </w:p>
        </w:tc>
        <w:tc>
          <w:tcPr>
            <w:tcW w:w="1520" w:type="dxa"/>
            <w:tcBorders>
              <w:top w:val="nil"/>
              <w:left w:val="nil"/>
              <w:bottom w:val="nil"/>
              <w:right w:val="nil"/>
            </w:tcBorders>
            <w:shd w:val="clear" w:color="000000" w:fill="FFFFFF"/>
            <w:noWrap/>
            <w:vAlign w:val="bottom"/>
            <w:hideMark/>
          </w:tcPr>
          <w:p w14:paraId="342EDBAB" w14:textId="77777777" w:rsidR="00AC30DF" w:rsidRPr="009F227C" w:rsidRDefault="00AC30DF" w:rsidP="00AC30DF">
            <w:pPr>
              <w:jc w:val="right"/>
              <w:rPr>
                <w:sz w:val="20"/>
                <w:szCs w:val="20"/>
              </w:rPr>
            </w:pPr>
            <w:r w:rsidRPr="009F227C">
              <w:rPr>
                <w:sz w:val="20"/>
                <w:szCs w:val="20"/>
              </w:rPr>
              <w:t xml:space="preserve">116,370 </w:t>
            </w:r>
          </w:p>
        </w:tc>
        <w:tc>
          <w:tcPr>
            <w:tcW w:w="1660" w:type="dxa"/>
            <w:tcBorders>
              <w:top w:val="nil"/>
              <w:left w:val="nil"/>
              <w:bottom w:val="nil"/>
              <w:right w:val="single" w:sz="4" w:space="0" w:color="auto"/>
            </w:tcBorders>
            <w:shd w:val="clear" w:color="000000" w:fill="FFFFFF"/>
            <w:noWrap/>
            <w:vAlign w:val="bottom"/>
            <w:hideMark/>
          </w:tcPr>
          <w:p w14:paraId="04ADEF90" w14:textId="77777777" w:rsidR="00AC30DF" w:rsidRPr="009F227C" w:rsidRDefault="00AC30DF" w:rsidP="00AC30DF">
            <w:pPr>
              <w:jc w:val="right"/>
              <w:rPr>
                <w:sz w:val="20"/>
                <w:szCs w:val="20"/>
              </w:rPr>
            </w:pPr>
            <w:r w:rsidRPr="009F227C">
              <w:rPr>
                <w:sz w:val="20"/>
                <w:szCs w:val="20"/>
              </w:rPr>
              <w:t>(42,319)</w:t>
            </w:r>
          </w:p>
        </w:tc>
      </w:tr>
      <w:tr w:rsidR="00AC30DF" w:rsidRPr="009F227C" w14:paraId="29B69DA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562FB16" w14:textId="77777777" w:rsidR="00AC30DF" w:rsidRPr="009F227C" w:rsidRDefault="00AC30DF" w:rsidP="00AC30DF">
            <w:pPr>
              <w:jc w:val="center"/>
              <w:rPr>
                <w:sz w:val="20"/>
                <w:szCs w:val="20"/>
              </w:rPr>
            </w:pPr>
            <w:r w:rsidRPr="009F227C">
              <w:rPr>
                <w:sz w:val="20"/>
                <w:szCs w:val="20"/>
              </w:rPr>
              <w:t>3</w:t>
            </w:r>
          </w:p>
        </w:tc>
        <w:tc>
          <w:tcPr>
            <w:tcW w:w="5940" w:type="dxa"/>
            <w:tcBorders>
              <w:top w:val="nil"/>
              <w:left w:val="nil"/>
              <w:bottom w:val="nil"/>
              <w:right w:val="nil"/>
            </w:tcBorders>
            <w:shd w:val="clear" w:color="000000" w:fill="FFFFFF"/>
            <w:noWrap/>
            <w:vAlign w:val="bottom"/>
            <w:hideMark/>
          </w:tcPr>
          <w:p w14:paraId="714763AA" w14:textId="77777777" w:rsidR="00AC30DF" w:rsidRPr="009F227C" w:rsidRDefault="00AC30DF" w:rsidP="00AC30DF">
            <w:pPr>
              <w:rPr>
                <w:sz w:val="20"/>
                <w:szCs w:val="20"/>
              </w:rPr>
            </w:pPr>
            <w:r w:rsidRPr="009F227C">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14:paraId="5AC76785" w14:textId="77777777" w:rsidR="00AC30DF" w:rsidRPr="009F227C" w:rsidRDefault="00AC30DF" w:rsidP="00AC30DF">
            <w:pPr>
              <w:jc w:val="right"/>
              <w:rPr>
                <w:sz w:val="20"/>
                <w:szCs w:val="20"/>
              </w:rPr>
            </w:pPr>
            <w:r w:rsidRPr="009F227C">
              <w:rPr>
                <w:sz w:val="20"/>
                <w:szCs w:val="20"/>
              </w:rPr>
              <w:t xml:space="preserve">361,118 </w:t>
            </w:r>
          </w:p>
        </w:tc>
        <w:tc>
          <w:tcPr>
            <w:tcW w:w="1660" w:type="dxa"/>
            <w:tcBorders>
              <w:top w:val="nil"/>
              <w:left w:val="nil"/>
              <w:bottom w:val="nil"/>
              <w:right w:val="single" w:sz="4" w:space="0" w:color="auto"/>
            </w:tcBorders>
            <w:shd w:val="clear" w:color="000000" w:fill="FFFFFF"/>
            <w:noWrap/>
            <w:vAlign w:val="bottom"/>
            <w:hideMark/>
          </w:tcPr>
          <w:p w14:paraId="2EDB2F69" w14:textId="77777777" w:rsidR="00AC30DF" w:rsidRPr="009F227C" w:rsidRDefault="00AC30DF" w:rsidP="00AC30DF">
            <w:pPr>
              <w:jc w:val="right"/>
              <w:rPr>
                <w:sz w:val="20"/>
                <w:szCs w:val="20"/>
              </w:rPr>
            </w:pPr>
            <w:r w:rsidRPr="009F227C">
              <w:rPr>
                <w:sz w:val="20"/>
                <w:szCs w:val="20"/>
              </w:rPr>
              <w:t xml:space="preserve">320,367 </w:t>
            </w:r>
          </w:p>
        </w:tc>
      </w:tr>
      <w:tr w:rsidR="00AC30DF" w:rsidRPr="009F227C" w14:paraId="4285FF6E"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DCB90BF" w14:textId="77777777" w:rsidR="00AC30DF" w:rsidRPr="009F227C" w:rsidRDefault="00AC30DF" w:rsidP="00AC30DF">
            <w:pPr>
              <w:jc w:val="center"/>
              <w:rPr>
                <w:sz w:val="20"/>
                <w:szCs w:val="20"/>
              </w:rPr>
            </w:pPr>
            <w:r w:rsidRPr="009F227C">
              <w:rPr>
                <w:sz w:val="20"/>
                <w:szCs w:val="20"/>
              </w:rPr>
              <w:t>4</w:t>
            </w:r>
          </w:p>
        </w:tc>
        <w:tc>
          <w:tcPr>
            <w:tcW w:w="5940" w:type="dxa"/>
            <w:tcBorders>
              <w:top w:val="nil"/>
              <w:left w:val="nil"/>
              <w:bottom w:val="nil"/>
              <w:right w:val="nil"/>
            </w:tcBorders>
            <w:shd w:val="clear" w:color="000000" w:fill="FFFFFF"/>
            <w:noWrap/>
            <w:vAlign w:val="bottom"/>
            <w:hideMark/>
          </w:tcPr>
          <w:p w14:paraId="657CD13E" w14:textId="77777777" w:rsidR="00AC30DF" w:rsidRPr="009F227C" w:rsidRDefault="00AC30DF" w:rsidP="00AC30DF">
            <w:pPr>
              <w:rPr>
                <w:sz w:val="20"/>
                <w:szCs w:val="20"/>
              </w:rPr>
            </w:pPr>
            <w:r w:rsidRPr="009F227C">
              <w:rPr>
                <w:sz w:val="20"/>
                <w:szCs w:val="20"/>
              </w:rPr>
              <w:t>To reflect Audit Finding No. 6. (I-13)</w:t>
            </w:r>
          </w:p>
        </w:tc>
        <w:tc>
          <w:tcPr>
            <w:tcW w:w="1520" w:type="dxa"/>
            <w:tcBorders>
              <w:top w:val="nil"/>
              <w:left w:val="nil"/>
              <w:bottom w:val="nil"/>
              <w:right w:val="nil"/>
            </w:tcBorders>
            <w:shd w:val="clear" w:color="000000" w:fill="FFFFFF"/>
            <w:noWrap/>
            <w:vAlign w:val="bottom"/>
            <w:hideMark/>
          </w:tcPr>
          <w:p w14:paraId="007419E9" w14:textId="77777777" w:rsidR="00AC30DF" w:rsidRPr="009F227C" w:rsidRDefault="00AC30DF" w:rsidP="00AC30DF">
            <w:pPr>
              <w:jc w:val="right"/>
              <w:rPr>
                <w:sz w:val="20"/>
                <w:szCs w:val="20"/>
                <w:u w:val="single"/>
              </w:rPr>
            </w:pPr>
            <w:r w:rsidRPr="009F227C">
              <w:rPr>
                <w:sz w:val="20"/>
                <w:szCs w:val="20"/>
                <w:u w:val="single"/>
              </w:rPr>
              <w:t xml:space="preserve">0 </w:t>
            </w:r>
          </w:p>
        </w:tc>
        <w:tc>
          <w:tcPr>
            <w:tcW w:w="1660" w:type="dxa"/>
            <w:tcBorders>
              <w:top w:val="nil"/>
              <w:left w:val="nil"/>
              <w:bottom w:val="nil"/>
              <w:right w:val="single" w:sz="4" w:space="0" w:color="auto"/>
            </w:tcBorders>
            <w:shd w:val="clear" w:color="000000" w:fill="FFFFFF"/>
            <w:noWrap/>
            <w:vAlign w:val="bottom"/>
            <w:hideMark/>
          </w:tcPr>
          <w:p w14:paraId="01129FB8" w14:textId="77777777" w:rsidR="00AC30DF" w:rsidRPr="009F227C" w:rsidRDefault="00AC30DF" w:rsidP="00AC30DF">
            <w:pPr>
              <w:jc w:val="right"/>
              <w:rPr>
                <w:sz w:val="20"/>
                <w:szCs w:val="20"/>
                <w:u w:val="single"/>
              </w:rPr>
            </w:pPr>
            <w:r w:rsidRPr="009F227C">
              <w:rPr>
                <w:sz w:val="20"/>
                <w:szCs w:val="20"/>
                <w:u w:val="single"/>
              </w:rPr>
              <w:t xml:space="preserve">16,229 </w:t>
            </w:r>
          </w:p>
        </w:tc>
      </w:tr>
      <w:tr w:rsidR="00AC30DF" w:rsidRPr="009F227C" w14:paraId="7BDF6B42"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9A4FD08"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398BF3DF" w14:textId="77777777" w:rsidR="00AC30DF" w:rsidRPr="009F227C" w:rsidRDefault="00AC30DF" w:rsidP="00AC30DF">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4917954B" w14:textId="77777777" w:rsidR="00AC30DF" w:rsidRPr="009F227C" w:rsidRDefault="00AC30DF" w:rsidP="00AC30DF">
            <w:pPr>
              <w:jc w:val="right"/>
              <w:rPr>
                <w:sz w:val="20"/>
                <w:szCs w:val="20"/>
                <w:u w:val="double"/>
              </w:rPr>
            </w:pPr>
            <w:r w:rsidRPr="009F227C">
              <w:rPr>
                <w:sz w:val="20"/>
                <w:szCs w:val="20"/>
                <w:u w:val="double"/>
              </w:rPr>
              <w:t xml:space="preserve">$513,318 </w:t>
            </w:r>
          </w:p>
        </w:tc>
        <w:tc>
          <w:tcPr>
            <w:tcW w:w="1660" w:type="dxa"/>
            <w:tcBorders>
              <w:top w:val="nil"/>
              <w:left w:val="nil"/>
              <w:bottom w:val="nil"/>
              <w:right w:val="single" w:sz="4" w:space="0" w:color="auto"/>
            </w:tcBorders>
            <w:shd w:val="clear" w:color="000000" w:fill="FFFFFF"/>
            <w:noWrap/>
            <w:vAlign w:val="bottom"/>
            <w:hideMark/>
          </w:tcPr>
          <w:p w14:paraId="28C72B93" w14:textId="77777777" w:rsidR="00AC30DF" w:rsidRPr="009F227C" w:rsidRDefault="00AC30DF" w:rsidP="00AC30DF">
            <w:pPr>
              <w:jc w:val="right"/>
              <w:rPr>
                <w:sz w:val="20"/>
                <w:szCs w:val="20"/>
                <w:u w:val="double"/>
              </w:rPr>
            </w:pPr>
            <w:r w:rsidRPr="009F227C">
              <w:rPr>
                <w:sz w:val="20"/>
                <w:szCs w:val="20"/>
                <w:u w:val="double"/>
              </w:rPr>
              <w:t xml:space="preserve">$331,687 </w:t>
            </w:r>
          </w:p>
        </w:tc>
      </w:tr>
      <w:tr w:rsidR="00AC30DF" w:rsidRPr="009F227C" w14:paraId="6C56A901"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522C068"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613C3251"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5D6333C7"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41C637C7" w14:textId="77777777" w:rsidR="00AC30DF" w:rsidRPr="009F227C" w:rsidRDefault="00AC30DF" w:rsidP="00AC30DF">
            <w:pPr>
              <w:rPr>
                <w:sz w:val="20"/>
                <w:szCs w:val="20"/>
              </w:rPr>
            </w:pPr>
            <w:r w:rsidRPr="009F227C">
              <w:rPr>
                <w:sz w:val="20"/>
                <w:szCs w:val="20"/>
              </w:rPr>
              <w:t> </w:t>
            </w:r>
          </w:p>
        </w:tc>
      </w:tr>
      <w:tr w:rsidR="00AC30DF" w:rsidRPr="009F227C" w14:paraId="1CB68BD0"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39E71CA"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008037EA" w14:textId="77777777" w:rsidR="00AC30DF" w:rsidRPr="009F227C" w:rsidRDefault="00AC30DF" w:rsidP="00AC30DF">
            <w:pPr>
              <w:rPr>
                <w:sz w:val="20"/>
                <w:szCs w:val="20"/>
                <w:u w:val="single"/>
              </w:rPr>
            </w:pPr>
            <w:r w:rsidRPr="009F227C">
              <w:rPr>
                <w:sz w:val="20"/>
                <w:szCs w:val="20"/>
                <w:u w:val="single"/>
              </w:rPr>
              <w:t>CIAC</w:t>
            </w:r>
          </w:p>
        </w:tc>
        <w:tc>
          <w:tcPr>
            <w:tcW w:w="1520" w:type="dxa"/>
            <w:tcBorders>
              <w:top w:val="nil"/>
              <w:left w:val="nil"/>
              <w:bottom w:val="nil"/>
              <w:right w:val="nil"/>
            </w:tcBorders>
            <w:shd w:val="clear" w:color="000000" w:fill="FFFFFF"/>
            <w:noWrap/>
            <w:vAlign w:val="bottom"/>
            <w:hideMark/>
          </w:tcPr>
          <w:p w14:paraId="51EDC434"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298CE193" w14:textId="77777777" w:rsidR="00AC30DF" w:rsidRPr="009F227C" w:rsidRDefault="00AC30DF" w:rsidP="00AC30DF">
            <w:pPr>
              <w:rPr>
                <w:sz w:val="20"/>
                <w:szCs w:val="20"/>
              </w:rPr>
            </w:pPr>
            <w:r w:rsidRPr="009F227C">
              <w:rPr>
                <w:sz w:val="20"/>
                <w:szCs w:val="20"/>
              </w:rPr>
              <w:t> </w:t>
            </w:r>
          </w:p>
        </w:tc>
      </w:tr>
      <w:tr w:rsidR="00AC30DF" w:rsidRPr="009F227C" w14:paraId="4881C86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21E6203" w14:textId="77777777" w:rsidR="00AC30DF" w:rsidRPr="009F227C" w:rsidRDefault="00AC30DF" w:rsidP="00AC30DF">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02A2D074" w14:textId="77777777" w:rsidR="00AC30DF" w:rsidRPr="009F227C" w:rsidRDefault="00AC30DF" w:rsidP="00AC30DF">
            <w:pPr>
              <w:rPr>
                <w:sz w:val="20"/>
                <w:szCs w:val="20"/>
              </w:rPr>
            </w:pPr>
            <w:r w:rsidRPr="009F227C">
              <w:rPr>
                <w:sz w:val="20"/>
                <w:szCs w:val="20"/>
              </w:rPr>
              <w:t>To reflect Audit Finding No. 4. (I-14)</w:t>
            </w:r>
          </w:p>
        </w:tc>
        <w:tc>
          <w:tcPr>
            <w:tcW w:w="1520" w:type="dxa"/>
            <w:tcBorders>
              <w:top w:val="nil"/>
              <w:left w:val="nil"/>
              <w:bottom w:val="nil"/>
              <w:right w:val="nil"/>
            </w:tcBorders>
            <w:shd w:val="clear" w:color="000000" w:fill="FFFFFF"/>
            <w:noWrap/>
            <w:vAlign w:val="bottom"/>
            <w:hideMark/>
          </w:tcPr>
          <w:p w14:paraId="3B23B0EE" w14:textId="77777777" w:rsidR="00AC30DF" w:rsidRPr="009F227C" w:rsidRDefault="00AC30DF" w:rsidP="00AC30DF">
            <w:pPr>
              <w:jc w:val="right"/>
              <w:rPr>
                <w:sz w:val="20"/>
                <w:szCs w:val="20"/>
              </w:rPr>
            </w:pPr>
            <w:r w:rsidRPr="009F227C">
              <w:rPr>
                <w:sz w:val="20"/>
                <w:szCs w:val="20"/>
              </w:rPr>
              <w:t>($10,050)</w:t>
            </w:r>
          </w:p>
        </w:tc>
        <w:tc>
          <w:tcPr>
            <w:tcW w:w="1660" w:type="dxa"/>
            <w:tcBorders>
              <w:top w:val="nil"/>
              <w:left w:val="nil"/>
              <w:bottom w:val="nil"/>
              <w:right w:val="single" w:sz="4" w:space="0" w:color="auto"/>
            </w:tcBorders>
            <w:shd w:val="clear" w:color="000000" w:fill="FFFFFF"/>
            <w:noWrap/>
            <w:vAlign w:val="bottom"/>
            <w:hideMark/>
          </w:tcPr>
          <w:p w14:paraId="63477C8B" w14:textId="77777777" w:rsidR="00AC30DF" w:rsidRPr="009F227C" w:rsidRDefault="00AC30DF" w:rsidP="00AC30DF">
            <w:pPr>
              <w:jc w:val="right"/>
              <w:rPr>
                <w:sz w:val="20"/>
                <w:szCs w:val="20"/>
              </w:rPr>
            </w:pPr>
            <w:r w:rsidRPr="009F227C">
              <w:rPr>
                <w:sz w:val="20"/>
                <w:szCs w:val="20"/>
              </w:rPr>
              <w:t>($9,345)</w:t>
            </w:r>
          </w:p>
        </w:tc>
      </w:tr>
      <w:tr w:rsidR="00AC30DF" w:rsidRPr="009F227C" w14:paraId="69D9C108"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35F2AE9A" w14:textId="77777777" w:rsidR="00AC30DF" w:rsidRPr="009F227C" w:rsidRDefault="00AC30DF" w:rsidP="00AC30DF">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3A211BD8" w14:textId="77777777" w:rsidR="00AC30DF" w:rsidRPr="009F227C" w:rsidRDefault="00AC30DF" w:rsidP="00AC30DF">
            <w:pPr>
              <w:rPr>
                <w:sz w:val="20"/>
                <w:szCs w:val="20"/>
              </w:rPr>
            </w:pPr>
            <w:r w:rsidRPr="009F227C">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14:paraId="2335F567" w14:textId="77777777" w:rsidR="00AC30DF" w:rsidRPr="009F227C" w:rsidRDefault="00AC30DF" w:rsidP="00AC30DF">
            <w:pPr>
              <w:jc w:val="right"/>
              <w:rPr>
                <w:sz w:val="20"/>
                <w:szCs w:val="20"/>
                <w:u w:val="single"/>
              </w:rPr>
            </w:pPr>
            <w:r w:rsidRPr="009F227C">
              <w:rPr>
                <w:sz w:val="20"/>
                <w:szCs w:val="20"/>
                <w:u w:val="single"/>
              </w:rPr>
              <w:t>(183,827)</w:t>
            </w:r>
          </w:p>
        </w:tc>
        <w:tc>
          <w:tcPr>
            <w:tcW w:w="1660" w:type="dxa"/>
            <w:tcBorders>
              <w:top w:val="nil"/>
              <w:left w:val="nil"/>
              <w:bottom w:val="nil"/>
              <w:right w:val="single" w:sz="4" w:space="0" w:color="auto"/>
            </w:tcBorders>
            <w:shd w:val="clear" w:color="000000" w:fill="FFFFFF"/>
            <w:noWrap/>
            <w:vAlign w:val="bottom"/>
            <w:hideMark/>
          </w:tcPr>
          <w:p w14:paraId="68143247" w14:textId="77777777" w:rsidR="00AC30DF" w:rsidRPr="009F227C" w:rsidRDefault="00AC30DF" w:rsidP="00AC30DF">
            <w:pPr>
              <w:jc w:val="right"/>
              <w:rPr>
                <w:sz w:val="20"/>
                <w:szCs w:val="20"/>
                <w:u w:val="single"/>
              </w:rPr>
            </w:pPr>
            <w:r w:rsidRPr="009F227C">
              <w:rPr>
                <w:sz w:val="20"/>
                <w:szCs w:val="20"/>
                <w:u w:val="single"/>
              </w:rPr>
              <w:t xml:space="preserve">29,511 </w:t>
            </w:r>
          </w:p>
        </w:tc>
      </w:tr>
      <w:tr w:rsidR="00AC30DF" w:rsidRPr="009F227C" w14:paraId="247DB744"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1CF37AE"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6597FE01" w14:textId="77777777" w:rsidR="00AC30DF" w:rsidRPr="009F227C" w:rsidRDefault="00AC30DF" w:rsidP="00AC30DF">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12F84681" w14:textId="77777777" w:rsidR="00AC30DF" w:rsidRPr="009F227C" w:rsidRDefault="00AC30DF" w:rsidP="00AC30DF">
            <w:pPr>
              <w:jc w:val="right"/>
              <w:rPr>
                <w:sz w:val="20"/>
                <w:szCs w:val="20"/>
                <w:u w:val="double"/>
              </w:rPr>
            </w:pPr>
            <w:r w:rsidRPr="009F227C">
              <w:rPr>
                <w:sz w:val="20"/>
                <w:szCs w:val="20"/>
                <w:u w:val="double"/>
              </w:rPr>
              <w:t>($193,877)</w:t>
            </w:r>
          </w:p>
        </w:tc>
        <w:tc>
          <w:tcPr>
            <w:tcW w:w="1660" w:type="dxa"/>
            <w:tcBorders>
              <w:top w:val="nil"/>
              <w:left w:val="nil"/>
              <w:bottom w:val="nil"/>
              <w:right w:val="single" w:sz="4" w:space="0" w:color="auto"/>
            </w:tcBorders>
            <w:shd w:val="clear" w:color="000000" w:fill="FFFFFF"/>
            <w:noWrap/>
            <w:vAlign w:val="bottom"/>
            <w:hideMark/>
          </w:tcPr>
          <w:p w14:paraId="59B58A0B" w14:textId="77777777" w:rsidR="00AC30DF" w:rsidRPr="009F227C" w:rsidRDefault="00AC30DF" w:rsidP="00AC30DF">
            <w:pPr>
              <w:jc w:val="right"/>
              <w:rPr>
                <w:sz w:val="20"/>
                <w:szCs w:val="20"/>
                <w:u w:val="double"/>
              </w:rPr>
            </w:pPr>
            <w:r w:rsidRPr="009F227C">
              <w:rPr>
                <w:sz w:val="20"/>
                <w:szCs w:val="20"/>
                <w:u w:val="double"/>
              </w:rPr>
              <w:t xml:space="preserve">$20,166 </w:t>
            </w:r>
          </w:p>
        </w:tc>
      </w:tr>
      <w:tr w:rsidR="00AC30DF" w:rsidRPr="009F227C" w14:paraId="2036AF5E"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05EC7B6E"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5C47E8A0"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4DB42EC5"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147323F2" w14:textId="77777777" w:rsidR="00AC30DF" w:rsidRPr="009F227C" w:rsidRDefault="00AC30DF" w:rsidP="00AC30DF">
            <w:pPr>
              <w:rPr>
                <w:sz w:val="20"/>
                <w:szCs w:val="20"/>
              </w:rPr>
            </w:pPr>
            <w:r w:rsidRPr="009F227C">
              <w:rPr>
                <w:sz w:val="20"/>
                <w:szCs w:val="20"/>
              </w:rPr>
              <w:t> </w:t>
            </w:r>
          </w:p>
        </w:tc>
      </w:tr>
      <w:tr w:rsidR="00AC30DF" w:rsidRPr="009F227C" w14:paraId="4DC31126"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6CF26251" w14:textId="38247A67" w:rsidR="00AC30DF" w:rsidRPr="009F227C" w:rsidRDefault="00344F82" w:rsidP="00AC30DF">
            <w:pPr>
              <w:jc w:val="center"/>
              <w:rPr>
                <w:sz w:val="20"/>
                <w:szCs w:val="20"/>
              </w:rPr>
            </w:pPr>
            <w:r>
              <w:rPr>
                <w:sz w:val="20"/>
                <w:szCs w:val="20"/>
              </w:rPr>
              <w:t>a</w:t>
            </w:r>
            <w:r w:rsidR="00AC30DF" w:rsidRPr="009F227C">
              <w:rPr>
                <w:sz w:val="20"/>
                <w:szCs w:val="20"/>
              </w:rPr>
              <w:t> </w:t>
            </w:r>
          </w:p>
        </w:tc>
        <w:tc>
          <w:tcPr>
            <w:tcW w:w="5940" w:type="dxa"/>
            <w:tcBorders>
              <w:top w:val="nil"/>
              <w:left w:val="nil"/>
              <w:bottom w:val="nil"/>
              <w:right w:val="nil"/>
            </w:tcBorders>
            <w:shd w:val="clear" w:color="000000" w:fill="FFFFFF"/>
            <w:noWrap/>
            <w:vAlign w:val="bottom"/>
            <w:hideMark/>
          </w:tcPr>
          <w:p w14:paraId="29B2ADF8" w14:textId="77777777" w:rsidR="00AC30DF" w:rsidRPr="009F227C" w:rsidRDefault="00AC30DF" w:rsidP="00AC30DF">
            <w:pPr>
              <w:rPr>
                <w:sz w:val="20"/>
                <w:szCs w:val="20"/>
                <w:u w:val="single"/>
              </w:rPr>
            </w:pPr>
            <w:r w:rsidRPr="009F227C">
              <w:rPr>
                <w:sz w:val="20"/>
                <w:szCs w:val="20"/>
                <w:u w:val="single"/>
              </w:rPr>
              <w:t>Accumulated Amortization of CIAC</w:t>
            </w:r>
          </w:p>
        </w:tc>
        <w:tc>
          <w:tcPr>
            <w:tcW w:w="1520" w:type="dxa"/>
            <w:tcBorders>
              <w:top w:val="nil"/>
              <w:left w:val="nil"/>
              <w:bottom w:val="nil"/>
              <w:right w:val="nil"/>
            </w:tcBorders>
            <w:shd w:val="clear" w:color="000000" w:fill="FFFFFF"/>
            <w:noWrap/>
            <w:vAlign w:val="bottom"/>
            <w:hideMark/>
          </w:tcPr>
          <w:p w14:paraId="46C8D657"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21D399E1" w14:textId="77777777" w:rsidR="00AC30DF" w:rsidRPr="009F227C" w:rsidRDefault="00AC30DF" w:rsidP="00AC30DF">
            <w:pPr>
              <w:rPr>
                <w:sz w:val="20"/>
                <w:szCs w:val="20"/>
              </w:rPr>
            </w:pPr>
            <w:r w:rsidRPr="009F227C">
              <w:rPr>
                <w:sz w:val="20"/>
                <w:szCs w:val="20"/>
              </w:rPr>
              <w:t> </w:t>
            </w:r>
          </w:p>
        </w:tc>
      </w:tr>
      <w:tr w:rsidR="00AC30DF" w:rsidRPr="009F227C" w14:paraId="15BA5C86"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4F75B26D" w14:textId="77777777" w:rsidR="00AC30DF" w:rsidRPr="009F227C" w:rsidRDefault="00AC30DF" w:rsidP="00AC30DF">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714ACE58" w14:textId="77777777" w:rsidR="00AC30DF" w:rsidRPr="009F227C" w:rsidRDefault="00AC30DF" w:rsidP="00AC30DF">
            <w:pPr>
              <w:rPr>
                <w:sz w:val="20"/>
                <w:szCs w:val="20"/>
              </w:rPr>
            </w:pPr>
            <w:r w:rsidRPr="009F227C">
              <w:rPr>
                <w:sz w:val="20"/>
                <w:szCs w:val="20"/>
              </w:rPr>
              <w:t>To reflect Audit Finding No. 4. (I-15)</w:t>
            </w:r>
          </w:p>
        </w:tc>
        <w:tc>
          <w:tcPr>
            <w:tcW w:w="1520" w:type="dxa"/>
            <w:tcBorders>
              <w:top w:val="nil"/>
              <w:left w:val="nil"/>
              <w:bottom w:val="nil"/>
              <w:right w:val="nil"/>
            </w:tcBorders>
            <w:shd w:val="clear" w:color="000000" w:fill="FFFFFF"/>
            <w:noWrap/>
            <w:vAlign w:val="bottom"/>
            <w:hideMark/>
          </w:tcPr>
          <w:p w14:paraId="5DDB0280" w14:textId="77777777" w:rsidR="00AC30DF" w:rsidRPr="009F227C" w:rsidRDefault="00AC30DF" w:rsidP="00AC30DF">
            <w:pPr>
              <w:jc w:val="right"/>
              <w:rPr>
                <w:sz w:val="20"/>
                <w:szCs w:val="20"/>
              </w:rPr>
            </w:pPr>
            <w:r w:rsidRPr="009F227C">
              <w:rPr>
                <w:sz w:val="20"/>
                <w:szCs w:val="20"/>
              </w:rPr>
              <w:t xml:space="preserve">$251 </w:t>
            </w:r>
          </w:p>
        </w:tc>
        <w:tc>
          <w:tcPr>
            <w:tcW w:w="1660" w:type="dxa"/>
            <w:tcBorders>
              <w:top w:val="nil"/>
              <w:left w:val="nil"/>
              <w:bottom w:val="nil"/>
              <w:right w:val="single" w:sz="4" w:space="0" w:color="auto"/>
            </w:tcBorders>
            <w:shd w:val="clear" w:color="000000" w:fill="FFFFFF"/>
            <w:noWrap/>
            <w:vAlign w:val="bottom"/>
            <w:hideMark/>
          </w:tcPr>
          <w:p w14:paraId="35FBBE25" w14:textId="77777777" w:rsidR="00AC30DF" w:rsidRPr="009F227C" w:rsidRDefault="00AC30DF" w:rsidP="00AC30DF">
            <w:pPr>
              <w:jc w:val="right"/>
              <w:rPr>
                <w:sz w:val="20"/>
                <w:szCs w:val="20"/>
              </w:rPr>
            </w:pPr>
            <w:r w:rsidRPr="009F227C">
              <w:rPr>
                <w:sz w:val="20"/>
                <w:szCs w:val="20"/>
              </w:rPr>
              <w:t xml:space="preserve">$234 </w:t>
            </w:r>
          </w:p>
        </w:tc>
      </w:tr>
      <w:tr w:rsidR="00AC30DF" w:rsidRPr="009F227C" w14:paraId="5DF8AA17"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97C344F" w14:textId="77777777" w:rsidR="00AC30DF" w:rsidRPr="009F227C" w:rsidRDefault="00AC30DF" w:rsidP="00AC30DF">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1CEF73F2" w14:textId="77777777" w:rsidR="00AC30DF" w:rsidRPr="009F227C" w:rsidRDefault="00AC30DF" w:rsidP="00AC30DF">
            <w:pPr>
              <w:rPr>
                <w:sz w:val="20"/>
                <w:szCs w:val="20"/>
              </w:rPr>
            </w:pPr>
            <w:r w:rsidRPr="009F227C">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14:paraId="293FDC10" w14:textId="77777777" w:rsidR="00AC30DF" w:rsidRPr="009F227C" w:rsidRDefault="00AC30DF" w:rsidP="00AC30DF">
            <w:pPr>
              <w:jc w:val="right"/>
              <w:rPr>
                <w:sz w:val="20"/>
                <w:szCs w:val="20"/>
                <w:u w:val="single"/>
              </w:rPr>
            </w:pPr>
            <w:r w:rsidRPr="009F227C">
              <w:rPr>
                <w:sz w:val="20"/>
                <w:szCs w:val="20"/>
                <w:u w:val="single"/>
              </w:rPr>
              <w:t xml:space="preserve">183,827 </w:t>
            </w:r>
          </w:p>
        </w:tc>
        <w:tc>
          <w:tcPr>
            <w:tcW w:w="1660" w:type="dxa"/>
            <w:tcBorders>
              <w:top w:val="nil"/>
              <w:left w:val="nil"/>
              <w:bottom w:val="nil"/>
              <w:right w:val="single" w:sz="4" w:space="0" w:color="auto"/>
            </w:tcBorders>
            <w:shd w:val="clear" w:color="000000" w:fill="FFFFFF"/>
            <w:noWrap/>
            <w:vAlign w:val="bottom"/>
            <w:hideMark/>
          </w:tcPr>
          <w:p w14:paraId="11EA20CA" w14:textId="77777777" w:rsidR="00AC30DF" w:rsidRPr="009F227C" w:rsidRDefault="00AC30DF" w:rsidP="00AC30DF">
            <w:pPr>
              <w:jc w:val="right"/>
              <w:rPr>
                <w:sz w:val="20"/>
                <w:szCs w:val="20"/>
                <w:u w:val="single"/>
              </w:rPr>
            </w:pPr>
            <w:r w:rsidRPr="009F227C">
              <w:rPr>
                <w:sz w:val="20"/>
                <w:szCs w:val="20"/>
                <w:u w:val="single"/>
              </w:rPr>
              <w:t>(29,511)</w:t>
            </w:r>
          </w:p>
        </w:tc>
      </w:tr>
      <w:tr w:rsidR="00AC30DF" w:rsidRPr="009F227C" w14:paraId="3A2B2529"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7A223DA"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12462077" w14:textId="77777777" w:rsidR="00AC30DF" w:rsidRPr="009F227C" w:rsidRDefault="00AC30DF" w:rsidP="00AC30DF">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27582689" w14:textId="77777777" w:rsidR="00AC30DF" w:rsidRPr="009F227C" w:rsidRDefault="00AC30DF" w:rsidP="00AC30DF">
            <w:pPr>
              <w:jc w:val="right"/>
              <w:rPr>
                <w:sz w:val="20"/>
                <w:szCs w:val="20"/>
                <w:u w:val="double"/>
              </w:rPr>
            </w:pPr>
            <w:r w:rsidRPr="009F227C">
              <w:rPr>
                <w:sz w:val="20"/>
                <w:szCs w:val="20"/>
                <w:u w:val="double"/>
              </w:rPr>
              <w:t xml:space="preserve">$184,078 </w:t>
            </w:r>
          </w:p>
        </w:tc>
        <w:tc>
          <w:tcPr>
            <w:tcW w:w="1660" w:type="dxa"/>
            <w:tcBorders>
              <w:top w:val="nil"/>
              <w:left w:val="nil"/>
              <w:bottom w:val="nil"/>
              <w:right w:val="single" w:sz="4" w:space="0" w:color="auto"/>
            </w:tcBorders>
            <w:shd w:val="clear" w:color="000000" w:fill="FFFFFF"/>
            <w:noWrap/>
            <w:vAlign w:val="bottom"/>
            <w:hideMark/>
          </w:tcPr>
          <w:p w14:paraId="7BCB1D2C" w14:textId="77777777" w:rsidR="00AC30DF" w:rsidRPr="009F227C" w:rsidRDefault="00AC30DF" w:rsidP="00AC30DF">
            <w:pPr>
              <w:jc w:val="right"/>
              <w:rPr>
                <w:sz w:val="20"/>
                <w:szCs w:val="20"/>
                <w:u w:val="double"/>
              </w:rPr>
            </w:pPr>
            <w:r w:rsidRPr="009F227C">
              <w:rPr>
                <w:sz w:val="20"/>
                <w:szCs w:val="20"/>
                <w:u w:val="double"/>
              </w:rPr>
              <w:t>($29,277)</w:t>
            </w:r>
          </w:p>
        </w:tc>
      </w:tr>
      <w:tr w:rsidR="00AC30DF" w:rsidRPr="009F227C" w14:paraId="1F74C87C"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243D5942"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6095F7C4"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744EFC48"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15314D72" w14:textId="77777777" w:rsidR="00AC30DF" w:rsidRPr="009F227C" w:rsidRDefault="00AC30DF" w:rsidP="00AC30DF">
            <w:pPr>
              <w:rPr>
                <w:sz w:val="20"/>
                <w:szCs w:val="20"/>
              </w:rPr>
            </w:pPr>
            <w:r w:rsidRPr="009F227C">
              <w:rPr>
                <w:sz w:val="20"/>
                <w:szCs w:val="20"/>
              </w:rPr>
              <w:t> </w:t>
            </w:r>
          </w:p>
        </w:tc>
      </w:tr>
      <w:tr w:rsidR="00AC30DF" w:rsidRPr="009F227C" w14:paraId="4AF5E4D9"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E3C0E1E"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40F68345" w14:textId="77777777" w:rsidR="00AC30DF" w:rsidRPr="009F227C" w:rsidRDefault="00AC30DF" w:rsidP="00AC30DF">
            <w:pPr>
              <w:rPr>
                <w:sz w:val="20"/>
                <w:szCs w:val="20"/>
                <w:u w:val="single"/>
              </w:rPr>
            </w:pPr>
            <w:r w:rsidRPr="009F227C">
              <w:rPr>
                <w:sz w:val="20"/>
                <w:szCs w:val="20"/>
                <w:u w:val="single"/>
              </w:rPr>
              <w:t>Working Capital</w:t>
            </w:r>
          </w:p>
        </w:tc>
        <w:tc>
          <w:tcPr>
            <w:tcW w:w="1520" w:type="dxa"/>
            <w:tcBorders>
              <w:top w:val="nil"/>
              <w:left w:val="nil"/>
              <w:bottom w:val="nil"/>
              <w:right w:val="nil"/>
            </w:tcBorders>
            <w:shd w:val="clear" w:color="000000" w:fill="FFFFFF"/>
            <w:noWrap/>
            <w:vAlign w:val="bottom"/>
            <w:hideMark/>
          </w:tcPr>
          <w:p w14:paraId="4C16B6E5"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1E735E50" w14:textId="77777777" w:rsidR="00AC30DF" w:rsidRPr="009F227C" w:rsidRDefault="00AC30DF" w:rsidP="00AC30DF">
            <w:pPr>
              <w:rPr>
                <w:sz w:val="20"/>
                <w:szCs w:val="20"/>
              </w:rPr>
            </w:pPr>
            <w:r w:rsidRPr="009F227C">
              <w:rPr>
                <w:sz w:val="20"/>
                <w:szCs w:val="20"/>
              </w:rPr>
              <w:t> </w:t>
            </w:r>
          </w:p>
        </w:tc>
      </w:tr>
      <w:tr w:rsidR="00AC30DF" w:rsidRPr="009F227C" w14:paraId="2C98D5E5"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5659451A" w14:textId="77777777" w:rsidR="00AC30DF" w:rsidRPr="009F227C" w:rsidRDefault="00AC30DF" w:rsidP="00AC30DF">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39BCE258" w14:textId="77777777" w:rsidR="00AC30DF" w:rsidRPr="009F227C" w:rsidRDefault="00AC30DF" w:rsidP="00AC30DF">
            <w:pPr>
              <w:rPr>
                <w:sz w:val="20"/>
                <w:szCs w:val="20"/>
              </w:rPr>
            </w:pPr>
            <w:r w:rsidRPr="009F227C">
              <w:rPr>
                <w:sz w:val="20"/>
                <w:szCs w:val="20"/>
              </w:rPr>
              <w:t>To reflect Audit Finding No. 3 modified via Rebuttal. (I-16)</w:t>
            </w:r>
          </w:p>
        </w:tc>
        <w:tc>
          <w:tcPr>
            <w:tcW w:w="1520" w:type="dxa"/>
            <w:tcBorders>
              <w:top w:val="nil"/>
              <w:left w:val="nil"/>
              <w:bottom w:val="nil"/>
              <w:right w:val="nil"/>
            </w:tcBorders>
            <w:shd w:val="clear" w:color="000000" w:fill="FFFFFF"/>
            <w:noWrap/>
            <w:vAlign w:val="bottom"/>
            <w:hideMark/>
          </w:tcPr>
          <w:p w14:paraId="1E441307" w14:textId="77777777" w:rsidR="00AC30DF" w:rsidRPr="009F227C" w:rsidRDefault="00AC30DF" w:rsidP="00AC30DF">
            <w:pPr>
              <w:jc w:val="right"/>
              <w:rPr>
                <w:sz w:val="20"/>
                <w:szCs w:val="20"/>
                <w:u w:val="single"/>
              </w:rPr>
            </w:pPr>
            <w:r w:rsidRPr="009F227C">
              <w:rPr>
                <w:sz w:val="20"/>
                <w:szCs w:val="20"/>
                <w:u w:val="single"/>
              </w:rPr>
              <w:t>($6,017)</w:t>
            </w:r>
          </w:p>
        </w:tc>
        <w:tc>
          <w:tcPr>
            <w:tcW w:w="1660" w:type="dxa"/>
            <w:tcBorders>
              <w:top w:val="nil"/>
              <w:left w:val="nil"/>
              <w:bottom w:val="nil"/>
              <w:right w:val="single" w:sz="4" w:space="0" w:color="auto"/>
            </w:tcBorders>
            <w:shd w:val="clear" w:color="000000" w:fill="FFFFFF"/>
            <w:noWrap/>
            <w:vAlign w:val="bottom"/>
            <w:hideMark/>
          </w:tcPr>
          <w:p w14:paraId="349AAAD7" w14:textId="77777777" w:rsidR="00AC30DF" w:rsidRPr="009F227C" w:rsidRDefault="00AC30DF" w:rsidP="00AC30DF">
            <w:pPr>
              <w:jc w:val="right"/>
              <w:rPr>
                <w:sz w:val="20"/>
                <w:szCs w:val="20"/>
                <w:u w:val="single"/>
              </w:rPr>
            </w:pPr>
            <w:r w:rsidRPr="009F227C">
              <w:rPr>
                <w:sz w:val="20"/>
                <w:szCs w:val="20"/>
                <w:u w:val="single"/>
              </w:rPr>
              <w:t xml:space="preserve">$6,017 </w:t>
            </w:r>
          </w:p>
        </w:tc>
      </w:tr>
      <w:tr w:rsidR="00AC30DF" w:rsidRPr="009F227C" w14:paraId="2BA319A7" w14:textId="77777777" w:rsidTr="00AC30DF">
        <w:trPr>
          <w:trHeight w:val="260"/>
          <w:jc w:val="center"/>
        </w:trPr>
        <w:tc>
          <w:tcPr>
            <w:tcW w:w="480" w:type="dxa"/>
            <w:tcBorders>
              <w:top w:val="nil"/>
              <w:left w:val="single" w:sz="4" w:space="0" w:color="auto"/>
              <w:bottom w:val="nil"/>
              <w:right w:val="nil"/>
            </w:tcBorders>
            <w:shd w:val="clear" w:color="000000" w:fill="FFFFFF"/>
            <w:noWrap/>
            <w:vAlign w:val="bottom"/>
            <w:hideMark/>
          </w:tcPr>
          <w:p w14:paraId="7E527938"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3D01610A" w14:textId="77777777" w:rsidR="00AC30DF" w:rsidRPr="009F227C" w:rsidRDefault="00AC30DF" w:rsidP="00AC30DF">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78F494AC" w14:textId="77777777" w:rsidR="00AC30DF" w:rsidRPr="009F227C" w:rsidRDefault="00AC30DF" w:rsidP="00AC30DF">
            <w:pPr>
              <w:jc w:val="right"/>
              <w:rPr>
                <w:sz w:val="20"/>
                <w:szCs w:val="20"/>
                <w:u w:val="double"/>
              </w:rPr>
            </w:pPr>
            <w:r w:rsidRPr="009F227C">
              <w:rPr>
                <w:sz w:val="20"/>
                <w:szCs w:val="20"/>
                <w:u w:val="double"/>
              </w:rPr>
              <w:t>($6,017)</w:t>
            </w:r>
          </w:p>
        </w:tc>
        <w:tc>
          <w:tcPr>
            <w:tcW w:w="1660" w:type="dxa"/>
            <w:tcBorders>
              <w:top w:val="nil"/>
              <w:left w:val="nil"/>
              <w:bottom w:val="nil"/>
              <w:right w:val="single" w:sz="4" w:space="0" w:color="auto"/>
            </w:tcBorders>
            <w:shd w:val="clear" w:color="000000" w:fill="FFFFFF"/>
            <w:noWrap/>
            <w:vAlign w:val="bottom"/>
            <w:hideMark/>
          </w:tcPr>
          <w:p w14:paraId="59F874BB" w14:textId="77777777" w:rsidR="00AC30DF" w:rsidRPr="009F227C" w:rsidRDefault="00AC30DF" w:rsidP="00AC30DF">
            <w:pPr>
              <w:jc w:val="right"/>
              <w:rPr>
                <w:sz w:val="20"/>
                <w:szCs w:val="20"/>
                <w:u w:val="double"/>
              </w:rPr>
            </w:pPr>
            <w:r w:rsidRPr="009F227C">
              <w:rPr>
                <w:sz w:val="20"/>
                <w:szCs w:val="20"/>
                <w:u w:val="double"/>
              </w:rPr>
              <w:t xml:space="preserve">$6,017 </w:t>
            </w:r>
          </w:p>
        </w:tc>
      </w:tr>
      <w:tr w:rsidR="00AC30DF" w:rsidRPr="009F227C" w14:paraId="65442BFD" w14:textId="77777777" w:rsidTr="00AC30DF">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2B1BEED7" w14:textId="77777777" w:rsidR="00AC30DF" w:rsidRPr="009F227C" w:rsidRDefault="00AC30DF" w:rsidP="00AC30DF">
            <w:pPr>
              <w:jc w:val="center"/>
              <w:rPr>
                <w:sz w:val="20"/>
                <w:szCs w:val="20"/>
              </w:rPr>
            </w:pPr>
            <w:r w:rsidRPr="009F227C">
              <w:rPr>
                <w:sz w:val="20"/>
                <w:szCs w:val="20"/>
              </w:rPr>
              <w:t> </w:t>
            </w:r>
          </w:p>
        </w:tc>
        <w:tc>
          <w:tcPr>
            <w:tcW w:w="5940" w:type="dxa"/>
            <w:tcBorders>
              <w:top w:val="nil"/>
              <w:left w:val="nil"/>
              <w:bottom w:val="single" w:sz="4" w:space="0" w:color="auto"/>
              <w:right w:val="nil"/>
            </w:tcBorders>
            <w:shd w:val="clear" w:color="000000" w:fill="FFFFFF"/>
            <w:noWrap/>
            <w:vAlign w:val="bottom"/>
            <w:hideMark/>
          </w:tcPr>
          <w:p w14:paraId="69A67968" w14:textId="77777777" w:rsidR="00AC30DF" w:rsidRPr="009F227C" w:rsidRDefault="00AC30DF" w:rsidP="00AC30DF">
            <w:pPr>
              <w:rPr>
                <w:sz w:val="20"/>
                <w:szCs w:val="20"/>
              </w:rPr>
            </w:pPr>
            <w:r w:rsidRPr="009F227C">
              <w:rPr>
                <w:sz w:val="20"/>
                <w:szCs w:val="20"/>
              </w:rPr>
              <w:t> </w:t>
            </w:r>
          </w:p>
        </w:tc>
        <w:tc>
          <w:tcPr>
            <w:tcW w:w="1520" w:type="dxa"/>
            <w:tcBorders>
              <w:top w:val="nil"/>
              <w:left w:val="nil"/>
              <w:bottom w:val="single" w:sz="4" w:space="0" w:color="auto"/>
              <w:right w:val="nil"/>
            </w:tcBorders>
            <w:shd w:val="clear" w:color="000000" w:fill="FFFFFF"/>
            <w:noWrap/>
            <w:vAlign w:val="bottom"/>
            <w:hideMark/>
          </w:tcPr>
          <w:p w14:paraId="328C79AD" w14:textId="77777777" w:rsidR="00AC30DF" w:rsidRPr="009F227C" w:rsidRDefault="00AC30DF" w:rsidP="00AC30DF">
            <w:pPr>
              <w:rPr>
                <w:sz w:val="20"/>
                <w:szCs w:val="20"/>
              </w:rPr>
            </w:pPr>
            <w:r w:rsidRPr="009F227C">
              <w:rPr>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5224B518" w14:textId="77777777" w:rsidR="00AC30DF" w:rsidRPr="009F227C" w:rsidRDefault="00AC30DF" w:rsidP="00AC30DF">
            <w:pPr>
              <w:rPr>
                <w:sz w:val="20"/>
                <w:szCs w:val="20"/>
              </w:rPr>
            </w:pPr>
            <w:r w:rsidRPr="009F227C">
              <w:rPr>
                <w:sz w:val="20"/>
                <w:szCs w:val="20"/>
              </w:rPr>
              <w:t> </w:t>
            </w:r>
          </w:p>
        </w:tc>
      </w:tr>
    </w:tbl>
    <w:p w14:paraId="035873B0" w14:textId="77777777" w:rsidR="00AC30DF" w:rsidRPr="009F227C" w:rsidRDefault="00AC30DF" w:rsidP="005F7ACC">
      <w:pPr>
        <w:pStyle w:val="OrderBody"/>
      </w:pPr>
    </w:p>
    <w:p w14:paraId="735AD431" w14:textId="77777777" w:rsidR="00AC30DF" w:rsidRPr="009F227C" w:rsidRDefault="00AC30DF" w:rsidP="005F7ACC">
      <w:pPr>
        <w:pStyle w:val="OrderBody"/>
        <w:sectPr w:rsidR="00AC30DF" w:rsidRPr="009F227C">
          <w:headerReference w:type="first" r:id="rId10"/>
          <w:pgSz w:w="12240" w:h="15840" w:code="1"/>
          <w:pgMar w:top="1440" w:right="1440" w:bottom="1440" w:left="1440" w:header="720" w:footer="720" w:gutter="0"/>
          <w:cols w:space="720"/>
          <w:titlePg/>
          <w:docGrid w:linePitch="360"/>
        </w:sectPr>
      </w:pPr>
    </w:p>
    <w:tbl>
      <w:tblPr>
        <w:tblW w:w="13731" w:type="dxa"/>
        <w:jc w:val="center"/>
        <w:tblLook w:val="04A0" w:firstRow="1" w:lastRow="0" w:firstColumn="1" w:lastColumn="0" w:noHBand="0" w:noVBand="1"/>
      </w:tblPr>
      <w:tblGrid>
        <w:gridCol w:w="480"/>
        <w:gridCol w:w="3440"/>
        <w:gridCol w:w="1316"/>
        <w:gridCol w:w="1000"/>
        <w:gridCol w:w="1520"/>
        <w:gridCol w:w="1520"/>
        <w:gridCol w:w="1520"/>
        <w:gridCol w:w="933"/>
        <w:gridCol w:w="963"/>
        <w:gridCol w:w="1039"/>
      </w:tblGrid>
      <w:tr w:rsidR="008750AD" w:rsidRPr="009F227C" w14:paraId="4868569C" w14:textId="77777777" w:rsidTr="008750AD">
        <w:trPr>
          <w:trHeight w:val="143"/>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62610095" w14:textId="77777777" w:rsidR="008750AD" w:rsidRPr="009F227C" w:rsidRDefault="008750AD" w:rsidP="008750AD">
            <w:pPr>
              <w:rPr>
                <w:color w:val="000000"/>
                <w:sz w:val="20"/>
                <w:szCs w:val="20"/>
              </w:rPr>
            </w:pPr>
            <w:bookmarkStart w:id="68" w:name="RANGE!A4:J37"/>
            <w:r w:rsidRPr="009F227C">
              <w:rPr>
                <w:color w:val="000000"/>
                <w:sz w:val="20"/>
                <w:szCs w:val="20"/>
              </w:rPr>
              <w:lastRenderedPageBreak/>
              <w:t> </w:t>
            </w:r>
            <w:bookmarkEnd w:id="68"/>
          </w:p>
        </w:tc>
        <w:tc>
          <w:tcPr>
            <w:tcW w:w="4756" w:type="dxa"/>
            <w:gridSpan w:val="2"/>
            <w:tcBorders>
              <w:top w:val="single" w:sz="4" w:space="0" w:color="auto"/>
              <w:left w:val="nil"/>
              <w:bottom w:val="nil"/>
              <w:right w:val="nil"/>
            </w:tcBorders>
            <w:shd w:val="clear" w:color="000000" w:fill="FFFFFF"/>
            <w:noWrap/>
            <w:vAlign w:val="bottom"/>
            <w:hideMark/>
          </w:tcPr>
          <w:p w14:paraId="3E603649" w14:textId="77777777" w:rsidR="008750AD" w:rsidRPr="009F227C" w:rsidRDefault="008750AD" w:rsidP="008750AD">
            <w:pPr>
              <w:rPr>
                <w:b/>
                <w:bCs/>
                <w:sz w:val="20"/>
                <w:szCs w:val="20"/>
              </w:rPr>
            </w:pPr>
            <w:r w:rsidRPr="009F227C">
              <w:rPr>
                <w:b/>
                <w:bCs/>
                <w:sz w:val="20"/>
                <w:szCs w:val="20"/>
              </w:rPr>
              <w:t>Sunshine Water Services Company</w:t>
            </w:r>
          </w:p>
        </w:tc>
        <w:tc>
          <w:tcPr>
            <w:tcW w:w="1000" w:type="dxa"/>
            <w:tcBorders>
              <w:top w:val="single" w:sz="4" w:space="0" w:color="auto"/>
              <w:left w:val="nil"/>
              <w:bottom w:val="nil"/>
              <w:right w:val="nil"/>
            </w:tcBorders>
            <w:shd w:val="clear" w:color="000000" w:fill="FFFFFF"/>
            <w:noWrap/>
            <w:vAlign w:val="bottom"/>
            <w:hideMark/>
          </w:tcPr>
          <w:p w14:paraId="0C0F666A" w14:textId="77777777" w:rsidR="008750AD" w:rsidRPr="009F227C" w:rsidRDefault="008750AD" w:rsidP="008750AD">
            <w:pPr>
              <w:rPr>
                <w:b/>
                <w:bCs/>
                <w:sz w:val="20"/>
                <w:szCs w:val="20"/>
              </w:rPr>
            </w:pPr>
            <w:r w:rsidRPr="009F227C">
              <w:rPr>
                <w:b/>
                <w:bCs/>
                <w:sz w:val="20"/>
                <w:szCs w:val="20"/>
              </w:rPr>
              <w:t> </w:t>
            </w:r>
          </w:p>
        </w:tc>
        <w:tc>
          <w:tcPr>
            <w:tcW w:w="1520" w:type="dxa"/>
            <w:tcBorders>
              <w:top w:val="single" w:sz="4" w:space="0" w:color="auto"/>
              <w:left w:val="nil"/>
              <w:bottom w:val="nil"/>
              <w:right w:val="nil"/>
            </w:tcBorders>
            <w:shd w:val="clear" w:color="000000" w:fill="FFFFFF"/>
            <w:noWrap/>
            <w:vAlign w:val="bottom"/>
            <w:hideMark/>
          </w:tcPr>
          <w:p w14:paraId="45D8A675" w14:textId="77777777" w:rsidR="008750AD" w:rsidRPr="009F227C" w:rsidRDefault="008750AD" w:rsidP="008750AD">
            <w:pPr>
              <w:rPr>
                <w:b/>
                <w:bCs/>
                <w:sz w:val="20"/>
                <w:szCs w:val="20"/>
              </w:rPr>
            </w:pPr>
            <w:r w:rsidRPr="009F227C">
              <w:rPr>
                <w:b/>
                <w:bCs/>
                <w:sz w:val="20"/>
                <w:szCs w:val="20"/>
              </w:rPr>
              <w:t> </w:t>
            </w:r>
          </w:p>
        </w:tc>
        <w:tc>
          <w:tcPr>
            <w:tcW w:w="1520" w:type="dxa"/>
            <w:tcBorders>
              <w:top w:val="single" w:sz="4" w:space="0" w:color="auto"/>
              <w:left w:val="nil"/>
              <w:bottom w:val="nil"/>
              <w:right w:val="nil"/>
            </w:tcBorders>
            <w:shd w:val="clear" w:color="000000" w:fill="FFFFFF"/>
            <w:noWrap/>
            <w:vAlign w:val="bottom"/>
            <w:hideMark/>
          </w:tcPr>
          <w:p w14:paraId="2376A7F4" w14:textId="77777777" w:rsidR="008750AD" w:rsidRPr="009F227C" w:rsidRDefault="008750AD" w:rsidP="008750AD">
            <w:pPr>
              <w:rPr>
                <w:b/>
                <w:bCs/>
                <w:sz w:val="20"/>
                <w:szCs w:val="20"/>
              </w:rPr>
            </w:pPr>
            <w:r w:rsidRPr="009F227C">
              <w:rPr>
                <w:b/>
                <w:bCs/>
                <w:sz w:val="20"/>
                <w:szCs w:val="20"/>
              </w:rPr>
              <w:t> </w:t>
            </w:r>
          </w:p>
        </w:tc>
        <w:tc>
          <w:tcPr>
            <w:tcW w:w="1520" w:type="dxa"/>
            <w:tcBorders>
              <w:top w:val="single" w:sz="4" w:space="0" w:color="auto"/>
              <w:left w:val="nil"/>
              <w:bottom w:val="nil"/>
              <w:right w:val="nil"/>
            </w:tcBorders>
            <w:shd w:val="clear" w:color="000000" w:fill="FFFFFF"/>
            <w:noWrap/>
            <w:vAlign w:val="bottom"/>
            <w:hideMark/>
          </w:tcPr>
          <w:p w14:paraId="1A160021" w14:textId="77777777" w:rsidR="008750AD" w:rsidRPr="009F227C" w:rsidRDefault="008750AD" w:rsidP="008750AD">
            <w:pPr>
              <w:rPr>
                <w:b/>
                <w:bCs/>
                <w:sz w:val="20"/>
                <w:szCs w:val="20"/>
              </w:rPr>
            </w:pPr>
            <w:r w:rsidRPr="009F227C">
              <w:rPr>
                <w:b/>
                <w:bCs/>
                <w:sz w:val="20"/>
                <w:szCs w:val="20"/>
              </w:rPr>
              <w:t> </w:t>
            </w:r>
          </w:p>
        </w:tc>
        <w:tc>
          <w:tcPr>
            <w:tcW w:w="2935" w:type="dxa"/>
            <w:gridSpan w:val="3"/>
            <w:tcBorders>
              <w:top w:val="single" w:sz="4" w:space="0" w:color="auto"/>
              <w:left w:val="nil"/>
              <w:bottom w:val="nil"/>
              <w:right w:val="single" w:sz="4" w:space="0" w:color="000000"/>
            </w:tcBorders>
            <w:shd w:val="clear" w:color="000000" w:fill="FFFFFF"/>
            <w:noWrap/>
            <w:vAlign w:val="bottom"/>
            <w:hideMark/>
          </w:tcPr>
          <w:p w14:paraId="590FA636" w14:textId="77777777" w:rsidR="008750AD" w:rsidRPr="009F227C" w:rsidRDefault="008750AD" w:rsidP="008750AD">
            <w:pPr>
              <w:jc w:val="right"/>
              <w:rPr>
                <w:b/>
                <w:bCs/>
                <w:sz w:val="20"/>
                <w:szCs w:val="20"/>
              </w:rPr>
            </w:pPr>
            <w:r w:rsidRPr="009F227C">
              <w:rPr>
                <w:b/>
                <w:bCs/>
                <w:sz w:val="20"/>
                <w:szCs w:val="20"/>
              </w:rPr>
              <w:t>Schedule No. 2</w:t>
            </w:r>
          </w:p>
        </w:tc>
      </w:tr>
      <w:tr w:rsidR="008750AD" w:rsidRPr="009F227C" w14:paraId="15C797B6" w14:textId="77777777" w:rsidTr="008750AD">
        <w:trPr>
          <w:trHeight w:val="180"/>
          <w:jc w:val="center"/>
        </w:trPr>
        <w:tc>
          <w:tcPr>
            <w:tcW w:w="480" w:type="dxa"/>
            <w:tcBorders>
              <w:top w:val="nil"/>
              <w:left w:val="single" w:sz="4" w:space="0" w:color="auto"/>
              <w:right w:val="nil"/>
            </w:tcBorders>
            <w:shd w:val="clear" w:color="000000" w:fill="FFFFFF"/>
            <w:noWrap/>
            <w:vAlign w:val="bottom"/>
            <w:hideMark/>
          </w:tcPr>
          <w:p w14:paraId="65CF7536" w14:textId="77777777" w:rsidR="008750AD" w:rsidRPr="009F227C" w:rsidRDefault="008750AD" w:rsidP="008750AD">
            <w:pPr>
              <w:rPr>
                <w:color w:val="000000"/>
                <w:sz w:val="20"/>
                <w:szCs w:val="20"/>
              </w:rPr>
            </w:pPr>
            <w:r w:rsidRPr="009F227C">
              <w:rPr>
                <w:color w:val="000000"/>
                <w:sz w:val="20"/>
                <w:szCs w:val="20"/>
              </w:rPr>
              <w:t> </w:t>
            </w:r>
          </w:p>
        </w:tc>
        <w:tc>
          <w:tcPr>
            <w:tcW w:w="3440" w:type="dxa"/>
            <w:tcBorders>
              <w:top w:val="nil"/>
              <w:left w:val="nil"/>
              <w:right w:val="nil"/>
            </w:tcBorders>
            <w:shd w:val="clear" w:color="000000" w:fill="FFFFFF"/>
            <w:noWrap/>
            <w:vAlign w:val="bottom"/>
            <w:hideMark/>
          </w:tcPr>
          <w:p w14:paraId="62D090F3" w14:textId="77777777" w:rsidR="008750AD" w:rsidRPr="009F227C" w:rsidRDefault="008750AD" w:rsidP="008750AD">
            <w:pPr>
              <w:rPr>
                <w:b/>
                <w:bCs/>
                <w:sz w:val="20"/>
                <w:szCs w:val="20"/>
              </w:rPr>
            </w:pPr>
            <w:r w:rsidRPr="009F227C">
              <w:rPr>
                <w:b/>
                <w:bCs/>
                <w:sz w:val="20"/>
                <w:szCs w:val="20"/>
              </w:rPr>
              <w:t xml:space="preserve">Capital Structure </w:t>
            </w:r>
          </w:p>
        </w:tc>
        <w:tc>
          <w:tcPr>
            <w:tcW w:w="1316" w:type="dxa"/>
            <w:tcBorders>
              <w:top w:val="nil"/>
              <w:left w:val="nil"/>
              <w:right w:val="nil"/>
            </w:tcBorders>
            <w:shd w:val="clear" w:color="000000" w:fill="FFFFFF"/>
            <w:noWrap/>
            <w:vAlign w:val="bottom"/>
            <w:hideMark/>
          </w:tcPr>
          <w:p w14:paraId="7655AF8A" w14:textId="77777777" w:rsidR="008750AD" w:rsidRPr="009F227C" w:rsidRDefault="008750AD" w:rsidP="008750AD">
            <w:pPr>
              <w:rPr>
                <w:b/>
                <w:bCs/>
                <w:sz w:val="20"/>
                <w:szCs w:val="20"/>
              </w:rPr>
            </w:pPr>
            <w:r w:rsidRPr="009F227C">
              <w:rPr>
                <w:b/>
                <w:bCs/>
                <w:sz w:val="20"/>
                <w:szCs w:val="20"/>
              </w:rPr>
              <w:t> </w:t>
            </w:r>
          </w:p>
        </w:tc>
        <w:tc>
          <w:tcPr>
            <w:tcW w:w="1000" w:type="dxa"/>
            <w:tcBorders>
              <w:top w:val="nil"/>
              <w:left w:val="nil"/>
              <w:right w:val="nil"/>
            </w:tcBorders>
            <w:shd w:val="clear" w:color="000000" w:fill="FFFFFF"/>
            <w:noWrap/>
            <w:vAlign w:val="bottom"/>
            <w:hideMark/>
          </w:tcPr>
          <w:p w14:paraId="503C253D" w14:textId="77777777" w:rsidR="008750AD" w:rsidRPr="009F227C" w:rsidRDefault="008750AD" w:rsidP="008750AD">
            <w:pPr>
              <w:rPr>
                <w:b/>
                <w:bCs/>
                <w:sz w:val="20"/>
                <w:szCs w:val="20"/>
              </w:rPr>
            </w:pPr>
            <w:r w:rsidRPr="009F227C">
              <w:rPr>
                <w:b/>
                <w:bCs/>
                <w:sz w:val="20"/>
                <w:szCs w:val="20"/>
              </w:rPr>
              <w:t> </w:t>
            </w:r>
          </w:p>
        </w:tc>
        <w:tc>
          <w:tcPr>
            <w:tcW w:w="1520" w:type="dxa"/>
            <w:tcBorders>
              <w:top w:val="nil"/>
              <w:left w:val="nil"/>
              <w:right w:val="nil"/>
            </w:tcBorders>
            <w:shd w:val="clear" w:color="000000" w:fill="FFFFFF"/>
            <w:noWrap/>
            <w:vAlign w:val="bottom"/>
            <w:hideMark/>
          </w:tcPr>
          <w:p w14:paraId="2E6D626A" w14:textId="77777777" w:rsidR="008750AD" w:rsidRPr="009F227C" w:rsidRDefault="008750AD" w:rsidP="008750AD">
            <w:pPr>
              <w:rPr>
                <w:b/>
                <w:bCs/>
                <w:sz w:val="20"/>
                <w:szCs w:val="20"/>
              </w:rPr>
            </w:pPr>
            <w:r w:rsidRPr="009F227C">
              <w:rPr>
                <w:b/>
                <w:bCs/>
                <w:sz w:val="20"/>
                <w:szCs w:val="20"/>
              </w:rPr>
              <w:t> </w:t>
            </w:r>
          </w:p>
        </w:tc>
        <w:tc>
          <w:tcPr>
            <w:tcW w:w="1520" w:type="dxa"/>
            <w:tcBorders>
              <w:top w:val="nil"/>
              <w:left w:val="nil"/>
              <w:right w:val="nil"/>
            </w:tcBorders>
            <w:shd w:val="clear" w:color="000000" w:fill="FFFFFF"/>
            <w:noWrap/>
            <w:vAlign w:val="bottom"/>
            <w:hideMark/>
          </w:tcPr>
          <w:p w14:paraId="35653A66" w14:textId="77777777" w:rsidR="008750AD" w:rsidRPr="009F227C" w:rsidRDefault="008750AD" w:rsidP="008750AD">
            <w:pPr>
              <w:rPr>
                <w:b/>
                <w:bCs/>
                <w:sz w:val="20"/>
                <w:szCs w:val="20"/>
              </w:rPr>
            </w:pPr>
            <w:r w:rsidRPr="009F227C">
              <w:rPr>
                <w:b/>
                <w:bCs/>
                <w:sz w:val="20"/>
                <w:szCs w:val="20"/>
              </w:rPr>
              <w:t> </w:t>
            </w:r>
          </w:p>
        </w:tc>
        <w:tc>
          <w:tcPr>
            <w:tcW w:w="1520" w:type="dxa"/>
            <w:tcBorders>
              <w:top w:val="nil"/>
              <w:left w:val="nil"/>
              <w:right w:val="nil"/>
            </w:tcBorders>
            <w:shd w:val="clear" w:color="000000" w:fill="FFFFFF"/>
            <w:noWrap/>
            <w:vAlign w:val="bottom"/>
            <w:hideMark/>
          </w:tcPr>
          <w:p w14:paraId="077E363F" w14:textId="77777777" w:rsidR="008750AD" w:rsidRPr="009F227C" w:rsidRDefault="008750AD" w:rsidP="008750AD">
            <w:pPr>
              <w:rPr>
                <w:b/>
                <w:bCs/>
                <w:sz w:val="20"/>
                <w:szCs w:val="20"/>
              </w:rPr>
            </w:pPr>
            <w:r w:rsidRPr="009F227C">
              <w:rPr>
                <w:b/>
                <w:bCs/>
                <w:sz w:val="20"/>
                <w:szCs w:val="20"/>
              </w:rPr>
              <w:t> </w:t>
            </w:r>
          </w:p>
        </w:tc>
        <w:tc>
          <w:tcPr>
            <w:tcW w:w="2935" w:type="dxa"/>
            <w:gridSpan w:val="3"/>
            <w:tcBorders>
              <w:top w:val="nil"/>
              <w:left w:val="nil"/>
              <w:right w:val="single" w:sz="4" w:space="0" w:color="000000"/>
            </w:tcBorders>
            <w:shd w:val="clear" w:color="000000" w:fill="FFFFFF"/>
            <w:noWrap/>
            <w:vAlign w:val="bottom"/>
            <w:hideMark/>
          </w:tcPr>
          <w:p w14:paraId="0FF3C48A" w14:textId="77777777" w:rsidR="008750AD" w:rsidRPr="009F227C" w:rsidRDefault="008750AD" w:rsidP="008750AD">
            <w:pPr>
              <w:jc w:val="right"/>
              <w:rPr>
                <w:b/>
                <w:bCs/>
                <w:sz w:val="20"/>
                <w:szCs w:val="20"/>
              </w:rPr>
            </w:pPr>
            <w:r w:rsidRPr="009F227C">
              <w:rPr>
                <w:b/>
                <w:bCs/>
                <w:sz w:val="20"/>
                <w:szCs w:val="20"/>
              </w:rPr>
              <w:t>Docket No. 20240068-WS</w:t>
            </w:r>
          </w:p>
        </w:tc>
      </w:tr>
      <w:tr w:rsidR="008750AD" w:rsidRPr="009F227C" w14:paraId="52C82BC8" w14:textId="77777777" w:rsidTr="008750AD">
        <w:trPr>
          <w:trHeight w:val="126"/>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2513CFB9" w14:textId="77777777" w:rsidR="008750AD" w:rsidRPr="009F227C" w:rsidRDefault="008750AD" w:rsidP="008750AD">
            <w:pPr>
              <w:rPr>
                <w:color w:val="000000"/>
                <w:sz w:val="20"/>
                <w:szCs w:val="20"/>
              </w:rPr>
            </w:pPr>
            <w:r w:rsidRPr="009F227C">
              <w:rPr>
                <w:color w:val="000000"/>
                <w:sz w:val="20"/>
                <w:szCs w:val="20"/>
              </w:rPr>
              <w:t> </w:t>
            </w:r>
          </w:p>
        </w:tc>
        <w:tc>
          <w:tcPr>
            <w:tcW w:w="3440" w:type="dxa"/>
            <w:tcBorders>
              <w:top w:val="nil"/>
              <w:left w:val="nil"/>
              <w:bottom w:val="single" w:sz="4" w:space="0" w:color="auto"/>
              <w:right w:val="nil"/>
            </w:tcBorders>
            <w:shd w:val="clear" w:color="000000" w:fill="FFFFFF"/>
            <w:noWrap/>
            <w:vAlign w:val="bottom"/>
            <w:hideMark/>
          </w:tcPr>
          <w:p w14:paraId="0414C54D" w14:textId="77777777" w:rsidR="008750AD" w:rsidRPr="009F227C" w:rsidRDefault="008750AD" w:rsidP="008750AD">
            <w:pPr>
              <w:rPr>
                <w:b/>
                <w:bCs/>
                <w:sz w:val="20"/>
                <w:szCs w:val="20"/>
              </w:rPr>
            </w:pPr>
            <w:r w:rsidRPr="009F227C">
              <w:rPr>
                <w:b/>
                <w:bCs/>
                <w:sz w:val="20"/>
                <w:szCs w:val="20"/>
              </w:rPr>
              <w:t>Test Year Ended 12/31/2023</w:t>
            </w:r>
          </w:p>
        </w:tc>
        <w:tc>
          <w:tcPr>
            <w:tcW w:w="1316" w:type="dxa"/>
            <w:tcBorders>
              <w:top w:val="nil"/>
              <w:left w:val="nil"/>
              <w:bottom w:val="single" w:sz="4" w:space="0" w:color="auto"/>
              <w:right w:val="nil"/>
            </w:tcBorders>
            <w:shd w:val="clear" w:color="000000" w:fill="FFFFFF"/>
            <w:noWrap/>
            <w:vAlign w:val="bottom"/>
            <w:hideMark/>
          </w:tcPr>
          <w:p w14:paraId="2BE1CD53" w14:textId="77777777" w:rsidR="008750AD" w:rsidRPr="009F227C" w:rsidRDefault="008750AD" w:rsidP="008750AD">
            <w:pPr>
              <w:rPr>
                <w:b/>
                <w:bCs/>
                <w:sz w:val="20"/>
                <w:szCs w:val="20"/>
              </w:rPr>
            </w:pPr>
            <w:r w:rsidRPr="009F227C">
              <w:rPr>
                <w:b/>
                <w:bCs/>
                <w:sz w:val="20"/>
                <w:szCs w:val="20"/>
              </w:rPr>
              <w:t> </w:t>
            </w:r>
          </w:p>
        </w:tc>
        <w:tc>
          <w:tcPr>
            <w:tcW w:w="1000" w:type="dxa"/>
            <w:tcBorders>
              <w:top w:val="nil"/>
              <w:left w:val="nil"/>
              <w:bottom w:val="single" w:sz="4" w:space="0" w:color="auto"/>
              <w:right w:val="nil"/>
            </w:tcBorders>
            <w:shd w:val="clear" w:color="000000" w:fill="FFFFFF"/>
            <w:noWrap/>
            <w:vAlign w:val="bottom"/>
            <w:hideMark/>
          </w:tcPr>
          <w:p w14:paraId="108EC564" w14:textId="77777777" w:rsidR="008750AD" w:rsidRPr="009F227C" w:rsidRDefault="008750AD" w:rsidP="008750AD">
            <w:pPr>
              <w:rPr>
                <w:b/>
                <w:bCs/>
                <w:sz w:val="20"/>
                <w:szCs w:val="20"/>
              </w:rPr>
            </w:pPr>
            <w:r w:rsidRPr="009F227C">
              <w:rPr>
                <w:b/>
                <w:bCs/>
                <w:sz w:val="20"/>
                <w:szCs w:val="20"/>
              </w:rPr>
              <w:t> </w:t>
            </w:r>
          </w:p>
        </w:tc>
        <w:tc>
          <w:tcPr>
            <w:tcW w:w="1520" w:type="dxa"/>
            <w:tcBorders>
              <w:top w:val="nil"/>
              <w:left w:val="nil"/>
              <w:bottom w:val="single" w:sz="4" w:space="0" w:color="auto"/>
              <w:right w:val="nil"/>
            </w:tcBorders>
            <w:shd w:val="clear" w:color="000000" w:fill="FFFFFF"/>
            <w:noWrap/>
            <w:vAlign w:val="bottom"/>
            <w:hideMark/>
          </w:tcPr>
          <w:p w14:paraId="503757CE" w14:textId="77777777" w:rsidR="008750AD" w:rsidRPr="009F227C" w:rsidRDefault="008750AD" w:rsidP="008750AD">
            <w:pPr>
              <w:rPr>
                <w:b/>
                <w:bCs/>
                <w:sz w:val="20"/>
                <w:szCs w:val="20"/>
              </w:rPr>
            </w:pPr>
            <w:r w:rsidRPr="009F227C">
              <w:rPr>
                <w:b/>
                <w:bCs/>
                <w:sz w:val="20"/>
                <w:szCs w:val="20"/>
              </w:rPr>
              <w:t> </w:t>
            </w:r>
          </w:p>
        </w:tc>
        <w:tc>
          <w:tcPr>
            <w:tcW w:w="1520" w:type="dxa"/>
            <w:tcBorders>
              <w:top w:val="nil"/>
              <w:left w:val="nil"/>
              <w:bottom w:val="single" w:sz="4" w:space="0" w:color="auto"/>
              <w:right w:val="nil"/>
            </w:tcBorders>
            <w:shd w:val="clear" w:color="000000" w:fill="FFFFFF"/>
            <w:noWrap/>
            <w:vAlign w:val="bottom"/>
            <w:hideMark/>
          </w:tcPr>
          <w:p w14:paraId="763068CD" w14:textId="77777777" w:rsidR="008750AD" w:rsidRPr="009F227C" w:rsidRDefault="008750AD" w:rsidP="008750AD">
            <w:pPr>
              <w:rPr>
                <w:b/>
                <w:bCs/>
                <w:sz w:val="20"/>
                <w:szCs w:val="20"/>
              </w:rPr>
            </w:pPr>
            <w:r w:rsidRPr="009F227C">
              <w:rPr>
                <w:b/>
                <w:bCs/>
                <w:sz w:val="20"/>
                <w:szCs w:val="20"/>
              </w:rPr>
              <w:t> </w:t>
            </w:r>
          </w:p>
        </w:tc>
        <w:tc>
          <w:tcPr>
            <w:tcW w:w="1520" w:type="dxa"/>
            <w:tcBorders>
              <w:top w:val="nil"/>
              <w:left w:val="nil"/>
              <w:bottom w:val="single" w:sz="4" w:space="0" w:color="auto"/>
              <w:right w:val="nil"/>
            </w:tcBorders>
            <w:shd w:val="clear" w:color="000000" w:fill="FFFFFF"/>
            <w:noWrap/>
            <w:vAlign w:val="bottom"/>
            <w:hideMark/>
          </w:tcPr>
          <w:p w14:paraId="3A31810D" w14:textId="77777777" w:rsidR="008750AD" w:rsidRPr="009F227C" w:rsidRDefault="008750AD" w:rsidP="008750AD">
            <w:pPr>
              <w:rPr>
                <w:b/>
                <w:bCs/>
                <w:sz w:val="20"/>
                <w:szCs w:val="20"/>
              </w:rPr>
            </w:pPr>
            <w:r w:rsidRPr="009F227C">
              <w:rPr>
                <w:b/>
                <w:bCs/>
                <w:sz w:val="20"/>
                <w:szCs w:val="20"/>
              </w:rPr>
              <w:t> </w:t>
            </w:r>
          </w:p>
        </w:tc>
        <w:tc>
          <w:tcPr>
            <w:tcW w:w="933" w:type="dxa"/>
            <w:tcBorders>
              <w:top w:val="nil"/>
              <w:left w:val="nil"/>
              <w:bottom w:val="single" w:sz="4" w:space="0" w:color="auto"/>
              <w:right w:val="nil"/>
            </w:tcBorders>
            <w:shd w:val="clear" w:color="000000" w:fill="FFFFFF"/>
            <w:noWrap/>
            <w:vAlign w:val="bottom"/>
            <w:hideMark/>
          </w:tcPr>
          <w:p w14:paraId="18309DE0" w14:textId="77777777" w:rsidR="008750AD" w:rsidRPr="009F227C" w:rsidRDefault="008750AD" w:rsidP="008750AD">
            <w:pPr>
              <w:rPr>
                <w:b/>
                <w:bCs/>
                <w:sz w:val="20"/>
                <w:szCs w:val="20"/>
              </w:rPr>
            </w:pPr>
            <w:r w:rsidRPr="009F227C">
              <w:rPr>
                <w:b/>
                <w:bCs/>
                <w:sz w:val="20"/>
                <w:szCs w:val="20"/>
              </w:rPr>
              <w:t> </w:t>
            </w:r>
          </w:p>
        </w:tc>
        <w:tc>
          <w:tcPr>
            <w:tcW w:w="963" w:type="dxa"/>
            <w:tcBorders>
              <w:top w:val="nil"/>
              <w:left w:val="nil"/>
              <w:bottom w:val="single" w:sz="4" w:space="0" w:color="auto"/>
              <w:right w:val="nil"/>
            </w:tcBorders>
            <w:shd w:val="clear" w:color="000000" w:fill="FFFFFF"/>
            <w:noWrap/>
            <w:vAlign w:val="bottom"/>
            <w:hideMark/>
          </w:tcPr>
          <w:p w14:paraId="1C255F29" w14:textId="77777777" w:rsidR="008750AD" w:rsidRPr="009F227C" w:rsidRDefault="008750AD" w:rsidP="008750AD">
            <w:pPr>
              <w:rPr>
                <w:b/>
                <w:bCs/>
                <w:sz w:val="20"/>
                <w:szCs w:val="20"/>
              </w:rPr>
            </w:pPr>
            <w:r w:rsidRPr="009F227C">
              <w:rPr>
                <w:b/>
                <w:bCs/>
                <w:sz w:val="20"/>
                <w:szCs w:val="20"/>
              </w:rPr>
              <w:t> </w:t>
            </w:r>
          </w:p>
        </w:tc>
        <w:tc>
          <w:tcPr>
            <w:tcW w:w="1039" w:type="dxa"/>
            <w:tcBorders>
              <w:top w:val="nil"/>
              <w:left w:val="nil"/>
              <w:bottom w:val="single" w:sz="4" w:space="0" w:color="auto"/>
              <w:right w:val="single" w:sz="4" w:space="0" w:color="auto"/>
            </w:tcBorders>
            <w:shd w:val="clear" w:color="000000" w:fill="FFFFFF"/>
            <w:noWrap/>
            <w:vAlign w:val="bottom"/>
            <w:hideMark/>
          </w:tcPr>
          <w:p w14:paraId="60C077FE" w14:textId="77777777" w:rsidR="008750AD" w:rsidRPr="009F227C" w:rsidRDefault="008750AD" w:rsidP="008750AD">
            <w:pPr>
              <w:rPr>
                <w:sz w:val="20"/>
                <w:szCs w:val="20"/>
              </w:rPr>
            </w:pPr>
            <w:r w:rsidRPr="009F227C">
              <w:rPr>
                <w:sz w:val="20"/>
                <w:szCs w:val="20"/>
              </w:rPr>
              <w:t> </w:t>
            </w:r>
          </w:p>
        </w:tc>
      </w:tr>
      <w:tr w:rsidR="008750AD" w:rsidRPr="009F227C" w14:paraId="3C6F4FB0" w14:textId="77777777" w:rsidTr="008750AD">
        <w:trPr>
          <w:trHeight w:val="188"/>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64446FB2" w14:textId="77777777" w:rsidR="008750AD" w:rsidRPr="009F227C" w:rsidRDefault="008750AD" w:rsidP="008750AD">
            <w:pPr>
              <w:rPr>
                <w:b/>
                <w:bCs/>
                <w:sz w:val="20"/>
                <w:szCs w:val="20"/>
              </w:rPr>
            </w:pPr>
            <w:r w:rsidRPr="009F227C">
              <w:rPr>
                <w:b/>
                <w:bCs/>
                <w:sz w:val="20"/>
                <w:szCs w:val="20"/>
              </w:rPr>
              <w:t> </w:t>
            </w:r>
          </w:p>
        </w:tc>
        <w:tc>
          <w:tcPr>
            <w:tcW w:w="3440" w:type="dxa"/>
            <w:tcBorders>
              <w:top w:val="single" w:sz="4" w:space="0" w:color="auto"/>
              <w:left w:val="nil"/>
              <w:bottom w:val="nil"/>
              <w:right w:val="nil"/>
            </w:tcBorders>
            <w:shd w:val="clear" w:color="000000" w:fill="FFFFFF"/>
            <w:noWrap/>
            <w:vAlign w:val="bottom"/>
            <w:hideMark/>
          </w:tcPr>
          <w:p w14:paraId="307DE9EA" w14:textId="77777777" w:rsidR="008750AD" w:rsidRPr="009F227C" w:rsidRDefault="008750AD" w:rsidP="008750AD">
            <w:pPr>
              <w:rPr>
                <w:b/>
                <w:bCs/>
                <w:sz w:val="20"/>
                <w:szCs w:val="20"/>
              </w:rPr>
            </w:pPr>
            <w:r w:rsidRPr="009F227C">
              <w:rPr>
                <w:b/>
                <w:bCs/>
                <w:sz w:val="20"/>
                <w:szCs w:val="20"/>
              </w:rPr>
              <w:t> </w:t>
            </w:r>
          </w:p>
        </w:tc>
        <w:tc>
          <w:tcPr>
            <w:tcW w:w="1316" w:type="dxa"/>
            <w:tcBorders>
              <w:top w:val="single" w:sz="4" w:space="0" w:color="auto"/>
              <w:left w:val="nil"/>
              <w:bottom w:val="nil"/>
              <w:right w:val="nil"/>
            </w:tcBorders>
            <w:shd w:val="clear" w:color="000000" w:fill="FFFFFF"/>
            <w:noWrap/>
            <w:vAlign w:val="bottom"/>
            <w:hideMark/>
          </w:tcPr>
          <w:p w14:paraId="69837F36" w14:textId="77777777" w:rsidR="008750AD" w:rsidRPr="009F227C" w:rsidRDefault="008750AD" w:rsidP="008750AD">
            <w:pPr>
              <w:rPr>
                <w:b/>
                <w:bCs/>
                <w:sz w:val="20"/>
                <w:szCs w:val="20"/>
              </w:rPr>
            </w:pPr>
            <w:r w:rsidRPr="009F227C">
              <w:rPr>
                <w:b/>
                <w:bCs/>
                <w:sz w:val="20"/>
                <w:szCs w:val="20"/>
              </w:rPr>
              <w:t> </w:t>
            </w:r>
          </w:p>
        </w:tc>
        <w:tc>
          <w:tcPr>
            <w:tcW w:w="1000" w:type="dxa"/>
            <w:tcBorders>
              <w:top w:val="single" w:sz="4" w:space="0" w:color="auto"/>
              <w:left w:val="nil"/>
              <w:bottom w:val="nil"/>
              <w:right w:val="nil"/>
            </w:tcBorders>
            <w:shd w:val="clear" w:color="000000" w:fill="FFFFFF"/>
            <w:noWrap/>
            <w:vAlign w:val="bottom"/>
            <w:hideMark/>
          </w:tcPr>
          <w:p w14:paraId="74B42636" w14:textId="77777777" w:rsidR="008750AD" w:rsidRPr="009F227C" w:rsidRDefault="008750AD" w:rsidP="008750AD">
            <w:pPr>
              <w:jc w:val="center"/>
              <w:rPr>
                <w:b/>
                <w:bCs/>
                <w:sz w:val="20"/>
                <w:szCs w:val="20"/>
              </w:rPr>
            </w:pPr>
            <w:r w:rsidRPr="009F227C">
              <w:rPr>
                <w:b/>
                <w:bCs/>
                <w:sz w:val="20"/>
                <w:szCs w:val="20"/>
              </w:rPr>
              <w:t>Specific</w:t>
            </w:r>
          </w:p>
        </w:tc>
        <w:tc>
          <w:tcPr>
            <w:tcW w:w="1520" w:type="dxa"/>
            <w:tcBorders>
              <w:top w:val="single" w:sz="4" w:space="0" w:color="auto"/>
              <w:left w:val="nil"/>
              <w:bottom w:val="nil"/>
              <w:right w:val="nil"/>
            </w:tcBorders>
            <w:shd w:val="clear" w:color="000000" w:fill="FFFFFF"/>
            <w:noWrap/>
            <w:vAlign w:val="bottom"/>
            <w:hideMark/>
          </w:tcPr>
          <w:p w14:paraId="3E2ADF87" w14:textId="77777777" w:rsidR="008750AD" w:rsidRPr="009F227C" w:rsidRDefault="008750AD" w:rsidP="008750AD">
            <w:pPr>
              <w:jc w:val="center"/>
              <w:rPr>
                <w:b/>
                <w:bCs/>
                <w:sz w:val="20"/>
                <w:szCs w:val="20"/>
              </w:rPr>
            </w:pPr>
            <w:r w:rsidRPr="009F227C">
              <w:rPr>
                <w:b/>
                <w:bCs/>
                <w:sz w:val="20"/>
                <w:szCs w:val="20"/>
              </w:rPr>
              <w:t>Subtotal</w:t>
            </w:r>
          </w:p>
        </w:tc>
        <w:tc>
          <w:tcPr>
            <w:tcW w:w="1520" w:type="dxa"/>
            <w:tcBorders>
              <w:top w:val="single" w:sz="4" w:space="0" w:color="auto"/>
              <w:left w:val="nil"/>
              <w:bottom w:val="nil"/>
              <w:right w:val="nil"/>
            </w:tcBorders>
            <w:shd w:val="clear" w:color="000000" w:fill="FFFFFF"/>
            <w:noWrap/>
            <w:vAlign w:val="bottom"/>
            <w:hideMark/>
          </w:tcPr>
          <w:p w14:paraId="0DCE05E7" w14:textId="3A6A76FE" w:rsidR="008750AD" w:rsidRPr="009F227C" w:rsidRDefault="008750AD" w:rsidP="008750AD">
            <w:pPr>
              <w:jc w:val="center"/>
              <w:rPr>
                <w:b/>
                <w:bCs/>
                <w:sz w:val="20"/>
                <w:szCs w:val="20"/>
              </w:rPr>
            </w:pPr>
            <w:r w:rsidRPr="009F227C">
              <w:rPr>
                <w:b/>
                <w:bCs/>
                <w:sz w:val="20"/>
                <w:szCs w:val="20"/>
              </w:rPr>
              <w:t>Pro</w:t>
            </w:r>
            <w:r w:rsidR="003E1B1C">
              <w:rPr>
                <w:b/>
                <w:bCs/>
                <w:sz w:val="20"/>
                <w:szCs w:val="20"/>
              </w:rPr>
              <w:t xml:space="preserve"> </w:t>
            </w:r>
            <w:r w:rsidRPr="009F227C">
              <w:rPr>
                <w:b/>
                <w:bCs/>
                <w:sz w:val="20"/>
                <w:szCs w:val="20"/>
              </w:rPr>
              <w:t>rata</w:t>
            </w:r>
          </w:p>
        </w:tc>
        <w:tc>
          <w:tcPr>
            <w:tcW w:w="1520" w:type="dxa"/>
            <w:tcBorders>
              <w:top w:val="single" w:sz="4" w:space="0" w:color="auto"/>
              <w:left w:val="nil"/>
              <w:bottom w:val="nil"/>
              <w:right w:val="nil"/>
            </w:tcBorders>
            <w:shd w:val="clear" w:color="000000" w:fill="FFFFFF"/>
            <w:noWrap/>
            <w:vAlign w:val="bottom"/>
            <w:hideMark/>
          </w:tcPr>
          <w:p w14:paraId="33C529D0" w14:textId="77777777" w:rsidR="008750AD" w:rsidRPr="009F227C" w:rsidRDefault="008750AD" w:rsidP="008750AD">
            <w:pPr>
              <w:jc w:val="center"/>
              <w:rPr>
                <w:b/>
                <w:bCs/>
                <w:sz w:val="20"/>
                <w:szCs w:val="20"/>
              </w:rPr>
            </w:pPr>
            <w:r w:rsidRPr="009F227C">
              <w:rPr>
                <w:b/>
                <w:bCs/>
                <w:sz w:val="20"/>
                <w:szCs w:val="20"/>
              </w:rPr>
              <w:t>Capital</w:t>
            </w:r>
          </w:p>
        </w:tc>
        <w:tc>
          <w:tcPr>
            <w:tcW w:w="933" w:type="dxa"/>
            <w:tcBorders>
              <w:top w:val="single" w:sz="4" w:space="0" w:color="auto"/>
              <w:left w:val="nil"/>
              <w:bottom w:val="nil"/>
              <w:right w:val="nil"/>
            </w:tcBorders>
            <w:shd w:val="clear" w:color="000000" w:fill="FFFFFF"/>
            <w:noWrap/>
            <w:vAlign w:val="bottom"/>
            <w:hideMark/>
          </w:tcPr>
          <w:p w14:paraId="2DE1E190" w14:textId="77777777" w:rsidR="008750AD" w:rsidRPr="009F227C" w:rsidRDefault="008750AD" w:rsidP="008750AD">
            <w:pPr>
              <w:rPr>
                <w:b/>
                <w:bCs/>
                <w:sz w:val="20"/>
                <w:szCs w:val="20"/>
              </w:rPr>
            </w:pPr>
            <w:r w:rsidRPr="009F227C">
              <w:rPr>
                <w:b/>
                <w:bCs/>
                <w:sz w:val="20"/>
                <w:szCs w:val="20"/>
              </w:rPr>
              <w:t> </w:t>
            </w:r>
          </w:p>
        </w:tc>
        <w:tc>
          <w:tcPr>
            <w:tcW w:w="963" w:type="dxa"/>
            <w:tcBorders>
              <w:top w:val="single" w:sz="4" w:space="0" w:color="auto"/>
              <w:left w:val="nil"/>
              <w:bottom w:val="nil"/>
              <w:right w:val="nil"/>
            </w:tcBorders>
            <w:shd w:val="clear" w:color="000000" w:fill="FFFFFF"/>
            <w:noWrap/>
            <w:vAlign w:val="bottom"/>
            <w:hideMark/>
          </w:tcPr>
          <w:p w14:paraId="4D97125A" w14:textId="77777777" w:rsidR="008750AD" w:rsidRPr="009F227C" w:rsidRDefault="008750AD" w:rsidP="008750AD">
            <w:pPr>
              <w:rPr>
                <w:b/>
                <w:bCs/>
                <w:sz w:val="20"/>
                <w:szCs w:val="20"/>
              </w:rPr>
            </w:pPr>
            <w:r w:rsidRPr="009F227C">
              <w:rPr>
                <w:b/>
                <w:bCs/>
                <w:sz w:val="20"/>
                <w:szCs w:val="20"/>
              </w:rPr>
              <w:t> </w:t>
            </w:r>
          </w:p>
        </w:tc>
        <w:tc>
          <w:tcPr>
            <w:tcW w:w="1039" w:type="dxa"/>
            <w:tcBorders>
              <w:top w:val="single" w:sz="4" w:space="0" w:color="auto"/>
              <w:left w:val="nil"/>
              <w:bottom w:val="nil"/>
              <w:right w:val="single" w:sz="4" w:space="0" w:color="auto"/>
            </w:tcBorders>
            <w:shd w:val="clear" w:color="000000" w:fill="FFFFFF"/>
            <w:noWrap/>
            <w:vAlign w:val="bottom"/>
            <w:hideMark/>
          </w:tcPr>
          <w:p w14:paraId="37A7D3A6" w14:textId="77777777" w:rsidR="008750AD" w:rsidRPr="009F227C" w:rsidRDefault="008750AD" w:rsidP="008750AD">
            <w:pPr>
              <w:rPr>
                <w:b/>
                <w:bCs/>
                <w:sz w:val="20"/>
                <w:szCs w:val="20"/>
              </w:rPr>
            </w:pPr>
            <w:r w:rsidRPr="009F227C">
              <w:rPr>
                <w:b/>
                <w:bCs/>
                <w:sz w:val="20"/>
                <w:szCs w:val="20"/>
              </w:rPr>
              <w:t> </w:t>
            </w:r>
          </w:p>
        </w:tc>
      </w:tr>
      <w:tr w:rsidR="008750AD" w:rsidRPr="009F227C" w14:paraId="16340C80" w14:textId="77777777" w:rsidTr="008750AD">
        <w:trPr>
          <w:trHeight w:val="207"/>
          <w:jc w:val="center"/>
        </w:trPr>
        <w:tc>
          <w:tcPr>
            <w:tcW w:w="480" w:type="dxa"/>
            <w:tcBorders>
              <w:top w:val="nil"/>
              <w:left w:val="single" w:sz="4" w:space="0" w:color="auto"/>
              <w:bottom w:val="nil"/>
              <w:right w:val="nil"/>
            </w:tcBorders>
            <w:shd w:val="clear" w:color="000000" w:fill="FFFFFF"/>
            <w:noWrap/>
            <w:vAlign w:val="bottom"/>
            <w:hideMark/>
          </w:tcPr>
          <w:p w14:paraId="1550D840" w14:textId="77777777" w:rsidR="008750AD" w:rsidRPr="009F227C" w:rsidRDefault="008750AD" w:rsidP="008750AD">
            <w:pPr>
              <w:rPr>
                <w:b/>
                <w:bCs/>
                <w:sz w:val="20"/>
                <w:szCs w:val="20"/>
              </w:rPr>
            </w:pPr>
            <w:r w:rsidRPr="009F227C">
              <w:rPr>
                <w:b/>
                <w:bCs/>
                <w:sz w:val="20"/>
                <w:szCs w:val="20"/>
              </w:rPr>
              <w:t> </w:t>
            </w:r>
          </w:p>
        </w:tc>
        <w:tc>
          <w:tcPr>
            <w:tcW w:w="3440" w:type="dxa"/>
            <w:tcBorders>
              <w:top w:val="nil"/>
              <w:left w:val="nil"/>
              <w:bottom w:val="nil"/>
              <w:right w:val="nil"/>
            </w:tcBorders>
            <w:shd w:val="clear" w:color="000000" w:fill="FFFFFF"/>
            <w:noWrap/>
            <w:vAlign w:val="bottom"/>
            <w:hideMark/>
          </w:tcPr>
          <w:p w14:paraId="5984C366" w14:textId="77777777" w:rsidR="008750AD" w:rsidRPr="009F227C" w:rsidRDefault="008750AD" w:rsidP="008750AD">
            <w:pPr>
              <w:rPr>
                <w:b/>
                <w:bCs/>
                <w:sz w:val="20"/>
                <w:szCs w:val="20"/>
              </w:rPr>
            </w:pPr>
            <w:r w:rsidRPr="009F227C">
              <w:rPr>
                <w:b/>
                <w:bCs/>
                <w:sz w:val="20"/>
                <w:szCs w:val="20"/>
              </w:rPr>
              <w:t> </w:t>
            </w:r>
          </w:p>
        </w:tc>
        <w:tc>
          <w:tcPr>
            <w:tcW w:w="1316" w:type="dxa"/>
            <w:tcBorders>
              <w:top w:val="nil"/>
              <w:left w:val="nil"/>
              <w:bottom w:val="nil"/>
              <w:right w:val="nil"/>
            </w:tcBorders>
            <w:shd w:val="clear" w:color="000000" w:fill="FFFFFF"/>
            <w:noWrap/>
            <w:vAlign w:val="bottom"/>
            <w:hideMark/>
          </w:tcPr>
          <w:p w14:paraId="55490A14" w14:textId="77777777" w:rsidR="008750AD" w:rsidRPr="009F227C" w:rsidRDefault="008750AD" w:rsidP="008750AD">
            <w:pPr>
              <w:jc w:val="center"/>
              <w:rPr>
                <w:b/>
                <w:bCs/>
                <w:sz w:val="20"/>
                <w:szCs w:val="20"/>
              </w:rPr>
            </w:pPr>
            <w:r w:rsidRPr="009F227C">
              <w:rPr>
                <w:b/>
                <w:bCs/>
                <w:sz w:val="20"/>
                <w:szCs w:val="20"/>
              </w:rPr>
              <w:t>Total</w:t>
            </w:r>
          </w:p>
        </w:tc>
        <w:tc>
          <w:tcPr>
            <w:tcW w:w="1000" w:type="dxa"/>
            <w:tcBorders>
              <w:top w:val="nil"/>
              <w:left w:val="nil"/>
              <w:bottom w:val="nil"/>
              <w:right w:val="nil"/>
            </w:tcBorders>
            <w:shd w:val="clear" w:color="000000" w:fill="FFFFFF"/>
            <w:noWrap/>
            <w:vAlign w:val="bottom"/>
            <w:hideMark/>
          </w:tcPr>
          <w:p w14:paraId="6E147BED" w14:textId="77777777" w:rsidR="008750AD" w:rsidRPr="009F227C" w:rsidRDefault="008750AD" w:rsidP="008750AD">
            <w:pPr>
              <w:jc w:val="center"/>
              <w:rPr>
                <w:b/>
                <w:bCs/>
                <w:sz w:val="20"/>
                <w:szCs w:val="20"/>
              </w:rPr>
            </w:pPr>
            <w:r w:rsidRPr="009F227C">
              <w:rPr>
                <w:b/>
                <w:bCs/>
                <w:sz w:val="20"/>
                <w:szCs w:val="20"/>
              </w:rPr>
              <w:t>Adjust-</w:t>
            </w:r>
          </w:p>
        </w:tc>
        <w:tc>
          <w:tcPr>
            <w:tcW w:w="1520" w:type="dxa"/>
            <w:tcBorders>
              <w:top w:val="nil"/>
              <w:left w:val="nil"/>
              <w:bottom w:val="nil"/>
              <w:right w:val="nil"/>
            </w:tcBorders>
            <w:shd w:val="clear" w:color="000000" w:fill="FFFFFF"/>
            <w:noWrap/>
            <w:vAlign w:val="bottom"/>
            <w:hideMark/>
          </w:tcPr>
          <w:p w14:paraId="22E32B0F" w14:textId="77777777" w:rsidR="008750AD" w:rsidRPr="009F227C" w:rsidRDefault="008750AD" w:rsidP="008750AD">
            <w:pPr>
              <w:jc w:val="center"/>
              <w:rPr>
                <w:b/>
                <w:bCs/>
                <w:sz w:val="20"/>
                <w:szCs w:val="20"/>
              </w:rPr>
            </w:pPr>
            <w:r w:rsidRPr="009F227C">
              <w:rPr>
                <w:b/>
                <w:bCs/>
                <w:sz w:val="20"/>
                <w:szCs w:val="20"/>
              </w:rPr>
              <w:t>Adjusted</w:t>
            </w:r>
          </w:p>
        </w:tc>
        <w:tc>
          <w:tcPr>
            <w:tcW w:w="1520" w:type="dxa"/>
            <w:tcBorders>
              <w:top w:val="nil"/>
              <w:left w:val="nil"/>
              <w:bottom w:val="nil"/>
              <w:right w:val="nil"/>
            </w:tcBorders>
            <w:shd w:val="clear" w:color="000000" w:fill="FFFFFF"/>
            <w:noWrap/>
            <w:vAlign w:val="bottom"/>
            <w:hideMark/>
          </w:tcPr>
          <w:p w14:paraId="7FF7B0F1" w14:textId="77777777" w:rsidR="008750AD" w:rsidRPr="009F227C" w:rsidRDefault="008750AD" w:rsidP="008750AD">
            <w:pPr>
              <w:jc w:val="center"/>
              <w:rPr>
                <w:b/>
                <w:bCs/>
                <w:sz w:val="20"/>
                <w:szCs w:val="20"/>
              </w:rPr>
            </w:pPr>
            <w:r w:rsidRPr="009F227C">
              <w:rPr>
                <w:b/>
                <w:bCs/>
                <w:sz w:val="20"/>
                <w:szCs w:val="20"/>
              </w:rPr>
              <w:t>Adjust-</w:t>
            </w:r>
          </w:p>
        </w:tc>
        <w:tc>
          <w:tcPr>
            <w:tcW w:w="1520" w:type="dxa"/>
            <w:tcBorders>
              <w:top w:val="nil"/>
              <w:left w:val="nil"/>
              <w:bottom w:val="nil"/>
              <w:right w:val="nil"/>
            </w:tcBorders>
            <w:shd w:val="clear" w:color="000000" w:fill="FFFFFF"/>
            <w:noWrap/>
            <w:vAlign w:val="bottom"/>
            <w:hideMark/>
          </w:tcPr>
          <w:p w14:paraId="5C4C0D3A" w14:textId="77777777" w:rsidR="008750AD" w:rsidRPr="009F227C" w:rsidRDefault="008750AD" w:rsidP="008750AD">
            <w:pPr>
              <w:jc w:val="center"/>
              <w:rPr>
                <w:b/>
                <w:bCs/>
                <w:sz w:val="20"/>
                <w:szCs w:val="20"/>
              </w:rPr>
            </w:pPr>
            <w:r w:rsidRPr="009F227C">
              <w:rPr>
                <w:b/>
                <w:bCs/>
                <w:sz w:val="20"/>
                <w:szCs w:val="20"/>
              </w:rPr>
              <w:t>Reconciled</w:t>
            </w:r>
          </w:p>
        </w:tc>
        <w:tc>
          <w:tcPr>
            <w:tcW w:w="933" w:type="dxa"/>
            <w:tcBorders>
              <w:top w:val="nil"/>
              <w:left w:val="nil"/>
              <w:bottom w:val="nil"/>
              <w:right w:val="nil"/>
            </w:tcBorders>
            <w:shd w:val="clear" w:color="000000" w:fill="FFFFFF"/>
            <w:noWrap/>
            <w:vAlign w:val="bottom"/>
            <w:hideMark/>
          </w:tcPr>
          <w:p w14:paraId="6CA457B0" w14:textId="77777777" w:rsidR="008750AD" w:rsidRPr="009F227C" w:rsidRDefault="008750AD" w:rsidP="008750AD">
            <w:pPr>
              <w:rPr>
                <w:b/>
                <w:bCs/>
                <w:sz w:val="20"/>
                <w:szCs w:val="20"/>
              </w:rPr>
            </w:pPr>
            <w:r w:rsidRPr="009F227C">
              <w:rPr>
                <w:b/>
                <w:bCs/>
                <w:sz w:val="20"/>
                <w:szCs w:val="20"/>
              </w:rPr>
              <w:t> </w:t>
            </w:r>
          </w:p>
        </w:tc>
        <w:tc>
          <w:tcPr>
            <w:tcW w:w="963" w:type="dxa"/>
            <w:tcBorders>
              <w:top w:val="nil"/>
              <w:left w:val="nil"/>
              <w:bottom w:val="nil"/>
              <w:right w:val="nil"/>
            </w:tcBorders>
            <w:shd w:val="clear" w:color="000000" w:fill="FFFFFF"/>
            <w:noWrap/>
            <w:vAlign w:val="bottom"/>
            <w:hideMark/>
          </w:tcPr>
          <w:p w14:paraId="77C4F12C" w14:textId="77777777" w:rsidR="008750AD" w:rsidRPr="009F227C" w:rsidRDefault="008750AD" w:rsidP="008750AD">
            <w:pPr>
              <w:jc w:val="center"/>
              <w:rPr>
                <w:b/>
                <w:bCs/>
                <w:sz w:val="20"/>
                <w:szCs w:val="20"/>
              </w:rPr>
            </w:pPr>
            <w:r w:rsidRPr="009F227C">
              <w:rPr>
                <w:b/>
                <w:bCs/>
                <w:sz w:val="20"/>
                <w:szCs w:val="20"/>
              </w:rPr>
              <w:t>Cost</w:t>
            </w:r>
          </w:p>
        </w:tc>
        <w:tc>
          <w:tcPr>
            <w:tcW w:w="1039" w:type="dxa"/>
            <w:tcBorders>
              <w:top w:val="nil"/>
              <w:left w:val="nil"/>
              <w:bottom w:val="nil"/>
              <w:right w:val="single" w:sz="4" w:space="0" w:color="auto"/>
            </w:tcBorders>
            <w:shd w:val="clear" w:color="000000" w:fill="FFFFFF"/>
            <w:noWrap/>
            <w:vAlign w:val="bottom"/>
            <w:hideMark/>
          </w:tcPr>
          <w:p w14:paraId="59651719" w14:textId="77777777" w:rsidR="008750AD" w:rsidRPr="009F227C" w:rsidRDefault="008750AD" w:rsidP="008750AD">
            <w:pPr>
              <w:jc w:val="center"/>
              <w:rPr>
                <w:b/>
                <w:bCs/>
                <w:sz w:val="20"/>
                <w:szCs w:val="20"/>
              </w:rPr>
            </w:pPr>
            <w:r w:rsidRPr="009F227C">
              <w:rPr>
                <w:b/>
                <w:bCs/>
                <w:sz w:val="20"/>
                <w:szCs w:val="20"/>
              </w:rPr>
              <w:t>Weighted</w:t>
            </w:r>
          </w:p>
        </w:tc>
      </w:tr>
      <w:tr w:rsidR="008750AD" w:rsidRPr="009F227C" w14:paraId="08B577F2" w14:textId="77777777" w:rsidTr="008750AD">
        <w:trPr>
          <w:trHeight w:val="7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65D04BFC" w14:textId="77777777" w:rsidR="008750AD" w:rsidRPr="009F227C" w:rsidRDefault="008750AD" w:rsidP="008750AD">
            <w:pPr>
              <w:rPr>
                <w:b/>
                <w:bCs/>
                <w:sz w:val="20"/>
                <w:szCs w:val="20"/>
              </w:rPr>
            </w:pPr>
            <w:r w:rsidRPr="009F227C">
              <w:rPr>
                <w:b/>
                <w:bCs/>
                <w:sz w:val="20"/>
                <w:szCs w:val="20"/>
              </w:rPr>
              <w:t> </w:t>
            </w:r>
          </w:p>
        </w:tc>
        <w:tc>
          <w:tcPr>
            <w:tcW w:w="3440" w:type="dxa"/>
            <w:tcBorders>
              <w:top w:val="nil"/>
              <w:left w:val="nil"/>
              <w:bottom w:val="single" w:sz="4" w:space="0" w:color="auto"/>
              <w:right w:val="nil"/>
            </w:tcBorders>
            <w:shd w:val="clear" w:color="000000" w:fill="FFFFFF"/>
            <w:noWrap/>
            <w:vAlign w:val="bottom"/>
            <w:hideMark/>
          </w:tcPr>
          <w:p w14:paraId="02FFF950" w14:textId="77777777" w:rsidR="008750AD" w:rsidRPr="009F227C" w:rsidRDefault="008750AD" w:rsidP="008750AD">
            <w:pPr>
              <w:jc w:val="center"/>
              <w:rPr>
                <w:b/>
                <w:bCs/>
                <w:sz w:val="20"/>
                <w:szCs w:val="20"/>
              </w:rPr>
            </w:pPr>
            <w:r w:rsidRPr="009F227C">
              <w:rPr>
                <w:b/>
                <w:bCs/>
                <w:sz w:val="20"/>
                <w:szCs w:val="20"/>
              </w:rPr>
              <w:t>Description</w:t>
            </w:r>
          </w:p>
        </w:tc>
        <w:tc>
          <w:tcPr>
            <w:tcW w:w="1316" w:type="dxa"/>
            <w:tcBorders>
              <w:top w:val="nil"/>
              <w:left w:val="nil"/>
              <w:bottom w:val="single" w:sz="4" w:space="0" w:color="auto"/>
              <w:right w:val="nil"/>
            </w:tcBorders>
            <w:shd w:val="clear" w:color="000000" w:fill="FFFFFF"/>
            <w:noWrap/>
            <w:vAlign w:val="bottom"/>
            <w:hideMark/>
          </w:tcPr>
          <w:p w14:paraId="310C21B8" w14:textId="77777777" w:rsidR="008750AD" w:rsidRPr="009F227C" w:rsidRDefault="008750AD" w:rsidP="008750AD">
            <w:pPr>
              <w:jc w:val="center"/>
              <w:rPr>
                <w:b/>
                <w:bCs/>
                <w:sz w:val="20"/>
                <w:szCs w:val="20"/>
              </w:rPr>
            </w:pPr>
            <w:r w:rsidRPr="009F227C">
              <w:rPr>
                <w:b/>
                <w:bCs/>
                <w:sz w:val="20"/>
                <w:szCs w:val="20"/>
              </w:rPr>
              <w:t>Capital</w:t>
            </w:r>
          </w:p>
        </w:tc>
        <w:tc>
          <w:tcPr>
            <w:tcW w:w="1000" w:type="dxa"/>
            <w:tcBorders>
              <w:top w:val="nil"/>
              <w:left w:val="nil"/>
              <w:bottom w:val="single" w:sz="4" w:space="0" w:color="auto"/>
              <w:right w:val="nil"/>
            </w:tcBorders>
            <w:shd w:val="clear" w:color="000000" w:fill="FFFFFF"/>
            <w:noWrap/>
            <w:vAlign w:val="bottom"/>
            <w:hideMark/>
          </w:tcPr>
          <w:p w14:paraId="39765767" w14:textId="77777777" w:rsidR="008750AD" w:rsidRPr="009F227C" w:rsidRDefault="008750AD" w:rsidP="008750AD">
            <w:pPr>
              <w:jc w:val="center"/>
              <w:rPr>
                <w:b/>
                <w:bCs/>
                <w:sz w:val="20"/>
                <w:szCs w:val="20"/>
              </w:rPr>
            </w:pPr>
            <w:r w:rsidRPr="009F227C">
              <w:rPr>
                <w:b/>
                <w:bCs/>
                <w:sz w:val="20"/>
                <w:szCs w:val="20"/>
              </w:rPr>
              <w:t>ments</w:t>
            </w:r>
          </w:p>
        </w:tc>
        <w:tc>
          <w:tcPr>
            <w:tcW w:w="1520" w:type="dxa"/>
            <w:tcBorders>
              <w:top w:val="nil"/>
              <w:left w:val="nil"/>
              <w:bottom w:val="single" w:sz="4" w:space="0" w:color="auto"/>
              <w:right w:val="nil"/>
            </w:tcBorders>
            <w:shd w:val="clear" w:color="000000" w:fill="FFFFFF"/>
            <w:noWrap/>
            <w:vAlign w:val="bottom"/>
            <w:hideMark/>
          </w:tcPr>
          <w:p w14:paraId="0C03E6CF" w14:textId="77777777" w:rsidR="008750AD" w:rsidRPr="009F227C" w:rsidRDefault="008750AD" w:rsidP="008750AD">
            <w:pPr>
              <w:jc w:val="center"/>
              <w:rPr>
                <w:b/>
                <w:bCs/>
                <w:sz w:val="20"/>
                <w:szCs w:val="20"/>
              </w:rPr>
            </w:pPr>
            <w:r w:rsidRPr="009F227C">
              <w:rPr>
                <w:b/>
                <w:bCs/>
                <w:sz w:val="20"/>
                <w:szCs w:val="20"/>
              </w:rPr>
              <w:t>Capital</w:t>
            </w:r>
          </w:p>
        </w:tc>
        <w:tc>
          <w:tcPr>
            <w:tcW w:w="1520" w:type="dxa"/>
            <w:tcBorders>
              <w:top w:val="nil"/>
              <w:left w:val="nil"/>
              <w:bottom w:val="single" w:sz="4" w:space="0" w:color="auto"/>
              <w:right w:val="nil"/>
            </w:tcBorders>
            <w:shd w:val="clear" w:color="000000" w:fill="FFFFFF"/>
            <w:noWrap/>
            <w:vAlign w:val="bottom"/>
            <w:hideMark/>
          </w:tcPr>
          <w:p w14:paraId="0CBA4541" w14:textId="77777777" w:rsidR="008750AD" w:rsidRPr="009F227C" w:rsidRDefault="008750AD" w:rsidP="008750AD">
            <w:pPr>
              <w:jc w:val="center"/>
              <w:rPr>
                <w:b/>
                <w:bCs/>
                <w:sz w:val="20"/>
                <w:szCs w:val="20"/>
              </w:rPr>
            </w:pPr>
            <w:r w:rsidRPr="009F227C">
              <w:rPr>
                <w:b/>
                <w:bCs/>
                <w:sz w:val="20"/>
                <w:szCs w:val="20"/>
              </w:rPr>
              <w:t>ments</w:t>
            </w:r>
          </w:p>
        </w:tc>
        <w:tc>
          <w:tcPr>
            <w:tcW w:w="1520" w:type="dxa"/>
            <w:tcBorders>
              <w:top w:val="nil"/>
              <w:left w:val="nil"/>
              <w:bottom w:val="single" w:sz="4" w:space="0" w:color="auto"/>
              <w:right w:val="nil"/>
            </w:tcBorders>
            <w:shd w:val="clear" w:color="000000" w:fill="FFFFFF"/>
            <w:noWrap/>
            <w:vAlign w:val="bottom"/>
            <w:hideMark/>
          </w:tcPr>
          <w:p w14:paraId="60FF8EFA" w14:textId="77777777" w:rsidR="008750AD" w:rsidRPr="009F227C" w:rsidRDefault="008750AD" w:rsidP="008750AD">
            <w:pPr>
              <w:jc w:val="center"/>
              <w:rPr>
                <w:b/>
                <w:bCs/>
                <w:sz w:val="20"/>
                <w:szCs w:val="20"/>
              </w:rPr>
            </w:pPr>
            <w:r w:rsidRPr="009F227C">
              <w:rPr>
                <w:b/>
                <w:bCs/>
                <w:sz w:val="20"/>
                <w:szCs w:val="20"/>
              </w:rPr>
              <w:t>to Rate Base</w:t>
            </w:r>
          </w:p>
        </w:tc>
        <w:tc>
          <w:tcPr>
            <w:tcW w:w="933" w:type="dxa"/>
            <w:tcBorders>
              <w:top w:val="nil"/>
              <w:left w:val="nil"/>
              <w:bottom w:val="single" w:sz="4" w:space="0" w:color="auto"/>
              <w:right w:val="nil"/>
            </w:tcBorders>
            <w:shd w:val="clear" w:color="000000" w:fill="FFFFFF"/>
            <w:noWrap/>
            <w:vAlign w:val="bottom"/>
            <w:hideMark/>
          </w:tcPr>
          <w:p w14:paraId="471CE7C8" w14:textId="77777777" w:rsidR="008750AD" w:rsidRPr="009F227C" w:rsidRDefault="008750AD" w:rsidP="008750AD">
            <w:pPr>
              <w:jc w:val="center"/>
              <w:rPr>
                <w:b/>
                <w:bCs/>
                <w:sz w:val="20"/>
                <w:szCs w:val="20"/>
              </w:rPr>
            </w:pPr>
            <w:r w:rsidRPr="009F227C">
              <w:rPr>
                <w:b/>
                <w:bCs/>
                <w:sz w:val="20"/>
                <w:szCs w:val="20"/>
              </w:rPr>
              <w:t>Ratio</w:t>
            </w:r>
          </w:p>
        </w:tc>
        <w:tc>
          <w:tcPr>
            <w:tcW w:w="963" w:type="dxa"/>
            <w:tcBorders>
              <w:top w:val="nil"/>
              <w:left w:val="nil"/>
              <w:bottom w:val="single" w:sz="4" w:space="0" w:color="auto"/>
              <w:right w:val="nil"/>
            </w:tcBorders>
            <w:shd w:val="clear" w:color="000000" w:fill="FFFFFF"/>
            <w:noWrap/>
            <w:vAlign w:val="bottom"/>
            <w:hideMark/>
          </w:tcPr>
          <w:p w14:paraId="3AF4D121" w14:textId="77777777" w:rsidR="008750AD" w:rsidRPr="009F227C" w:rsidRDefault="008750AD" w:rsidP="008750AD">
            <w:pPr>
              <w:jc w:val="center"/>
              <w:rPr>
                <w:b/>
                <w:bCs/>
                <w:sz w:val="20"/>
                <w:szCs w:val="20"/>
              </w:rPr>
            </w:pPr>
            <w:r w:rsidRPr="009F227C">
              <w:rPr>
                <w:b/>
                <w:bCs/>
                <w:sz w:val="20"/>
                <w:szCs w:val="20"/>
              </w:rPr>
              <w:t>Rate</w:t>
            </w:r>
          </w:p>
        </w:tc>
        <w:tc>
          <w:tcPr>
            <w:tcW w:w="1039" w:type="dxa"/>
            <w:tcBorders>
              <w:top w:val="nil"/>
              <w:left w:val="nil"/>
              <w:bottom w:val="single" w:sz="4" w:space="0" w:color="auto"/>
              <w:right w:val="single" w:sz="4" w:space="0" w:color="auto"/>
            </w:tcBorders>
            <w:shd w:val="clear" w:color="000000" w:fill="FFFFFF"/>
            <w:noWrap/>
            <w:vAlign w:val="bottom"/>
            <w:hideMark/>
          </w:tcPr>
          <w:p w14:paraId="5D07A0EC" w14:textId="77777777" w:rsidR="008750AD" w:rsidRPr="009F227C" w:rsidRDefault="008750AD" w:rsidP="008750AD">
            <w:pPr>
              <w:jc w:val="center"/>
              <w:rPr>
                <w:b/>
                <w:bCs/>
                <w:sz w:val="20"/>
                <w:szCs w:val="20"/>
              </w:rPr>
            </w:pPr>
            <w:r w:rsidRPr="009F227C">
              <w:rPr>
                <w:b/>
                <w:bCs/>
                <w:sz w:val="20"/>
                <w:szCs w:val="20"/>
              </w:rPr>
              <w:t>Cost</w:t>
            </w:r>
          </w:p>
        </w:tc>
      </w:tr>
      <w:tr w:rsidR="008750AD" w:rsidRPr="009F227C" w14:paraId="4C12F1C8" w14:textId="77777777" w:rsidTr="008750AD">
        <w:trPr>
          <w:trHeight w:val="179"/>
          <w:jc w:val="center"/>
        </w:trPr>
        <w:tc>
          <w:tcPr>
            <w:tcW w:w="3920" w:type="dxa"/>
            <w:gridSpan w:val="2"/>
            <w:tcBorders>
              <w:top w:val="nil"/>
              <w:left w:val="single" w:sz="4" w:space="0" w:color="auto"/>
              <w:bottom w:val="nil"/>
              <w:right w:val="nil"/>
            </w:tcBorders>
            <w:shd w:val="clear" w:color="000000" w:fill="FFFFFF"/>
            <w:noWrap/>
            <w:vAlign w:val="bottom"/>
            <w:hideMark/>
          </w:tcPr>
          <w:p w14:paraId="34C73C35" w14:textId="77777777" w:rsidR="008750AD" w:rsidRPr="009F227C" w:rsidRDefault="008750AD" w:rsidP="008750AD">
            <w:pPr>
              <w:rPr>
                <w:b/>
                <w:bCs/>
                <w:sz w:val="20"/>
                <w:szCs w:val="20"/>
              </w:rPr>
            </w:pPr>
            <w:r w:rsidRPr="009F227C">
              <w:rPr>
                <w:b/>
                <w:bCs/>
                <w:sz w:val="20"/>
                <w:szCs w:val="20"/>
              </w:rPr>
              <w:t>Per Utility</w:t>
            </w:r>
          </w:p>
        </w:tc>
        <w:tc>
          <w:tcPr>
            <w:tcW w:w="1316" w:type="dxa"/>
            <w:tcBorders>
              <w:top w:val="nil"/>
              <w:left w:val="nil"/>
              <w:bottom w:val="nil"/>
              <w:right w:val="nil"/>
            </w:tcBorders>
            <w:shd w:val="clear" w:color="000000" w:fill="FFFFFF"/>
            <w:noWrap/>
            <w:vAlign w:val="bottom"/>
            <w:hideMark/>
          </w:tcPr>
          <w:p w14:paraId="5A5D870F" w14:textId="77777777" w:rsidR="008750AD" w:rsidRPr="009F227C" w:rsidRDefault="008750AD" w:rsidP="008750AD">
            <w:pPr>
              <w:rPr>
                <w:color w:val="000000"/>
                <w:sz w:val="20"/>
                <w:szCs w:val="20"/>
              </w:rPr>
            </w:pPr>
            <w:r w:rsidRPr="009F227C">
              <w:rPr>
                <w:color w:val="000000"/>
                <w:sz w:val="20"/>
                <w:szCs w:val="20"/>
              </w:rPr>
              <w:t> </w:t>
            </w:r>
          </w:p>
        </w:tc>
        <w:tc>
          <w:tcPr>
            <w:tcW w:w="1000" w:type="dxa"/>
            <w:tcBorders>
              <w:top w:val="nil"/>
              <w:left w:val="nil"/>
              <w:bottom w:val="nil"/>
              <w:right w:val="nil"/>
            </w:tcBorders>
            <w:shd w:val="clear" w:color="000000" w:fill="FFFFFF"/>
            <w:noWrap/>
            <w:vAlign w:val="bottom"/>
            <w:hideMark/>
          </w:tcPr>
          <w:p w14:paraId="51132111"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65E8621D"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1F08E3AE"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33134854" w14:textId="77777777" w:rsidR="008750AD" w:rsidRPr="009F227C" w:rsidRDefault="008750AD" w:rsidP="008750AD">
            <w:pPr>
              <w:rPr>
                <w:color w:val="000000"/>
                <w:sz w:val="20"/>
                <w:szCs w:val="20"/>
              </w:rPr>
            </w:pPr>
            <w:r w:rsidRPr="009F227C">
              <w:rPr>
                <w:color w:val="000000"/>
                <w:sz w:val="20"/>
                <w:szCs w:val="20"/>
              </w:rPr>
              <w:t> </w:t>
            </w:r>
          </w:p>
        </w:tc>
        <w:tc>
          <w:tcPr>
            <w:tcW w:w="933" w:type="dxa"/>
            <w:tcBorders>
              <w:top w:val="nil"/>
              <w:left w:val="nil"/>
              <w:bottom w:val="nil"/>
              <w:right w:val="nil"/>
            </w:tcBorders>
            <w:shd w:val="clear" w:color="000000" w:fill="FFFFFF"/>
            <w:noWrap/>
            <w:vAlign w:val="bottom"/>
            <w:hideMark/>
          </w:tcPr>
          <w:p w14:paraId="05CA8840" w14:textId="77777777" w:rsidR="008750AD" w:rsidRPr="009F227C" w:rsidRDefault="008750AD" w:rsidP="008750AD">
            <w:pPr>
              <w:rPr>
                <w:color w:val="000000"/>
                <w:sz w:val="20"/>
                <w:szCs w:val="20"/>
              </w:rPr>
            </w:pPr>
            <w:r w:rsidRPr="009F227C">
              <w:rPr>
                <w:color w:val="000000"/>
                <w:sz w:val="20"/>
                <w:szCs w:val="20"/>
              </w:rPr>
              <w:t> </w:t>
            </w:r>
          </w:p>
        </w:tc>
        <w:tc>
          <w:tcPr>
            <w:tcW w:w="963" w:type="dxa"/>
            <w:tcBorders>
              <w:top w:val="nil"/>
              <w:left w:val="nil"/>
              <w:bottom w:val="nil"/>
              <w:right w:val="nil"/>
            </w:tcBorders>
            <w:shd w:val="clear" w:color="000000" w:fill="FFFFFF"/>
            <w:noWrap/>
            <w:vAlign w:val="bottom"/>
            <w:hideMark/>
          </w:tcPr>
          <w:p w14:paraId="45D9A889" w14:textId="77777777" w:rsidR="008750AD" w:rsidRPr="009F227C" w:rsidRDefault="008750AD" w:rsidP="008750AD">
            <w:pPr>
              <w:rPr>
                <w:color w:val="000000"/>
                <w:sz w:val="20"/>
                <w:szCs w:val="20"/>
              </w:rPr>
            </w:pPr>
            <w:r w:rsidRPr="009F227C">
              <w:rPr>
                <w:color w:val="000000"/>
                <w:sz w:val="20"/>
                <w:szCs w:val="20"/>
              </w:rPr>
              <w:t> </w:t>
            </w:r>
          </w:p>
        </w:tc>
        <w:tc>
          <w:tcPr>
            <w:tcW w:w="1039" w:type="dxa"/>
            <w:tcBorders>
              <w:top w:val="nil"/>
              <w:left w:val="nil"/>
              <w:bottom w:val="nil"/>
              <w:right w:val="single" w:sz="4" w:space="0" w:color="auto"/>
            </w:tcBorders>
            <w:shd w:val="clear" w:color="000000" w:fill="FFFFFF"/>
            <w:noWrap/>
            <w:vAlign w:val="bottom"/>
            <w:hideMark/>
          </w:tcPr>
          <w:p w14:paraId="4A236CD5" w14:textId="77777777" w:rsidR="008750AD" w:rsidRPr="009F227C" w:rsidRDefault="008750AD" w:rsidP="008750AD">
            <w:pPr>
              <w:rPr>
                <w:sz w:val="20"/>
                <w:szCs w:val="20"/>
              </w:rPr>
            </w:pPr>
            <w:r w:rsidRPr="009F227C">
              <w:rPr>
                <w:sz w:val="20"/>
                <w:szCs w:val="20"/>
              </w:rPr>
              <w:t> </w:t>
            </w:r>
          </w:p>
        </w:tc>
      </w:tr>
      <w:tr w:rsidR="008750AD" w:rsidRPr="009F227C" w14:paraId="25E2B917"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0DD26DA9" w14:textId="77777777" w:rsidR="008750AD" w:rsidRPr="009F227C" w:rsidRDefault="008750AD" w:rsidP="008750AD">
            <w:pPr>
              <w:jc w:val="center"/>
              <w:rPr>
                <w:sz w:val="20"/>
                <w:szCs w:val="20"/>
              </w:rPr>
            </w:pPr>
            <w:r w:rsidRPr="009F227C">
              <w:rPr>
                <w:sz w:val="20"/>
                <w:szCs w:val="20"/>
              </w:rPr>
              <w:t>1</w:t>
            </w:r>
          </w:p>
        </w:tc>
        <w:tc>
          <w:tcPr>
            <w:tcW w:w="3440" w:type="dxa"/>
            <w:tcBorders>
              <w:top w:val="nil"/>
              <w:left w:val="nil"/>
              <w:bottom w:val="nil"/>
              <w:right w:val="nil"/>
            </w:tcBorders>
            <w:shd w:val="clear" w:color="000000" w:fill="FFFFFF"/>
            <w:noWrap/>
            <w:vAlign w:val="bottom"/>
            <w:hideMark/>
          </w:tcPr>
          <w:p w14:paraId="5CC5A45D" w14:textId="77777777" w:rsidR="008750AD" w:rsidRPr="009F227C" w:rsidRDefault="008750AD" w:rsidP="008750AD">
            <w:pPr>
              <w:rPr>
                <w:sz w:val="20"/>
                <w:szCs w:val="20"/>
              </w:rPr>
            </w:pPr>
            <w:r w:rsidRPr="009F227C">
              <w:rPr>
                <w:sz w:val="20"/>
                <w:szCs w:val="20"/>
              </w:rPr>
              <w:t>Long-term Debt</w:t>
            </w:r>
          </w:p>
        </w:tc>
        <w:tc>
          <w:tcPr>
            <w:tcW w:w="1316" w:type="dxa"/>
            <w:tcBorders>
              <w:top w:val="nil"/>
              <w:left w:val="nil"/>
              <w:bottom w:val="nil"/>
              <w:right w:val="nil"/>
            </w:tcBorders>
            <w:shd w:val="clear" w:color="000000" w:fill="FFFFFF"/>
            <w:noWrap/>
            <w:vAlign w:val="bottom"/>
            <w:hideMark/>
          </w:tcPr>
          <w:p w14:paraId="253F77ED" w14:textId="77777777" w:rsidR="008750AD" w:rsidRPr="009F227C" w:rsidRDefault="008750AD" w:rsidP="008750AD">
            <w:pPr>
              <w:jc w:val="right"/>
              <w:rPr>
                <w:sz w:val="20"/>
                <w:szCs w:val="20"/>
              </w:rPr>
            </w:pPr>
            <w:r w:rsidRPr="009F227C">
              <w:rPr>
                <w:sz w:val="20"/>
                <w:szCs w:val="20"/>
              </w:rPr>
              <w:t>$321,846,154</w:t>
            </w:r>
          </w:p>
        </w:tc>
        <w:tc>
          <w:tcPr>
            <w:tcW w:w="1000" w:type="dxa"/>
            <w:tcBorders>
              <w:top w:val="nil"/>
              <w:left w:val="nil"/>
              <w:bottom w:val="nil"/>
              <w:right w:val="nil"/>
            </w:tcBorders>
            <w:shd w:val="clear" w:color="000000" w:fill="FFFFFF"/>
            <w:noWrap/>
            <w:vAlign w:val="bottom"/>
            <w:hideMark/>
          </w:tcPr>
          <w:p w14:paraId="0EE88768" w14:textId="77777777" w:rsidR="008750AD" w:rsidRPr="009F227C" w:rsidRDefault="008750AD" w:rsidP="008750AD">
            <w:pPr>
              <w:jc w:val="right"/>
              <w:rPr>
                <w:sz w:val="20"/>
                <w:szCs w:val="20"/>
              </w:rPr>
            </w:pPr>
            <w:r w:rsidRPr="009F227C">
              <w:rPr>
                <w:sz w:val="20"/>
                <w:szCs w:val="20"/>
              </w:rPr>
              <w:t>$0</w:t>
            </w:r>
          </w:p>
        </w:tc>
        <w:tc>
          <w:tcPr>
            <w:tcW w:w="1520" w:type="dxa"/>
            <w:tcBorders>
              <w:top w:val="nil"/>
              <w:left w:val="nil"/>
              <w:bottom w:val="nil"/>
              <w:right w:val="nil"/>
            </w:tcBorders>
            <w:shd w:val="clear" w:color="000000" w:fill="FFFFFF"/>
            <w:noWrap/>
            <w:vAlign w:val="bottom"/>
            <w:hideMark/>
          </w:tcPr>
          <w:p w14:paraId="099F5F20" w14:textId="77777777" w:rsidR="008750AD" w:rsidRPr="009F227C" w:rsidRDefault="008750AD" w:rsidP="008750AD">
            <w:pPr>
              <w:jc w:val="right"/>
              <w:rPr>
                <w:sz w:val="20"/>
                <w:szCs w:val="20"/>
              </w:rPr>
            </w:pPr>
            <w:r w:rsidRPr="009F227C">
              <w:rPr>
                <w:sz w:val="20"/>
                <w:szCs w:val="20"/>
              </w:rPr>
              <w:t>$321,846,154</w:t>
            </w:r>
          </w:p>
        </w:tc>
        <w:tc>
          <w:tcPr>
            <w:tcW w:w="1520" w:type="dxa"/>
            <w:tcBorders>
              <w:top w:val="nil"/>
              <w:left w:val="nil"/>
              <w:bottom w:val="nil"/>
              <w:right w:val="nil"/>
            </w:tcBorders>
            <w:shd w:val="clear" w:color="000000" w:fill="FFFFFF"/>
            <w:noWrap/>
            <w:vAlign w:val="bottom"/>
            <w:hideMark/>
          </w:tcPr>
          <w:p w14:paraId="421106E5" w14:textId="77777777" w:rsidR="008750AD" w:rsidRPr="009F227C" w:rsidRDefault="008750AD" w:rsidP="008750AD">
            <w:pPr>
              <w:jc w:val="right"/>
              <w:rPr>
                <w:sz w:val="20"/>
                <w:szCs w:val="20"/>
              </w:rPr>
            </w:pPr>
            <w:r w:rsidRPr="009F227C">
              <w:rPr>
                <w:sz w:val="20"/>
                <w:szCs w:val="20"/>
              </w:rPr>
              <w:t>($254,367,902)</w:t>
            </w:r>
          </w:p>
        </w:tc>
        <w:tc>
          <w:tcPr>
            <w:tcW w:w="1520" w:type="dxa"/>
            <w:tcBorders>
              <w:top w:val="nil"/>
              <w:left w:val="nil"/>
              <w:bottom w:val="nil"/>
              <w:right w:val="nil"/>
            </w:tcBorders>
            <w:shd w:val="clear" w:color="000000" w:fill="FFFFFF"/>
            <w:noWrap/>
            <w:vAlign w:val="bottom"/>
            <w:hideMark/>
          </w:tcPr>
          <w:p w14:paraId="224268D8" w14:textId="77777777" w:rsidR="008750AD" w:rsidRPr="009F227C" w:rsidRDefault="008750AD" w:rsidP="008750AD">
            <w:pPr>
              <w:jc w:val="right"/>
              <w:rPr>
                <w:sz w:val="20"/>
                <w:szCs w:val="20"/>
              </w:rPr>
            </w:pPr>
            <w:r w:rsidRPr="009F227C">
              <w:rPr>
                <w:sz w:val="20"/>
                <w:szCs w:val="20"/>
              </w:rPr>
              <w:t>$67,478,252</w:t>
            </w:r>
          </w:p>
        </w:tc>
        <w:tc>
          <w:tcPr>
            <w:tcW w:w="933" w:type="dxa"/>
            <w:tcBorders>
              <w:top w:val="nil"/>
              <w:left w:val="nil"/>
              <w:bottom w:val="nil"/>
              <w:right w:val="nil"/>
            </w:tcBorders>
            <w:shd w:val="clear" w:color="000000" w:fill="FFFFFF"/>
            <w:noWrap/>
            <w:vAlign w:val="bottom"/>
            <w:hideMark/>
          </w:tcPr>
          <w:p w14:paraId="68BCDE4A" w14:textId="77777777" w:rsidR="008750AD" w:rsidRPr="009F227C" w:rsidRDefault="008750AD" w:rsidP="008750AD">
            <w:pPr>
              <w:jc w:val="right"/>
              <w:rPr>
                <w:sz w:val="20"/>
                <w:szCs w:val="20"/>
              </w:rPr>
            </w:pPr>
            <w:r w:rsidRPr="009F227C">
              <w:rPr>
                <w:sz w:val="20"/>
                <w:szCs w:val="20"/>
              </w:rPr>
              <w:t>36.51%</w:t>
            </w:r>
          </w:p>
        </w:tc>
        <w:tc>
          <w:tcPr>
            <w:tcW w:w="963" w:type="dxa"/>
            <w:tcBorders>
              <w:top w:val="nil"/>
              <w:left w:val="nil"/>
              <w:bottom w:val="nil"/>
              <w:right w:val="nil"/>
            </w:tcBorders>
            <w:shd w:val="clear" w:color="000000" w:fill="FFFFFF"/>
            <w:noWrap/>
            <w:vAlign w:val="bottom"/>
            <w:hideMark/>
          </w:tcPr>
          <w:p w14:paraId="30A8A316" w14:textId="77777777" w:rsidR="008750AD" w:rsidRPr="009F227C" w:rsidRDefault="008750AD" w:rsidP="008750AD">
            <w:pPr>
              <w:jc w:val="right"/>
              <w:rPr>
                <w:sz w:val="20"/>
                <w:szCs w:val="20"/>
              </w:rPr>
            </w:pPr>
            <w:r w:rsidRPr="009F227C">
              <w:rPr>
                <w:sz w:val="20"/>
                <w:szCs w:val="20"/>
              </w:rPr>
              <w:t>4.92%</w:t>
            </w:r>
          </w:p>
        </w:tc>
        <w:tc>
          <w:tcPr>
            <w:tcW w:w="1039" w:type="dxa"/>
            <w:tcBorders>
              <w:top w:val="nil"/>
              <w:left w:val="nil"/>
              <w:bottom w:val="nil"/>
              <w:right w:val="single" w:sz="4" w:space="0" w:color="auto"/>
            </w:tcBorders>
            <w:shd w:val="clear" w:color="000000" w:fill="FFFFFF"/>
            <w:noWrap/>
            <w:vAlign w:val="bottom"/>
            <w:hideMark/>
          </w:tcPr>
          <w:p w14:paraId="5085538A" w14:textId="77777777" w:rsidR="008750AD" w:rsidRPr="009F227C" w:rsidRDefault="008750AD" w:rsidP="008750AD">
            <w:pPr>
              <w:jc w:val="right"/>
              <w:rPr>
                <w:sz w:val="20"/>
                <w:szCs w:val="20"/>
              </w:rPr>
            </w:pPr>
            <w:r w:rsidRPr="009F227C">
              <w:rPr>
                <w:sz w:val="20"/>
                <w:szCs w:val="20"/>
              </w:rPr>
              <w:t>1.80%</w:t>
            </w:r>
          </w:p>
        </w:tc>
      </w:tr>
      <w:tr w:rsidR="008750AD" w:rsidRPr="009F227C" w14:paraId="5520DCE8"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05E366AC" w14:textId="77777777" w:rsidR="008750AD" w:rsidRPr="009F227C" w:rsidRDefault="008750AD" w:rsidP="008750AD">
            <w:pPr>
              <w:jc w:val="center"/>
              <w:rPr>
                <w:sz w:val="20"/>
                <w:szCs w:val="20"/>
              </w:rPr>
            </w:pPr>
            <w:r w:rsidRPr="009F227C">
              <w:rPr>
                <w:sz w:val="20"/>
                <w:szCs w:val="20"/>
              </w:rPr>
              <w:t>2</w:t>
            </w:r>
          </w:p>
        </w:tc>
        <w:tc>
          <w:tcPr>
            <w:tcW w:w="3440" w:type="dxa"/>
            <w:tcBorders>
              <w:top w:val="nil"/>
              <w:left w:val="nil"/>
              <w:bottom w:val="nil"/>
              <w:right w:val="nil"/>
            </w:tcBorders>
            <w:shd w:val="clear" w:color="000000" w:fill="FFFFFF"/>
            <w:noWrap/>
            <w:vAlign w:val="bottom"/>
            <w:hideMark/>
          </w:tcPr>
          <w:p w14:paraId="7FE69A9D" w14:textId="31E67EC5" w:rsidR="008750AD" w:rsidRPr="009F227C" w:rsidRDefault="008750AD" w:rsidP="008750AD">
            <w:pPr>
              <w:rPr>
                <w:sz w:val="20"/>
                <w:szCs w:val="20"/>
              </w:rPr>
            </w:pPr>
            <w:r w:rsidRPr="009F227C">
              <w:rPr>
                <w:sz w:val="20"/>
                <w:szCs w:val="20"/>
              </w:rPr>
              <w:t xml:space="preserve">Long-Term Debt </w:t>
            </w:r>
            <w:r>
              <w:rPr>
                <w:sz w:val="20"/>
                <w:szCs w:val="20"/>
              </w:rPr>
              <w:t>–</w:t>
            </w:r>
            <w:r w:rsidRPr="009F227C">
              <w:rPr>
                <w:sz w:val="20"/>
                <w:szCs w:val="20"/>
              </w:rPr>
              <w:t xml:space="preserve"> Variable</w:t>
            </w:r>
          </w:p>
        </w:tc>
        <w:tc>
          <w:tcPr>
            <w:tcW w:w="1316" w:type="dxa"/>
            <w:tcBorders>
              <w:top w:val="nil"/>
              <w:left w:val="nil"/>
              <w:bottom w:val="nil"/>
              <w:right w:val="nil"/>
            </w:tcBorders>
            <w:shd w:val="clear" w:color="000000" w:fill="FFFFFF"/>
            <w:noWrap/>
            <w:vAlign w:val="bottom"/>
            <w:hideMark/>
          </w:tcPr>
          <w:p w14:paraId="4CC679D6" w14:textId="77777777" w:rsidR="008750AD" w:rsidRPr="009F227C" w:rsidRDefault="008750AD" w:rsidP="008750AD">
            <w:pPr>
              <w:jc w:val="right"/>
              <w:rPr>
                <w:sz w:val="20"/>
                <w:szCs w:val="20"/>
              </w:rPr>
            </w:pPr>
            <w:r w:rsidRPr="009F227C">
              <w:rPr>
                <w:sz w:val="20"/>
                <w:szCs w:val="20"/>
              </w:rPr>
              <w:t xml:space="preserve">70,192,308 </w:t>
            </w:r>
          </w:p>
        </w:tc>
        <w:tc>
          <w:tcPr>
            <w:tcW w:w="1000" w:type="dxa"/>
            <w:tcBorders>
              <w:top w:val="nil"/>
              <w:left w:val="nil"/>
              <w:bottom w:val="nil"/>
              <w:right w:val="nil"/>
            </w:tcBorders>
            <w:shd w:val="clear" w:color="000000" w:fill="FFFFFF"/>
            <w:noWrap/>
            <w:vAlign w:val="bottom"/>
            <w:hideMark/>
          </w:tcPr>
          <w:p w14:paraId="753CE9DF"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CE4F5C4" w14:textId="77777777" w:rsidR="008750AD" w:rsidRPr="009F227C" w:rsidRDefault="008750AD" w:rsidP="008750AD">
            <w:pPr>
              <w:jc w:val="right"/>
              <w:rPr>
                <w:sz w:val="20"/>
                <w:szCs w:val="20"/>
              </w:rPr>
            </w:pPr>
            <w:r w:rsidRPr="009F227C">
              <w:rPr>
                <w:sz w:val="20"/>
                <w:szCs w:val="20"/>
              </w:rPr>
              <w:t xml:space="preserve">70,192,308 </w:t>
            </w:r>
          </w:p>
        </w:tc>
        <w:tc>
          <w:tcPr>
            <w:tcW w:w="1520" w:type="dxa"/>
            <w:tcBorders>
              <w:top w:val="nil"/>
              <w:left w:val="nil"/>
              <w:bottom w:val="nil"/>
              <w:right w:val="nil"/>
            </w:tcBorders>
            <w:shd w:val="clear" w:color="000000" w:fill="FFFFFF"/>
            <w:noWrap/>
            <w:vAlign w:val="bottom"/>
            <w:hideMark/>
          </w:tcPr>
          <w:p w14:paraId="36B52D75" w14:textId="77777777" w:rsidR="008750AD" w:rsidRPr="009F227C" w:rsidRDefault="008750AD" w:rsidP="008750AD">
            <w:pPr>
              <w:jc w:val="right"/>
              <w:rPr>
                <w:sz w:val="20"/>
                <w:szCs w:val="20"/>
              </w:rPr>
            </w:pPr>
            <w:r w:rsidRPr="009F227C">
              <w:rPr>
                <w:sz w:val="20"/>
                <w:szCs w:val="20"/>
              </w:rPr>
              <w:t>(55,467,254)</w:t>
            </w:r>
          </w:p>
        </w:tc>
        <w:tc>
          <w:tcPr>
            <w:tcW w:w="1520" w:type="dxa"/>
            <w:tcBorders>
              <w:top w:val="nil"/>
              <w:left w:val="nil"/>
              <w:bottom w:val="nil"/>
              <w:right w:val="nil"/>
            </w:tcBorders>
            <w:shd w:val="clear" w:color="000000" w:fill="FFFFFF"/>
            <w:noWrap/>
            <w:vAlign w:val="bottom"/>
            <w:hideMark/>
          </w:tcPr>
          <w:p w14:paraId="5F9D9F65" w14:textId="77777777" w:rsidR="008750AD" w:rsidRPr="009F227C" w:rsidRDefault="008750AD" w:rsidP="008750AD">
            <w:pPr>
              <w:jc w:val="right"/>
              <w:rPr>
                <w:sz w:val="20"/>
                <w:szCs w:val="20"/>
              </w:rPr>
            </w:pPr>
            <w:r w:rsidRPr="009F227C">
              <w:rPr>
                <w:sz w:val="20"/>
                <w:szCs w:val="20"/>
              </w:rPr>
              <w:t xml:space="preserve">14,725,054 </w:t>
            </w:r>
          </w:p>
        </w:tc>
        <w:tc>
          <w:tcPr>
            <w:tcW w:w="933" w:type="dxa"/>
            <w:tcBorders>
              <w:top w:val="nil"/>
              <w:left w:val="nil"/>
              <w:bottom w:val="nil"/>
              <w:right w:val="nil"/>
            </w:tcBorders>
            <w:shd w:val="clear" w:color="000000" w:fill="FFFFFF"/>
            <w:noWrap/>
            <w:vAlign w:val="bottom"/>
            <w:hideMark/>
          </w:tcPr>
          <w:p w14:paraId="3CF8C0E1" w14:textId="77777777" w:rsidR="008750AD" w:rsidRPr="009F227C" w:rsidRDefault="008750AD" w:rsidP="008750AD">
            <w:pPr>
              <w:jc w:val="right"/>
              <w:rPr>
                <w:sz w:val="20"/>
                <w:szCs w:val="20"/>
              </w:rPr>
            </w:pPr>
            <w:r w:rsidRPr="009F227C">
              <w:rPr>
                <w:sz w:val="20"/>
                <w:szCs w:val="20"/>
              </w:rPr>
              <w:t>7.97%</w:t>
            </w:r>
          </w:p>
        </w:tc>
        <w:tc>
          <w:tcPr>
            <w:tcW w:w="963" w:type="dxa"/>
            <w:tcBorders>
              <w:top w:val="nil"/>
              <w:left w:val="nil"/>
              <w:bottom w:val="nil"/>
              <w:right w:val="nil"/>
            </w:tcBorders>
            <w:shd w:val="clear" w:color="000000" w:fill="FFFFFF"/>
            <w:noWrap/>
            <w:vAlign w:val="bottom"/>
            <w:hideMark/>
          </w:tcPr>
          <w:p w14:paraId="2E0C53C0" w14:textId="77777777" w:rsidR="008750AD" w:rsidRPr="009F227C" w:rsidRDefault="008750AD" w:rsidP="008750AD">
            <w:pPr>
              <w:jc w:val="right"/>
              <w:rPr>
                <w:sz w:val="20"/>
                <w:szCs w:val="20"/>
              </w:rPr>
            </w:pPr>
            <w:r w:rsidRPr="009F227C">
              <w:rPr>
                <w:sz w:val="20"/>
                <w:szCs w:val="20"/>
              </w:rPr>
              <w:t>7.51%</w:t>
            </w:r>
          </w:p>
        </w:tc>
        <w:tc>
          <w:tcPr>
            <w:tcW w:w="1039" w:type="dxa"/>
            <w:tcBorders>
              <w:top w:val="nil"/>
              <w:left w:val="nil"/>
              <w:bottom w:val="nil"/>
              <w:right w:val="single" w:sz="4" w:space="0" w:color="auto"/>
            </w:tcBorders>
            <w:shd w:val="clear" w:color="000000" w:fill="FFFFFF"/>
            <w:noWrap/>
            <w:vAlign w:val="bottom"/>
            <w:hideMark/>
          </w:tcPr>
          <w:p w14:paraId="29F5C8B0" w14:textId="77777777" w:rsidR="008750AD" w:rsidRPr="009F227C" w:rsidRDefault="008750AD" w:rsidP="008750AD">
            <w:pPr>
              <w:jc w:val="right"/>
              <w:rPr>
                <w:sz w:val="20"/>
                <w:szCs w:val="20"/>
              </w:rPr>
            </w:pPr>
            <w:r w:rsidRPr="009F227C">
              <w:rPr>
                <w:sz w:val="20"/>
                <w:szCs w:val="20"/>
              </w:rPr>
              <w:t>0.60%</w:t>
            </w:r>
          </w:p>
        </w:tc>
      </w:tr>
      <w:tr w:rsidR="008750AD" w:rsidRPr="009F227C" w14:paraId="3103FEEB"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68C7895E" w14:textId="77777777" w:rsidR="008750AD" w:rsidRPr="009F227C" w:rsidRDefault="008750AD" w:rsidP="008750AD">
            <w:pPr>
              <w:jc w:val="center"/>
              <w:rPr>
                <w:sz w:val="20"/>
                <w:szCs w:val="20"/>
              </w:rPr>
            </w:pPr>
            <w:r w:rsidRPr="009F227C">
              <w:rPr>
                <w:sz w:val="20"/>
                <w:szCs w:val="20"/>
              </w:rPr>
              <w:t>3</w:t>
            </w:r>
          </w:p>
        </w:tc>
        <w:tc>
          <w:tcPr>
            <w:tcW w:w="3440" w:type="dxa"/>
            <w:tcBorders>
              <w:top w:val="nil"/>
              <w:left w:val="nil"/>
              <w:bottom w:val="nil"/>
              <w:right w:val="nil"/>
            </w:tcBorders>
            <w:shd w:val="clear" w:color="000000" w:fill="FFFFFF"/>
            <w:noWrap/>
            <w:vAlign w:val="bottom"/>
            <w:hideMark/>
          </w:tcPr>
          <w:p w14:paraId="49EDDA3A" w14:textId="77777777" w:rsidR="008750AD" w:rsidRPr="009F227C" w:rsidRDefault="008750AD" w:rsidP="008750AD">
            <w:pPr>
              <w:rPr>
                <w:sz w:val="20"/>
                <w:szCs w:val="20"/>
              </w:rPr>
            </w:pPr>
            <w:r w:rsidRPr="009F227C">
              <w:rPr>
                <w:sz w:val="20"/>
                <w:szCs w:val="20"/>
              </w:rPr>
              <w:t>Short-term Debt</w:t>
            </w:r>
          </w:p>
        </w:tc>
        <w:tc>
          <w:tcPr>
            <w:tcW w:w="1316" w:type="dxa"/>
            <w:tcBorders>
              <w:top w:val="nil"/>
              <w:left w:val="nil"/>
              <w:bottom w:val="nil"/>
              <w:right w:val="nil"/>
            </w:tcBorders>
            <w:shd w:val="clear" w:color="000000" w:fill="FFFFFF"/>
            <w:noWrap/>
            <w:vAlign w:val="bottom"/>
            <w:hideMark/>
          </w:tcPr>
          <w:p w14:paraId="44D9BF4F" w14:textId="77777777" w:rsidR="008750AD" w:rsidRPr="009F227C" w:rsidRDefault="008750AD" w:rsidP="008750AD">
            <w:pPr>
              <w:jc w:val="right"/>
              <w:rPr>
                <w:sz w:val="20"/>
                <w:szCs w:val="20"/>
              </w:rPr>
            </w:pPr>
            <w:r w:rsidRPr="009F227C">
              <w:rPr>
                <w:sz w:val="20"/>
                <w:szCs w:val="20"/>
              </w:rPr>
              <w:t xml:space="preserve">19,076,923 </w:t>
            </w:r>
          </w:p>
        </w:tc>
        <w:tc>
          <w:tcPr>
            <w:tcW w:w="1000" w:type="dxa"/>
            <w:tcBorders>
              <w:top w:val="nil"/>
              <w:left w:val="nil"/>
              <w:bottom w:val="nil"/>
              <w:right w:val="nil"/>
            </w:tcBorders>
            <w:shd w:val="clear" w:color="000000" w:fill="FFFFFF"/>
            <w:noWrap/>
            <w:vAlign w:val="bottom"/>
            <w:hideMark/>
          </w:tcPr>
          <w:p w14:paraId="708D042D"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6CE62150" w14:textId="77777777" w:rsidR="008750AD" w:rsidRPr="009F227C" w:rsidRDefault="008750AD" w:rsidP="008750AD">
            <w:pPr>
              <w:jc w:val="right"/>
              <w:rPr>
                <w:sz w:val="20"/>
                <w:szCs w:val="20"/>
              </w:rPr>
            </w:pPr>
            <w:r w:rsidRPr="009F227C">
              <w:rPr>
                <w:sz w:val="20"/>
                <w:szCs w:val="20"/>
              </w:rPr>
              <w:t xml:space="preserve">19,076,923 </w:t>
            </w:r>
          </w:p>
        </w:tc>
        <w:tc>
          <w:tcPr>
            <w:tcW w:w="1520" w:type="dxa"/>
            <w:tcBorders>
              <w:top w:val="nil"/>
              <w:left w:val="nil"/>
              <w:bottom w:val="nil"/>
              <w:right w:val="nil"/>
            </w:tcBorders>
            <w:shd w:val="clear" w:color="000000" w:fill="FFFFFF"/>
            <w:noWrap/>
            <w:vAlign w:val="bottom"/>
            <w:hideMark/>
          </w:tcPr>
          <w:p w14:paraId="5398FAB7" w14:textId="77777777" w:rsidR="008750AD" w:rsidRPr="009F227C" w:rsidRDefault="008750AD" w:rsidP="008750AD">
            <w:pPr>
              <w:jc w:val="right"/>
              <w:rPr>
                <w:sz w:val="20"/>
                <w:szCs w:val="20"/>
              </w:rPr>
            </w:pPr>
            <w:r w:rsidRPr="009F227C">
              <w:rPr>
                <w:sz w:val="20"/>
                <w:szCs w:val="20"/>
              </w:rPr>
              <w:t>(15,083,100)</w:t>
            </w:r>
          </w:p>
        </w:tc>
        <w:tc>
          <w:tcPr>
            <w:tcW w:w="1520" w:type="dxa"/>
            <w:tcBorders>
              <w:top w:val="nil"/>
              <w:left w:val="nil"/>
              <w:bottom w:val="nil"/>
              <w:right w:val="nil"/>
            </w:tcBorders>
            <w:shd w:val="clear" w:color="000000" w:fill="FFFFFF"/>
            <w:noWrap/>
            <w:vAlign w:val="bottom"/>
            <w:hideMark/>
          </w:tcPr>
          <w:p w14:paraId="2ED713AD" w14:textId="77777777" w:rsidR="008750AD" w:rsidRPr="009F227C" w:rsidRDefault="008750AD" w:rsidP="008750AD">
            <w:pPr>
              <w:jc w:val="right"/>
              <w:rPr>
                <w:sz w:val="20"/>
                <w:szCs w:val="20"/>
              </w:rPr>
            </w:pPr>
            <w:r w:rsidRPr="009F227C">
              <w:rPr>
                <w:sz w:val="20"/>
                <w:szCs w:val="20"/>
              </w:rPr>
              <w:t xml:space="preserve">3,993,823 </w:t>
            </w:r>
          </w:p>
        </w:tc>
        <w:tc>
          <w:tcPr>
            <w:tcW w:w="933" w:type="dxa"/>
            <w:tcBorders>
              <w:top w:val="nil"/>
              <w:left w:val="nil"/>
              <w:bottom w:val="nil"/>
              <w:right w:val="nil"/>
            </w:tcBorders>
            <w:shd w:val="clear" w:color="000000" w:fill="FFFFFF"/>
            <w:noWrap/>
            <w:vAlign w:val="bottom"/>
            <w:hideMark/>
          </w:tcPr>
          <w:p w14:paraId="0C1A9B7C" w14:textId="77777777" w:rsidR="008750AD" w:rsidRPr="009F227C" w:rsidRDefault="008750AD" w:rsidP="008750AD">
            <w:pPr>
              <w:jc w:val="right"/>
              <w:rPr>
                <w:sz w:val="20"/>
                <w:szCs w:val="20"/>
              </w:rPr>
            </w:pPr>
            <w:r w:rsidRPr="009F227C">
              <w:rPr>
                <w:sz w:val="20"/>
                <w:szCs w:val="20"/>
              </w:rPr>
              <w:t>2.16%</w:t>
            </w:r>
          </w:p>
        </w:tc>
        <w:tc>
          <w:tcPr>
            <w:tcW w:w="963" w:type="dxa"/>
            <w:tcBorders>
              <w:top w:val="nil"/>
              <w:left w:val="nil"/>
              <w:bottom w:val="nil"/>
              <w:right w:val="nil"/>
            </w:tcBorders>
            <w:shd w:val="clear" w:color="000000" w:fill="FFFFFF"/>
            <w:noWrap/>
            <w:vAlign w:val="bottom"/>
            <w:hideMark/>
          </w:tcPr>
          <w:p w14:paraId="73CB8A08" w14:textId="77777777" w:rsidR="008750AD" w:rsidRPr="009F227C" w:rsidRDefault="008750AD" w:rsidP="008750AD">
            <w:pPr>
              <w:jc w:val="right"/>
              <w:rPr>
                <w:sz w:val="20"/>
                <w:szCs w:val="20"/>
              </w:rPr>
            </w:pPr>
            <w:r w:rsidRPr="009F227C">
              <w:rPr>
                <w:sz w:val="20"/>
                <w:szCs w:val="20"/>
              </w:rPr>
              <w:t>8.25%</w:t>
            </w:r>
          </w:p>
        </w:tc>
        <w:tc>
          <w:tcPr>
            <w:tcW w:w="1039" w:type="dxa"/>
            <w:tcBorders>
              <w:top w:val="nil"/>
              <w:left w:val="nil"/>
              <w:bottom w:val="nil"/>
              <w:right w:val="single" w:sz="4" w:space="0" w:color="auto"/>
            </w:tcBorders>
            <w:shd w:val="clear" w:color="000000" w:fill="FFFFFF"/>
            <w:noWrap/>
            <w:vAlign w:val="bottom"/>
            <w:hideMark/>
          </w:tcPr>
          <w:p w14:paraId="627B58A1" w14:textId="77777777" w:rsidR="008750AD" w:rsidRPr="009F227C" w:rsidRDefault="008750AD" w:rsidP="008750AD">
            <w:pPr>
              <w:jc w:val="right"/>
              <w:rPr>
                <w:sz w:val="20"/>
                <w:szCs w:val="20"/>
              </w:rPr>
            </w:pPr>
            <w:r w:rsidRPr="009F227C">
              <w:rPr>
                <w:sz w:val="20"/>
                <w:szCs w:val="20"/>
              </w:rPr>
              <w:t>0.18%</w:t>
            </w:r>
          </w:p>
        </w:tc>
      </w:tr>
      <w:tr w:rsidR="008750AD" w:rsidRPr="009F227C" w14:paraId="0823C292"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01573C77" w14:textId="77777777" w:rsidR="008750AD" w:rsidRPr="009F227C" w:rsidRDefault="008750AD" w:rsidP="008750AD">
            <w:pPr>
              <w:jc w:val="center"/>
              <w:rPr>
                <w:sz w:val="20"/>
                <w:szCs w:val="20"/>
              </w:rPr>
            </w:pPr>
            <w:r w:rsidRPr="009F227C">
              <w:rPr>
                <w:sz w:val="20"/>
                <w:szCs w:val="20"/>
              </w:rPr>
              <w:t>4</w:t>
            </w:r>
          </w:p>
        </w:tc>
        <w:tc>
          <w:tcPr>
            <w:tcW w:w="3440" w:type="dxa"/>
            <w:tcBorders>
              <w:top w:val="nil"/>
              <w:left w:val="nil"/>
              <w:bottom w:val="nil"/>
              <w:right w:val="nil"/>
            </w:tcBorders>
            <w:shd w:val="clear" w:color="000000" w:fill="FFFFFF"/>
            <w:noWrap/>
            <w:vAlign w:val="bottom"/>
            <w:hideMark/>
          </w:tcPr>
          <w:p w14:paraId="0AB75276" w14:textId="77777777" w:rsidR="008750AD" w:rsidRPr="009F227C" w:rsidRDefault="008750AD" w:rsidP="008750AD">
            <w:pPr>
              <w:rPr>
                <w:sz w:val="20"/>
                <w:szCs w:val="20"/>
              </w:rPr>
            </w:pPr>
            <w:r w:rsidRPr="009F227C">
              <w:rPr>
                <w:sz w:val="20"/>
                <w:szCs w:val="20"/>
              </w:rPr>
              <w:t>Preferred Stock</w:t>
            </w:r>
          </w:p>
        </w:tc>
        <w:tc>
          <w:tcPr>
            <w:tcW w:w="1316" w:type="dxa"/>
            <w:tcBorders>
              <w:top w:val="nil"/>
              <w:left w:val="nil"/>
              <w:bottom w:val="nil"/>
              <w:right w:val="nil"/>
            </w:tcBorders>
            <w:shd w:val="clear" w:color="000000" w:fill="FFFFFF"/>
            <w:noWrap/>
            <w:vAlign w:val="bottom"/>
            <w:hideMark/>
          </w:tcPr>
          <w:p w14:paraId="35E3394F" w14:textId="77777777" w:rsidR="008750AD" w:rsidRPr="009F227C" w:rsidRDefault="008750AD" w:rsidP="008750AD">
            <w:pPr>
              <w:jc w:val="right"/>
              <w:rPr>
                <w:sz w:val="20"/>
                <w:szCs w:val="20"/>
              </w:rPr>
            </w:pPr>
            <w:r w:rsidRPr="009F227C">
              <w:rPr>
                <w:sz w:val="20"/>
                <w:szCs w:val="20"/>
              </w:rPr>
              <w:t xml:space="preserve">0 </w:t>
            </w:r>
          </w:p>
        </w:tc>
        <w:tc>
          <w:tcPr>
            <w:tcW w:w="1000" w:type="dxa"/>
            <w:tcBorders>
              <w:top w:val="nil"/>
              <w:left w:val="nil"/>
              <w:bottom w:val="nil"/>
              <w:right w:val="nil"/>
            </w:tcBorders>
            <w:shd w:val="clear" w:color="000000" w:fill="FFFFFF"/>
            <w:noWrap/>
            <w:vAlign w:val="bottom"/>
            <w:hideMark/>
          </w:tcPr>
          <w:p w14:paraId="691A52C4"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1E6213D"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6495FA8C"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68B9C172" w14:textId="77777777" w:rsidR="008750AD" w:rsidRPr="009F227C" w:rsidRDefault="008750AD" w:rsidP="008750AD">
            <w:pPr>
              <w:jc w:val="right"/>
              <w:rPr>
                <w:sz w:val="20"/>
                <w:szCs w:val="20"/>
              </w:rPr>
            </w:pPr>
            <w:r w:rsidRPr="009F227C">
              <w:rPr>
                <w:sz w:val="20"/>
                <w:szCs w:val="20"/>
              </w:rPr>
              <w:t xml:space="preserve">0 </w:t>
            </w:r>
          </w:p>
        </w:tc>
        <w:tc>
          <w:tcPr>
            <w:tcW w:w="933" w:type="dxa"/>
            <w:tcBorders>
              <w:top w:val="nil"/>
              <w:left w:val="nil"/>
              <w:bottom w:val="nil"/>
              <w:right w:val="nil"/>
            </w:tcBorders>
            <w:shd w:val="clear" w:color="000000" w:fill="FFFFFF"/>
            <w:noWrap/>
            <w:vAlign w:val="bottom"/>
            <w:hideMark/>
          </w:tcPr>
          <w:p w14:paraId="393F2488" w14:textId="77777777" w:rsidR="008750AD" w:rsidRPr="009F227C" w:rsidRDefault="008750AD" w:rsidP="008750AD">
            <w:pPr>
              <w:jc w:val="right"/>
              <w:rPr>
                <w:sz w:val="20"/>
                <w:szCs w:val="20"/>
              </w:rPr>
            </w:pPr>
            <w:r w:rsidRPr="009F227C">
              <w:rPr>
                <w:sz w:val="20"/>
                <w:szCs w:val="20"/>
              </w:rPr>
              <w:t>0.00%</w:t>
            </w:r>
          </w:p>
        </w:tc>
        <w:tc>
          <w:tcPr>
            <w:tcW w:w="963" w:type="dxa"/>
            <w:tcBorders>
              <w:top w:val="nil"/>
              <w:left w:val="nil"/>
              <w:bottom w:val="nil"/>
              <w:right w:val="nil"/>
            </w:tcBorders>
            <w:shd w:val="clear" w:color="000000" w:fill="FFFFFF"/>
            <w:noWrap/>
            <w:vAlign w:val="bottom"/>
            <w:hideMark/>
          </w:tcPr>
          <w:p w14:paraId="46694162"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4EFE2D7C" w14:textId="77777777" w:rsidR="008750AD" w:rsidRPr="009F227C" w:rsidRDefault="008750AD" w:rsidP="008750AD">
            <w:pPr>
              <w:jc w:val="right"/>
              <w:rPr>
                <w:sz w:val="20"/>
                <w:szCs w:val="20"/>
              </w:rPr>
            </w:pPr>
            <w:r w:rsidRPr="009F227C">
              <w:rPr>
                <w:sz w:val="20"/>
                <w:szCs w:val="20"/>
              </w:rPr>
              <w:t>0.00%</w:t>
            </w:r>
          </w:p>
        </w:tc>
      </w:tr>
      <w:tr w:rsidR="008750AD" w:rsidRPr="009F227C" w14:paraId="4463F281"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5EEC0A51" w14:textId="77777777" w:rsidR="008750AD" w:rsidRPr="009F227C" w:rsidRDefault="008750AD" w:rsidP="008750AD">
            <w:pPr>
              <w:jc w:val="center"/>
              <w:rPr>
                <w:sz w:val="20"/>
                <w:szCs w:val="20"/>
              </w:rPr>
            </w:pPr>
            <w:r w:rsidRPr="009F227C">
              <w:rPr>
                <w:sz w:val="20"/>
                <w:szCs w:val="20"/>
              </w:rPr>
              <w:t>5</w:t>
            </w:r>
          </w:p>
        </w:tc>
        <w:tc>
          <w:tcPr>
            <w:tcW w:w="3440" w:type="dxa"/>
            <w:tcBorders>
              <w:top w:val="nil"/>
              <w:left w:val="nil"/>
              <w:bottom w:val="nil"/>
              <w:right w:val="nil"/>
            </w:tcBorders>
            <w:shd w:val="clear" w:color="000000" w:fill="FFFFFF"/>
            <w:noWrap/>
            <w:vAlign w:val="bottom"/>
            <w:hideMark/>
          </w:tcPr>
          <w:p w14:paraId="2054B6DF" w14:textId="77777777" w:rsidR="008750AD" w:rsidRPr="009F227C" w:rsidRDefault="008750AD" w:rsidP="008750AD">
            <w:pPr>
              <w:rPr>
                <w:sz w:val="20"/>
                <w:szCs w:val="20"/>
              </w:rPr>
            </w:pPr>
            <w:r w:rsidRPr="009F227C">
              <w:rPr>
                <w:sz w:val="20"/>
                <w:szCs w:val="20"/>
              </w:rPr>
              <w:t>Common Equity</w:t>
            </w:r>
          </w:p>
        </w:tc>
        <w:tc>
          <w:tcPr>
            <w:tcW w:w="1316" w:type="dxa"/>
            <w:tcBorders>
              <w:top w:val="nil"/>
              <w:left w:val="nil"/>
              <w:bottom w:val="nil"/>
              <w:right w:val="nil"/>
            </w:tcBorders>
            <w:shd w:val="clear" w:color="000000" w:fill="FFFFFF"/>
            <w:noWrap/>
            <w:vAlign w:val="bottom"/>
            <w:hideMark/>
          </w:tcPr>
          <w:p w14:paraId="6CF83CA3" w14:textId="77777777" w:rsidR="008750AD" w:rsidRPr="009F227C" w:rsidRDefault="008750AD" w:rsidP="008750AD">
            <w:pPr>
              <w:jc w:val="right"/>
              <w:rPr>
                <w:sz w:val="20"/>
                <w:szCs w:val="20"/>
              </w:rPr>
            </w:pPr>
            <w:r w:rsidRPr="009F227C">
              <w:rPr>
                <w:sz w:val="20"/>
                <w:szCs w:val="20"/>
              </w:rPr>
              <w:t xml:space="preserve">417,085,969 </w:t>
            </w:r>
          </w:p>
        </w:tc>
        <w:tc>
          <w:tcPr>
            <w:tcW w:w="1000" w:type="dxa"/>
            <w:tcBorders>
              <w:top w:val="nil"/>
              <w:left w:val="nil"/>
              <w:bottom w:val="nil"/>
              <w:right w:val="nil"/>
            </w:tcBorders>
            <w:shd w:val="clear" w:color="000000" w:fill="FFFFFF"/>
            <w:noWrap/>
            <w:vAlign w:val="bottom"/>
            <w:hideMark/>
          </w:tcPr>
          <w:p w14:paraId="0A3B18D4"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183427CD" w14:textId="77777777" w:rsidR="008750AD" w:rsidRPr="009F227C" w:rsidRDefault="008750AD" w:rsidP="008750AD">
            <w:pPr>
              <w:jc w:val="right"/>
              <w:rPr>
                <w:sz w:val="20"/>
                <w:szCs w:val="20"/>
              </w:rPr>
            </w:pPr>
            <w:r w:rsidRPr="009F227C">
              <w:rPr>
                <w:sz w:val="20"/>
                <w:szCs w:val="20"/>
              </w:rPr>
              <w:t xml:space="preserve">417,085,969 </w:t>
            </w:r>
          </w:p>
        </w:tc>
        <w:tc>
          <w:tcPr>
            <w:tcW w:w="1520" w:type="dxa"/>
            <w:tcBorders>
              <w:top w:val="nil"/>
              <w:left w:val="nil"/>
              <w:bottom w:val="nil"/>
              <w:right w:val="nil"/>
            </w:tcBorders>
            <w:shd w:val="clear" w:color="000000" w:fill="FFFFFF"/>
            <w:noWrap/>
            <w:vAlign w:val="bottom"/>
            <w:hideMark/>
          </w:tcPr>
          <w:p w14:paraId="23E7B273" w14:textId="77777777" w:rsidR="008750AD" w:rsidRPr="009F227C" w:rsidRDefault="008750AD" w:rsidP="008750AD">
            <w:pPr>
              <w:jc w:val="right"/>
              <w:rPr>
                <w:sz w:val="20"/>
                <w:szCs w:val="20"/>
              </w:rPr>
            </w:pPr>
            <w:r w:rsidRPr="009F227C">
              <w:rPr>
                <w:sz w:val="20"/>
                <w:szCs w:val="20"/>
              </w:rPr>
              <w:t>(329,638,600)</w:t>
            </w:r>
          </w:p>
        </w:tc>
        <w:tc>
          <w:tcPr>
            <w:tcW w:w="1520" w:type="dxa"/>
            <w:tcBorders>
              <w:top w:val="nil"/>
              <w:left w:val="nil"/>
              <w:bottom w:val="nil"/>
              <w:right w:val="nil"/>
            </w:tcBorders>
            <w:shd w:val="clear" w:color="000000" w:fill="FFFFFF"/>
            <w:noWrap/>
            <w:vAlign w:val="bottom"/>
            <w:hideMark/>
          </w:tcPr>
          <w:p w14:paraId="0AB5AA7D" w14:textId="77777777" w:rsidR="008750AD" w:rsidRPr="009F227C" w:rsidRDefault="008750AD" w:rsidP="008750AD">
            <w:pPr>
              <w:jc w:val="right"/>
              <w:rPr>
                <w:sz w:val="20"/>
                <w:szCs w:val="20"/>
              </w:rPr>
            </w:pPr>
            <w:r w:rsidRPr="009F227C">
              <w:rPr>
                <w:sz w:val="20"/>
                <w:szCs w:val="20"/>
              </w:rPr>
              <w:t xml:space="preserve">87,447,369 </w:t>
            </w:r>
          </w:p>
        </w:tc>
        <w:tc>
          <w:tcPr>
            <w:tcW w:w="933" w:type="dxa"/>
            <w:tcBorders>
              <w:top w:val="nil"/>
              <w:left w:val="nil"/>
              <w:bottom w:val="nil"/>
              <w:right w:val="nil"/>
            </w:tcBorders>
            <w:shd w:val="clear" w:color="000000" w:fill="FFFFFF"/>
            <w:noWrap/>
            <w:vAlign w:val="bottom"/>
            <w:hideMark/>
          </w:tcPr>
          <w:p w14:paraId="765A468A" w14:textId="77777777" w:rsidR="008750AD" w:rsidRPr="009F227C" w:rsidRDefault="008750AD" w:rsidP="008750AD">
            <w:pPr>
              <w:jc w:val="right"/>
              <w:rPr>
                <w:sz w:val="20"/>
                <w:szCs w:val="20"/>
              </w:rPr>
            </w:pPr>
            <w:r w:rsidRPr="009F227C">
              <w:rPr>
                <w:sz w:val="20"/>
                <w:szCs w:val="20"/>
              </w:rPr>
              <w:t>47.32%</w:t>
            </w:r>
          </w:p>
        </w:tc>
        <w:tc>
          <w:tcPr>
            <w:tcW w:w="963" w:type="dxa"/>
            <w:tcBorders>
              <w:top w:val="nil"/>
              <w:left w:val="nil"/>
              <w:bottom w:val="nil"/>
              <w:right w:val="nil"/>
            </w:tcBorders>
            <w:shd w:val="clear" w:color="000000" w:fill="FFFFFF"/>
            <w:noWrap/>
            <w:vAlign w:val="bottom"/>
            <w:hideMark/>
          </w:tcPr>
          <w:p w14:paraId="005100C4" w14:textId="77777777" w:rsidR="008750AD" w:rsidRPr="009F227C" w:rsidRDefault="008750AD" w:rsidP="008750AD">
            <w:pPr>
              <w:jc w:val="right"/>
              <w:rPr>
                <w:sz w:val="20"/>
                <w:szCs w:val="20"/>
              </w:rPr>
            </w:pPr>
            <w:r w:rsidRPr="009F227C">
              <w:rPr>
                <w:sz w:val="20"/>
                <w:szCs w:val="20"/>
              </w:rPr>
              <w:t>10.36%</w:t>
            </w:r>
            <w:r w:rsidRPr="009F227C">
              <w:rPr>
                <w:rStyle w:val="FootnoteReference"/>
                <w:sz w:val="20"/>
                <w:szCs w:val="20"/>
              </w:rPr>
              <w:footnoteReference w:id="45"/>
            </w:r>
          </w:p>
        </w:tc>
        <w:tc>
          <w:tcPr>
            <w:tcW w:w="1039" w:type="dxa"/>
            <w:tcBorders>
              <w:top w:val="nil"/>
              <w:left w:val="nil"/>
              <w:bottom w:val="nil"/>
              <w:right w:val="single" w:sz="4" w:space="0" w:color="auto"/>
            </w:tcBorders>
            <w:shd w:val="clear" w:color="000000" w:fill="FFFFFF"/>
            <w:noWrap/>
            <w:vAlign w:val="bottom"/>
            <w:hideMark/>
          </w:tcPr>
          <w:p w14:paraId="3E971095" w14:textId="77777777" w:rsidR="008750AD" w:rsidRPr="009F227C" w:rsidRDefault="008750AD" w:rsidP="008750AD">
            <w:pPr>
              <w:jc w:val="right"/>
              <w:rPr>
                <w:sz w:val="20"/>
                <w:szCs w:val="20"/>
              </w:rPr>
            </w:pPr>
            <w:r w:rsidRPr="009F227C">
              <w:rPr>
                <w:sz w:val="20"/>
                <w:szCs w:val="20"/>
              </w:rPr>
              <w:t>4.90%</w:t>
            </w:r>
          </w:p>
        </w:tc>
      </w:tr>
      <w:tr w:rsidR="008750AD" w:rsidRPr="009F227C" w14:paraId="5098D84A"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495B26F0" w14:textId="77777777" w:rsidR="008750AD" w:rsidRPr="009F227C" w:rsidRDefault="008750AD" w:rsidP="008750AD">
            <w:pPr>
              <w:jc w:val="center"/>
              <w:rPr>
                <w:sz w:val="20"/>
                <w:szCs w:val="20"/>
              </w:rPr>
            </w:pPr>
            <w:r w:rsidRPr="009F227C">
              <w:rPr>
                <w:sz w:val="20"/>
                <w:szCs w:val="20"/>
              </w:rPr>
              <w:t>6</w:t>
            </w:r>
          </w:p>
        </w:tc>
        <w:tc>
          <w:tcPr>
            <w:tcW w:w="3440" w:type="dxa"/>
            <w:tcBorders>
              <w:top w:val="nil"/>
              <w:left w:val="nil"/>
              <w:bottom w:val="nil"/>
              <w:right w:val="nil"/>
            </w:tcBorders>
            <w:shd w:val="clear" w:color="000000" w:fill="FFFFFF"/>
            <w:noWrap/>
            <w:vAlign w:val="bottom"/>
            <w:hideMark/>
          </w:tcPr>
          <w:p w14:paraId="48F1AA7E" w14:textId="77777777" w:rsidR="008750AD" w:rsidRPr="009F227C" w:rsidRDefault="008750AD" w:rsidP="008750AD">
            <w:pPr>
              <w:rPr>
                <w:sz w:val="20"/>
                <w:szCs w:val="20"/>
              </w:rPr>
            </w:pPr>
            <w:r w:rsidRPr="009F227C">
              <w:rPr>
                <w:sz w:val="20"/>
                <w:szCs w:val="20"/>
              </w:rPr>
              <w:t>Customer Deposits</w:t>
            </w:r>
          </w:p>
        </w:tc>
        <w:tc>
          <w:tcPr>
            <w:tcW w:w="1316" w:type="dxa"/>
            <w:tcBorders>
              <w:top w:val="nil"/>
              <w:left w:val="nil"/>
              <w:bottom w:val="nil"/>
              <w:right w:val="nil"/>
            </w:tcBorders>
            <w:shd w:val="clear" w:color="000000" w:fill="FFFFFF"/>
            <w:noWrap/>
            <w:vAlign w:val="bottom"/>
            <w:hideMark/>
          </w:tcPr>
          <w:p w14:paraId="7A266D6D" w14:textId="77777777" w:rsidR="008750AD" w:rsidRPr="009F227C" w:rsidRDefault="008750AD" w:rsidP="008750AD">
            <w:pPr>
              <w:jc w:val="right"/>
              <w:rPr>
                <w:sz w:val="20"/>
                <w:szCs w:val="20"/>
              </w:rPr>
            </w:pPr>
            <w:r w:rsidRPr="009F227C">
              <w:rPr>
                <w:sz w:val="20"/>
                <w:szCs w:val="20"/>
              </w:rPr>
              <w:t xml:space="preserve">319,453 </w:t>
            </w:r>
          </w:p>
        </w:tc>
        <w:tc>
          <w:tcPr>
            <w:tcW w:w="1000" w:type="dxa"/>
            <w:tcBorders>
              <w:top w:val="nil"/>
              <w:left w:val="nil"/>
              <w:bottom w:val="nil"/>
              <w:right w:val="nil"/>
            </w:tcBorders>
            <w:shd w:val="clear" w:color="000000" w:fill="FFFFFF"/>
            <w:noWrap/>
            <w:vAlign w:val="bottom"/>
            <w:hideMark/>
          </w:tcPr>
          <w:p w14:paraId="2F40DDA5"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6683BDE8" w14:textId="77777777" w:rsidR="008750AD" w:rsidRPr="009F227C" w:rsidRDefault="008750AD" w:rsidP="008750AD">
            <w:pPr>
              <w:jc w:val="right"/>
              <w:rPr>
                <w:sz w:val="20"/>
                <w:szCs w:val="20"/>
              </w:rPr>
            </w:pPr>
            <w:r w:rsidRPr="009F227C">
              <w:rPr>
                <w:sz w:val="20"/>
                <w:szCs w:val="20"/>
              </w:rPr>
              <w:t xml:space="preserve">319,453 </w:t>
            </w:r>
          </w:p>
        </w:tc>
        <w:tc>
          <w:tcPr>
            <w:tcW w:w="1520" w:type="dxa"/>
            <w:tcBorders>
              <w:top w:val="nil"/>
              <w:left w:val="nil"/>
              <w:bottom w:val="nil"/>
              <w:right w:val="nil"/>
            </w:tcBorders>
            <w:shd w:val="clear" w:color="000000" w:fill="FFFFFF"/>
            <w:noWrap/>
            <w:vAlign w:val="bottom"/>
            <w:hideMark/>
          </w:tcPr>
          <w:p w14:paraId="67196B9C"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554222F3" w14:textId="77777777" w:rsidR="008750AD" w:rsidRPr="009F227C" w:rsidRDefault="008750AD" w:rsidP="008750AD">
            <w:pPr>
              <w:jc w:val="right"/>
              <w:rPr>
                <w:sz w:val="20"/>
                <w:szCs w:val="20"/>
              </w:rPr>
            </w:pPr>
            <w:r w:rsidRPr="009F227C">
              <w:rPr>
                <w:sz w:val="20"/>
                <w:szCs w:val="20"/>
              </w:rPr>
              <w:t xml:space="preserve">319,453 </w:t>
            </w:r>
          </w:p>
        </w:tc>
        <w:tc>
          <w:tcPr>
            <w:tcW w:w="933" w:type="dxa"/>
            <w:tcBorders>
              <w:top w:val="nil"/>
              <w:left w:val="nil"/>
              <w:bottom w:val="nil"/>
              <w:right w:val="nil"/>
            </w:tcBorders>
            <w:shd w:val="clear" w:color="000000" w:fill="FFFFFF"/>
            <w:noWrap/>
            <w:vAlign w:val="bottom"/>
            <w:hideMark/>
          </w:tcPr>
          <w:p w14:paraId="6543B7F7" w14:textId="77777777" w:rsidR="008750AD" w:rsidRPr="009F227C" w:rsidRDefault="008750AD" w:rsidP="008750AD">
            <w:pPr>
              <w:jc w:val="right"/>
              <w:rPr>
                <w:sz w:val="20"/>
                <w:szCs w:val="20"/>
              </w:rPr>
            </w:pPr>
            <w:r w:rsidRPr="009F227C">
              <w:rPr>
                <w:sz w:val="20"/>
                <w:szCs w:val="20"/>
              </w:rPr>
              <w:t>0.17%</w:t>
            </w:r>
          </w:p>
        </w:tc>
        <w:tc>
          <w:tcPr>
            <w:tcW w:w="963" w:type="dxa"/>
            <w:tcBorders>
              <w:top w:val="nil"/>
              <w:left w:val="nil"/>
              <w:bottom w:val="nil"/>
              <w:right w:val="nil"/>
            </w:tcBorders>
            <w:shd w:val="clear" w:color="000000" w:fill="FFFFFF"/>
            <w:noWrap/>
            <w:vAlign w:val="bottom"/>
            <w:hideMark/>
          </w:tcPr>
          <w:p w14:paraId="71F569F3" w14:textId="77777777" w:rsidR="008750AD" w:rsidRPr="009F227C" w:rsidRDefault="008750AD" w:rsidP="008750AD">
            <w:pPr>
              <w:jc w:val="right"/>
              <w:rPr>
                <w:sz w:val="20"/>
                <w:szCs w:val="20"/>
              </w:rPr>
            </w:pPr>
            <w:r w:rsidRPr="009F227C">
              <w:rPr>
                <w:sz w:val="20"/>
                <w:szCs w:val="20"/>
              </w:rPr>
              <w:t>2.00%</w:t>
            </w:r>
          </w:p>
        </w:tc>
        <w:tc>
          <w:tcPr>
            <w:tcW w:w="1039" w:type="dxa"/>
            <w:tcBorders>
              <w:top w:val="nil"/>
              <w:left w:val="nil"/>
              <w:bottom w:val="nil"/>
              <w:right w:val="single" w:sz="4" w:space="0" w:color="auto"/>
            </w:tcBorders>
            <w:shd w:val="clear" w:color="000000" w:fill="FFFFFF"/>
            <w:noWrap/>
            <w:vAlign w:val="bottom"/>
            <w:hideMark/>
          </w:tcPr>
          <w:p w14:paraId="6EEE8CB4" w14:textId="77777777" w:rsidR="008750AD" w:rsidRPr="009F227C" w:rsidRDefault="008750AD" w:rsidP="008750AD">
            <w:pPr>
              <w:jc w:val="right"/>
              <w:rPr>
                <w:sz w:val="20"/>
                <w:szCs w:val="20"/>
              </w:rPr>
            </w:pPr>
            <w:r w:rsidRPr="009F227C">
              <w:rPr>
                <w:sz w:val="20"/>
                <w:szCs w:val="20"/>
              </w:rPr>
              <w:t>0.00%</w:t>
            </w:r>
          </w:p>
        </w:tc>
      </w:tr>
      <w:tr w:rsidR="008750AD" w:rsidRPr="009F227C" w14:paraId="3A21229E"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12AE7550" w14:textId="77777777" w:rsidR="008750AD" w:rsidRPr="009F227C" w:rsidRDefault="008750AD" w:rsidP="008750AD">
            <w:pPr>
              <w:jc w:val="center"/>
              <w:rPr>
                <w:sz w:val="20"/>
                <w:szCs w:val="20"/>
              </w:rPr>
            </w:pPr>
            <w:r w:rsidRPr="009F227C">
              <w:rPr>
                <w:sz w:val="20"/>
                <w:szCs w:val="20"/>
              </w:rPr>
              <w:t>7</w:t>
            </w:r>
          </w:p>
        </w:tc>
        <w:tc>
          <w:tcPr>
            <w:tcW w:w="3440" w:type="dxa"/>
            <w:tcBorders>
              <w:top w:val="nil"/>
              <w:left w:val="nil"/>
              <w:bottom w:val="nil"/>
              <w:right w:val="nil"/>
            </w:tcBorders>
            <w:shd w:val="clear" w:color="000000" w:fill="FFFFFF"/>
            <w:noWrap/>
            <w:vAlign w:val="bottom"/>
            <w:hideMark/>
          </w:tcPr>
          <w:p w14:paraId="49D73D27" w14:textId="77777777" w:rsidR="008750AD" w:rsidRPr="009F227C" w:rsidRDefault="008750AD" w:rsidP="008750AD">
            <w:pPr>
              <w:rPr>
                <w:sz w:val="20"/>
                <w:szCs w:val="20"/>
              </w:rPr>
            </w:pPr>
            <w:r w:rsidRPr="009F227C">
              <w:rPr>
                <w:sz w:val="20"/>
                <w:szCs w:val="20"/>
              </w:rPr>
              <w:t>Accumulated Deferred ITC's</w:t>
            </w:r>
          </w:p>
        </w:tc>
        <w:tc>
          <w:tcPr>
            <w:tcW w:w="1316" w:type="dxa"/>
            <w:tcBorders>
              <w:top w:val="nil"/>
              <w:left w:val="nil"/>
              <w:bottom w:val="nil"/>
              <w:right w:val="nil"/>
            </w:tcBorders>
            <w:shd w:val="clear" w:color="000000" w:fill="FFFFFF"/>
            <w:noWrap/>
            <w:vAlign w:val="bottom"/>
            <w:hideMark/>
          </w:tcPr>
          <w:p w14:paraId="6151D8C2" w14:textId="77777777" w:rsidR="008750AD" w:rsidRPr="009F227C" w:rsidRDefault="008750AD" w:rsidP="008750AD">
            <w:pPr>
              <w:jc w:val="right"/>
              <w:rPr>
                <w:sz w:val="20"/>
                <w:szCs w:val="20"/>
              </w:rPr>
            </w:pPr>
            <w:r w:rsidRPr="009F227C">
              <w:rPr>
                <w:sz w:val="20"/>
                <w:szCs w:val="20"/>
              </w:rPr>
              <w:t xml:space="preserve">61,653 </w:t>
            </w:r>
          </w:p>
        </w:tc>
        <w:tc>
          <w:tcPr>
            <w:tcW w:w="1000" w:type="dxa"/>
            <w:tcBorders>
              <w:top w:val="nil"/>
              <w:left w:val="nil"/>
              <w:bottom w:val="nil"/>
              <w:right w:val="nil"/>
            </w:tcBorders>
            <w:shd w:val="clear" w:color="000000" w:fill="FFFFFF"/>
            <w:noWrap/>
            <w:vAlign w:val="bottom"/>
            <w:hideMark/>
          </w:tcPr>
          <w:p w14:paraId="1BF57148"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20792BA" w14:textId="77777777" w:rsidR="008750AD" w:rsidRPr="009F227C" w:rsidRDefault="008750AD" w:rsidP="008750AD">
            <w:pPr>
              <w:jc w:val="right"/>
              <w:rPr>
                <w:sz w:val="20"/>
                <w:szCs w:val="20"/>
              </w:rPr>
            </w:pPr>
            <w:r w:rsidRPr="009F227C">
              <w:rPr>
                <w:sz w:val="20"/>
                <w:szCs w:val="20"/>
              </w:rPr>
              <w:t xml:space="preserve">61,653 </w:t>
            </w:r>
          </w:p>
        </w:tc>
        <w:tc>
          <w:tcPr>
            <w:tcW w:w="1520" w:type="dxa"/>
            <w:tcBorders>
              <w:top w:val="nil"/>
              <w:left w:val="nil"/>
              <w:bottom w:val="nil"/>
              <w:right w:val="nil"/>
            </w:tcBorders>
            <w:shd w:val="clear" w:color="000000" w:fill="FFFFFF"/>
            <w:noWrap/>
            <w:vAlign w:val="bottom"/>
            <w:hideMark/>
          </w:tcPr>
          <w:p w14:paraId="6794AC8E"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4DACAC43" w14:textId="77777777" w:rsidR="008750AD" w:rsidRPr="009F227C" w:rsidRDefault="008750AD" w:rsidP="008750AD">
            <w:pPr>
              <w:jc w:val="right"/>
              <w:rPr>
                <w:sz w:val="20"/>
                <w:szCs w:val="20"/>
              </w:rPr>
            </w:pPr>
            <w:r w:rsidRPr="009F227C">
              <w:rPr>
                <w:sz w:val="20"/>
                <w:szCs w:val="20"/>
              </w:rPr>
              <w:t xml:space="preserve">61,653 </w:t>
            </w:r>
          </w:p>
        </w:tc>
        <w:tc>
          <w:tcPr>
            <w:tcW w:w="933" w:type="dxa"/>
            <w:tcBorders>
              <w:top w:val="nil"/>
              <w:left w:val="nil"/>
              <w:bottom w:val="nil"/>
              <w:right w:val="nil"/>
            </w:tcBorders>
            <w:shd w:val="clear" w:color="000000" w:fill="FFFFFF"/>
            <w:noWrap/>
            <w:vAlign w:val="bottom"/>
            <w:hideMark/>
          </w:tcPr>
          <w:p w14:paraId="745956A9" w14:textId="77777777" w:rsidR="008750AD" w:rsidRPr="009F227C" w:rsidRDefault="008750AD" w:rsidP="008750AD">
            <w:pPr>
              <w:jc w:val="right"/>
              <w:rPr>
                <w:sz w:val="20"/>
                <w:szCs w:val="20"/>
              </w:rPr>
            </w:pPr>
            <w:r w:rsidRPr="009F227C">
              <w:rPr>
                <w:sz w:val="20"/>
                <w:szCs w:val="20"/>
              </w:rPr>
              <w:t>0.03%</w:t>
            </w:r>
          </w:p>
        </w:tc>
        <w:tc>
          <w:tcPr>
            <w:tcW w:w="963" w:type="dxa"/>
            <w:tcBorders>
              <w:top w:val="nil"/>
              <w:left w:val="nil"/>
              <w:bottom w:val="nil"/>
              <w:right w:val="nil"/>
            </w:tcBorders>
            <w:shd w:val="clear" w:color="000000" w:fill="FFFFFF"/>
            <w:noWrap/>
            <w:vAlign w:val="bottom"/>
            <w:hideMark/>
          </w:tcPr>
          <w:p w14:paraId="225E86CF"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1F667EF4" w14:textId="77777777" w:rsidR="008750AD" w:rsidRPr="009F227C" w:rsidRDefault="008750AD" w:rsidP="008750AD">
            <w:pPr>
              <w:jc w:val="right"/>
              <w:rPr>
                <w:sz w:val="20"/>
                <w:szCs w:val="20"/>
              </w:rPr>
            </w:pPr>
            <w:r w:rsidRPr="009F227C">
              <w:rPr>
                <w:sz w:val="20"/>
                <w:szCs w:val="20"/>
              </w:rPr>
              <w:t>0.00%</w:t>
            </w:r>
          </w:p>
        </w:tc>
      </w:tr>
      <w:tr w:rsidR="008750AD" w:rsidRPr="009F227C" w14:paraId="2DA68557"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439E848" w14:textId="77777777" w:rsidR="008750AD" w:rsidRPr="009F227C" w:rsidRDefault="008750AD" w:rsidP="008750AD">
            <w:pPr>
              <w:jc w:val="center"/>
              <w:rPr>
                <w:sz w:val="20"/>
                <w:szCs w:val="20"/>
              </w:rPr>
            </w:pPr>
            <w:r w:rsidRPr="009F227C">
              <w:rPr>
                <w:sz w:val="20"/>
                <w:szCs w:val="20"/>
              </w:rPr>
              <w:t>8</w:t>
            </w:r>
          </w:p>
        </w:tc>
        <w:tc>
          <w:tcPr>
            <w:tcW w:w="3440" w:type="dxa"/>
            <w:tcBorders>
              <w:top w:val="nil"/>
              <w:left w:val="nil"/>
              <w:bottom w:val="nil"/>
              <w:right w:val="nil"/>
            </w:tcBorders>
            <w:shd w:val="clear" w:color="000000" w:fill="FFFFFF"/>
            <w:noWrap/>
            <w:vAlign w:val="bottom"/>
            <w:hideMark/>
          </w:tcPr>
          <w:p w14:paraId="5C90E6AD" w14:textId="77777777" w:rsidR="008750AD" w:rsidRPr="009F227C" w:rsidRDefault="008750AD" w:rsidP="008750AD">
            <w:pPr>
              <w:rPr>
                <w:sz w:val="20"/>
                <w:szCs w:val="20"/>
              </w:rPr>
            </w:pPr>
            <w:r w:rsidRPr="009F227C">
              <w:rPr>
                <w:sz w:val="20"/>
                <w:szCs w:val="20"/>
              </w:rPr>
              <w:t>Deferred Income Taxes</w:t>
            </w:r>
          </w:p>
        </w:tc>
        <w:tc>
          <w:tcPr>
            <w:tcW w:w="1316" w:type="dxa"/>
            <w:tcBorders>
              <w:top w:val="nil"/>
              <w:left w:val="nil"/>
              <w:bottom w:val="nil"/>
              <w:right w:val="nil"/>
            </w:tcBorders>
            <w:shd w:val="clear" w:color="000000" w:fill="FFFFFF"/>
            <w:noWrap/>
            <w:vAlign w:val="bottom"/>
            <w:hideMark/>
          </w:tcPr>
          <w:p w14:paraId="3DEE507E" w14:textId="77777777" w:rsidR="008750AD" w:rsidRPr="009F227C" w:rsidRDefault="008750AD" w:rsidP="008750AD">
            <w:pPr>
              <w:jc w:val="right"/>
              <w:rPr>
                <w:sz w:val="20"/>
                <w:szCs w:val="20"/>
              </w:rPr>
            </w:pPr>
            <w:r w:rsidRPr="009F227C">
              <w:rPr>
                <w:sz w:val="20"/>
                <w:szCs w:val="20"/>
              </w:rPr>
              <w:t xml:space="preserve">5,833,302 </w:t>
            </w:r>
          </w:p>
        </w:tc>
        <w:tc>
          <w:tcPr>
            <w:tcW w:w="1000" w:type="dxa"/>
            <w:tcBorders>
              <w:top w:val="nil"/>
              <w:left w:val="nil"/>
              <w:bottom w:val="nil"/>
              <w:right w:val="nil"/>
            </w:tcBorders>
            <w:shd w:val="clear" w:color="000000" w:fill="FFFFFF"/>
            <w:noWrap/>
            <w:vAlign w:val="bottom"/>
            <w:hideMark/>
          </w:tcPr>
          <w:p w14:paraId="7A92BCD9" w14:textId="77777777" w:rsidR="008750AD" w:rsidRPr="009F227C" w:rsidRDefault="008750AD" w:rsidP="008750AD">
            <w:pPr>
              <w:jc w:val="right"/>
              <w:rPr>
                <w:sz w:val="20"/>
                <w:szCs w:val="20"/>
              </w:rPr>
            </w:pPr>
            <w:r w:rsidRPr="009F227C">
              <w:rPr>
                <w:sz w:val="20"/>
                <w:szCs w:val="20"/>
              </w:rPr>
              <w:t>(10,469)</w:t>
            </w:r>
          </w:p>
        </w:tc>
        <w:tc>
          <w:tcPr>
            <w:tcW w:w="1520" w:type="dxa"/>
            <w:tcBorders>
              <w:top w:val="nil"/>
              <w:left w:val="nil"/>
              <w:bottom w:val="nil"/>
              <w:right w:val="nil"/>
            </w:tcBorders>
            <w:shd w:val="clear" w:color="000000" w:fill="FFFFFF"/>
            <w:noWrap/>
            <w:vAlign w:val="bottom"/>
            <w:hideMark/>
          </w:tcPr>
          <w:p w14:paraId="6A63D12F" w14:textId="77777777" w:rsidR="008750AD" w:rsidRPr="009F227C" w:rsidRDefault="008750AD" w:rsidP="008750AD">
            <w:pPr>
              <w:jc w:val="right"/>
              <w:rPr>
                <w:sz w:val="20"/>
                <w:szCs w:val="20"/>
              </w:rPr>
            </w:pPr>
            <w:r w:rsidRPr="009F227C">
              <w:rPr>
                <w:sz w:val="20"/>
                <w:szCs w:val="20"/>
              </w:rPr>
              <w:t xml:space="preserve">5,822,833 </w:t>
            </w:r>
          </w:p>
        </w:tc>
        <w:tc>
          <w:tcPr>
            <w:tcW w:w="1520" w:type="dxa"/>
            <w:tcBorders>
              <w:top w:val="nil"/>
              <w:left w:val="nil"/>
              <w:bottom w:val="nil"/>
              <w:right w:val="nil"/>
            </w:tcBorders>
            <w:shd w:val="clear" w:color="000000" w:fill="FFFFFF"/>
            <w:noWrap/>
            <w:vAlign w:val="bottom"/>
            <w:hideMark/>
          </w:tcPr>
          <w:p w14:paraId="125CD7C3"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0ECE0598" w14:textId="77777777" w:rsidR="008750AD" w:rsidRPr="009F227C" w:rsidRDefault="008750AD" w:rsidP="008750AD">
            <w:pPr>
              <w:jc w:val="right"/>
              <w:rPr>
                <w:sz w:val="20"/>
                <w:szCs w:val="20"/>
              </w:rPr>
            </w:pPr>
            <w:r w:rsidRPr="009F227C">
              <w:rPr>
                <w:sz w:val="20"/>
                <w:szCs w:val="20"/>
              </w:rPr>
              <w:t xml:space="preserve">5,822,833 </w:t>
            </w:r>
          </w:p>
        </w:tc>
        <w:tc>
          <w:tcPr>
            <w:tcW w:w="933" w:type="dxa"/>
            <w:tcBorders>
              <w:top w:val="nil"/>
              <w:left w:val="nil"/>
              <w:bottom w:val="nil"/>
              <w:right w:val="nil"/>
            </w:tcBorders>
            <w:shd w:val="clear" w:color="000000" w:fill="FFFFFF"/>
            <w:noWrap/>
            <w:vAlign w:val="bottom"/>
            <w:hideMark/>
          </w:tcPr>
          <w:p w14:paraId="10B96313" w14:textId="77777777" w:rsidR="008750AD" w:rsidRPr="009F227C" w:rsidRDefault="008750AD" w:rsidP="008750AD">
            <w:pPr>
              <w:jc w:val="right"/>
              <w:rPr>
                <w:sz w:val="20"/>
                <w:szCs w:val="20"/>
              </w:rPr>
            </w:pPr>
            <w:r w:rsidRPr="009F227C">
              <w:rPr>
                <w:sz w:val="20"/>
                <w:szCs w:val="20"/>
              </w:rPr>
              <w:t>3.15%</w:t>
            </w:r>
          </w:p>
        </w:tc>
        <w:tc>
          <w:tcPr>
            <w:tcW w:w="963" w:type="dxa"/>
            <w:tcBorders>
              <w:top w:val="nil"/>
              <w:left w:val="nil"/>
              <w:bottom w:val="nil"/>
              <w:right w:val="nil"/>
            </w:tcBorders>
            <w:shd w:val="clear" w:color="000000" w:fill="FFFFFF"/>
            <w:noWrap/>
            <w:vAlign w:val="bottom"/>
            <w:hideMark/>
          </w:tcPr>
          <w:p w14:paraId="331A94FD"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1DD27385" w14:textId="77777777" w:rsidR="008750AD" w:rsidRPr="009F227C" w:rsidRDefault="008750AD" w:rsidP="008750AD">
            <w:pPr>
              <w:jc w:val="right"/>
              <w:rPr>
                <w:sz w:val="20"/>
                <w:szCs w:val="20"/>
              </w:rPr>
            </w:pPr>
            <w:r w:rsidRPr="009F227C">
              <w:rPr>
                <w:sz w:val="20"/>
                <w:szCs w:val="20"/>
              </w:rPr>
              <w:t>0.00%</w:t>
            </w:r>
          </w:p>
        </w:tc>
      </w:tr>
      <w:tr w:rsidR="008750AD" w:rsidRPr="009F227C" w14:paraId="00A99FB9"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68563425" w14:textId="77777777" w:rsidR="008750AD" w:rsidRPr="009F227C" w:rsidRDefault="008750AD" w:rsidP="008750AD">
            <w:pPr>
              <w:jc w:val="center"/>
              <w:rPr>
                <w:sz w:val="20"/>
                <w:szCs w:val="20"/>
              </w:rPr>
            </w:pPr>
            <w:r w:rsidRPr="009F227C">
              <w:rPr>
                <w:sz w:val="20"/>
                <w:szCs w:val="20"/>
              </w:rPr>
              <w:t>9</w:t>
            </w:r>
          </w:p>
        </w:tc>
        <w:tc>
          <w:tcPr>
            <w:tcW w:w="3440" w:type="dxa"/>
            <w:tcBorders>
              <w:top w:val="nil"/>
              <w:left w:val="nil"/>
              <w:bottom w:val="nil"/>
              <w:right w:val="nil"/>
            </w:tcBorders>
            <w:shd w:val="clear" w:color="000000" w:fill="FFFFFF"/>
            <w:noWrap/>
            <w:vAlign w:val="bottom"/>
            <w:hideMark/>
          </w:tcPr>
          <w:p w14:paraId="4E1B4B9A" w14:textId="77777777" w:rsidR="008750AD" w:rsidRPr="009F227C" w:rsidRDefault="008750AD" w:rsidP="008750AD">
            <w:pPr>
              <w:rPr>
                <w:sz w:val="20"/>
                <w:szCs w:val="20"/>
              </w:rPr>
            </w:pPr>
            <w:r w:rsidRPr="009F227C">
              <w:rPr>
                <w:sz w:val="20"/>
                <w:szCs w:val="20"/>
              </w:rPr>
              <w:t>Other Deferred Tax Liability - TCJA</w:t>
            </w:r>
          </w:p>
        </w:tc>
        <w:tc>
          <w:tcPr>
            <w:tcW w:w="1316" w:type="dxa"/>
            <w:tcBorders>
              <w:top w:val="nil"/>
              <w:left w:val="nil"/>
              <w:bottom w:val="nil"/>
              <w:right w:val="nil"/>
            </w:tcBorders>
            <w:shd w:val="clear" w:color="000000" w:fill="FFFFFF"/>
            <w:noWrap/>
            <w:vAlign w:val="bottom"/>
            <w:hideMark/>
          </w:tcPr>
          <w:p w14:paraId="08303CD3" w14:textId="77777777" w:rsidR="008750AD" w:rsidRPr="009F227C" w:rsidRDefault="008750AD" w:rsidP="008750AD">
            <w:pPr>
              <w:jc w:val="right"/>
              <w:rPr>
                <w:sz w:val="20"/>
                <w:szCs w:val="20"/>
                <w:u w:val="single"/>
              </w:rPr>
            </w:pPr>
            <w:r w:rsidRPr="009F227C">
              <w:rPr>
                <w:sz w:val="20"/>
                <w:szCs w:val="20"/>
                <w:u w:val="single"/>
              </w:rPr>
              <w:t>4,969,273</w:t>
            </w:r>
          </w:p>
        </w:tc>
        <w:tc>
          <w:tcPr>
            <w:tcW w:w="1000" w:type="dxa"/>
            <w:tcBorders>
              <w:top w:val="nil"/>
              <w:left w:val="nil"/>
              <w:bottom w:val="nil"/>
              <w:right w:val="nil"/>
            </w:tcBorders>
            <w:shd w:val="clear" w:color="000000" w:fill="FFFFFF"/>
            <w:noWrap/>
            <w:vAlign w:val="bottom"/>
            <w:hideMark/>
          </w:tcPr>
          <w:p w14:paraId="3D9A1104" w14:textId="77777777" w:rsidR="008750AD" w:rsidRPr="009F227C" w:rsidRDefault="008750AD" w:rsidP="008750AD">
            <w:pPr>
              <w:jc w:val="right"/>
              <w:rPr>
                <w:sz w:val="20"/>
                <w:szCs w:val="20"/>
                <w:u w:val="single"/>
              </w:rPr>
            </w:pPr>
            <w:r w:rsidRPr="009F227C">
              <w:rPr>
                <w:sz w:val="20"/>
                <w:szCs w:val="20"/>
                <w:u w:val="single"/>
              </w:rPr>
              <w:t>0</w:t>
            </w:r>
          </w:p>
        </w:tc>
        <w:tc>
          <w:tcPr>
            <w:tcW w:w="1520" w:type="dxa"/>
            <w:tcBorders>
              <w:top w:val="nil"/>
              <w:left w:val="nil"/>
              <w:bottom w:val="nil"/>
              <w:right w:val="nil"/>
            </w:tcBorders>
            <w:shd w:val="clear" w:color="000000" w:fill="FFFFFF"/>
            <w:noWrap/>
            <w:vAlign w:val="bottom"/>
            <w:hideMark/>
          </w:tcPr>
          <w:p w14:paraId="5A8BA04A" w14:textId="77777777" w:rsidR="008750AD" w:rsidRPr="009F227C" w:rsidRDefault="008750AD" w:rsidP="008750AD">
            <w:pPr>
              <w:jc w:val="right"/>
              <w:rPr>
                <w:sz w:val="20"/>
                <w:szCs w:val="20"/>
                <w:u w:val="single"/>
              </w:rPr>
            </w:pPr>
            <w:r w:rsidRPr="009F227C">
              <w:rPr>
                <w:sz w:val="20"/>
                <w:szCs w:val="20"/>
                <w:u w:val="single"/>
              </w:rPr>
              <w:t>4,969,273</w:t>
            </w:r>
          </w:p>
        </w:tc>
        <w:tc>
          <w:tcPr>
            <w:tcW w:w="1520" w:type="dxa"/>
            <w:tcBorders>
              <w:top w:val="nil"/>
              <w:left w:val="nil"/>
              <w:bottom w:val="nil"/>
              <w:right w:val="nil"/>
            </w:tcBorders>
            <w:shd w:val="clear" w:color="000000" w:fill="FFFFFF"/>
            <w:noWrap/>
            <w:vAlign w:val="bottom"/>
            <w:hideMark/>
          </w:tcPr>
          <w:p w14:paraId="39912EEB" w14:textId="77777777" w:rsidR="008750AD" w:rsidRPr="009F227C" w:rsidRDefault="008750AD" w:rsidP="008750AD">
            <w:pPr>
              <w:jc w:val="right"/>
              <w:rPr>
                <w:sz w:val="20"/>
                <w:szCs w:val="20"/>
                <w:u w:val="single"/>
              </w:rPr>
            </w:pPr>
            <w:r w:rsidRPr="009F227C">
              <w:rPr>
                <w:sz w:val="20"/>
                <w:szCs w:val="20"/>
                <w:u w:val="single"/>
              </w:rPr>
              <w:t>0</w:t>
            </w:r>
          </w:p>
        </w:tc>
        <w:tc>
          <w:tcPr>
            <w:tcW w:w="1520" w:type="dxa"/>
            <w:tcBorders>
              <w:top w:val="nil"/>
              <w:left w:val="nil"/>
              <w:bottom w:val="nil"/>
              <w:right w:val="nil"/>
            </w:tcBorders>
            <w:shd w:val="clear" w:color="000000" w:fill="FFFFFF"/>
            <w:noWrap/>
            <w:vAlign w:val="bottom"/>
            <w:hideMark/>
          </w:tcPr>
          <w:p w14:paraId="11C1C6C4" w14:textId="77777777" w:rsidR="008750AD" w:rsidRPr="009F227C" w:rsidRDefault="008750AD" w:rsidP="008750AD">
            <w:pPr>
              <w:jc w:val="right"/>
              <w:rPr>
                <w:sz w:val="20"/>
                <w:szCs w:val="20"/>
                <w:u w:val="single"/>
              </w:rPr>
            </w:pPr>
            <w:r w:rsidRPr="009F227C">
              <w:rPr>
                <w:sz w:val="20"/>
                <w:szCs w:val="20"/>
                <w:u w:val="single"/>
              </w:rPr>
              <w:t>4,969,273</w:t>
            </w:r>
          </w:p>
        </w:tc>
        <w:tc>
          <w:tcPr>
            <w:tcW w:w="933" w:type="dxa"/>
            <w:tcBorders>
              <w:top w:val="nil"/>
              <w:left w:val="nil"/>
              <w:bottom w:val="nil"/>
              <w:right w:val="nil"/>
            </w:tcBorders>
            <w:shd w:val="clear" w:color="000000" w:fill="FFFFFF"/>
            <w:noWrap/>
            <w:vAlign w:val="bottom"/>
            <w:hideMark/>
          </w:tcPr>
          <w:p w14:paraId="51F2F510" w14:textId="77777777" w:rsidR="008750AD" w:rsidRPr="009F227C" w:rsidRDefault="008750AD" w:rsidP="008750AD">
            <w:pPr>
              <w:jc w:val="right"/>
              <w:rPr>
                <w:sz w:val="20"/>
                <w:szCs w:val="20"/>
                <w:u w:val="single"/>
              </w:rPr>
            </w:pPr>
            <w:r w:rsidRPr="009F227C">
              <w:rPr>
                <w:sz w:val="20"/>
                <w:szCs w:val="20"/>
                <w:u w:val="single"/>
              </w:rPr>
              <w:t>2.69%</w:t>
            </w:r>
          </w:p>
        </w:tc>
        <w:tc>
          <w:tcPr>
            <w:tcW w:w="963" w:type="dxa"/>
            <w:tcBorders>
              <w:top w:val="nil"/>
              <w:left w:val="nil"/>
              <w:bottom w:val="nil"/>
              <w:right w:val="nil"/>
            </w:tcBorders>
            <w:shd w:val="clear" w:color="000000" w:fill="FFFFFF"/>
            <w:noWrap/>
            <w:vAlign w:val="bottom"/>
            <w:hideMark/>
          </w:tcPr>
          <w:p w14:paraId="70B058ED"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38506E70" w14:textId="77777777" w:rsidR="008750AD" w:rsidRPr="009F227C" w:rsidRDefault="008750AD" w:rsidP="008750AD">
            <w:pPr>
              <w:jc w:val="right"/>
              <w:rPr>
                <w:sz w:val="20"/>
                <w:szCs w:val="20"/>
                <w:u w:val="single"/>
              </w:rPr>
            </w:pPr>
            <w:r w:rsidRPr="009F227C">
              <w:rPr>
                <w:sz w:val="20"/>
                <w:szCs w:val="20"/>
                <w:u w:val="single"/>
              </w:rPr>
              <w:t>0.00%</w:t>
            </w:r>
          </w:p>
        </w:tc>
      </w:tr>
      <w:tr w:rsidR="008750AD" w:rsidRPr="009F227C" w14:paraId="3FFD342F"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0661384E" w14:textId="77777777" w:rsidR="008750AD" w:rsidRPr="009F227C" w:rsidRDefault="008750AD" w:rsidP="008750AD">
            <w:pPr>
              <w:jc w:val="center"/>
              <w:rPr>
                <w:sz w:val="20"/>
                <w:szCs w:val="20"/>
              </w:rPr>
            </w:pPr>
            <w:r w:rsidRPr="009F227C">
              <w:rPr>
                <w:sz w:val="20"/>
                <w:szCs w:val="20"/>
              </w:rPr>
              <w:t>10</w:t>
            </w:r>
          </w:p>
        </w:tc>
        <w:tc>
          <w:tcPr>
            <w:tcW w:w="3440" w:type="dxa"/>
            <w:tcBorders>
              <w:top w:val="nil"/>
              <w:left w:val="nil"/>
              <w:bottom w:val="nil"/>
              <w:right w:val="nil"/>
            </w:tcBorders>
            <w:shd w:val="clear" w:color="000000" w:fill="FFFFFF"/>
            <w:noWrap/>
            <w:vAlign w:val="bottom"/>
            <w:hideMark/>
          </w:tcPr>
          <w:p w14:paraId="5AB9AF60" w14:textId="77777777" w:rsidR="008750AD" w:rsidRPr="009F227C" w:rsidRDefault="008750AD" w:rsidP="008750AD">
            <w:pPr>
              <w:rPr>
                <w:b/>
                <w:bCs/>
                <w:sz w:val="20"/>
                <w:szCs w:val="20"/>
              </w:rPr>
            </w:pPr>
            <w:r w:rsidRPr="009F227C">
              <w:rPr>
                <w:b/>
                <w:bCs/>
                <w:sz w:val="20"/>
                <w:szCs w:val="20"/>
              </w:rPr>
              <w:t>Total Capital</w:t>
            </w:r>
          </w:p>
        </w:tc>
        <w:tc>
          <w:tcPr>
            <w:tcW w:w="1316" w:type="dxa"/>
            <w:tcBorders>
              <w:top w:val="nil"/>
              <w:left w:val="nil"/>
              <w:bottom w:val="nil"/>
              <w:right w:val="nil"/>
            </w:tcBorders>
            <w:shd w:val="clear" w:color="000000" w:fill="FFFFFF"/>
            <w:noWrap/>
            <w:vAlign w:val="bottom"/>
            <w:hideMark/>
          </w:tcPr>
          <w:p w14:paraId="2089CD34" w14:textId="77777777" w:rsidR="008750AD" w:rsidRPr="009F227C" w:rsidRDefault="008750AD" w:rsidP="008750AD">
            <w:pPr>
              <w:jc w:val="right"/>
              <w:rPr>
                <w:sz w:val="20"/>
                <w:szCs w:val="20"/>
                <w:u w:val="double"/>
              </w:rPr>
            </w:pPr>
            <w:r w:rsidRPr="009F227C">
              <w:rPr>
                <w:sz w:val="20"/>
                <w:szCs w:val="20"/>
                <w:u w:val="double"/>
              </w:rPr>
              <w:t xml:space="preserve">$839,385,035 </w:t>
            </w:r>
          </w:p>
        </w:tc>
        <w:tc>
          <w:tcPr>
            <w:tcW w:w="1000" w:type="dxa"/>
            <w:tcBorders>
              <w:top w:val="nil"/>
              <w:left w:val="nil"/>
              <w:bottom w:val="nil"/>
              <w:right w:val="nil"/>
            </w:tcBorders>
            <w:shd w:val="clear" w:color="000000" w:fill="FFFFFF"/>
            <w:noWrap/>
            <w:vAlign w:val="bottom"/>
            <w:hideMark/>
          </w:tcPr>
          <w:p w14:paraId="6191F784" w14:textId="77777777" w:rsidR="008750AD" w:rsidRPr="009F227C" w:rsidRDefault="008750AD" w:rsidP="008750AD">
            <w:pPr>
              <w:jc w:val="right"/>
              <w:rPr>
                <w:sz w:val="20"/>
                <w:szCs w:val="20"/>
                <w:u w:val="double"/>
              </w:rPr>
            </w:pPr>
            <w:r w:rsidRPr="009F227C">
              <w:rPr>
                <w:sz w:val="20"/>
                <w:szCs w:val="20"/>
                <w:u w:val="double"/>
              </w:rPr>
              <w:t>($10,469)</w:t>
            </w:r>
          </w:p>
        </w:tc>
        <w:tc>
          <w:tcPr>
            <w:tcW w:w="1520" w:type="dxa"/>
            <w:tcBorders>
              <w:top w:val="nil"/>
              <w:left w:val="nil"/>
              <w:bottom w:val="nil"/>
              <w:right w:val="nil"/>
            </w:tcBorders>
            <w:shd w:val="clear" w:color="000000" w:fill="FFFFFF"/>
            <w:noWrap/>
            <w:vAlign w:val="bottom"/>
            <w:hideMark/>
          </w:tcPr>
          <w:p w14:paraId="37D16290" w14:textId="77777777" w:rsidR="008750AD" w:rsidRPr="009F227C" w:rsidRDefault="008750AD" w:rsidP="008750AD">
            <w:pPr>
              <w:jc w:val="right"/>
              <w:rPr>
                <w:sz w:val="20"/>
                <w:szCs w:val="20"/>
                <w:u w:val="double"/>
              </w:rPr>
            </w:pPr>
            <w:r w:rsidRPr="009F227C">
              <w:rPr>
                <w:sz w:val="20"/>
                <w:szCs w:val="20"/>
                <w:u w:val="double"/>
              </w:rPr>
              <w:t xml:space="preserve">$839,374,566 </w:t>
            </w:r>
          </w:p>
        </w:tc>
        <w:tc>
          <w:tcPr>
            <w:tcW w:w="1520" w:type="dxa"/>
            <w:tcBorders>
              <w:top w:val="nil"/>
              <w:left w:val="nil"/>
              <w:bottom w:val="nil"/>
              <w:right w:val="nil"/>
            </w:tcBorders>
            <w:shd w:val="clear" w:color="000000" w:fill="FFFFFF"/>
            <w:noWrap/>
            <w:vAlign w:val="bottom"/>
            <w:hideMark/>
          </w:tcPr>
          <w:p w14:paraId="76BEFF75" w14:textId="77777777" w:rsidR="008750AD" w:rsidRPr="009F227C" w:rsidRDefault="008750AD" w:rsidP="008750AD">
            <w:pPr>
              <w:jc w:val="right"/>
              <w:rPr>
                <w:sz w:val="20"/>
                <w:szCs w:val="20"/>
                <w:u w:val="double"/>
              </w:rPr>
            </w:pPr>
            <w:r w:rsidRPr="009F227C">
              <w:rPr>
                <w:sz w:val="20"/>
                <w:szCs w:val="20"/>
                <w:u w:val="double"/>
              </w:rPr>
              <w:t>($654,556,856)</w:t>
            </w:r>
          </w:p>
        </w:tc>
        <w:tc>
          <w:tcPr>
            <w:tcW w:w="1520" w:type="dxa"/>
            <w:tcBorders>
              <w:top w:val="nil"/>
              <w:left w:val="nil"/>
              <w:bottom w:val="nil"/>
              <w:right w:val="nil"/>
            </w:tcBorders>
            <w:shd w:val="clear" w:color="000000" w:fill="FFFFFF"/>
            <w:noWrap/>
            <w:vAlign w:val="bottom"/>
            <w:hideMark/>
          </w:tcPr>
          <w:p w14:paraId="185B20D8" w14:textId="77777777" w:rsidR="008750AD" w:rsidRPr="009F227C" w:rsidRDefault="008750AD" w:rsidP="008750AD">
            <w:pPr>
              <w:jc w:val="right"/>
              <w:rPr>
                <w:sz w:val="20"/>
                <w:szCs w:val="20"/>
                <w:u w:val="double"/>
              </w:rPr>
            </w:pPr>
            <w:r w:rsidRPr="009F227C">
              <w:rPr>
                <w:sz w:val="20"/>
                <w:szCs w:val="20"/>
                <w:u w:val="double"/>
              </w:rPr>
              <w:t xml:space="preserve">$184,817,710 </w:t>
            </w:r>
          </w:p>
        </w:tc>
        <w:tc>
          <w:tcPr>
            <w:tcW w:w="933" w:type="dxa"/>
            <w:tcBorders>
              <w:top w:val="nil"/>
              <w:left w:val="nil"/>
              <w:bottom w:val="nil"/>
              <w:right w:val="nil"/>
            </w:tcBorders>
            <w:shd w:val="clear" w:color="000000" w:fill="FFFFFF"/>
            <w:noWrap/>
            <w:vAlign w:val="bottom"/>
            <w:hideMark/>
          </w:tcPr>
          <w:p w14:paraId="7B07C353" w14:textId="77777777" w:rsidR="008750AD" w:rsidRPr="009F227C" w:rsidRDefault="008750AD" w:rsidP="008750AD">
            <w:pPr>
              <w:jc w:val="right"/>
              <w:rPr>
                <w:sz w:val="20"/>
                <w:szCs w:val="20"/>
                <w:u w:val="double"/>
              </w:rPr>
            </w:pPr>
            <w:r w:rsidRPr="009F227C">
              <w:rPr>
                <w:sz w:val="20"/>
                <w:szCs w:val="20"/>
                <w:u w:val="double"/>
              </w:rPr>
              <w:t>100.00%</w:t>
            </w:r>
          </w:p>
        </w:tc>
        <w:tc>
          <w:tcPr>
            <w:tcW w:w="963" w:type="dxa"/>
            <w:tcBorders>
              <w:top w:val="nil"/>
              <w:left w:val="nil"/>
              <w:bottom w:val="nil"/>
              <w:right w:val="nil"/>
            </w:tcBorders>
            <w:shd w:val="clear" w:color="000000" w:fill="FFFFFF"/>
            <w:noWrap/>
            <w:vAlign w:val="bottom"/>
            <w:hideMark/>
          </w:tcPr>
          <w:p w14:paraId="73DD4494" w14:textId="77777777" w:rsidR="008750AD" w:rsidRPr="009F227C" w:rsidRDefault="008750AD" w:rsidP="008750AD">
            <w:pPr>
              <w:rPr>
                <w:sz w:val="20"/>
                <w:szCs w:val="20"/>
                <w:u w:val="double"/>
              </w:rPr>
            </w:pPr>
          </w:p>
        </w:tc>
        <w:tc>
          <w:tcPr>
            <w:tcW w:w="1039" w:type="dxa"/>
            <w:tcBorders>
              <w:top w:val="nil"/>
              <w:left w:val="nil"/>
              <w:bottom w:val="nil"/>
              <w:right w:val="single" w:sz="4" w:space="0" w:color="auto"/>
            </w:tcBorders>
            <w:shd w:val="clear" w:color="000000" w:fill="FFFFFF"/>
            <w:noWrap/>
            <w:vAlign w:val="bottom"/>
            <w:hideMark/>
          </w:tcPr>
          <w:p w14:paraId="0A9CE4AB" w14:textId="77777777" w:rsidR="008750AD" w:rsidRPr="009F227C" w:rsidRDefault="008750AD" w:rsidP="008750AD">
            <w:pPr>
              <w:jc w:val="right"/>
              <w:rPr>
                <w:sz w:val="20"/>
                <w:szCs w:val="20"/>
                <w:u w:val="double"/>
              </w:rPr>
            </w:pPr>
            <w:r w:rsidRPr="009F227C">
              <w:rPr>
                <w:sz w:val="20"/>
                <w:szCs w:val="20"/>
                <w:u w:val="double"/>
              </w:rPr>
              <w:t>7.478%</w:t>
            </w:r>
          </w:p>
        </w:tc>
      </w:tr>
      <w:tr w:rsidR="008750AD" w:rsidRPr="009F227C" w14:paraId="3EAE9A90" w14:textId="77777777" w:rsidTr="008750AD">
        <w:trPr>
          <w:trHeight w:val="70"/>
          <w:jc w:val="center"/>
        </w:trPr>
        <w:tc>
          <w:tcPr>
            <w:tcW w:w="480" w:type="dxa"/>
            <w:tcBorders>
              <w:top w:val="nil"/>
              <w:left w:val="single" w:sz="4" w:space="0" w:color="auto"/>
              <w:bottom w:val="nil"/>
              <w:right w:val="nil"/>
            </w:tcBorders>
            <w:shd w:val="clear" w:color="000000" w:fill="FFFFFF"/>
            <w:noWrap/>
            <w:vAlign w:val="bottom"/>
            <w:hideMark/>
          </w:tcPr>
          <w:p w14:paraId="6FC7D486" w14:textId="77777777" w:rsidR="008750AD" w:rsidRPr="009F227C" w:rsidRDefault="008750AD" w:rsidP="008750AD">
            <w:pPr>
              <w:rPr>
                <w:sz w:val="20"/>
                <w:szCs w:val="20"/>
              </w:rPr>
            </w:pPr>
            <w:r w:rsidRPr="009F227C">
              <w:rPr>
                <w:sz w:val="20"/>
                <w:szCs w:val="20"/>
              </w:rPr>
              <w:t> </w:t>
            </w:r>
          </w:p>
        </w:tc>
        <w:tc>
          <w:tcPr>
            <w:tcW w:w="3440" w:type="dxa"/>
            <w:tcBorders>
              <w:top w:val="nil"/>
              <w:left w:val="nil"/>
              <w:bottom w:val="nil"/>
              <w:right w:val="nil"/>
            </w:tcBorders>
            <w:shd w:val="clear" w:color="000000" w:fill="FFFFFF"/>
            <w:noWrap/>
            <w:vAlign w:val="bottom"/>
            <w:hideMark/>
          </w:tcPr>
          <w:p w14:paraId="603116A2" w14:textId="77777777" w:rsidR="008750AD" w:rsidRPr="009F227C" w:rsidRDefault="008750AD" w:rsidP="008750AD">
            <w:pPr>
              <w:rPr>
                <w:color w:val="000000"/>
                <w:sz w:val="20"/>
                <w:szCs w:val="20"/>
              </w:rPr>
            </w:pPr>
            <w:r w:rsidRPr="009F227C">
              <w:rPr>
                <w:color w:val="000000"/>
                <w:sz w:val="20"/>
                <w:szCs w:val="20"/>
              </w:rPr>
              <w:t> </w:t>
            </w:r>
          </w:p>
        </w:tc>
        <w:tc>
          <w:tcPr>
            <w:tcW w:w="1316" w:type="dxa"/>
            <w:tcBorders>
              <w:top w:val="nil"/>
              <w:left w:val="nil"/>
              <w:bottom w:val="nil"/>
              <w:right w:val="nil"/>
            </w:tcBorders>
            <w:shd w:val="clear" w:color="000000" w:fill="FFFFFF"/>
            <w:noWrap/>
            <w:vAlign w:val="bottom"/>
            <w:hideMark/>
          </w:tcPr>
          <w:p w14:paraId="563E2BBA" w14:textId="77777777" w:rsidR="008750AD" w:rsidRPr="009F227C" w:rsidRDefault="008750AD" w:rsidP="008750AD">
            <w:pPr>
              <w:rPr>
                <w:color w:val="000000"/>
                <w:sz w:val="20"/>
                <w:szCs w:val="20"/>
              </w:rPr>
            </w:pPr>
            <w:r w:rsidRPr="009F227C">
              <w:rPr>
                <w:color w:val="000000"/>
                <w:sz w:val="20"/>
                <w:szCs w:val="20"/>
              </w:rPr>
              <w:t> </w:t>
            </w:r>
          </w:p>
        </w:tc>
        <w:tc>
          <w:tcPr>
            <w:tcW w:w="1000" w:type="dxa"/>
            <w:tcBorders>
              <w:top w:val="nil"/>
              <w:left w:val="nil"/>
              <w:bottom w:val="nil"/>
              <w:right w:val="nil"/>
            </w:tcBorders>
            <w:shd w:val="clear" w:color="000000" w:fill="FFFFFF"/>
            <w:noWrap/>
            <w:vAlign w:val="bottom"/>
            <w:hideMark/>
          </w:tcPr>
          <w:p w14:paraId="2A206779"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382E4BD3"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631FA056"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4F56F668" w14:textId="77777777" w:rsidR="008750AD" w:rsidRPr="009F227C" w:rsidRDefault="008750AD" w:rsidP="008750AD">
            <w:pPr>
              <w:rPr>
                <w:color w:val="000000"/>
                <w:sz w:val="20"/>
                <w:szCs w:val="20"/>
              </w:rPr>
            </w:pPr>
            <w:r w:rsidRPr="009F227C">
              <w:rPr>
                <w:color w:val="000000"/>
                <w:sz w:val="20"/>
                <w:szCs w:val="20"/>
              </w:rPr>
              <w:t> </w:t>
            </w:r>
          </w:p>
        </w:tc>
        <w:tc>
          <w:tcPr>
            <w:tcW w:w="933" w:type="dxa"/>
            <w:tcBorders>
              <w:top w:val="nil"/>
              <w:left w:val="nil"/>
              <w:bottom w:val="nil"/>
              <w:right w:val="nil"/>
            </w:tcBorders>
            <w:shd w:val="clear" w:color="000000" w:fill="FFFFFF"/>
            <w:noWrap/>
            <w:vAlign w:val="bottom"/>
            <w:hideMark/>
          </w:tcPr>
          <w:p w14:paraId="5637D496" w14:textId="77777777" w:rsidR="008750AD" w:rsidRPr="009F227C" w:rsidRDefault="008750AD" w:rsidP="008750AD">
            <w:pPr>
              <w:rPr>
                <w:color w:val="000000"/>
                <w:sz w:val="20"/>
                <w:szCs w:val="20"/>
              </w:rPr>
            </w:pPr>
            <w:r w:rsidRPr="009F227C">
              <w:rPr>
                <w:color w:val="000000"/>
                <w:sz w:val="20"/>
                <w:szCs w:val="20"/>
              </w:rPr>
              <w:t> </w:t>
            </w:r>
          </w:p>
        </w:tc>
        <w:tc>
          <w:tcPr>
            <w:tcW w:w="963" w:type="dxa"/>
            <w:tcBorders>
              <w:top w:val="nil"/>
              <w:left w:val="nil"/>
              <w:bottom w:val="nil"/>
              <w:right w:val="nil"/>
            </w:tcBorders>
            <w:shd w:val="clear" w:color="000000" w:fill="FFFFFF"/>
            <w:noWrap/>
            <w:vAlign w:val="bottom"/>
            <w:hideMark/>
          </w:tcPr>
          <w:p w14:paraId="36E37268" w14:textId="77777777" w:rsidR="008750AD" w:rsidRPr="009F227C" w:rsidRDefault="008750AD" w:rsidP="008750AD">
            <w:pPr>
              <w:rPr>
                <w:color w:val="000000"/>
                <w:sz w:val="20"/>
                <w:szCs w:val="20"/>
              </w:rPr>
            </w:pPr>
          </w:p>
        </w:tc>
        <w:tc>
          <w:tcPr>
            <w:tcW w:w="1039" w:type="dxa"/>
            <w:tcBorders>
              <w:top w:val="nil"/>
              <w:left w:val="nil"/>
              <w:bottom w:val="nil"/>
              <w:right w:val="single" w:sz="4" w:space="0" w:color="auto"/>
            </w:tcBorders>
            <w:shd w:val="clear" w:color="000000" w:fill="FFFFFF"/>
            <w:noWrap/>
            <w:vAlign w:val="bottom"/>
            <w:hideMark/>
          </w:tcPr>
          <w:p w14:paraId="4EA8D98B" w14:textId="77777777" w:rsidR="008750AD" w:rsidRPr="009F227C" w:rsidRDefault="008750AD" w:rsidP="008750AD">
            <w:pPr>
              <w:rPr>
                <w:sz w:val="20"/>
                <w:szCs w:val="20"/>
              </w:rPr>
            </w:pPr>
            <w:r w:rsidRPr="009F227C">
              <w:rPr>
                <w:sz w:val="20"/>
                <w:szCs w:val="20"/>
              </w:rPr>
              <w:t> </w:t>
            </w:r>
          </w:p>
        </w:tc>
      </w:tr>
      <w:tr w:rsidR="008750AD" w:rsidRPr="009F227C" w14:paraId="261F9304" w14:textId="77777777" w:rsidTr="008750AD">
        <w:trPr>
          <w:trHeight w:val="90"/>
          <w:jc w:val="center"/>
        </w:trPr>
        <w:tc>
          <w:tcPr>
            <w:tcW w:w="3920" w:type="dxa"/>
            <w:gridSpan w:val="2"/>
            <w:tcBorders>
              <w:top w:val="nil"/>
              <w:left w:val="single" w:sz="4" w:space="0" w:color="auto"/>
              <w:bottom w:val="nil"/>
              <w:right w:val="nil"/>
            </w:tcBorders>
            <w:shd w:val="clear" w:color="000000" w:fill="FFFFFF"/>
            <w:noWrap/>
            <w:vAlign w:val="bottom"/>
            <w:hideMark/>
          </w:tcPr>
          <w:p w14:paraId="4B6C63D3" w14:textId="0E0A825E" w:rsidR="008750AD" w:rsidRPr="009F227C" w:rsidRDefault="008750AD" w:rsidP="00DF618D">
            <w:pPr>
              <w:rPr>
                <w:b/>
                <w:bCs/>
                <w:sz w:val="20"/>
                <w:szCs w:val="20"/>
              </w:rPr>
            </w:pPr>
            <w:r w:rsidRPr="009F227C">
              <w:rPr>
                <w:b/>
                <w:bCs/>
                <w:sz w:val="20"/>
                <w:szCs w:val="20"/>
              </w:rPr>
              <w:t xml:space="preserve">Per </w:t>
            </w:r>
            <w:r w:rsidR="00DF618D">
              <w:rPr>
                <w:b/>
                <w:bCs/>
                <w:sz w:val="20"/>
                <w:szCs w:val="20"/>
              </w:rPr>
              <w:t>Commission</w:t>
            </w:r>
          </w:p>
        </w:tc>
        <w:tc>
          <w:tcPr>
            <w:tcW w:w="1316" w:type="dxa"/>
            <w:tcBorders>
              <w:top w:val="nil"/>
              <w:left w:val="nil"/>
              <w:bottom w:val="nil"/>
              <w:right w:val="nil"/>
            </w:tcBorders>
            <w:shd w:val="clear" w:color="000000" w:fill="FFFFFF"/>
            <w:noWrap/>
            <w:vAlign w:val="bottom"/>
            <w:hideMark/>
          </w:tcPr>
          <w:p w14:paraId="183E6381" w14:textId="77777777" w:rsidR="008750AD" w:rsidRPr="009F227C" w:rsidRDefault="008750AD" w:rsidP="008750AD">
            <w:pPr>
              <w:rPr>
                <w:color w:val="000000"/>
                <w:sz w:val="20"/>
                <w:szCs w:val="20"/>
              </w:rPr>
            </w:pPr>
            <w:r w:rsidRPr="009F227C">
              <w:rPr>
                <w:color w:val="000000"/>
                <w:sz w:val="20"/>
                <w:szCs w:val="20"/>
              </w:rPr>
              <w:t> </w:t>
            </w:r>
          </w:p>
        </w:tc>
        <w:tc>
          <w:tcPr>
            <w:tcW w:w="1000" w:type="dxa"/>
            <w:tcBorders>
              <w:top w:val="nil"/>
              <w:left w:val="nil"/>
              <w:bottom w:val="nil"/>
              <w:right w:val="nil"/>
            </w:tcBorders>
            <w:shd w:val="clear" w:color="000000" w:fill="FFFFFF"/>
            <w:noWrap/>
            <w:vAlign w:val="bottom"/>
            <w:hideMark/>
          </w:tcPr>
          <w:p w14:paraId="2C7C1B24"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3029EE4C"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53A7B89E"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64626B86" w14:textId="77777777" w:rsidR="008750AD" w:rsidRPr="009F227C" w:rsidRDefault="008750AD" w:rsidP="008750AD">
            <w:pPr>
              <w:rPr>
                <w:color w:val="000000"/>
                <w:sz w:val="20"/>
                <w:szCs w:val="20"/>
              </w:rPr>
            </w:pPr>
            <w:r w:rsidRPr="009F227C">
              <w:rPr>
                <w:color w:val="000000"/>
                <w:sz w:val="20"/>
                <w:szCs w:val="20"/>
              </w:rPr>
              <w:t> </w:t>
            </w:r>
          </w:p>
        </w:tc>
        <w:tc>
          <w:tcPr>
            <w:tcW w:w="933" w:type="dxa"/>
            <w:tcBorders>
              <w:top w:val="nil"/>
              <w:left w:val="nil"/>
              <w:bottom w:val="nil"/>
              <w:right w:val="nil"/>
            </w:tcBorders>
            <w:shd w:val="clear" w:color="000000" w:fill="FFFFFF"/>
            <w:noWrap/>
            <w:vAlign w:val="bottom"/>
            <w:hideMark/>
          </w:tcPr>
          <w:p w14:paraId="2EC3E3A0" w14:textId="77777777" w:rsidR="008750AD" w:rsidRPr="009F227C" w:rsidRDefault="008750AD" w:rsidP="008750AD">
            <w:pPr>
              <w:rPr>
                <w:color w:val="000000"/>
                <w:sz w:val="20"/>
                <w:szCs w:val="20"/>
              </w:rPr>
            </w:pPr>
            <w:r w:rsidRPr="009F227C">
              <w:rPr>
                <w:color w:val="000000"/>
                <w:sz w:val="20"/>
                <w:szCs w:val="20"/>
              </w:rPr>
              <w:t> </w:t>
            </w:r>
          </w:p>
        </w:tc>
        <w:tc>
          <w:tcPr>
            <w:tcW w:w="963" w:type="dxa"/>
            <w:tcBorders>
              <w:top w:val="nil"/>
              <w:left w:val="nil"/>
              <w:bottom w:val="nil"/>
              <w:right w:val="nil"/>
            </w:tcBorders>
            <w:shd w:val="clear" w:color="000000" w:fill="FFFFFF"/>
            <w:noWrap/>
            <w:vAlign w:val="bottom"/>
            <w:hideMark/>
          </w:tcPr>
          <w:p w14:paraId="2C0032D7" w14:textId="77777777" w:rsidR="008750AD" w:rsidRPr="009F227C" w:rsidRDefault="008750AD" w:rsidP="008750AD">
            <w:pPr>
              <w:rPr>
                <w:color w:val="000000"/>
                <w:sz w:val="20"/>
                <w:szCs w:val="20"/>
              </w:rPr>
            </w:pPr>
          </w:p>
        </w:tc>
        <w:tc>
          <w:tcPr>
            <w:tcW w:w="1039" w:type="dxa"/>
            <w:tcBorders>
              <w:top w:val="nil"/>
              <w:left w:val="nil"/>
              <w:bottom w:val="nil"/>
              <w:right w:val="single" w:sz="4" w:space="0" w:color="auto"/>
            </w:tcBorders>
            <w:shd w:val="clear" w:color="000000" w:fill="FFFFFF"/>
            <w:noWrap/>
            <w:vAlign w:val="bottom"/>
            <w:hideMark/>
          </w:tcPr>
          <w:p w14:paraId="1EAB210C" w14:textId="77777777" w:rsidR="008750AD" w:rsidRPr="009F227C" w:rsidRDefault="008750AD" w:rsidP="008750AD">
            <w:pPr>
              <w:rPr>
                <w:sz w:val="20"/>
                <w:szCs w:val="20"/>
              </w:rPr>
            </w:pPr>
            <w:r w:rsidRPr="009F227C">
              <w:rPr>
                <w:sz w:val="20"/>
                <w:szCs w:val="20"/>
              </w:rPr>
              <w:t> </w:t>
            </w:r>
          </w:p>
        </w:tc>
      </w:tr>
      <w:tr w:rsidR="008750AD" w:rsidRPr="009F227C" w14:paraId="4C920637" w14:textId="77777777" w:rsidTr="008750AD">
        <w:trPr>
          <w:trHeight w:val="225"/>
          <w:jc w:val="center"/>
        </w:trPr>
        <w:tc>
          <w:tcPr>
            <w:tcW w:w="480" w:type="dxa"/>
            <w:tcBorders>
              <w:top w:val="nil"/>
              <w:left w:val="single" w:sz="4" w:space="0" w:color="auto"/>
              <w:bottom w:val="nil"/>
              <w:right w:val="nil"/>
            </w:tcBorders>
            <w:shd w:val="clear" w:color="000000" w:fill="FFFFFF"/>
            <w:noWrap/>
            <w:vAlign w:val="bottom"/>
            <w:hideMark/>
          </w:tcPr>
          <w:p w14:paraId="2457C923" w14:textId="77777777" w:rsidR="008750AD" w:rsidRPr="009F227C" w:rsidRDefault="008750AD" w:rsidP="008750AD">
            <w:pPr>
              <w:jc w:val="center"/>
              <w:rPr>
                <w:sz w:val="20"/>
                <w:szCs w:val="20"/>
              </w:rPr>
            </w:pPr>
            <w:r w:rsidRPr="009F227C">
              <w:rPr>
                <w:sz w:val="20"/>
                <w:szCs w:val="20"/>
              </w:rPr>
              <w:t>11</w:t>
            </w:r>
          </w:p>
        </w:tc>
        <w:tc>
          <w:tcPr>
            <w:tcW w:w="3440" w:type="dxa"/>
            <w:tcBorders>
              <w:top w:val="nil"/>
              <w:left w:val="nil"/>
              <w:bottom w:val="nil"/>
              <w:right w:val="nil"/>
            </w:tcBorders>
            <w:shd w:val="clear" w:color="000000" w:fill="FFFFFF"/>
            <w:noWrap/>
            <w:vAlign w:val="bottom"/>
            <w:hideMark/>
          </w:tcPr>
          <w:p w14:paraId="56CBFE88" w14:textId="77777777" w:rsidR="008750AD" w:rsidRPr="009F227C" w:rsidRDefault="008750AD" w:rsidP="008750AD">
            <w:pPr>
              <w:rPr>
                <w:sz w:val="20"/>
                <w:szCs w:val="20"/>
              </w:rPr>
            </w:pPr>
            <w:r w:rsidRPr="009F227C">
              <w:rPr>
                <w:sz w:val="20"/>
                <w:szCs w:val="20"/>
              </w:rPr>
              <w:t>Long-term Debt</w:t>
            </w:r>
          </w:p>
        </w:tc>
        <w:tc>
          <w:tcPr>
            <w:tcW w:w="1316" w:type="dxa"/>
            <w:tcBorders>
              <w:top w:val="nil"/>
              <w:left w:val="nil"/>
              <w:bottom w:val="nil"/>
              <w:right w:val="nil"/>
            </w:tcBorders>
            <w:shd w:val="clear" w:color="000000" w:fill="FFFFFF"/>
            <w:noWrap/>
            <w:vAlign w:val="bottom"/>
            <w:hideMark/>
          </w:tcPr>
          <w:p w14:paraId="6AF097CC" w14:textId="77777777" w:rsidR="008750AD" w:rsidRPr="009F227C" w:rsidRDefault="008750AD" w:rsidP="008750AD">
            <w:pPr>
              <w:jc w:val="right"/>
              <w:rPr>
                <w:sz w:val="20"/>
                <w:szCs w:val="20"/>
              </w:rPr>
            </w:pPr>
            <w:r w:rsidRPr="009F227C">
              <w:rPr>
                <w:sz w:val="20"/>
                <w:szCs w:val="20"/>
              </w:rPr>
              <w:t>$321,846,154</w:t>
            </w:r>
          </w:p>
        </w:tc>
        <w:tc>
          <w:tcPr>
            <w:tcW w:w="1000" w:type="dxa"/>
            <w:tcBorders>
              <w:top w:val="nil"/>
              <w:left w:val="nil"/>
              <w:bottom w:val="nil"/>
              <w:right w:val="nil"/>
            </w:tcBorders>
            <w:shd w:val="clear" w:color="000000" w:fill="FFFFFF"/>
            <w:noWrap/>
            <w:vAlign w:val="bottom"/>
            <w:hideMark/>
          </w:tcPr>
          <w:p w14:paraId="2AFC58A2" w14:textId="77777777" w:rsidR="008750AD" w:rsidRPr="009F227C" w:rsidRDefault="008750AD" w:rsidP="008750AD">
            <w:pPr>
              <w:jc w:val="right"/>
              <w:rPr>
                <w:sz w:val="20"/>
                <w:szCs w:val="20"/>
              </w:rPr>
            </w:pPr>
            <w:r w:rsidRPr="009F227C">
              <w:rPr>
                <w:sz w:val="20"/>
                <w:szCs w:val="20"/>
              </w:rPr>
              <w:t>$0</w:t>
            </w:r>
          </w:p>
        </w:tc>
        <w:tc>
          <w:tcPr>
            <w:tcW w:w="1520" w:type="dxa"/>
            <w:tcBorders>
              <w:top w:val="nil"/>
              <w:left w:val="nil"/>
              <w:bottom w:val="nil"/>
              <w:right w:val="nil"/>
            </w:tcBorders>
            <w:shd w:val="clear" w:color="000000" w:fill="FFFFFF"/>
            <w:noWrap/>
            <w:vAlign w:val="bottom"/>
            <w:hideMark/>
          </w:tcPr>
          <w:p w14:paraId="2DE10B81" w14:textId="77777777" w:rsidR="008750AD" w:rsidRPr="009F227C" w:rsidRDefault="008750AD" w:rsidP="008750AD">
            <w:pPr>
              <w:jc w:val="right"/>
              <w:rPr>
                <w:sz w:val="20"/>
                <w:szCs w:val="20"/>
              </w:rPr>
            </w:pPr>
            <w:r w:rsidRPr="009F227C">
              <w:rPr>
                <w:sz w:val="20"/>
                <w:szCs w:val="20"/>
              </w:rPr>
              <w:t>$321,846,154</w:t>
            </w:r>
          </w:p>
        </w:tc>
        <w:tc>
          <w:tcPr>
            <w:tcW w:w="1520" w:type="dxa"/>
            <w:tcBorders>
              <w:top w:val="nil"/>
              <w:left w:val="nil"/>
              <w:bottom w:val="nil"/>
              <w:right w:val="nil"/>
            </w:tcBorders>
            <w:shd w:val="clear" w:color="000000" w:fill="FFFFFF"/>
            <w:noWrap/>
            <w:vAlign w:val="bottom"/>
            <w:hideMark/>
          </w:tcPr>
          <w:p w14:paraId="2D8326BC" w14:textId="77777777" w:rsidR="008750AD" w:rsidRPr="009F227C" w:rsidRDefault="008750AD" w:rsidP="008750AD">
            <w:pPr>
              <w:jc w:val="right"/>
              <w:rPr>
                <w:sz w:val="20"/>
                <w:szCs w:val="20"/>
              </w:rPr>
            </w:pPr>
            <w:r w:rsidRPr="009F227C">
              <w:rPr>
                <w:sz w:val="20"/>
                <w:szCs w:val="20"/>
              </w:rPr>
              <w:t>($246,158,133)</w:t>
            </w:r>
          </w:p>
        </w:tc>
        <w:tc>
          <w:tcPr>
            <w:tcW w:w="1520" w:type="dxa"/>
            <w:tcBorders>
              <w:top w:val="nil"/>
              <w:left w:val="nil"/>
              <w:bottom w:val="nil"/>
              <w:right w:val="nil"/>
            </w:tcBorders>
            <w:shd w:val="clear" w:color="000000" w:fill="FFFFFF"/>
            <w:noWrap/>
            <w:vAlign w:val="bottom"/>
            <w:hideMark/>
          </w:tcPr>
          <w:p w14:paraId="1B71D018" w14:textId="77777777" w:rsidR="008750AD" w:rsidRPr="009F227C" w:rsidRDefault="008750AD" w:rsidP="008750AD">
            <w:pPr>
              <w:jc w:val="right"/>
              <w:rPr>
                <w:sz w:val="20"/>
                <w:szCs w:val="20"/>
              </w:rPr>
            </w:pPr>
            <w:r w:rsidRPr="009F227C">
              <w:rPr>
                <w:sz w:val="20"/>
                <w:szCs w:val="20"/>
              </w:rPr>
              <w:t>$75,688,021</w:t>
            </w:r>
          </w:p>
        </w:tc>
        <w:tc>
          <w:tcPr>
            <w:tcW w:w="933" w:type="dxa"/>
            <w:tcBorders>
              <w:top w:val="nil"/>
              <w:left w:val="nil"/>
              <w:bottom w:val="nil"/>
              <w:right w:val="nil"/>
            </w:tcBorders>
            <w:shd w:val="clear" w:color="000000" w:fill="FFFFFF"/>
            <w:noWrap/>
            <w:vAlign w:val="bottom"/>
            <w:hideMark/>
          </w:tcPr>
          <w:p w14:paraId="7848DB5E" w14:textId="77777777" w:rsidR="008750AD" w:rsidRPr="009F227C" w:rsidRDefault="008750AD" w:rsidP="008750AD">
            <w:pPr>
              <w:jc w:val="right"/>
              <w:rPr>
                <w:sz w:val="20"/>
                <w:szCs w:val="20"/>
              </w:rPr>
            </w:pPr>
            <w:r w:rsidRPr="009F227C">
              <w:rPr>
                <w:sz w:val="20"/>
                <w:szCs w:val="20"/>
              </w:rPr>
              <w:t>38.34%</w:t>
            </w:r>
          </w:p>
        </w:tc>
        <w:tc>
          <w:tcPr>
            <w:tcW w:w="963" w:type="dxa"/>
            <w:tcBorders>
              <w:top w:val="nil"/>
              <w:left w:val="nil"/>
              <w:bottom w:val="nil"/>
              <w:right w:val="nil"/>
            </w:tcBorders>
            <w:shd w:val="clear" w:color="000000" w:fill="FFFFFF"/>
            <w:noWrap/>
            <w:vAlign w:val="bottom"/>
            <w:hideMark/>
          </w:tcPr>
          <w:p w14:paraId="1E149D43" w14:textId="77777777" w:rsidR="008750AD" w:rsidRPr="009F227C" w:rsidRDefault="008750AD" w:rsidP="008750AD">
            <w:pPr>
              <w:jc w:val="right"/>
              <w:rPr>
                <w:sz w:val="20"/>
                <w:szCs w:val="20"/>
              </w:rPr>
            </w:pPr>
            <w:r w:rsidRPr="009F227C">
              <w:rPr>
                <w:sz w:val="20"/>
                <w:szCs w:val="20"/>
              </w:rPr>
              <w:t>4.92%</w:t>
            </w:r>
          </w:p>
        </w:tc>
        <w:tc>
          <w:tcPr>
            <w:tcW w:w="1039" w:type="dxa"/>
            <w:tcBorders>
              <w:top w:val="nil"/>
              <w:left w:val="nil"/>
              <w:bottom w:val="nil"/>
              <w:right w:val="single" w:sz="4" w:space="0" w:color="auto"/>
            </w:tcBorders>
            <w:shd w:val="clear" w:color="000000" w:fill="FFFFFF"/>
            <w:noWrap/>
            <w:vAlign w:val="bottom"/>
            <w:hideMark/>
          </w:tcPr>
          <w:p w14:paraId="17E1CD69" w14:textId="77777777" w:rsidR="008750AD" w:rsidRPr="009F227C" w:rsidRDefault="008750AD" w:rsidP="008750AD">
            <w:pPr>
              <w:jc w:val="right"/>
              <w:rPr>
                <w:sz w:val="20"/>
                <w:szCs w:val="20"/>
              </w:rPr>
            </w:pPr>
            <w:r w:rsidRPr="009F227C">
              <w:rPr>
                <w:sz w:val="20"/>
                <w:szCs w:val="20"/>
              </w:rPr>
              <w:t>1.89%</w:t>
            </w:r>
          </w:p>
        </w:tc>
      </w:tr>
      <w:tr w:rsidR="008750AD" w:rsidRPr="009F227C" w14:paraId="73CDF450" w14:textId="77777777" w:rsidTr="008750AD">
        <w:trPr>
          <w:trHeight w:val="171"/>
          <w:jc w:val="center"/>
        </w:trPr>
        <w:tc>
          <w:tcPr>
            <w:tcW w:w="480" w:type="dxa"/>
            <w:tcBorders>
              <w:top w:val="nil"/>
              <w:left w:val="single" w:sz="4" w:space="0" w:color="auto"/>
              <w:bottom w:val="nil"/>
              <w:right w:val="nil"/>
            </w:tcBorders>
            <w:shd w:val="clear" w:color="000000" w:fill="FFFFFF"/>
            <w:noWrap/>
            <w:vAlign w:val="bottom"/>
            <w:hideMark/>
          </w:tcPr>
          <w:p w14:paraId="19055A5A" w14:textId="77777777" w:rsidR="008750AD" w:rsidRPr="009F227C" w:rsidRDefault="008750AD" w:rsidP="008750AD">
            <w:pPr>
              <w:jc w:val="center"/>
              <w:rPr>
                <w:sz w:val="20"/>
                <w:szCs w:val="20"/>
              </w:rPr>
            </w:pPr>
            <w:r w:rsidRPr="009F227C">
              <w:rPr>
                <w:sz w:val="20"/>
                <w:szCs w:val="20"/>
              </w:rPr>
              <w:t>12</w:t>
            </w:r>
          </w:p>
        </w:tc>
        <w:tc>
          <w:tcPr>
            <w:tcW w:w="3440" w:type="dxa"/>
            <w:tcBorders>
              <w:top w:val="nil"/>
              <w:left w:val="nil"/>
              <w:bottom w:val="nil"/>
              <w:right w:val="nil"/>
            </w:tcBorders>
            <w:shd w:val="clear" w:color="000000" w:fill="FFFFFF"/>
            <w:noWrap/>
            <w:vAlign w:val="bottom"/>
            <w:hideMark/>
          </w:tcPr>
          <w:p w14:paraId="7D67F786" w14:textId="1FACD30B" w:rsidR="008750AD" w:rsidRPr="009F227C" w:rsidRDefault="008750AD" w:rsidP="008750AD">
            <w:pPr>
              <w:rPr>
                <w:sz w:val="20"/>
                <w:szCs w:val="20"/>
              </w:rPr>
            </w:pPr>
            <w:r w:rsidRPr="009F227C">
              <w:rPr>
                <w:sz w:val="20"/>
                <w:szCs w:val="20"/>
              </w:rPr>
              <w:t xml:space="preserve">Long-Term Debt </w:t>
            </w:r>
            <w:r>
              <w:rPr>
                <w:sz w:val="20"/>
                <w:szCs w:val="20"/>
              </w:rPr>
              <w:t>–</w:t>
            </w:r>
            <w:r w:rsidRPr="009F227C">
              <w:rPr>
                <w:sz w:val="20"/>
                <w:szCs w:val="20"/>
              </w:rPr>
              <w:t xml:space="preserve"> Variable</w:t>
            </w:r>
          </w:p>
        </w:tc>
        <w:tc>
          <w:tcPr>
            <w:tcW w:w="1316" w:type="dxa"/>
            <w:tcBorders>
              <w:top w:val="nil"/>
              <w:left w:val="nil"/>
              <w:bottom w:val="nil"/>
              <w:right w:val="nil"/>
            </w:tcBorders>
            <w:shd w:val="clear" w:color="000000" w:fill="FFFFFF"/>
            <w:noWrap/>
            <w:vAlign w:val="bottom"/>
            <w:hideMark/>
          </w:tcPr>
          <w:p w14:paraId="188FBECD" w14:textId="77777777" w:rsidR="008750AD" w:rsidRPr="009F227C" w:rsidRDefault="008750AD" w:rsidP="008750AD">
            <w:pPr>
              <w:jc w:val="right"/>
              <w:rPr>
                <w:sz w:val="20"/>
                <w:szCs w:val="20"/>
              </w:rPr>
            </w:pPr>
            <w:r w:rsidRPr="009F227C">
              <w:rPr>
                <w:sz w:val="20"/>
                <w:szCs w:val="20"/>
              </w:rPr>
              <w:t xml:space="preserve">70,192,308 </w:t>
            </w:r>
          </w:p>
        </w:tc>
        <w:tc>
          <w:tcPr>
            <w:tcW w:w="1000" w:type="dxa"/>
            <w:tcBorders>
              <w:top w:val="nil"/>
              <w:left w:val="nil"/>
              <w:bottom w:val="nil"/>
              <w:right w:val="nil"/>
            </w:tcBorders>
            <w:shd w:val="clear" w:color="000000" w:fill="FFFFFF"/>
            <w:noWrap/>
            <w:vAlign w:val="bottom"/>
            <w:hideMark/>
          </w:tcPr>
          <w:p w14:paraId="5D978055"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1823301F" w14:textId="77777777" w:rsidR="008750AD" w:rsidRPr="009F227C" w:rsidRDefault="008750AD" w:rsidP="008750AD">
            <w:pPr>
              <w:jc w:val="right"/>
              <w:rPr>
                <w:sz w:val="20"/>
                <w:szCs w:val="20"/>
              </w:rPr>
            </w:pPr>
            <w:r w:rsidRPr="009F227C">
              <w:rPr>
                <w:sz w:val="20"/>
                <w:szCs w:val="20"/>
              </w:rPr>
              <w:t xml:space="preserve">70,192,308 </w:t>
            </w:r>
          </w:p>
        </w:tc>
        <w:tc>
          <w:tcPr>
            <w:tcW w:w="1520" w:type="dxa"/>
            <w:tcBorders>
              <w:top w:val="nil"/>
              <w:left w:val="nil"/>
              <w:bottom w:val="nil"/>
              <w:right w:val="nil"/>
            </w:tcBorders>
            <w:shd w:val="clear" w:color="000000" w:fill="FFFFFF"/>
            <w:noWrap/>
            <w:vAlign w:val="bottom"/>
            <w:hideMark/>
          </w:tcPr>
          <w:p w14:paraId="18F9D6AD" w14:textId="77777777" w:rsidR="008750AD" w:rsidRPr="009F227C" w:rsidRDefault="008750AD" w:rsidP="008750AD">
            <w:pPr>
              <w:jc w:val="right"/>
              <w:rPr>
                <w:sz w:val="20"/>
                <w:szCs w:val="20"/>
              </w:rPr>
            </w:pPr>
            <w:r w:rsidRPr="009F227C">
              <w:rPr>
                <w:sz w:val="20"/>
                <w:szCs w:val="20"/>
              </w:rPr>
              <w:t>(53,685,301)</w:t>
            </w:r>
          </w:p>
        </w:tc>
        <w:tc>
          <w:tcPr>
            <w:tcW w:w="1520" w:type="dxa"/>
            <w:tcBorders>
              <w:top w:val="nil"/>
              <w:left w:val="nil"/>
              <w:bottom w:val="nil"/>
              <w:right w:val="nil"/>
            </w:tcBorders>
            <w:shd w:val="clear" w:color="000000" w:fill="FFFFFF"/>
            <w:noWrap/>
            <w:vAlign w:val="bottom"/>
            <w:hideMark/>
          </w:tcPr>
          <w:p w14:paraId="43AD7447" w14:textId="77777777" w:rsidR="008750AD" w:rsidRPr="009F227C" w:rsidRDefault="008750AD" w:rsidP="008750AD">
            <w:pPr>
              <w:jc w:val="right"/>
              <w:rPr>
                <w:sz w:val="20"/>
                <w:szCs w:val="20"/>
              </w:rPr>
            </w:pPr>
            <w:r w:rsidRPr="009F227C">
              <w:rPr>
                <w:sz w:val="20"/>
                <w:szCs w:val="20"/>
              </w:rPr>
              <w:t xml:space="preserve">16,507,007 </w:t>
            </w:r>
          </w:p>
        </w:tc>
        <w:tc>
          <w:tcPr>
            <w:tcW w:w="933" w:type="dxa"/>
            <w:tcBorders>
              <w:top w:val="nil"/>
              <w:left w:val="nil"/>
              <w:bottom w:val="nil"/>
              <w:right w:val="nil"/>
            </w:tcBorders>
            <w:shd w:val="clear" w:color="000000" w:fill="FFFFFF"/>
            <w:noWrap/>
            <w:vAlign w:val="bottom"/>
            <w:hideMark/>
          </w:tcPr>
          <w:p w14:paraId="7052A1EE" w14:textId="77777777" w:rsidR="008750AD" w:rsidRPr="009F227C" w:rsidRDefault="008750AD" w:rsidP="008750AD">
            <w:pPr>
              <w:jc w:val="right"/>
              <w:rPr>
                <w:sz w:val="20"/>
                <w:szCs w:val="20"/>
              </w:rPr>
            </w:pPr>
            <w:r w:rsidRPr="009F227C">
              <w:rPr>
                <w:sz w:val="20"/>
                <w:szCs w:val="20"/>
              </w:rPr>
              <w:t>8.36%</w:t>
            </w:r>
          </w:p>
        </w:tc>
        <w:tc>
          <w:tcPr>
            <w:tcW w:w="963" w:type="dxa"/>
            <w:tcBorders>
              <w:top w:val="nil"/>
              <w:left w:val="nil"/>
              <w:bottom w:val="nil"/>
              <w:right w:val="nil"/>
            </w:tcBorders>
            <w:shd w:val="clear" w:color="000000" w:fill="FFFFFF"/>
            <w:noWrap/>
            <w:vAlign w:val="bottom"/>
            <w:hideMark/>
          </w:tcPr>
          <w:p w14:paraId="2D1B1502" w14:textId="77777777" w:rsidR="008750AD" w:rsidRPr="009F227C" w:rsidRDefault="008750AD" w:rsidP="008750AD">
            <w:pPr>
              <w:jc w:val="right"/>
              <w:rPr>
                <w:sz w:val="20"/>
                <w:szCs w:val="20"/>
              </w:rPr>
            </w:pPr>
            <w:r w:rsidRPr="009F227C">
              <w:rPr>
                <w:sz w:val="20"/>
                <w:szCs w:val="20"/>
              </w:rPr>
              <w:t>7.51%</w:t>
            </w:r>
          </w:p>
        </w:tc>
        <w:tc>
          <w:tcPr>
            <w:tcW w:w="1039" w:type="dxa"/>
            <w:tcBorders>
              <w:top w:val="nil"/>
              <w:left w:val="nil"/>
              <w:bottom w:val="nil"/>
              <w:right w:val="single" w:sz="4" w:space="0" w:color="auto"/>
            </w:tcBorders>
            <w:shd w:val="clear" w:color="000000" w:fill="FFFFFF"/>
            <w:noWrap/>
            <w:vAlign w:val="bottom"/>
            <w:hideMark/>
          </w:tcPr>
          <w:p w14:paraId="0301B6C9" w14:textId="77777777" w:rsidR="008750AD" w:rsidRPr="009F227C" w:rsidRDefault="008750AD" w:rsidP="008750AD">
            <w:pPr>
              <w:jc w:val="right"/>
              <w:rPr>
                <w:sz w:val="20"/>
                <w:szCs w:val="20"/>
              </w:rPr>
            </w:pPr>
            <w:r w:rsidRPr="009F227C">
              <w:rPr>
                <w:sz w:val="20"/>
                <w:szCs w:val="20"/>
              </w:rPr>
              <w:t>0.63%</w:t>
            </w:r>
          </w:p>
        </w:tc>
      </w:tr>
      <w:tr w:rsidR="008750AD" w:rsidRPr="009F227C" w14:paraId="7FB69BFB" w14:textId="77777777" w:rsidTr="008750AD">
        <w:trPr>
          <w:trHeight w:val="216"/>
          <w:jc w:val="center"/>
        </w:trPr>
        <w:tc>
          <w:tcPr>
            <w:tcW w:w="480" w:type="dxa"/>
            <w:tcBorders>
              <w:top w:val="nil"/>
              <w:left w:val="single" w:sz="4" w:space="0" w:color="auto"/>
              <w:bottom w:val="nil"/>
              <w:right w:val="nil"/>
            </w:tcBorders>
            <w:shd w:val="clear" w:color="000000" w:fill="FFFFFF"/>
            <w:noWrap/>
            <w:vAlign w:val="bottom"/>
            <w:hideMark/>
          </w:tcPr>
          <w:p w14:paraId="3F22A337" w14:textId="77777777" w:rsidR="008750AD" w:rsidRPr="009F227C" w:rsidRDefault="008750AD" w:rsidP="008750AD">
            <w:pPr>
              <w:jc w:val="center"/>
              <w:rPr>
                <w:sz w:val="20"/>
                <w:szCs w:val="20"/>
              </w:rPr>
            </w:pPr>
            <w:r w:rsidRPr="009F227C">
              <w:rPr>
                <w:sz w:val="20"/>
                <w:szCs w:val="20"/>
              </w:rPr>
              <w:t>13</w:t>
            </w:r>
          </w:p>
        </w:tc>
        <w:tc>
          <w:tcPr>
            <w:tcW w:w="3440" w:type="dxa"/>
            <w:tcBorders>
              <w:top w:val="nil"/>
              <w:left w:val="nil"/>
              <w:bottom w:val="nil"/>
              <w:right w:val="nil"/>
            </w:tcBorders>
            <w:shd w:val="clear" w:color="000000" w:fill="FFFFFF"/>
            <w:noWrap/>
            <w:vAlign w:val="bottom"/>
            <w:hideMark/>
          </w:tcPr>
          <w:p w14:paraId="2EDC5304" w14:textId="77777777" w:rsidR="008750AD" w:rsidRPr="009F227C" w:rsidRDefault="008750AD" w:rsidP="008750AD">
            <w:pPr>
              <w:rPr>
                <w:sz w:val="20"/>
                <w:szCs w:val="20"/>
              </w:rPr>
            </w:pPr>
            <w:r w:rsidRPr="009F227C">
              <w:rPr>
                <w:sz w:val="20"/>
                <w:szCs w:val="20"/>
              </w:rPr>
              <w:t>Short-term Debt</w:t>
            </w:r>
          </w:p>
        </w:tc>
        <w:tc>
          <w:tcPr>
            <w:tcW w:w="1316" w:type="dxa"/>
            <w:tcBorders>
              <w:top w:val="nil"/>
              <w:left w:val="nil"/>
              <w:bottom w:val="nil"/>
              <w:right w:val="nil"/>
            </w:tcBorders>
            <w:shd w:val="clear" w:color="000000" w:fill="FFFFFF"/>
            <w:noWrap/>
            <w:vAlign w:val="bottom"/>
            <w:hideMark/>
          </w:tcPr>
          <w:p w14:paraId="556998B8" w14:textId="77777777" w:rsidR="008750AD" w:rsidRPr="009F227C" w:rsidRDefault="008750AD" w:rsidP="008750AD">
            <w:pPr>
              <w:jc w:val="right"/>
              <w:rPr>
                <w:sz w:val="20"/>
                <w:szCs w:val="20"/>
              </w:rPr>
            </w:pPr>
            <w:r w:rsidRPr="009F227C">
              <w:rPr>
                <w:sz w:val="20"/>
                <w:szCs w:val="20"/>
              </w:rPr>
              <w:t xml:space="preserve">19,076,923 </w:t>
            </w:r>
          </w:p>
        </w:tc>
        <w:tc>
          <w:tcPr>
            <w:tcW w:w="1000" w:type="dxa"/>
            <w:tcBorders>
              <w:top w:val="nil"/>
              <w:left w:val="nil"/>
              <w:bottom w:val="nil"/>
              <w:right w:val="nil"/>
            </w:tcBorders>
            <w:shd w:val="clear" w:color="000000" w:fill="FFFFFF"/>
            <w:noWrap/>
            <w:vAlign w:val="bottom"/>
            <w:hideMark/>
          </w:tcPr>
          <w:p w14:paraId="4F14A3A2"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65D6610E" w14:textId="77777777" w:rsidR="008750AD" w:rsidRPr="009F227C" w:rsidRDefault="008750AD" w:rsidP="008750AD">
            <w:pPr>
              <w:jc w:val="right"/>
              <w:rPr>
                <w:sz w:val="20"/>
                <w:szCs w:val="20"/>
              </w:rPr>
            </w:pPr>
            <w:r w:rsidRPr="009F227C">
              <w:rPr>
                <w:sz w:val="20"/>
                <w:szCs w:val="20"/>
              </w:rPr>
              <w:t xml:space="preserve">19,076,923 </w:t>
            </w:r>
          </w:p>
        </w:tc>
        <w:tc>
          <w:tcPr>
            <w:tcW w:w="1520" w:type="dxa"/>
            <w:tcBorders>
              <w:top w:val="nil"/>
              <w:left w:val="nil"/>
              <w:bottom w:val="nil"/>
              <w:right w:val="nil"/>
            </w:tcBorders>
            <w:shd w:val="clear" w:color="000000" w:fill="FFFFFF"/>
            <w:noWrap/>
            <w:vAlign w:val="bottom"/>
            <w:hideMark/>
          </w:tcPr>
          <w:p w14:paraId="6C5642CE" w14:textId="77777777" w:rsidR="008750AD" w:rsidRPr="009F227C" w:rsidRDefault="008750AD" w:rsidP="008750AD">
            <w:pPr>
              <w:jc w:val="right"/>
              <w:rPr>
                <w:sz w:val="20"/>
                <w:szCs w:val="20"/>
              </w:rPr>
            </w:pPr>
            <w:r w:rsidRPr="009F227C">
              <w:rPr>
                <w:sz w:val="20"/>
                <w:szCs w:val="20"/>
              </w:rPr>
              <w:t>(14,590,635)</w:t>
            </w:r>
          </w:p>
        </w:tc>
        <w:tc>
          <w:tcPr>
            <w:tcW w:w="1520" w:type="dxa"/>
            <w:tcBorders>
              <w:top w:val="nil"/>
              <w:left w:val="nil"/>
              <w:bottom w:val="nil"/>
              <w:right w:val="nil"/>
            </w:tcBorders>
            <w:shd w:val="clear" w:color="000000" w:fill="FFFFFF"/>
            <w:noWrap/>
            <w:vAlign w:val="bottom"/>
            <w:hideMark/>
          </w:tcPr>
          <w:p w14:paraId="444DC82E" w14:textId="77777777" w:rsidR="008750AD" w:rsidRPr="009F227C" w:rsidRDefault="008750AD" w:rsidP="008750AD">
            <w:pPr>
              <w:jc w:val="right"/>
              <w:rPr>
                <w:sz w:val="20"/>
                <w:szCs w:val="20"/>
              </w:rPr>
            </w:pPr>
            <w:r w:rsidRPr="009F227C">
              <w:rPr>
                <w:sz w:val="20"/>
                <w:szCs w:val="20"/>
              </w:rPr>
              <w:t xml:space="preserve">4,486,288 </w:t>
            </w:r>
          </w:p>
        </w:tc>
        <w:tc>
          <w:tcPr>
            <w:tcW w:w="933" w:type="dxa"/>
            <w:tcBorders>
              <w:top w:val="nil"/>
              <w:left w:val="nil"/>
              <w:bottom w:val="nil"/>
              <w:right w:val="nil"/>
            </w:tcBorders>
            <w:shd w:val="clear" w:color="000000" w:fill="FFFFFF"/>
            <w:noWrap/>
            <w:vAlign w:val="bottom"/>
            <w:hideMark/>
          </w:tcPr>
          <w:p w14:paraId="7705638D" w14:textId="77777777" w:rsidR="008750AD" w:rsidRPr="009F227C" w:rsidRDefault="008750AD" w:rsidP="008750AD">
            <w:pPr>
              <w:jc w:val="right"/>
              <w:rPr>
                <w:sz w:val="20"/>
                <w:szCs w:val="20"/>
              </w:rPr>
            </w:pPr>
            <w:r w:rsidRPr="009F227C">
              <w:rPr>
                <w:sz w:val="20"/>
                <w:szCs w:val="20"/>
              </w:rPr>
              <w:t>2.27%</w:t>
            </w:r>
          </w:p>
        </w:tc>
        <w:tc>
          <w:tcPr>
            <w:tcW w:w="963" w:type="dxa"/>
            <w:tcBorders>
              <w:top w:val="nil"/>
              <w:left w:val="nil"/>
              <w:bottom w:val="nil"/>
              <w:right w:val="nil"/>
            </w:tcBorders>
            <w:shd w:val="clear" w:color="000000" w:fill="FFFFFF"/>
            <w:noWrap/>
            <w:vAlign w:val="bottom"/>
            <w:hideMark/>
          </w:tcPr>
          <w:p w14:paraId="24C90612" w14:textId="77777777" w:rsidR="008750AD" w:rsidRPr="009F227C" w:rsidRDefault="008750AD" w:rsidP="008750AD">
            <w:pPr>
              <w:jc w:val="right"/>
              <w:rPr>
                <w:sz w:val="20"/>
                <w:szCs w:val="20"/>
              </w:rPr>
            </w:pPr>
            <w:r w:rsidRPr="009F227C">
              <w:rPr>
                <w:sz w:val="20"/>
                <w:szCs w:val="20"/>
              </w:rPr>
              <w:t>8.25%</w:t>
            </w:r>
          </w:p>
        </w:tc>
        <w:tc>
          <w:tcPr>
            <w:tcW w:w="1039" w:type="dxa"/>
            <w:tcBorders>
              <w:top w:val="nil"/>
              <w:left w:val="nil"/>
              <w:bottom w:val="nil"/>
              <w:right w:val="single" w:sz="4" w:space="0" w:color="auto"/>
            </w:tcBorders>
            <w:shd w:val="clear" w:color="000000" w:fill="FFFFFF"/>
            <w:noWrap/>
            <w:vAlign w:val="bottom"/>
            <w:hideMark/>
          </w:tcPr>
          <w:p w14:paraId="4EFA9F1B" w14:textId="77777777" w:rsidR="008750AD" w:rsidRPr="009F227C" w:rsidRDefault="008750AD" w:rsidP="008750AD">
            <w:pPr>
              <w:jc w:val="right"/>
              <w:rPr>
                <w:sz w:val="20"/>
                <w:szCs w:val="20"/>
              </w:rPr>
            </w:pPr>
            <w:r w:rsidRPr="009F227C">
              <w:rPr>
                <w:sz w:val="20"/>
                <w:szCs w:val="20"/>
              </w:rPr>
              <w:t>0.19%</w:t>
            </w:r>
          </w:p>
        </w:tc>
      </w:tr>
      <w:tr w:rsidR="008750AD" w:rsidRPr="009F227C" w14:paraId="55E3C2F1"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1B8AEFD6" w14:textId="77777777" w:rsidR="008750AD" w:rsidRPr="009F227C" w:rsidRDefault="008750AD" w:rsidP="008750AD">
            <w:pPr>
              <w:jc w:val="center"/>
              <w:rPr>
                <w:sz w:val="20"/>
                <w:szCs w:val="20"/>
              </w:rPr>
            </w:pPr>
            <w:r w:rsidRPr="009F227C">
              <w:rPr>
                <w:sz w:val="20"/>
                <w:szCs w:val="20"/>
              </w:rPr>
              <w:t>14</w:t>
            </w:r>
          </w:p>
        </w:tc>
        <w:tc>
          <w:tcPr>
            <w:tcW w:w="3440" w:type="dxa"/>
            <w:tcBorders>
              <w:top w:val="nil"/>
              <w:left w:val="nil"/>
              <w:bottom w:val="nil"/>
              <w:right w:val="nil"/>
            </w:tcBorders>
            <w:shd w:val="clear" w:color="000000" w:fill="FFFFFF"/>
            <w:noWrap/>
            <w:vAlign w:val="bottom"/>
            <w:hideMark/>
          </w:tcPr>
          <w:p w14:paraId="3C1F9DC3" w14:textId="77777777" w:rsidR="008750AD" w:rsidRPr="009F227C" w:rsidRDefault="008750AD" w:rsidP="008750AD">
            <w:pPr>
              <w:rPr>
                <w:sz w:val="20"/>
                <w:szCs w:val="20"/>
              </w:rPr>
            </w:pPr>
            <w:r w:rsidRPr="009F227C">
              <w:rPr>
                <w:sz w:val="20"/>
                <w:szCs w:val="20"/>
              </w:rPr>
              <w:t>Preferred Stock</w:t>
            </w:r>
          </w:p>
        </w:tc>
        <w:tc>
          <w:tcPr>
            <w:tcW w:w="1316" w:type="dxa"/>
            <w:tcBorders>
              <w:top w:val="nil"/>
              <w:left w:val="nil"/>
              <w:bottom w:val="nil"/>
              <w:right w:val="nil"/>
            </w:tcBorders>
            <w:shd w:val="clear" w:color="000000" w:fill="FFFFFF"/>
            <w:noWrap/>
            <w:vAlign w:val="bottom"/>
            <w:hideMark/>
          </w:tcPr>
          <w:p w14:paraId="23F42473" w14:textId="77777777" w:rsidR="008750AD" w:rsidRPr="009F227C" w:rsidRDefault="008750AD" w:rsidP="008750AD">
            <w:pPr>
              <w:jc w:val="right"/>
              <w:rPr>
                <w:sz w:val="20"/>
                <w:szCs w:val="20"/>
              </w:rPr>
            </w:pPr>
            <w:r w:rsidRPr="009F227C">
              <w:rPr>
                <w:sz w:val="20"/>
                <w:szCs w:val="20"/>
              </w:rPr>
              <w:t xml:space="preserve">0 </w:t>
            </w:r>
          </w:p>
        </w:tc>
        <w:tc>
          <w:tcPr>
            <w:tcW w:w="1000" w:type="dxa"/>
            <w:tcBorders>
              <w:top w:val="nil"/>
              <w:left w:val="nil"/>
              <w:bottom w:val="nil"/>
              <w:right w:val="nil"/>
            </w:tcBorders>
            <w:shd w:val="clear" w:color="000000" w:fill="FFFFFF"/>
            <w:noWrap/>
            <w:vAlign w:val="bottom"/>
            <w:hideMark/>
          </w:tcPr>
          <w:p w14:paraId="682704C0"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BEE23B3"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9DC5DB9"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560457ED" w14:textId="77777777" w:rsidR="008750AD" w:rsidRPr="009F227C" w:rsidRDefault="008750AD" w:rsidP="008750AD">
            <w:pPr>
              <w:jc w:val="right"/>
              <w:rPr>
                <w:sz w:val="20"/>
                <w:szCs w:val="20"/>
              </w:rPr>
            </w:pPr>
            <w:r w:rsidRPr="009F227C">
              <w:rPr>
                <w:sz w:val="20"/>
                <w:szCs w:val="20"/>
              </w:rPr>
              <w:t xml:space="preserve">0 </w:t>
            </w:r>
          </w:p>
        </w:tc>
        <w:tc>
          <w:tcPr>
            <w:tcW w:w="933" w:type="dxa"/>
            <w:tcBorders>
              <w:top w:val="nil"/>
              <w:left w:val="nil"/>
              <w:bottom w:val="nil"/>
              <w:right w:val="nil"/>
            </w:tcBorders>
            <w:shd w:val="clear" w:color="000000" w:fill="FFFFFF"/>
            <w:noWrap/>
            <w:vAlign w:val="bottom"/>
            <w:hideMark/>
          </w:tcPr>
          <w:p w14:paraId="7FADF124" w14:textId="77777777" w:rsidR="008750AD" w:rsidRPr="009F227C" w:rsidRDefault="008750AD" w:rsidP="008750AD">
            <w:pPr>
              <w:jc w:val="right"/>
              <w:rPr>
                <w:sz w:val="20"/>
                <w:szCs w:val="20"/>
              </w:rPr>
            </w:pPr>
            <w:r w:rsidRPr="009F227C">
              <w:rPr>
                <w:sz w:val="20"/>
                <w:szCs w:val="20"/>
              </w:rPr>
              <w:t>0.00%</w:t>
            </w:r>
          </w:p>
        </w:tc>
        <w:tc>
          <w:tcPr>
            <w:tcW w:w="963" w:type="dxa"/>
            <w:tcBorders>
              <w:top w:val="nil"/>
              <w:left w:val="nil"/>
              <w:bottom w:val="nil"/>
              <w:right w:val="nil"/>
            </w:tcBorders>
            <w:shd w:val="clear" w:color="000000" w:fill="FFFFFF"/>
            <w:noWrap/>
            <w:vAlign w:val="bottom"/>
            <w:hideMark/>
          </w:tcPr>
          <w:p w14:paraId="4F08EE4F"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24AB2CD6" w14:textId="77777777" w:rsidR="008750AD" w:rsidRPr="009F227C" w:rsidRDefault="008750AD" w:rsidP="008750AD">
            <w:pPr>
              <w:jc w:val="right"/>
              <w:rPr>
                <w:sz w:val="20"/>
                <w:szCs w:val="20"/>
              </w:rPr>
            </w:pPr>
            <w:r w:rsidRPr="009F227C">
              <w:rPr>
                <w:sz w:val="20"/>
                <w:szCs w:val="20"/>
              </w:rPr>
              <w:t>0.00%</w:t>
            </w:r>
          </w:p>
        </w:tc>
      </w:tr>
      <w:tr w:rsidR="008750AD" w:rsidRPr="009F227C" w14:paraId="5FA0F5D5"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1DBA700B" w14:textId="77777777" w:rsidR="008750AD" w:rsidRPr="009F227C" w:rsidRDefault="008750AD" w:rsidP="008750AD">
            <w:pPr>
              <w:jc w:val="center"/>
              <w:rPr>
                <w:sz w:val="20"/>
                <w:szCs w:val="20"/>
              </w:rPr>
            </w:pPr>
            <w:r w:rsidRPr="009F227C">
              <w:rPr>
                <w:sz w:val="20"/>
                <w:szCs w:val="20"/>
              </w:rPr>
              <w:t>15</w:t>
            </w:r>
          </w:p>
        </w:tc>
        <w:tc>
          <w:tcPr>
            <w:tcW w:w="3440" w:type="dxa"/>
            <w:tcBorders>
              <w:top w:val="nil"/>
              <w:left w:val="nil"/>
              <w:bottom w:val="nil"/>
              <w:right w:val="nil"/>
            </w:tcBorders>
            <w:shd w:val="clear" w:color="000000" w:fill="FFFFFF"/>
            <w:noWrap/>
            <w:vAlign w:val="bottom"/>
            <w:hideMark/>
          </w:tcPr>
          <w:p w14:paraId="14691D55" w14:textId="77777777" w:rsidR="008750AD" w:rsidRPr="009F227C" w:rsidRDefault="008750AD" w:rsidP="008750AD">
            <w:pPr>
              <w:rPr>
                <w:sz w:val="20"/>
                <w:szCs w:val="20"/>
              </w:rPr>
            </w:pPr>
            <w:r w:rsidRPr="009F227C">
              <w:rPr>
                <w:sz w:val="20"/>
                <w:szCs w:val="20"/>
              </w:rPr>
              <w:t>Common Equity</w:t>
            </w:r>
          </w:p>
        </w:tc>
        <w:tc>
          <w:tcPr>
            <w:tcW w:w="1316" w:type="dxa"/>
            <w:tcBorders>
              <w:top w:val="nil"/>
              <w:left w:val="nil"/>
              <w:bottom w:val="nil"/>
              <w:right w:val="nil"/>
            </w:tcBorders>
            <w:shd w:val="clear" w:color="000000" w:fill="FFFFFF"/>
            <w:noWrap/>
            <w:vAlign w:val="bottom"/>
            <w:hideMark/>
          </w:tcPr>
          <w:p w14:paraId="1F96F65C" w14:textId="77777777" w:rsidR="008750AD" w:rsidRPr="009F227C" w:rsidRDefault="008750AD" w:rsidP="008750AD">
            <w:pPr>
              <w:jc w:val="right"/>
              <w:rPr>
                <w:sz w:val="20"/>
                <w:szCs w:val="20"/>
              </w:rPr>
            </w:pPr>
            <w:r w:rsidRPr="009F227C">
              <w:rPr>
                <w:sz w:val="20"/>
                <w:szCs w:val="20"/>
              </w:rPr>
              <w:t xml:space="preserve">417,085,969 </w:t>
            </w:r>
          </w:p>
        </w:tc>
        <w:tc>
          <w:tcPr>
            <w:tcW w:w="1000" w:type="dxa"/>
            <w:tcBorders>
              <w:top w:val="nil"/>
              <w:left w:val="nil"/>
              <w:bottom w:val="nil"/>
              <w:right w:val="nil"/>
            </w:tcBorders>
            <w:shd w:val="clear" w:color="000000" w:fill="FFFFFF"/>
            <w:noWrap/>
            <w:vAlign w:val="bottom"/>
            <w:hideMark/>
          </w:tcPr>
          <w:p w14:paraId="7D75EEE6"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05AF8B3" w14:textId="77777777" w:rsidR="008750AD" w:rsidRPr="009F227C" w:rsidRDefault="008750AD" w:rsidP="008750AD">
            <w:pPr>
              <w:jc w:val="right"/>
              <w:rPr>
                <w:sz w:val="20"/>
                <w:szCs w:val="20"/>
              </w:rPr>
            </w:pPr>
            <w:r w:rsidRPr="009F227C">
              <w:rPr>
                <w:sz w:val="20"/>
                <w:szCs w:val="20"/>
              </w:rPr>
              <w:t xml:space="preserve">417,085,969 </w:t>
            </w:r>
          </w:p>
        </w:tc>
        <w:tc>
          <w:tcPr>
            <w:tcW w:w="1520" w:type="dxa"/>
            <w:tcBorders>
              <w:top w:val="nil"/>
              <w:left w:val="nil"/>
              <w:bottom w:val="nil"/>
              <w:right w:val="nil"/>
            </w:tcBorders>
            <w:shd w:val="clear" w:color="000000" w:fill="FFFFFF"/>
            <w:noWrap/>
            <w:vAlign w:val="bottom"/>
            <w:hideMark/>
          </w:tcPr>
          <w:p w14:paraId="2D03AA58" w14:textId="77777777" w:rsidR="008750AD" w:rsidRPr="009F227C" w:rsidRDefault="008750AD" w:rsidP="008750AD">
            <w:pPr>
              <w:jc w:val="right"/>
              <w:rPr>
                <w:sz w:val="20"/>
                <w:szCs w:val="20"/>
              </w:rPr>
            </w:pPr>
            <w:r w:rsidRPr="009F227C">
              <w:rPr>
                <w:sz w:val="20"/>
                <w:szCs w:val="20"/>
              </w:rPr>
              <w:t>(319,000,560)</w:t>
            </w:r>
          </w:p>
        </w:tc>
        <w:tc>
          <w:tcPr>
            <w:tcW w:w="1520" w:type="dxa"/>
            <w:tcBorders>
              <w:top w:val="nil"/>
              <w:left w:val="nil"/>
              <w:bottom w:val="nil"/>
              <w:right w:val="nil"/>
            </w:tcBorders>
            <w:shd w:val="clear" w:color="000000" w:fill="FFFFFF"/>
            <w:noWrap/>
            <w:vAlign w:val="bottom"/>
            <w:hideMark/>
          </w:tcPr>
          <w:p w14:paraId="00AAB81B" w14:textId="77777777" w:rsidR="008750AD" w:rsidRPr="009F227C" w:rsidRDefault="008750AD" w:rsidP="008750AD">
            <w:pPr>
              <w:jc w:val="right"/>
              <w:rPr>
                <w:sz w:val="20"/>
                <w:szCs w:val="20"/>
              </w:rPr>
            </w:pPr>
            <w:r w:rsidRPr="009F227C">
              <w:rPr>
                <w:sz w:val="20"/>
                <w:szCs w:val="20"/>
              </w:rPr>
              <w:t xml:space="preserve">98,085,409 </w:t>
            </w:r>
          </w:p>
        </w:tc>
        <w:tc>
          <w:tcPr>
            <w:tcW w:w="933" w:type="dxa"/>
            <w:tcBorders>
              <w:top w:val="nil"/>
              <w:left w:val="nil"/>
              <w:bottom w:val="nil"/>
              <w:right w:val="nil"/>
            </w:tcBorders>
            <w:shd w:val="clear" w:color="000000" w:fill="FFFFFF"/>
            <w:noWrap/>
            <w:vAlign w:val="bottom"/>
            <w:hideMark/>
          </w:tcPr>
          <w:p w14:paraId="306597E3" w14:textId="77777777" w:rsidR="008750AD" w:rsidRPr="009F227C" w:rsidRDefault="008750AD" w:rsidP="008750AD">
            <w:pPr>
              <w:jc w:val="right"/>
              <w:rPr>
                <w:sz w:val="20"/>
                <w:szCs w:val="20"/>
              </w:rPr>
            </w:pPr>
            <w:r w:rsidRPr="009F227C">
              <w:rPr>
                <w:sz w:val="20"/>
                <w:szCs w:val="20"/>
              </w:rPr>
              <w:t>49.69%</w:t>
            </w:r>
          </w:p>
        </w:tc>
        <w:tc>
          <w:tcPr>
            <w:tcW w:w="963" w:type="dxa"/>
            <w:tcBorders>
              <w:top w:val="nil"/>
              <w:left w:val="nil"/>
              <w:bottom w:val="nil"/>
              <w:right w:val="nil"/>
            </w:tcBorders>
            <w:shd w:val="clear" w:color="000000" w:fill="FFFFFF"/>
            <w:noWrap/>
            <w:vAlign w:val="bottom"/>
            <w:hideMark/>
          </w:tcPr>
          <w:p w14:paraId="44809C28" w14:textId="77777777" w:rsidR="008750AD" w:rsidRPr="009F227C" w:rsidRDefault="008750AD" w:rsidP="008750AD">
            <w:pPr>
              <w:jc w:val="right"/>
              <w:rPr>
                <w:sz w:val="20"/>
                <w:szCs w:val="20"/>
              </w:rPr>
            </w:pPr>
            <w:r w:rsidRPr="009F227C">
              <w:rPr>
                <w:sz w:val="20"/>
                <w:szCs w:val="20"/>
              </w:rPr>
              <w:t>10.</w:t>
            </w:r>
            <w:r>
              <w:rPr>
                <w:sz w:val="20"/>
                <w:szCs w:val="20"/>
              </w:rPr>
              <w:t>05</w:t>
            </w:r>
            <w:r w:rsidRPr="009F227C">
              <w:rPr>
                <w:sz w:val="20"/>
                <w:szCs w:val="20"/>
              </w:rPr>
              <w:t>%</w:t>
            </w:r>
          </w:p>
        </w:tc>
        <w:tc>
          <w:tcPr>
            <w:tcW w:w="1039" w:type="dxa"/>
            <w:tcBorders>
              <w:top w:val="nil"/>
              <w:left w:val="nil"/>
              <w:bottom w:val="nil"/>
              <w:right w:val="single" w:sz="4" w:space="0" w:color="auto"/>
            </w:tcBorders>
            <w:shd w:val="clear" w:color="000000" w:fill="FFFFFF"/>
            <w:noWrap/>
            <w:vAlign w:val="bottom"/>
            <w:hideMark/>
          </w:tcPr>
          <w:p w14:paraId="14F394D2" w14:textId="77777777" w:rsidR="008750AD" w:rsidRPr="009F227C" w:rsidRDefault="008750AD" w:rsidP="008750AD">
            <w:pPr>
              <w:jc w:val="right"/>
              <w:rPr>
                <w:sz w:val="20"/>
                <w:szCs w:val="20"/>
              </w:rPr>
            </w:pPr>
            <w:r>
              <w:rPr>
                <w:sz w:val="20"/>
                <w:szCs w:val="20"/>
              </w:rPr>
              <w:t>4.99</w:t>
            </w:r>
            <w:r w:rsidRPr="009F227C">
              <w:rPr>
                <w:sz w:val="20"/>
                <w:szCs w:val="20"/>
              </w:rPr>
              <w:t>%</w:t>
            </w:r>
          </w:p>
        </w:tc>
      </w:tr>
      <w:tr w:rsidR="008750AD" w:rsidRPr="009F227C" w14:paraId="683C1194"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3D03D966" w14:textId="77777777" w:rsidR="008750AD" w:rsidRPr="009F227C" w:rsidRDefault="008750AD" w:rsidP="008750AD">
            <w:pPr>
              <w:jc w:val="center"/>
              <w:rPr>
                <w:sz w:val="20"/>
                <w:szCs w:val="20"/>
              </w:rPr>
            </w:pPr>
            <w:r w:rsidRPr="009F227C">
              <w:rPr>
                <w:sz w:val="20"/>
                <w:szCs w:val="20"/>
              </w:rPr>
              <w:t>16</w:t>
            </w:r>
          </w:p>
        </w:tc>
        <w:tc>
          <w:tcPr>
            <w:tcW w:w="3440" w:type="dxa"/>
            <w:tcBorders>
              <w:top w:val="nil"/>
              <w:left w:val="nil"/>
              <w:bottom w:val="nil"/>
              <w:right w:val="nil"/>
            </w:tcBorders>
            <w:shd w:val="clear" w:color="000000" w:fill="FFFFFF"/>
            <w:noWrap/>
            <w:vAlign w:val="bottom"/>
            <w:hideMark/>
          </w:tcPr>
          <w:p w14:paraId="57B802E8" w14:textId="77777777" w:rsidR="008750AD" w:rsidRPr="009F227C" w:rsidRDefault="008750AD" w:rsidP="008750AD">
            <w:pPr>
              <w:rPr>
                <w:sz w:val="20"/>
                <w:szCs w:val="20"/>
              </w:rPr>
            </w:pPr>
            <w:r w:rsidRPr="009F227C">
              <w:rPr>
                <w:sz w:val="20"/>
                <w:szCs w:val="20"/>
              </w:rPr>
              <w:t>Customer Deposits</w:t>
            </w:r>
          </w:p>
        </w:tc>
        <w:tc>
          <w:tcPr>
            <w:tcW w:w="1316" w:type="dxa"/>
            <w:tcBorders>
              <w:top w:val="nil"/>
              <w:left w:val="nil"/>
              <w:bottom w:val="nil"/>
              <w:right w:val="nil"/>
            </w:tcBorders>
            <w:shd w:val="clear" w:color="000000" w:fill="FFFFFF"/>
            <w:noWrap/>
            <w:vAlign w:val="bottom"/>
            <w:hideMark/>
          </w:tcPr>
          <w:p w14:paraId="49546ADA" w14:textId="77777777" w:rsidR="008750AD" w:rsidRPr="009F227C" w:rsidRDefault="008750AD" w:rsidP="008750AD">
            <w:pPr>
              <w:jc w:val="right"/>
              <w:rPr>
                <w:sz w:val="20"/>
                <w:szCs w:val="20"/>
              </w:rPr>
            </w:pPr>
            <w:r w:rsidRPr="009F227C">
              <w:rPr>
                <w:sz w:val="20"/>
                <w:szCs w:val="20"/>
              </w:rPr>
              <w:t xml:space="preserve">319,453 </w:t>
            </w:r>
          </w:p>
        </w:tc>
        <w:tc>
          <w:tcPr>
            <w:tcW w:w="1000" w:type="dxa"/>
            <w:tcBorders>
              <w:top w:val="nil"/>
              <w:left w:val="nil"/>
              <w:bottom w:val="nil"/>
              <w:right w:val="nil"/>
            </w:tcBorders>
            <w:shd w:val="clear" w:color="000000" w:fill="FFFFFF"/>
            <w:noWrap/>
            <w:vAlign w:val="bottom"/>
            <w:hideMark/>
          </w:tcPr>
          <w:p w14:paraId="46940E9A"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90108E1" w14:textId="77777777" w:rsidR="008750AD" w:rsidRPr="009F227C" w:rsidRDefault="008750AD" w:rsidP="008750AD">
            <w:pPr>
              <w:jc w:val="right"/>
              <w:rPr>
                <w:sz w:val="20"/>
                <w:szCs w:val="20"/>
              </w:rPr>
            </w:pPr>
            <w:r w:rsidRPr="009F227C">
              <w:rPr>
                <w:sz w:val="20"/>
                <w:szCs w:val="20"/>
              </w:rPr>
              <w:t xml:space="preserve">319,453 </w:t>
            </w:r>
          </w:p>
        </w:tc>
        <w:tc>
          <w:tcPr>
            <w:tcW w:w="1520" w:type="dxa"/>
            <w:tcBorders>
              <w:top w:val="nil"/>
              <w:left w:val="nil"/>
              <w:bottom w:val="nil"/>
              <w:right w:val="nil"/>
            </w:tcBorders>
            <w:shd w:val="clear" w:color="000000" w:fill="FFFFFF"/>
            <w:noWrap/>
            <w:vAlign w:val="bottom"/>
            <w:hideMark/>
          </w:tcPr>
          <w:p w14:paraId="77BE7EE5" w14:textId="77777777" w:rsidR="008750AD" w:rsidRPr="009F227C" w:rsidRDefault="008750AD" w:rsidP="008750AD">
            <w:pPr>
              <w:jc w:val="right"/>
              <w:rPr>
                <w:sz w:val="20"/>
                <w:szCs w:val="20"/>
              </w:rPr>
            </w:pPr>
            <w:r w:rsidRPr="009F227C">
              <w:rPr>
                <w:sz w:val="20"/>
                <w:szCs w:val="20"/>
              </w:rPr>
              <w:t>(244,328)</w:t>
            </w:r>
          </w:p>
        </w:tc>
        <w:tc>
          <w:tcPr>
            <w:tcW w:w="1520" w:type="dxa"/>
            <w:tcBorders>
              <w:top w:val="nil"/>
              <w:left w:val="nil"/>
              <w:bottom w:val="nil"/>
              <w:right w:val="nil"/>
            </w:tcBorders>
            <w:shd w:val="clear" w:color="000000" w:fill="FFFFFF"/>
            <w:noWrap/>
            <w:vAlign w:val="bottom"/>
            <w:hideMark/>
          </w:tcPr>
          <w:p w14:paraId="62170B41" w14:textId="77777777" w:rsidR="008750AD" w:rsidRPr="009F227C" w:rsidRDefault="008750AD" w:rsidP="008750AD">
            <w:pPr>
              <w:jc w:val="right"/>
              <w:rPr>
                <w:sz w:val="20"/>
                <w:szCs w:val="20"/>
              </w:rPr>
            </w:pPr>
            <w:r w:rsidRPr="009F227C">
              <w:rPr>
                <w:sz w:val="20"/>
                <w:szCs w:val="20"/>
              </w:rPr>
              <w:t xml:space="preserve">75,125 </w:t>
            </w:r>
          </w:p>
        </w:tc>
        <w:tc>
          <w:tcPr>
            <w:tcW w:w="933" w:type="dxa"/>
            <w:tcBorders>
              <w:top w:val="nil"/>
              <w:left w:val="nil"/>
              <w:bottom w:val="nil"/>
              <w:right w:val="nil"/>
            </w:tcBorders>
            <w:shd w:val="clear" w:color="000000" w:fill="FFFFFF"/>
            <w:noWrap/>
            <w:vAlign w:val="bottom"/>
            <w:hideMark/>
          </w:tcPr>
          <w:p w14:paraId="2917A464" w14:textId="77777777" w:rsidR="008750AD" w:rsidRPr="009F227C" w:rsidRDefault="008750AD" w:rsidP="008750AD">
            <w:pPr>
              <w:jc w:val="right"/>
              <w:rPr>
                <w:sz w:val="20"/>
                <w:szCs w:val="20"/>
              </w:rPr>
            </w:pPr>
            <w:r w:rsidRPr="009F227C">
              <w:rPr>
                <w:sz w:val="20"/>
                <w:szCs w:val="20"/>
              </w:rPr>
              <w:t>0.04%</w:t>
            </w:r>
          </w:p>
        </w:tc>
        <w:tc>
          <w:tcPr>
            <w:tcW w:w="963" w:type="dxa"/>
            <w:tcBorders>
              <w:top w:val="nil"/>
              <w:left w:val="nil"/>
              <w:bottom w:val="nil"/>
              <w:right w:val="nil"/>
            </w:tcBorders>
            <w:shd w:val="clear" w:color="000000" w:fill="FFFFFF"/>
            <w:noWrap/>
            <w:vAlign w:val="bottom"/>
            <w:hideMark/>
          </w:tcPr>
          <w:p w14:paraId="0B0A59C3" w14:textId="77777777" w:rsidR="008750AD" w:rsidRPr="009F227C" w:rsidRDefault="008750AD" w:rsidP="008750AD">
            <w:pPr>
              <w:jc w:val="right"/>
              <w:rPr>
                <w:sz w:val="20"/>
                <w:szCs w:val="20"/>
              </w:rPr>
            </w:pPr>
            <w:r w:rsidRPr="009F227C">
              <w:rPr>
                <w:sz w:val="20"/>
                <w:szCs w:val="20"/>
              </w:rPr>
              <w:t>2.00%</w:t>
            </w:r>
          </w:p>
        </w:tc>
        <w:tc>
          <w:tcPr>
            <w:tcW w:w="1039" w:type="dxa"/>
            <w:tcBorders>
              <w:top w:val="nil"/>
              <w:left w:val="nil"/>
              <w:bottom w:val="nil"/>
              <w:right w:val="single" w:sz="4" w:space="0" w:color="auto"/>
            </w:tcBorders>
            <w:shd w:val="clear" w:color="000000" w:fill="FFFFFF"/>
            <w:noWrap/>
            <w:vAlign w:val="bottom"/>
            <w:hideMark/>
          </w:tcPr>
          <w:p w14:paraId="2722419E" w14:textId="77777777" w:rsidR="008750AD" w:rsidRPr="009F227C" w:rsidRDefault="008750AD" w:rsidP="008750AD">
            <w:pPr>
              <w:jc w:val="right"/>
              <w:rPr>
                <w:sz w:val="20"/>
                <w:szCs w:val="20"/>
              </w:rPr>
            </w:pPr>
            <w:r w:rsidRPr="009F227C">
              <w:rPr>
                <w:sz w:val="20"/>
                <w:szCs w:val="20"/>
              </w:rPr>
              <w:t>0.00%</w:t>
            </w:r>
          </w:p>
        </w:tc>
      </w:tr>
      <w:tr w:rsidR="008750AD" w:rsidRPr="009F227C" w14:paraId="74CCBF5E"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637B4A08" w14:textId="77777777" w:rsidR="008750AD" w:rsidRPr="009F227C" w:rsidRDefault="008750AD" w:rsidP="008750AD">
            <w:pPr>
              <w:jc w:val="center"/>
              <w:rPr>
                <w:sz w:val="20"/>
                <w:szCs w:val="20"/>
              </w:rPr>
            </w:pPr>
            <w:r w:rsidRPr="009F227C">
              <w:rPr>
                <w:sz w:val="20"/>
                <w:szCs w:val="20"/>
              </w:rPr>
              <w:t>17</w:t>
            </w:r>
          </w:p>
        </w:tc>
        <w:tc>
          <w:tcPr>
            <w:tcW w:w="3440" w:type="dxa"/>
            <w:tcBorders>
              <w:top w:val="nil"/>
              <w:left w:val="nil"/>
              <w:bottom w:val="nil"/>
              <w:right w:val="nil"/>
            </w:tcBorders>
            <w:shd w:val="clear" w:color="000000" w:fill="FFFFFF"/>
            <w:noWrap/>
            <w:vAlign w:val="bottom"/>
            <w:hideMark/>
          </w:tcPr>
          <w:p w14:paraId="0BD40AFF" w14:textId="77777777" w:rsidR="008750AD" w:rsidRPr="009F227C" w:rsidRDefault="008750AD" w:rsidP="008750AD">
            <w:pPr>
              <w:rPr>
                <w:sz w:val="20"/>
                <w:szCs w:val="20"/>
              </w:rPr>
            </w:pPr>
            <w:r w:rsidRPr="009F227C">
              <w:rPr>
                <w:sz w:val="20"/>
                <w:szCs w:val="20"/>
              </w:rPr>
              <w:t>Accumulated Deferred ITC's</w:t>
            </w:r>
          </w:p>
        </w:tc>
        <w:tc>
          <w:tcPr>
            <w:tcW w:w="1316" w:type="dxa"/>
            <w:tcBorders>
              <w:top w:val="nil"/>
              <w:left w:val="nil"/>
              <w:bottom w:val="nil"/>
              <w:right w:val="nil"/>
            </w:tcBorders>
            <w:shd w:val="clear" w:color="000000" w:fill="FFFFFF"/>
            <w:noWrap/>
            <w:vAlign w:val="bottom"/>
            <w:hideMark/>
          </w:tcPr>
          <w:p w14:paraId="60B6964D" w14:textId="77777777" w:rsidR="008750AD" w:rsidRPr="009F227C" w:rsidRDefault="008750AD" w:rsidP="008750AD">
            <w:pPr>
              <w:jc w:val="right"/>
              <w:rPr>
                <w:sz w:val="20"/>
                <w:szCs w:val="20"/>
              </w:rPr>
            </w:pPr>
            <w:r w:rsidRPr="009F227C">
              <w:rPr>
                <w:sz w:val="20"/>
                <w:szCs w:val="20"/>
              </w:rPr>
              <w:t xml:space="preserve">61,653 </w:t>
            </w:r>
          </w:p>
        </w:tc>
        <w:tc>
          <w:tcPr>
            <w:tcW w:w="1000" w:type="dxa"/>
            <w:tcBorders>
              <w:top w:val="nil"/>
              <w:left w:val="nil"/>
              <w:bottom w:val="nil"/>
              <w:right w:val="nil"/>
            </w:tcBorders>
            <w:shd w:val="clear" w:color="000000" w:fill="FFFFFF"/>
            <w:noWrap/>
            <w:vAlign w:val="bottom"/>
            <w:hideMark/>
          </w:tcPr>
          <w:p w14:paraId="57B0F49E" w14:textId="77777777" w:rsidR="008750AD" w:rsidRPr="009F227C" w:rsidRDefault="008750AD" w:rsidP="008750AD">
            <w:pPr>
              <w:jc w:val="right"/>
              <w:rPr>
                <w:sz w:val="20"/>
                <w:szCs w:val="20"/>
              </w:rPr>
            </w:pPr>
            <w:r w:rsidRPr="009F227C">
              <w:rPr>
                <w:sz w:val="20"/>
                <w:szCs w:val="20"/>
              </w:rPr>
              <w:t xml:space="preserve">0 </w:t>
            </w:r>
          </w:p>
        </w:tc>
        <w:tc>
          <w:tcPr>
            <w:tcW w:w="1520" w:type="dxa"/>
            <w:tcBorders>
              <w:top w:val="nil"/>
              <w:left w:val="nil"/>
              <w:bottom w:val="nil"/>
              <w:right w:val="nil"/>
            </w:tcBorders>
            <w:shd w:val="clear" w:color="000000" w:fill="FFFFFF"/>
            <w:noWrap/>
            <w:vAlign w:val="bottom"/>
            <w:hideMark/>
          </w:tcPr>
          <w:p w14:paraId="3AA539C6" w14:textId="77777777" w:rsidR="008750AD" w:rsidRPr="009F227C" w:rsidRDefault="008750AD" w:rsidP="008750AD">
            <w:pPr>
              <w:jc w:val="right"/>
              <w:rPr>
                <w:sz w:val="20"/>
                <w:szCs w:val="20"/>
              </w:rPr>
            </w:pPr>
            <w:r w:rsidRPr="009F227C">
              <w:rPr>
                <w:sz w:val="20"/>
                <w:szCs w:val="20"/>
              </w:rPr>
              <w:t xml:space="preserve">61,653 </w:t>
            </w:r>
          </w:p>
        </w:tc>
        <w:tc>
          <w:tcPr>
            <w:tcW w:w="1520" w:type="dxa"/>
            <w:tcBorders>
              <w:top w:val="nil"/>
              <w:left w:val="nil"/>
              <w:bottom w:val="nil"/>
              <w:right w:val="nil"/>
            </w:tcBorders>
            <w:shd w:val="clear" w:color="000000" w:fill="FFFFFF"/>
            <w:noWrap/>
            <w:vAlign w:val="bottom"/>
            <w:hideMark/>
          </w:tcPr>
          <w:p w14:paraId="6FA63BBD" w14:textId="77777777" w:rsidR="008750AD" w:rsidRPr="009F227C" w:rsidRDefault="008750AD" w:rsidP="008750AD">
            <w:pPr>
              <w:jc w:val="right"/>
              <w:rPr>
                <w:sz w:val="20"/>
                <w:szCs w:val="20"/>
              </w:rPr>
            </w:pPr>
            <w:r w:rsidRPr="009F227C">
              <w:rPr>
                <w:sz w:val="20"/>
                <w:szCs w:val="20"/>
              </w:rPr>
              <w:t>(47,154)</w:t>
            </w:r>
          </w:p>
        </w:tc>
        <w:tc>
          <w:tcPr>
            <w:tcW w:w="1520" w:type="dxa"/>
            <w:tcBorders>
              <w:top w:val="nil"/>
              <w:left w:val="nil"/>
              <w:bottom w:val="nil"/>
              <w:right w:val="nil"/>
            </w:tcBorders>
            <w:shd w:val="clear" w:color="000000" w:fill="FFFFFF"/>
            <w:noWrap/>
            <w:vAlign w:val="bottom"/>
            <w:hideMark/>
          </w:tcPr>
          <w:p w14:paraId="574EC78E" w14:textId="77777777" w:rsidR="008750AD" w:rsidRPr="009F227C" w:rsidRDefault="008750AD" w:rsidP="008750AD">
            <w:pPr>
              <w:jc w:val="right"/>
              <w:rPr>
                <w:sz w:val="20"/>
                <w:szCs w:val="20"/>
              </w:rPr>
            </w:pPr>
            <w:r w:rsidRPr="009F227C">
              <w:rPr>
                <w:sz w:val="20"/>
                <w:szCs w:val="20"/>
              </w:rPr>
              <w:t xml:space="preserve">14,499 </w:t>
            </w:r>
          </w:p>
        </w:tc>
        <w:tc>
          <w:tcPr>
            <w:tcW w:w="933" w:type="dxa"/>
            <w:tcBorders>
              <w:top w:val="nil"/>
              <w:left w:val="nil"/>
              <w:bottom w:val="nil"/>
              <w:right w:val="nil"/>
            </w:tcBorders>
            <w:shd w:val="clear" w:color="000000" w:fill="FFFFFF"/>
            <w:noWrap/>
            <w:vAlign w:val="bottom"/>
            <w:hideMark/>
          </w:tcPr>
          <w:p w14:paraId="044A8335" w14:textId="77777777" w:rsidR="008750AD" w:rsidRPr="009F227C" w:rsidRDefault="008750AD" w:rsidP="008750AD">
            <w:pPr>
              <w:jc w:val="right"/>
              <w:rPr>
                <w:sz w:val="20"/>
                <w:szCs w:val="20"/>
              </w:rPr>
            </w:pPr>
            <w:r w:rsidRPr="009F227C">
              <w:rPr>
                <w:sz w:val="20"/>
                <w:szCs w:val="20"/>
              </w:rPr>
              <w:t>0.01%</w:t>
            </w:r>
          </w:p>
        </w:tc>
        <w:tc>
          <w:tcPr>
            <w:tcW w:w="963" w:type="dxa"/>
            <w:tcBorders>
              <w:top w:val="nil"/>
              <w:left w:val="nil"/>
              <w:bottom w:val="nil"/>
              <w:right w:val="nil"/>
            </w:tcBorders>
            <w:shd w:val="clear" w:color="000000" w:fill="FFFFFF"/>
            <w:noWrap/>
            <w:vAlign w:val="bottom"/>
            <w:hideMark/>
          </w:tcPr>
          <w:p w14:paraId="39983BF5"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2040E638" w14:textId="77777777" w:rsidR="008750AD" w:rsidRPr="009F227C" w:rsidRDefault="008750AD" w:rsidP="008750AD">
            <w:pPr>
              <w:jc w:val="right"/>
              <w:rPr>
                <w:sz w:val="20"/>
                <w:szCs w:val="20"/>
              </w:rPr>
            </w:pPr>
            <w:r w:rsidRPr="009F227C">
              <w:rPr>
                <w:sz w:val="20"/>
                <w:szCs w:val="20"/>
              </w:rPr>
              <w:t>0.00%</w:t>
            </w:r>
          </w:p>
        </w:tc>
      </w:tr>
      <w:tr w:rsidR="008750AD" w:rsidRPr="009F227C" w14:paraId="0AEC57F4"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6DD66EDC" w14:textId="77777777" w:rsidR="008750AD" w:rsidRPr="009F227C" w:rsidRDefault="008750AD" w:rsidP="008750AD">
            <w:pPr>
              <w:jc w:val="center"/>
              <w:rPr>
                <w:sz w:val="20"/>
                <w:szCs w:val="20"/>
              </w:rPr>
            </w:pPr>
            <w:r w:rsidRPr="009F227C">
              <w:rPr>
                <w:sz w:val="20"/>
                <w:szCs w:val="20"/>
              </w:rPr>
              <w:t>18</w:t>
            </w:r>
          </w:p>
        </w:tc>
        <w:tc>
          <w:tcPr>
            <w:tcW w:w="3440" w:type="dxa"/>
            <w:tcBorders>
              <w:top w:val="nil"/>
              <w:left w:val="nil"/>
              <w:bottom w:val="nil"/>
              <w:right w:val="nil"/>
            </w:tcBorders>
            <w:shd w:val="clear" w:color="000000" w:fill="FFFFFF"/>
            <w:noWrap/>
            <w:vAlign w:val="bottom"/>
            <w:hideMark/>
          </w:tcPr>
          <w:p w14:paraId="5667D58C" w14:textId="77777777" w:rsidR="008750AD" w:rsidRPr="009F227C" w:rsidRDefault="008750AD" w:rsidP="008750AD">
            <w:pPr>
              <w:rPr>
                <w:sz w:val="20"/>
                <w:szCs w:val="20"/>
              </w:rPr>
            </w:pPr>
            <w:r w:rsidRPr="009F227C">
              <w:rPr>
                <w:sz w:val="20"/>
                <w:szCs w:val="20"/>
              </w:rPr>
              <w:t>Deferred Income Taxes</w:t>
            </w:r>
          </w:p>
        </w:tc>
        <w:tc>
          <w:tcPr>
            <w:tcW w:w="1316" w:type="dxa"/>
            <w:tcBorders>
              <w:top w:val="nil"/>
              <w:left w:val="nil"/>
              <w:bottom w:val="nil"/>
              <w:right w:val="nil"/>
            </w:tcBorders>
            <w:shd w:val="clear" w:color="000000" w:fill="FFFFFF"/>
            <w:noWrap/>
            <w:vAlign w:val="bottom"/>
            <w:hideMark/>
          </w:tcPr>
          <w:p w14:paraId="68783DCA" w14:textId="77777777" w:rsidR="008750AD" w:rsidRPr="009F227C" w:rsidRDefault="008750AD" w:rsidP="008750AD">
            <w:pPr>
              <w:jc w:val="right"/>
              <w:rPr>
                <w:sz w:val="20"/>
                <w:szCs w:val="20"/>
              </w:rPr>
            </w:pPr>
            <w:r w:rsidRPr="009F227C">
              <w:rPr>
                <w:sz w:val="20"/>
                <w:szCs w:val="20"/>
              </w:rPr>
              <w:t xml:space="preserve">5,833,302 </w:t>
            </w:r>
          </w:p>
        </w:tc>
        <w:tc>
          <w:tcPr>
            <w:tcW w:w="1000" w:type="dxa"/>
            <w:tcBorders>
              <w:top w:val="nil"/>
              <w:left w:val="nil"/>
              <w:bottom w:val="nil"/>
              <w:right w:val="nil"/>
            </w:tcBorders>
            <w:shd w:val="clear" w:color="000000" w:fill="FFFFFF"/>
            <w:noWrap/>
            <w:vAlign w:val="bottom"/>
            <w:hideMark/>
          </w:tcPr>
          <w:p w14:paraId="67E757BB" w14:textId="77777777" w:rsidR="008750AD" w:rsidRPr="009F227C" w:rsidRDefault="008750AD" w:rsidP="008750AD">
            <w:pPr>
              <w:jc w:val="right"/>
              <w:rPr>
                <w:sz w:val="20"/>
                <w:szCs w:val="20"/>
              </w:rPr>
            </w:pPr>
            <w:r w:rsidRPr="009F227C">
              <w:rPr>
                <w:sz w:val="20"/>
                <w:szCs w:val="20"/>
              </w:rPr>
              <w:t xml:space="preserve">8,290 </w:t>
            </w:r>
          </w:p>
        </w:tc>
        <w:tc>
          <w:tcPr>
            <w:tcW w:w="1520" w:type="dxa"/>
            <w:tcBorders>
              <w:top w:val="nil"/>
              <w:left w:val="nil"/>
              <w:bottom w:val="nil"/>
              <w:right w:val="nil"/>
            </w:tcBorders>
            <w:shd w:val="clear" w:color="000000" w:fill="FFFFFF"/>
            <w:noWrap/>
            <w:vAlign w:val="bottom"/>
            <w:hideMark/>
          </w:tcPr>
          <w:p w14:paraId="311D899C" w14:textId="77777777" w:rsidR="008750AD" w:rsidRPr="009F227C" w:rsidRDefault="008750AD" w:rsidP="008750AD">
            <w:pPr>
              <w:jc w:val="right"/>
              <w:rPr>
                <w:sz w:val="20"/>
                <w:szCs w:val="20"/>
              </w:rPr>
            </w:pPr>
            <w:r w:rsidRPr="009F227C">
              <w:rPr>
                <w:sz w:val="20"/>
                <w:szCs w:val="20"/>
              </w:rPr>
              <w:t xml:space="preserve">5,841,592 </w:t>
            </w:r>
          </w:p>
        </w:tc>
        <w:tc>
          <w:tcPr>
            <w:tcW w:w="1520" w:type="dxa"/>
            <w:tcBorders>
              <w:top w:val="nil"/>
              <w:left w:val="nil"/>
              <w:bottom w:val="nil"/>
              <w:right w:val="nil"/>
            </w:tcBorders>
            <w:shd w:val="clear" w:color="000000" w:fill="FFFFFF"/>
            <w:noWrap/>
            <w:vAlign w:val="bottom"/>
            <w:hideMark/>
          </w:tcPr>
          <w:p w14:paraId="5534F5FE" w14:textId="77777777" w:rsidR="008750AD" w:rsidRPr="009F227C" w:rsidRDefault="008750AD" w:rsidP="008750AD">
            <w:pPr>
              <w:jc w:val="right"/>
              <w:rPr>
                <w:sz w:val="20"/>
                <w:szCs w:val="20"/>
              </w:rPr>
            </w:pPr>
            <w:r w:rsidRPr="009F227C">
              <w:rPr>
                <w:sz w:val="20"/>
                <w:szCs w:val="20"/>
              </w:rPr>
              <w:t>(4,467,835)</w:t>
            </w:r>
          </w:p>
        </w:tc>
        <w:tc>
          <w:tcPr>
            <w:tcW w:w="1520" w:type="dxa"/>
            <w:tcBorders>
              <w:top w:val="nil"/>
              <w:left w:val="nil"/>
              <w:bottom w:val="nil"/>
              <w:right w:val="nil"/>
            </w:tcBorders>
            <w:shd w:val="clear" w:color="000000" w:fill="FFFFFF"/>
            <w:noWrap/>
            <w:vAlign w:val="bottom"/>
            <w:hideMark/>
          </w:tcPr>
          <w:p w14:paraId="6BCE06AF" w14:textId="77777777" w:rsidR="008750AD" w:rsidRPr="009F227C" w:rsidRDefault="008750AD" w:rsidP="008750AD">
            <w:pPr>
              <w:jc w:val="right"/>
              <w:rPr>
                <w:sz w:val="20"/>
                <w:szCs w:val="20"/>
              </w:rPr>
            </w:pPr>
            <w:r w:rsidRPr="009F227C">
              <w:rPr>
                <w:sz w:val="20"/>
                <w:szCs w:val="20"/>
              </w:rPr>
              <w:t xml:space="preserve">1,373,757 </w:t>
            </w:r>
          </w:p>
        </w:tc>
        <w:tc>
          <w:tcPr>
            <w:tcW w:w="933" w:type="dxa"/>
            <w:tcBorders>
              <w:top w:val="nil"/>
              <w:left w:val="nil"/>
              <w:bottom w:val="nil"/>
              <w:right w:val="nil"/>
            </w:tcBorders>
            <w:shd w:val="clear" w:color="000000" w:fill="FFFFFF"/>
            <w:noWrap/>
            <w:vAlign w:val="bottom"/>
            <w:hideMark/>
          </w:tcPr>
          <w:p w14:paraId="59E3599D" w14:textId="77777777" w:rsidR="008750AD" w:rsidRPr="009F227C" w:rsidRDefault="008750AD" w:rsidP="008750AD">
            <w:pPr>
              <w:jc w:val="right"/>
              <w:rPr>
                <w:sz w:val="20"/>
                <w:szCs w:val="20"/>
              </w:rPr>
            </w:pPr>
            <w:r w:rsidRPr="009F227C">
              <w:rPr>
                <w:sz w:val="20"/>
                <w:szCs w:val="20"/>
              </w:rPr>
              <w:t>0.70%</w:t>
            </w:r>
          </w:p>
        </w:tc>
        <w:tc>
          <w:tcPr>
            <w:tcW w:w="963" w:type="dxa"/>
            <w:tcBorders>
              <w:top w:val="nil"/>
              <w:left w:val="nil"/>
              <w:bottom w:val="nil"/>
              <w:right w:val="nil"/>
            </w:tcBorders>
            <w:shd w:val="clear" w:color="000000" w:fill="FFFFFF"/>
            <w:noWrap/>
            <w:vAlign w:val="bottom"/>
            <w:hideMark/>
          </w:tcPr>
          <w:p w14:paraId="01F1C790"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33818587" w14:textId="77777777" w:rsidR="008750AD" w:rsidRPr="009F227C" w:rsidRDefault="008750AD" w:rsidP="008750AD">
            <w:pPr>
              <w:jc w:val="right"/>
              <w:rPr>
                <w:sz w:val="20"/>
                <w:szCs w:val="20"/>
              </w:rPr>
            </w:pPr>
            <w:r w:rsidRPr="009F227C">
              <w:rPr>
                <w:sz w:val="20"/>
                <w:szCs w:val="20"/>
              </w:rPr>
              <w:t>0.00%</w:t>
            </w:r>
          </w:p>
        </w:tc>
      </w:tr>
      <w:tr w:rsidR="008750AD" w:rsidRPr="009F227C" w14:paraId="45935AE3"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7F6CFD5" w14:textId="77777777" w:rsidR="008750AD" w:rsidRPr="009F227C" w:rsidRDefault="008750AD" w:rsidP="008750AD">
            <w:pPr>
              <w:jc w:val="center"/>
              <w:rPr>
                <w:sz w:val="20"/>
                <w:szCs w:val="20"/>
              </w:rPr>
            </w:pPr>
            <w:r w:rsidRPr="009F227C">
              <w:rPr>
                <w:sz w:val="20"/>
                <w:szCs w:val="20"/>
              </w:rPr>
              <w:t>19</w:t>
            </w:r>
          </w:p>
        </w:tc>
        <w:tc>
          <w:tcPr>
            <w:tcW w:w="3440" w:type="dxa"/>
            <w:tcBorders>
              <w:top w:val="nil"/>
              <w:left w:val="nil"/>
              <w:bottom w:val="nil"/>
              <w:right w:val="nil"/>
            </w:tcBorders>
            <w:shd w:val="clear" w:color="000000" w:fill="FFFFFF"/>
            <w:noWrap/>
            <w:vAlign w:val="bottom"/>
            <w:hideMark/>
          </w:tcPr>
          <w:p w14:paraId="428FEDF4" w14:textId="77777777" w:rsidR="008750AD" w:rsidRPr="009F227C" w:rsidRDefault="008750AD" w:rsidP="008750AD">
            <w:pPr>
              <w:rPr>
                <w:sz w:val="20"/>
                <w:szCs w:val="20"/>
              </w:rPr>
            </w:pPr>
            <w:r w:rsidRPr="009F227C">
              <w:rPr>
                <w:sz w:val="20"/>
                <w:szCs w:val="20"/>
              </w:rPr>
              <w:t>Other Deferred Tax Liability - TCJA</w:t>
            </w:r>
          </w:p>
        </w:tc>
        <w:tc>
          <w:tcPr>
            <w:tcW w:w="1316" w:type="dxa"/>
            <w:tcBorders>
              <w:top w:val="nil"/>
              <w:left w:val="nil"/>
              <w:bottom w:val="nil"/>
              <w:right w:val="nil"/>
            </w:tcBorders>
            <w:shd w:val="clear" w:color="000000" w:fill="FFFFFF"/>
            <w:noWrap/>
            <w:vAlign w:val="bottom"/>
            <w:hideMark/>
          </w:tcPr>
          <w:p w14:paraId="26A87FBC" w14:textId="77777777" w:rsidR="008750AD" w:rsidRPr="009F227C" w:rsidRDefault="008750AD" w:rsidP="008750AD">
            <w:pPr>
              <w:jc w:val="right"/>
              <w:rPr>
                <w:sz w:val="20"/>
                <w:szCs w:val="20"/>
                <w:u w:val="single"/>
              </w:rPr>
            </w:pPr>
            <w:r w:rsidRPr="009F227C">
              <w:rPr>
                <w:sz w:val="20"/>
                <w:szCs w:val="20"/>
                <w:u w:val="single"/>
              </w:rPr>
              <w:t>4,969,273</w:t>
            </w:r>
          </w:p>
        </w:tc>
        <w:tc>
          <w:tcPr>
            <w:tcW w:w="1000" w:type="dxa"/>
            <w:tcBorders>
              <w:top w:val="nil"/>
              <w:left w:val="nil"/>
              <w:bottom w:val="nil"/>
              <w:right w:val="nil"/>
            </w:tcBorders>
            <w:shd w:val="clear" w:color="000000" w:fill="FFFFFF"/>
            <w:noWrap/>
            <w:vAlign w:val="bottom"/>
            <w:hideMark/>
          </w:tcPr>
          <w:p w14:paraId="29391DD3" w14:textId="77777777" w:rsidR="008750AD" w:rsidRPr="009F227C" w:rsidRDefault="008750AD" w:rsidP="008750AD">
            <w:pPr>
              <w:jc w:val="right"/>
              <w:rPr>
                <w:sz w:val="20"/>
                <w:szCs w:val="20"/>
                <w:u w:val="single"/>
              </w:rPr>
            </w:pPr>
            <w:r w:rsidRPr="009F227C">
              <w:rPr>
                <w:sz w:val="20"/>
                <w:szCs w:val="20"/>
                <w:u w:val="single"/>
              </w:rPr>
              <w:t>0</w:t>
            </w:r>
          </w:p>
        </w:tc>
        <w:tc>
          <w:tcPr>
            <w:tcW w:w="1520" w:type="dxa"/>
            <w:tcBorders>
              <w:top w:val="nil"/>
              <w:left w:val="nil"/>
              <w:bottom w:val="nil"/>
              <w:right w:val="nil"/>
            </w:tcBorders>
            <w:shd w:val="clear" w:color="000000" w:fill="FFFFFF"/>
            <w:noWrap/>
            <w:vAlign w:val="bottom"/>
            <w:hideMark/>
          </w:tcPr>
          <w:p w14:paraId="0F39E8EB" w14:textId="77777777" w:rsidR="008750AD" w:rsidRPr="009F227C" w:rsidRDefault="008750AD" w:rsidP="008750AD">
            <w:pPr>
              <w:jc w:val="right"/>
              <w:rPr>
                <w:sz w:val="20"/>
                <w:szCs w:val="20"/>
                <w:u w:val="single"/>
              </w:rPr>
            </w:pPr>
            <w:r w:rsidRPr="009F227C">
              <w:rPr>
                <w:sz w:val="20"/>
                <w:szCs w:val="20"/>
                <w:u w:val="single"/>
              </w:rPr>
              <w:t>4,969,273</w:t>
            </w:r>
          </w:p>
        </w:tc>
        <w:tc>
          <w:tcPr>
            <w:tcW w:w="1520" w:type="dxa"/>
            <w:tcBorders>
              <w:top w:val="nil"/>
              <w:left w:val="nil"/>
              <w:bottom w:val="nil"/>
              <w:right w:val="nil"/>
            </w:tcBorders>
            <w:shd w:val="clear" w:color="000000" w:fill="FFFFFF"/>
            <w:noWrap/>
            <w:vAlign w:val="bottom"/>
            <w:hideMark/>
          </w:tcPr>
          <w:p w14:paraId="3BA93ADD" w14:textId="77777777" w:rsidR="008750AD" w:rsidRPr="009F227C" w:rsidRDefault="008750AD" w:rsidP="008750AD">
            <w:pPr>
              <w:jc w:val="right"/>
              <w:rPr>
                <w:sz w:val="20"/>
                <w:szCs w:val="20"/>
                <w:u w:val="single"/>
              </w:rPr>
            </w:pPr>
            <w:r w:rsidRPr="009F227C">
              <w:rPr>
                <w:sz w:val="20"/>
                <w:szCs w:val="20"/>
                <w:u w:val="single"/>
              </w:rPr>
              <w:t>(3,800,657)</w:t>
            </w:r>
          </w:p>
        </w:tc>
        <w:tc>
          <w:tcPr>
            <w:tcW w:w="1520" w:type="dxa"/>
            <w:tcBorders>
              <w:top w:val="nil"/>
              <w:left w:val="nil"/>
              <w:bottom w:val="nil"/>
              <w:right w:val="nil"/>
            </w:tcBorders>
            <w:shd w:val="clear" w:color="000000" w:fill="FFFFFF"/>
            <w:noWrap/>
            <w:vAlign w:val="bottom"/>
            <w:hideMark/>
          </w:tcPr>
          <w:p w14:paraId="664412AA" w14:textId="77777777" w:rsidR="008750AD" w:rsidRPr="009F227C" w:rsidRDefault="008750AD" w:rsidP="008750AD">
            <w:pPr>
              <w:jc w:val="right"/>
              <w:rPr>
                <w:sz w:val="20"/>
                <w:szCs w:val="20"/>
                <w:u w:val="single"/>
              </w:rPr>
            </w:pPr>
            <w:r w:rsidRPr="009F227C">
              <w:rPr>
                <w:sz w:val="20"/>
                <w:szCs w:val="20"/>
                <w:u w:val="single"/>
              </w:rPr>
              <w:t>1,168,616</w:t>
            </w:r>
          </w:p>
        </w:tc>
        <w:tc>
          <w:tcPr>
            <w:tcW w:w="933" w:type="dxa"/>
            <w:tcBorders>
              <w:top w:val="nil"/>
              <w:left w:val="nil"/>
              <w:bottom w:val="nil"/>
              <w:right w:val="nil"/>
            </w:tcBorders>
            <w:shd w:val="clear" w:color="000000" w:fill="FFFFFF"/>
            <w:noWrap/>
            <w:vAlign w:val="bottom"/>
            <w:hideMark/>
          </w:tcPr>
          <w:p w14:paraId="5C8CF08D" w14:textId="77777777" w:rsidR="008750AD" w:rsidRPr="009F227C" w:rsidRDefault="008750AD" w:rsidP="008750AD">
            <w:pPr>
              <w:jc w:val="right"/>
              <w:rPr>
                <w:sz w:val="20"/>
                <w:szCs w:val="20"/>
              </w:rPr>
            </w:pPr>
            <w:r w:rsidRPr="009F227C">
              <w:rPr>
                <w:sz w:val="20"/>
                <w:szCs w:val="20"/>
              </w:rPr>
              <w:t>0.59%</w:t>
            </w:r>
          </w:p>
        </w:tc>
        <w:tc>
          <w:tcPr>
            <w:tcW w:w="963" w:type="dxa"/>
            <w:tcBorders>
              <w:top w:val="nil"/>
              <w:left w:val="nil"/>
              <w:bottom w:val="nil"/>
              <w:right w:val="nil"/>
            </w:tcBorders>
            <w:shd w:val="clear" w:color="000000" w:fill="FFFFFF"/>
            <w:noWrap/>
            <w:vAlign w:val="bottom"/>
            <w:hideMark/>
          </w:tcPr>
          <w:p w14:paraId="25F54789" w14:textId="77777777" w:rsidR="008750AD" w:rsidRPr="009F227C" w:rsidRDefault="008750AD" w:rsidP="008750AD">
            <w:pPr>
              <w:jc w:val="right"/>
              <w:rPr>
                <w:sz w:val="20"/>
                <w:szCs w:val="20"/>
              </w:rPr>
            </w:pPr>
            <w:r w:rsidRPr="009F227C">
              <w:rPr>
                <w:sz w:val="20"/>
                <w:szCs w:val="20"/>
              </w:rPr>
              <w:t>0.00%</w:t>
            </w:r>
          </w:p>
        </w:tc>
        <w:tc>
          <w:tcPr>
            <w:tcW w:w="1039" w:type="dxa"/>
            <w:tcBorders>
              <w:top w:val="nil"/>
              <w:left w:val="nil"/>
              <w:bottom w:val="nil"/>
              <w:right w:val="single" w:sz="4" w:space="0" w:color="auto"/>
            </w:tcBorders>
            <w:shd w:val="clear" w:color="000000" w:fill="FFFFFF"/>
            <w:noWrap/>
            <w:vAlign w:val="bottom"/>
            <w:hideMark/>
          </w:tcPr>
          <w:p w14:paraId="4DC62557" w14:textId="77777777" w:rsidR="008750AD" w:rsidRPr="009F227C" w:rsidRDefault="008750AD" w:rsidP="008750AD">
            <w:pPr>
              <w:jc w:val="right"/>
              <w:rPr>
                <w:sz w:val="20"/>
                <w:szCs w:val="20"/>
                <w:u w:val="single"/>
              </w:rPr>
            </w:pPr>
            <w:r w:rsidRPr="009F227C">
              <w:rPr>
                <w:sz w:val="20"/>
                <w:szCs w:val="20"/>
                <w:u w:val="single"/>
              </w:rPr>
              <w:t>0.00%</w:t>
            </w:r>
          </w:p>
        </w:tc>
      </w:tr>
      <w:tr w:rsidR="008750AD" w:rsidRPr="009F227C" w14:paraId="37589EAE"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41129FF7" w14:textId="77777777" w:rsidR="008750AD" w:rsidRPr="009F227C" w:rsidRDefault="008750AD" w:rsidP="008750AD">
            <w:pPr>
              <w:jc w:val="center"/>
              <w:rPr>
                <w:sz w:val="20"/>
                <w:szCs w:val="20"/>
              </w:rPr>
            </w:pPr>
            <w:r w:rsidRPr="009F227C">
              <w:rPr>
                <w:sz w:val="20"/>
                <w:szCs w:val="20"/>
              </w:rPr>
              <w:t>20</w:t>
            </w:r>
          </w:p>
        </w:tc>
        <w:tc>
          <w:tcPr>
            <w:tcW w:w="3440" w:type="dxa"/>
            <w:tcBorders>
              <w:top w:val="nil"/>
              <w:left w:val="nil"/>
              <w:bottom w:val="nil"/>
              <w:right w:val="nil"/>
            </w:tcBorders>
            <w:shd w:val="clear" w:color="000000" w:fill="FFFFFF"/>
            <w:noWrap/>
            <w:vAlign w:val="bottom"/>
            <w:hideMark/>
          </w:tcPr>
          <w:p w14:paraId="028F96FC" w14:textId="77777777" w:rsidR="008750AD" w:rsidRPr="009F227C" w:rsidRDefault="008750AD" w:rsidP="008750AD">
            <w:pPr>
              <w:rPr>
                <w:b/>
                <w:bCs/>
                <w:sz w:val="20"/>
                <w:szCs w:val="20"/>
              </w:rPr>
            </w:pPr>
            <w:r w:rsidRPr="009F227C">
              <w:rPr>
                <w:b/>
                <w:bCs/>
                <w:sz w:val="20"/>
                <w:szCs w:val="20"/>
              </w:rPr>
              <w:t>Total Capital</w:t>
            </w:r>
          </w:p>
        </w:tc>
        <w:tc>
          <w:tcPr>
            <w:tcW w:w="1316" w:type="dxa"/>
            <w:tcBorders>
              <w:top w:val="nil"/>
              <w:left w:val="nil"/>
              <w:bottom w:val="nil"/>
              <w:right w:val="nil"/>
            </w:tcBorders>
            <w:shd w:val="clear" w:color="000000" w:fill="FFFFFF"/>
            <w:noWrap/>
            <w:vAlign w:val="bottom"/>
            <w:hideMark/>
          </w:tcPr>
          <w:p w14:paraId="599FE343" w14:textId="77777777" w:rsidR="008750AD" w:rsidRPr="009F227C" w:rsidRDefault="008750AD" w:rsidP="008750AD">
            <w:pPr>
              <w:jc w:val="right"/>
              <w:rPr>
                <w:sz w:val="20"/>
                <w:szCs w:val="20"/>
                <w:u w:val="double"/>
              </w:rPr>
            </w:pPr>
            <w:r w:rsidRPr="009F227C">
              <w:rPr>
                <w:sz w:val="20"/>
                <w:szCs w:val="20"/>
                <w:u w:val="double"/>
              </w:rPr>
              <w:t xml:space="preserve">$839,385,035 </w:t>
            </w:r>
          </w:p>
        </w:tc>
        <w:tc>
          <w:tcPr>
            <w:tcW w:w="1000" w:type="dxa"/>
            <w:tcBorders>
              <w:top w:val="nil"/>
              <w:left w:val="nil"/>
              <w:bottom w:val="nil"/>
              <w:right w:val="nil"/>
            </w:tcBorders>
            <w:shd w:val="clear" w:color="000000" w:fill="FFFFFF"/>
            <w:noWrap/>
            <w:vAlign w:val="bottom"/>
            <w:hideMark/>
          </w:tcPr>
          <w:p w14:paraId="65DE7781" w14:textId="77777777" w:rsidR="008750AD" w:rsidRPr="009F227C" w:rsidRDefault="008750AD" w:rsidP="008750AD">
            <w:pPr>
              <w:jc w:val="right"/>
              <w:rPr>
                <w:sz w:val="20"/>
                <w:szCs w:val="20"/>
                <w:u w:val="double"/>
              </w:rPr>
            </w:pPr>
            <w:r w:rsidRPr="009F227C">
              <w:rPr>
                <w:sz w:val="20"/>
                <w:szCs w:val="20"/>
                <w:u w:val="double"/>
              </w:rPr>
              <w:t xml:space="preserve">$8,290 </w:t>
            </w:r>
          </w:p>
        </w:tc>
        <w:tc>
          <w:tcPr>
            <w:tcW w:w="1520" w:type="dxa"/>
            <w:tcBorders>
              <w:top w:val="nil"/>
              <w:left w:val="nil"/>
              <w:bottom w:val="nil"/>
              <w:right w:val="nil"/>
            </w:tcBorders>
            <w:shd w:val="clear" w:color="000000" w:fill="FFFFFF"/>
            <w:noWrap/>
            <w:vAlign w:val="bottom"/>
            <w:hideMark/>
          </w:tcPr>
          <w:p w14:paraId="229B6B81" w14:textId="77777777" w:rsidR="008750AD" w:rsidRPr="009F227C" w:rsidRDefault="008750AD" w:rsidP="008750AD">
            <w:pPr>
              <w:jc w:val="right"/>
              <w:rPr>
                <w:sz w:val="20"/>
                <w:szCs w:val="20"/>
                <w:u w:val="double"/>
              </w:rPr>
            </w:pPr>
            <w:r w:rsidRPr="009F227C">
              <w:rPr>
                <w:sz w:val="20"/>
                <w:szCs w:val="20"/>
                <w:u w:val="double"/>
              </w:rPr>
              <w:t xml:space="preserve">$839,393,325 </w:t>
            </w:r>
          </w:p>
        </w:tc>
        <w:tc>
          <w:tcPr>
            <w:tcW w:w="1520" w:type="dxa"/>
            <w:tcBorders>
              <w:top w:val="nil"/>
              <w:left w:val="nil"/>
              <w:bottom w:val="nil"/>
              <w:right w:val="nil"/>
            </w:tcBorders>
            <w:shd w:val="clear" w:color="000000" w:fill="FFFFFF"/>
            <w:noWrap/>
            <w:vAlign w:val="bottom"/>
            <w:hideMark/>
          </w:tcPr>
          <w:p w14:paraId="3F77ECF6" w14:textId="77777777" w:rsidR="008750AD" w:rsidRPr="009F227C" w:rsidRDefault="008750AD" w:rsidP="008750AD">
            <w:pPr>
              <w:jc w:val="right"/>
              <w:rPr>
                <w:sz w:val="20"/>
                <w:szCs w:val="20"/>
                <w:u w:val="double"/>
              </w:rPr>
            </w:pPr>
            <w:r w:rsidRPr="009F227C">
              <w:rPr>
                <w:sz w:val="20"/>
                <w:szCs w:val="20"/>
                <w:u w:val="double"/>
              </w:rPr>
              <w:t>($641,994,603)</w:t>
            </w:r>
          </w:p>
        </w:tc>
        <w:tc>
          <w:tcPr>
            <w:tcW w:w="1520" w:type="dxa"/>
            <w:tcBorders>
              <w:top w:val="nil"/>
              <w:left w:val="nil"/>
              <w:bottom w:val="nil"/>
              <w:right w:val="nil"/>
            </w:tcBorders>
            <w:shd w:val="clear" w:color="000000" w:fill="FFFFFF"/>
            <w:noWrap/>
            <w:vAlign w:val="bottom"/>
            <w:hideMark/>
          </w:tcPr>
          <w:p w14:paraId="76CA5C93" w14:textId="77777777" w:rsidR="008750AD" w:rsidRPr="009F227C" w:rsidRDefault="008750AD" w:rsidP="008750AD">
            <w:pPr>
              <w:jc w:val="right"/>
              <w:rPr>
                <w:sz w:val="20"/>
                <w:szCs w:val="20"/>
                <w:u w:val="double"/>
              </w:rPr>
            </w:pPr>
            <w:r w:rsidRPr="009F227C">
              <w:rPr>
                <w:sz w:val="20"/>
                <w:szCs w:val="20"/>
                <w:u w:val="double"/>
              </w:rPr>
              <w:t xml:space="preserve">$197,398,722 </w:t>
            </w:r>
          </w:p>
        </w:tc>
        <w:tc>
          <w:tcPr>
            <w:tcW w:w="933" w:type="dxa"/>
            <w:tcBorders>
              <w:top w:val="nil"/>
              <w:left w:val="nil"/>
              <w:bottom w:val="nil"/>
              <w:right w:val="nil"/>
            </w:tcBorders>
            <w:shd w:val="clear" w:color="000000" w:fill="FFFFFF"/>
            <w:noWrap/>
            <w:vAlign w:val="bottom"/>
            <w:hideMark/>
          </w:tcPr>
          <w:p w14:paraId="4C4E70FB" w14:textId="77777777" w:rsidR="008750AD" w:rsidRPr="009F227C" w:rsidRDefault="008750AD" w:rsidP="008750AD">
            <w:pPr>
              <w:jc w:val="right"/>
              <w:rPr>
                <w:sz w:val="20"/>
                <w:szCs w:val="20"/>
                <w:u w:val="double"/>
              </w:rPr>
            </w:pPr>
            <w:r w:rsidRPr="009F227C">
              <w:rPr>
                <w:sz w:val="20"/>
                <w:szCs w:val="20"/>
                <w:u w:val="double"/>
              </w:rPr>
              <w:t>100.00%</w:t>
            </w:r>
          </w:p>
        </w:tc>
        <w:tc>
          <w:tcPr>
            <w:tcW w:w="963" w:type="dxa"/>
            <w:tcBorders>
              <w:top w:val="nil"/>
              <w:left w:val="nil"/>
              <w:bottom w:val="nil"/>
              <w:right w:val="nil"/>
            </w:tcBorders>
            <w:shd w:val="clear" w:color="000000" w:fill="FFFFFF"/>
            <w:noWrap/>
            <w:vAlign w:val="bottom"/>
            <w:hideMark/>
          </w:tcPr>
          <w:p w14:paraId="78513781" w14:textId="77777777" w:rsidR="008750AD" w:rsidRPr="009F227C" w:rsidRDefault="008750AD" w:rsidP="008750AD">
            <w:pPr>
              <w:rPr>
                <w:sz w:val="20"/>
                <w:szCs w:val="20"/>
                <w:u w:val="double"/>
              </w:rPr>
            </w:pPr>
          </w:p>
        </w:tc>
        <w:tc>
          <w:tcPr>
            <w:tcW w:w="1039" w:type="dxa"/>
            <w:tcBorders>
              <w:top w:val="nil"/>
              <w:left w:val="nil"/>
              <w:bottom w:val="nil"/>
              <w:right w:val="single" w:sz="4" w:space="0" w:color="auto"/>
            </w:tcBorders>
            <w:shd w:val="clear" w:color="000000" w:fill="FFFFFF"/>
            <w:noWrap/>
            <w:vAlign w:val="bottom"/>
            <w:hideMark/>
          </w:tcPr>
          <w:p w14:paraId="5ECB4666" w14:textId="77777777" w:rsidR="008750AD" w:rsidRPr="009F227C" w:rsidRDefault="008750AD" w:rsidP="008750AD">
            <w:pPr>
              <w:jc w:val="right"/>
              <w:rPr>
                <w:sz w:val="20"/>
                <w:szCs w:val="20"/>
                <w:u w:val="double"/>
              </w:rPr>
            </w:pPr>
            <w:r w:rsidRPr="009F227C">
              <w:rPr>
                <w:sz w:val="20"/>
                <w:szCs w:val="20"/>
                <w:u w:val="double"/>
              </w:rPr>
              <w:t>7.7</w:t>
            </w:r>
            <w:r>
              <w:rPr>
                <w:sz w:val="20"/>
                <w:szCs w:val="20"/>
                <w:u w:val="double"/>
              </w:rPr>
              <w:t>0</w:t>
            </w:r>
            <w:r w:rsidRPr="009F227C">
              <w:rPr>
                <w:sz w:val="20"/>
                <w:szCs w:val="20"/>
                <w:u w:val="double"/>
              </w:rPr>
              <w:t>%</w:t>
            </w:r>
          </w:p>
        </w:tc>
      </w:tr>
      <w:tr w:rsidR="008750AD" w:rsidRPr="009F227C" w14:paraId="4574E5E7" w14:textId="77777777" w:rsidTr="008750AD">
        <w:trPr>
          <w:trHeight w:val="171"/>
          <w:jc w:val="center"/>
        </w:trPr>
        <w:tc>
          <w:tcPr>
            <w:tcW w:w="480" w:type="dxa"/>
            <w:tcBorders>
              <w:top w:val="nil"/>
              <w:left w:val="single" w:sz="4" w:space="0" w:color="auto"/>
              <w:bottom w:val="nil"/>
              <w:right w:val="nil"/>
            </w:tcBorders>
            <w:shd w:val="clear" w:color="000000" w:fill="FFFFFF"/>
            <w:noWrap/>
            <w:vAlign w:val="bottom"/>
            <w:hideMark/>
          </w:tcPr>
          <w:p w14:paraId="5DCC5B11" w14:textId="77777777" w:rsidR="008750AD" w:rsidRPr="009F227C" w:rsidRDefault="008750AD" w:rsidP="008750AD">
            <w:pPr>
              <w:rPr>
                <w:sz w:val="20"/>
                <w:szCs w:val="20"/>
              </w:rPr>
            </w:pPr>
            <w:r w:rsidRPr="009F227C">
              <w:rPr>
                <w:sz w:val="20"/>
                <w:szCs w:val="20"/>
              </w:rPr>
              <w:t> </w:t>
            </w:r>
          </w:p>
        </w:tc>
        <w:tc>
          <w:tcPr>
            <w:tcW w:w="3440" w:type="dxa"/>
            <w:tcBorders>
              <w:top w:val="nil"/>
              <w:left w:val="nil"/>
              <w:bottom w:val="nil"/>
              <w:right w:val="nil"/>
            </w:tcBorders>
            <w:shd w:val="clear" w:color="000000" w:fill="FFFFFF"/>
            <w:noWrap/>
            <w:vAlign w:val="bottom"/>
            <w:hideMark/>
          </w:tcPr>
          <w:p w14:paraId="03CE7D90" w14:textId="77777777" w:rsidR="008750AD" w:rsidRPr="009F227C" w:rsidRDefault="008750AD" w:rsidP="008750AD">
            <w:pPr>
              <w:rPr>
                <w:color w:val="000000"/>
                <w:sz w:val="20"/>
                <w:szCs w:val="20"/>
              </w:rPr>
            </w:pPr>
            <w:r w:rsidRPr="009F227C">
              <w:rPr>
                <w:color w:val="000000"/>
                <w:sz w:val="20"/>
                <w:szCs w:val="20"/>
              </w:rPr>
              <w:t> </w:t>
            </w:r>
          </w:p>
        </w:tc>
        <w:tc>
          <w:tcPr>
            <w:tcW w:w="1316" w:type="dxa"/>
            <w:tcBorders>
              <w:top w:val="nil"/>
              <w:left w:val="nil"/>
              <w:bottom w:val="nil"/>
              <w:right w:val="nil"/>
            </w:tcBorders>
            <w:shd w:val="clear" w:color="000000" w:fill="FFFFFF"/>
            <w:noWrap/>
            <w:vAlign w:val="bottom"/>
            <w:hideMark/>
          </w:tcPr>
          <w:p w14:paraId="23B39D62" w14:textId="77777777" w:rsidR="008750AD" w:rsidRPr="009F227C" w:rsidRDefault="008750AD" w:rsidP="008750AD">
            <w:pPr>
              <w:rPr>
                <w:color w:val="000000"/>
                <w:sz w:val="20"/>
                <w:szCs w:val="20"/>
              </w:rPr>
            </w:pPr>
            <w:r w:rsidRPr="009F227C">
              <w:rPr>
                <w:color w:val="000000"/>
                <w:sz w:val="20"/>
                <w:szCs w:val="20"/>
              </w:rPr>
              <w:t> </w:t>
            </w:r>
          </w:p>
        </w:tc>
        <w:tc>
          <w:tcPr>
            <w:tcW w:w="1000" w:type="dxa"/>
            <w:tcBorders>
              <w:top w:val="nil"/>
              <w:left w:val="nil"/>
              <w:bottom w:val="nil"/>
              <w:right w:val="nil"/>
            </w:tcBorders>
            <w:shd w:val="clear" w:color="000000" w:fill="FFFFFF"/>
            <w:noWrap/>
            <w:vAlign w:val="bottom"/>
            <w:hideMark/>
          </w:tcPr>
          <w:p w14:paraId="3CA9888D"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4EE85BCB"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43165B07"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4BAF050B" w14:textId="77777777" w:rsidR="008750AD" w:rsidRPr="009F227C" w:rsidRDefault="008750AD" w:rsidP="008750AD">
            <w:pPr>
              <w:rPr>
                <w:color w:val="000000"/>
                <w:sz w:val="20"/>
                <w:szCs w:val="20"/>
              </w:rPr>
            </w:pPr>
            <w:r w:rsidRPr="009F227C">
              <w:rPr>
                <w:color w:val="000000"/>
                <w:sz w:val="20"/>
                <w:szCs w:val="20"/>
              </w:rPr>
              <w:t> </w:t>
            </w:r>
          </w:p>
        </w:tc>
        <w:tc>
          <w:tcPr>
            <w:tcW w:w="933" w:type="dxa"/>
            <w:tcBorders>
              <w:top w:val="nil"/>
              <w:left w:val="nil"/>
              <w:bottom w:val="nil"/>
              <w:right w:val="nil"/>
            </w:tcBorders>
            <w:shd w:val="clear" w:color="000000" w:fill="FFFFFF"/>
            <w:noWrap/>
            <w:vAlign w:val="bottom"/>
            <w:hideMark/>
          </w:tcPr>
          <w:p w14:paraId="1461473F" w14:textId="77777777" w:rsidR="008750AD" w:rsidRPr="009F227C" w:rsidRDefault="008750AD" w:rsidP="008750AD">
            <w:pPr>
              <w:rPr>
                <w:color w:val="000000"/>
                <w:sz w:val="20"/>
                <w:szCs w:val="20"/>
              </w:rPr>
            </w:pPr>
            <w:r w:rsidRPr="009F227C">
              <w:rPr>
                <w:color w:val="000000"/>
                <w:sz w:val="20"/>
                <w:szCs w:val="20"/>
              </w:rPr>
              <w:t> </w:t>
            </w:r>
          </w:p>
        </w:tc>
        <w:tc>
          <w:tcPr>
            <w:tcW w:w="963" w:type="dxa"/>
            <w:tcBorders>
              <w:top w:val="nil"/>
              <w:left w:val="nil"/>
              <w:bottom w:val="nil"/>
              <w:right w:val="nil"/>
            </w:tcBorders>
            <w:shd w:val="clear" w:color="000000" w:fill="FFFFFF"/>
            <w:noWrap/>
            <w:vAlign w:val="bottom"/>
            <w:hideMark/>
          </w:tcPr>
          <w:p w14:paraId="72F703F7" w14:textId="77777777" w:rsidR="008750AD" w:rsidRPr="009F227C" w:rsidRDefault="008750AD" w:rsidP="008750AD">
            <w:pPr>
              <w:rPr>
                <w:color w:val="000000"/>
                <w:sz w:val="20"/>
                <w:szCs w:val="20"/>
              </w:rPr>
            </w:pPr>
            <w:r w:rsidRPr="009F227C">
              <w:rPr>
                <w:color w:val="000000"/>
                <w:sz w:val="20"/>
                <w:szCs w:val="20"/>
              </w:rPr>
              <w:t> </w:t>
            </w:r>
          </w:p>
        </w:tc>
        <w:tc>
          <w:tcPr>
            <w:tcW w:w="1039" w:type="dxa"/>
            <w:tcBorders>
              <w:top w:val="nil"/>
              <w:left w:val="nil"/>
              <w:bottom w:val="nil"/>
              <w:right w:val="single" w:sz="4" w:space="0" w:color="auto"/>
            </w:tcBorders>
            <w:shd w:val="clear" w:color="000000" w:fill="FFFFFF"/>
            <w:noWrap/>
            <w:vAlign w:val="bottom"/>
            <w:hideMark/>
          </w:tcPr>
          <w:p w14:paraId="096010E5" w14:textId="77777777" w:rsidR="008750AD" w:rsidRPr="009F227C" w:rsidRDefault="008750AD" w:rsidP="008750AD">
            <w:pPr>
              <w:rPr>
                <w:sz w:val="20"/>
                <w:szCs w:val="20"/>
              </w:rPr>
            </w:pPr>
            <w:r w:rsidRPr="009F227C">
              <w:rPr>
                <w:sz w:val="20"/>
                <w:szCs w:val="20"/>
              </w:rPr>
              <w:t> </w:t>
            </w:r>
          </w:p>
        </w:tc>
      </w:tr>
      <w:tr w:rsidR="008750AD" w:rsidRPr="009F227C" w14:paraId="5E72F768" w14:textId="77777777" w:rsidTr="008750AD">
        <w:trPr>
          <w:trHeight w:val="126"/>
          <w:jc w:val="center"/>
        </w:trPr>
        <w:tc>
          <w:tcPr>
            <w:tcW w:w="480" w:type="dxa"/>
            <w:tcBorders>
              <w:top w:val="nil"/>
              <w:left w:val="single" w:sz="4" w:space="0" w:color="auto"/>
              <w:bottom w:val="nil"/>
              <w:right w:val="nil"/>
            </w:tcBorders>
            <w:shd w:val="clear" w:color="000000" w:fill="FFFFFF"/>
            <w:noWrap/>
            <w:vAlign w:val="bottom"/>
            <w:hideMark/>
          </w:tcPr>
          <w:p w14:paraId="30A4980D" w14:textId="77777777" w:rsidR="008750AD" w:rsidRPr="009F227C" w:rsidRDefault="008750AD" w:rsidP="008750AD">
            <w:pPr>
              <w:rPr>
                <w:sz w:val="20"/>
                <w:szCs w:val="20"/>
              </w:rPr>
            </w:pPr>
            <w:r w:rsidRPr="009F227C">
              <w:rPr>
                <w:sz w:val="20"/>
                <w:szCs w:val="20"/>
              </w:rPr>
              <w:t> </w:t>
            </w:r>
          </w:p>
        </w:tc>
        <w:tc>
          <w:tcPr>
            <w:tcW w:w="3440" w:type="dxa"/>
            <w:tcBorders>
              <w:top w:val="nil"/>
              <w:left w:val="nil"/>
              <w:bottom w:val="nil"/>
              <w:right w:val="nil"/>
            </w:tcBorders>
            <w:shd w:val="clear" w:color="000000" w:fill="FFFFFF"/>
            <w:noWrap/>
            <w:vAlign w:val="bottom"/>
            <w:hideMark/>
          </w:tcPr>
          <w:p w14:paraId="3569E8FD" w14:textId="77777777" w:rsidR="008750AD" w:rsidRPr="009F227C" w:rsidRDefault="008750AD" w:rsidP="008750AD">
            <w:pPr>
              <w:rPr>
                <w:color w:val="000000"/>
                <w:sz w:val="20"/>
                <w:szCs w:val="20"/>
              </w:rPr>
            </w:pPr>
            <w:r w:rsidRPr="009F227C">
              <w:rPr>
                <w:color w:val="000000"/>
                <w:sz w:val="20"/>
                <w:szCs w:val="20"/>
              </w:rPr>
              <w:t> </w:t>
            </w:r>
          </w:p>
        </w:tc>
        <w:tc>
          <w:tcPr>
            <w:tcW w:w="1316" w:type="dxa"/>
            <w:tcBorders>
              <w:top w:val="nil"/>
              <w:left w:val="nil"/>
              <w:bottom w:val="nil"/>
              <w:right w:val="nil"/>
            </w:tcBorders>
            <w:shd w:val="clear" w:color="000000" w:fill="FFFFFF"/>
            <w:noWrap/>
            <w:vAlign w:val="bottom"/>
            <w:hideMark/>
          </w:tcPr>
          <w:p w14:paraId="3B1C0994" w14:textId="77777777" w:rsidR="008750AD" w:rsidRPr="009F227C" w:rsidRDefault="008750AD" w:rsidP="008750AD">
            <w:pPr>
              <w:rPr>
                <w:color w:val="000000"/>
                <w:sz w:val="20"/>
                <w:szCs w:val="20"/>
              </w:rPr>
            </w:pPr>
            <w:r w:rsidRPr="009F227C">
              <w:rPr>
                <w:color w:val="000000"/>
                <w:sz w:val="20"/>
                <w:szCs w:val="20"/>
              </w:rPr>
              <w:t> </w:t>
            </w:r>
          </w:p>
        </w:tc>
        <w:tc>
          <w:tcPr>
            <w:tcW w:w="1000" w:type="dxa"/>
            <w:tcBorders>
              <w:top w:val="nil"/>
              <w:left w:val="nil"/>
              <w:bottom w:val="nil"/>
              <w:right w:val="nil"/>
            </w:tcBorders>
            <w:shd w:val="clear" w:color="000000" w:fill="FFFFFF"/>
            <w:noWrap/>
            <w:vAlign w:val="bottom"/>
            <w:hideMark/>
          </w:tcPr>
          <w:p w14:paraId="3DA83A2C"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79CC87CB"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36826079" w14:textId="77777777" w:rsidR="008750AD" w:rsidRPr="009F227C" w:rsidRDefault="008750AD" w:rsidP="008750AD">
            <w:pPr>
              <w:rPr>
                <w:b/>
                <w:bCs/>
                <w:sz w:val="20"/>
                <w:szCs w:val="20"/>
              </w:rPr>
            </w:pPr>
            <w:r w:rsidRPr="009F227C">
              <w:rPr>
                <w:b/>
                <w:bCs/>
                <w:sz w:val="20"/>
                <w:szCs w:val="20"/>
              </w:rPr>
              <w:t> </w:t>
            </w:r>
          </w:p>
        </w:tc>
        <w:tc>
          <w:tcPr>
            <w:tcW w:w="1520" w:type="dxa"/>
            <w:tcBorders>
              <w:top w:val="nil"/>
              <w:left w:val="nil"/>
              <w:bottom w:val="nil"/>
              <w:right w:val="nil"/>
            </w:tcBorders>
            <w:shd w:val="clear" w:color="000000" w:fill="FFFFFF"/>
            <w:noWrap/>
            <w:vAlign w:val="bottom"/>
            <w:hideMark/>
          </w:tcPr>
          <w:p w14:paraId="42BBC0D2" w14:textId="77777777" w:rsidR="008750AD" w:rsidRPr="009F227C" w:rsidRDefault="008750AD" w:rsidP="008750AD">
            <w:pPr>
              <w:rPr>
                <w:b/>
                <w:bCs/>
                <w:sz w:val="20"/>
                <w:szCs w:val="20"/>
              </w:rPr>
            </w:pPr>
            <w:r w:rsidRPr="009F227C">
              <w:rPr>
                <w:b/>
                <w:bCs/>
                <w:sz w:val="20"/>
                <w:szCs w:val="20"/>
              </w:rPr>
              <w:t> </w:t>
            </w:r>
          </w:p>
        </w:tc>
        <w:tc>
          <w:tcPr>
            <w:tcW w:w="933" w:type="dxa"/>
            <w:tcBorders>
              <w:top w:val="nil"/>
              <w:left w:val="nil"/>
              <w:bottom w:val="nil"/>
              <w:right w:val="nil"/>
            </w:tcBorders>
            <w:shd w:val="clear" w:color="000000" w:fill="FFFFFF"/>
            <w:noWrap/>
            <w:vAlign w:val="bottom"/>
            <w:hideMark/>
          </w:tcPr>
          <w:p w14:paraId="37E12157" w14:textId="77777777" w:rsidR="008750AD" w:rsidRPr="009F227C" w:rsidRDefault="008750AD" w:rsidP="008750AD">
            <w:pPr>
              <w:jc w:val="center"/>
              <w:rPr>
                <w:b/>
                <w:bCs/>
                <w:sz w:val="20"/>
                <w:szCs w:val="20"/>
                <w:u w:val="single"/>
              </w:rPr>
            </w:pPr>
            <w:r w:rsidRPr="009F227C">
              <w:rPr>
                <w:b/>
                <w:bCs/>
                <w:sz w:val="20"/>
                <w:szCs w:val="20"/>
                <w:u w:val="single"/>
              </w:rPr>
              <w:t>LOW</w:t>
            </w:r>
          </w:p>
        </w:tc>
        <w:tc>
          <w:tcPr>
            <w:tcW w:w="963" w:type="dxa"/>
            <w:tcBorders>
              <w:top w:val="nil"/>
              <w:left w:val="nil"/>
              <w:bottom w:val="nil"/>
              <w:right w:val="nil"/>
            </w:tcBorders>
            <w:shd w:val="clear" w:color="000000" w:fill="FFFFFF"/>
            <w:noWrap/>
            <w:vAlign w:val="bottom"/>
            <w:hideMark/>
          </w:tcPr>
          <w:p w14:paraId="52C8D368" w14:textId="77777777" w:rsidR="008750AD" w:rsidRPr="009F227C" w:rsidRDefault="008750AD" w:rsidP="008750AD">
            <w:pPr>
              <w:jc w:val="center"/>
              <w:rPr>
                <w:b/>
                <w:bCs/>
                <w:sz w:val="20"/>
                <w:szCs w:val="20"/>
                <w:u w:val="single"/>
              </w:rPr>
            </w:pPr>
            <w:r w:rsidRPr="009F227C">
              <w:rPr>
                <w:b/>
                <w:bCs/>
                <w:sz w:val="20"/>
                <w:szCs w:val="20"/>
                <w:u w:val="single"/>
              </w:rPr>
              <w:t>HIGH</w:t>
            </w:r>
          </w:p>
        </w:tc>
        <w:tc>
          <w:tcPr>
            <w:tcW w:w="1039" w:type="dxa"/>
            <w:tcBorders>
              <w:top w:val="nil"/>
              <w:left w:val="nil"/>
              <w:bottom w:val="nil"/>
              <w:right w:val="single" w:sz="4" w:space="0" w:color="auto"/>
            </w:tcBorders>
            <w:shd w:val="clear" w:color="000000" w:fill="FFFFFF"/>
            <w:noWrap/>
            <w:vAlign w:val="bottom"/>
            <w:hideMark/>
          </w:tcPr>
          <w:p w14:paraId="7D631D96" w14:textId="77777777" w:rsidR="008750AD" w:rsidRPr="009F227C" w:rsidRDefault="008750AD" w:rsidP="008750AD">
            <w:pPr>
              <w:rPr>
                <w:sz w:val="20"/>
                <w:szCs w:val="20"/>
              </w:rPr>
            </w:pPr>
            <w:r w:rsidRPr="009F227C">
              <w:rPr>
                <w:sz w:val="20"/>
                <w:szCs w:val="20"/>
              </w:rPr>
              <w:t> </w:t>
            </w:r>
          </w:p>
        </w:tc>
      </w:tr>
      <w:tr w:rsidR="008750AD" w:rsidRPr="009F227C" w14:paraId="3FBF6068" w14:textId="77777777" w:rsidTr="008750AD">
        <w:trPr>
          <w:trHeight w:val="162"/>
          <w:jc w:val="center"/>
        </w:trPr>
        <w:tc>
          <w:tcPr>
            <w:tcW w:w="480" w:type="dxa"/>
            <w:tcBorders>
              <w:top w:val="nil"/>
              <w:left w:val="single" w:sz="4" w:space="0" w:color="auto"/>
              <w:bottom w:val="nil"/>
              <w:right w:val="nil"/>
            </w:tcBorders>
            <w:shd w:val="clear" w:color="000000" w:fill="FFFFFF"/>
            <w:noWrap/>
            <w:vAlign w:val="bottom"/>
            <w:hideMark/>
          </w:tcPr>
          <w:p w14:paraId="7B8A2A9E" w14:textId="77777777" w:rsidR="008750AD" w:rsidRPr="009F227C" w:rsidRDefault="008750AD" w:rsidP="008750AD">
            <w:pPr>
              <w:rPr>
                <w:sz w:val="20"/>
                <w:szCs w:val="20"/>
              </w:rPr>
            </w:pPr>
            <w:r w:rsidRPr="009F227C">
              <w:rPr>
                <w:sz w:val="20"/>
                <w:szCs w:val="20"/>
              </w:rPr>
              <w:t> </w:t>
            </w:r>
          </w:p>
        </w:tc>
        <w:tc>
          <w:tcPr>
            <w:tcW w:w="3440" w:type="dxa"/>
            <w:tcBorders>
              <w:top w:val="nil"/>
              <w:left w:val="nil"/>
              <w:bottom w:val="nil"/>
              <w:right w:val="nil"/>
            </w:tcBorders>
            <w:shd w:val="clear" w:color="000000" w:fill="FFFFFF"/>
            <w:noWrap/>
            <w:vAlign w:val="bottom"/>
            <w:hideMark/>
          </w:tcPr>
          <w:p w14:paraId="7E91E76E" w14:textId="77777777" w:rsidR="008750AD" w:rsidRPr="009F227C" w:rsidRDefault="008750AD" w:rsidP="008750AD">
            <w:pPr>
              <w:rPr>
                <w:color w:val="000000"/>
                <w:sz w:val="20"/>
                <w:szCs w:val="20"/>
              </w:rPr>
            </w:pPr>
            <w:r w:rsidRPr="009F227C">
              <w:rPr>
                <w:color w:val="000000"/>
                <w:sz w:val="20"/>
                <w:szCs w:val="20"/>
              </w:rPr>
              <w:t> </w:t>
            </w:r>
          </w:p>
        </w:tc>
        <w:tc>
          <w:tcPr>
            <w:tcW w:w="1316" w:type="dxa"/>
            <w:tcBorders>
              <w:top w:val="nil"/>
              <w:left w:val="nil"/>
              <w:bottom w:val="nil"/>
              <w:right w:val="nil"/>
            </w:tcBorders>
            <w:shd w:val="clear" w:color="000000" w:fill="FFFFFF"/>
            <w:noWrap/>
            <w:vAlign w:val="bottom"/>
            <w:hideMark/>
          </w:tcPr>
          <w:p w14:paraId="3E6866DD" w14:textId="77777777" w:rsidR="008750AD" w:rsidRPr="009F227C" w:rsidRDefault="008750AD" w:rsidP="008750AD">
            <w:pPr>
              <w:rPr>
                <w:color w:val="000000"/>
                <w:sz w:val="20"/>
                <w:szCs w:val="20"/>
              </w:rPr>
            </w:pPr>
            <w:r w:rsidRPr="009F227C">
              <w:rPr>
                <w:color w:val="000000"/>
                <w:sz w:val="20"/>
                <w:szCs w:val="20"/>
              </w:rPr>
              <w:t> </w:t>
            </w:r>
          </w:p>
        </w:tc>
        <w:tc>
          <w:tcPr>
            <w:tcW w:w="1000" w:type="dxa"/>
            <w:tcBorders>
              <w:top w:val="nil"/>
              <w:left w:val="nil"/>
              <w:bottom w:val="nil"/>
              <w:right w:val="nil"/>
            </w:tcBorders>
            <w:shd w:val="clear" w:color="000000" w:fill="FFFFFF"/>
            <w:noWrap/>
            <w:vAlign w:val="bottom"/>
            <w:hideMark/>
          </w:tcPr>
          <w:p w14:paraId="463F0886" w14:textId="77777777" w:rsidR="008750AD" w:rsidRPr="009F227C" w:rsidRDefault="008750AD" w:rsidP="008750AD">
            <w:pPr>
              <w:rPr>
                <w:color w:val="000000"/>
                <w:sz w:val="20"/>
                <w:szCs w:val="20"/>
              </w:rPr>
            </w:pPr>
            <w:r w:rsidRPr="009F227C">
              <w:rPr>
                <w:color w:val="000000"/>
                <w:sz w:val="20"/>
                <w:szCs w:val="20"/>
              </w:rPr>
              <w:t> </w:t>
            </w:r>
          </w:p>
        </w:tc>
        <w:tc>
          <w:tcPr>
            <w:tcW w:w="1520" w:type="dxa"/>
            <w:tcBorders>
              <w:top w:val="nil"/>
              <w:left w:val="nil"/>
              <w:bottom w:val="nil"/>
              <w:right w:val="nil"/>
            </w:tcBorders>
            <w:shd w:val="clear" w:color="000000" w:fill="FFFFFF"/>
            <w:noWrap/>
            <w:vAlign w:val="bottom"/>
            <w:hideMark/>
          </w:tcPr>
          <w:p w14:paraId="7B36C728" w14:textId="77777777" w:rsidR="008750AD" w:rsidRPr="009F227C" w:rsidRDefault="008750AD" w:rsidP="008750AD">
            <w:pPr>
              <w:rPr>
                <w:sz w:val="20"/>
                <w:szCs w:val="20"/>
              </w:rPr>
            </w:pPr>
            <w:r w:rsidRPr="009F227C">
              <w:rPr>
                <w:sz w:val="20"/>
                <w:szCs w:val="20"/>
              </w:rPr>
              <w:t> </w:t>
            </w:r>
          </w:p>
        </w:tc>
        <w:tc>
          <w:tcPr>
            <w:tcW w:w="3040" w:type="dxa"/>
            <w:gridSpan w:val="2"/>
            <w:tcBorders>
              <w:top w:val="nil"/>
              <w:left w:val="nil"/>
              <w:bottom w:val="nil"/>
              <w:right w:val="nil"/>
            </w:tcBorders>
            <w:shd w:val="clear" w:color="000000" w:fill="FFFFFF"/>
            <w:noWrap/>
            <w:vAlign w:val="bottom"/>
            <w:hideMark/>
          </w:tcPr>
          <w:p w14:paraId="7F83387F" w14:textId="77777777" w:rsidR="008750AD" w:rsidRPr="009F227C" w:rsidRDefault="008750AD" w:rsidP="008750AD">
            <w:pPr>
              <w:rPr>
                <w:sz w:val="20"/>
                <w:szCs w:val="20"/>
              </w:rPr>
            </w:pPr>
            <w:r w:rsidRPr="009F227C">
              <w:rPr>
                <w:sz w:val="20"/>
                <w:szCs w:val="20"/>
              </w:rPr>
              <w:t xml:space="preserve">   RETURN ON EQUITY</w:t>
            </w:r>
          </w:p>
        </w:tc>
        <w:tc>
          <w:tcPr>
            <w:tcW w:w="933" w:type="dxa"/>
            <w:tcBorders>
              <w:top w:val="nil"/>
              <w:left w:val="nil"/>
              <w:bottom w:val="nil"/>
              <w:right w:val="nil"/>
            </w:tcBorders>
            <w:shd w:val="clear" w:color="000000" w:fill="FFFFFF"/>
            <w:noWrap/>
            <w:vAlign w:val="bottom"/>
            <w:hideMark/>
          </w:tcPr>
          <w:p w14:paraId="681B60C9" w14:textId="77777777" w:rsidR="008750AD" w:rsidRPr="009F227C" w:rsidRDefault="008750AD" w:rsidP="008750AD">
            <w:pPr>
              <w:jc w:val="right"/>
              <w:rPr>
                <w:sz w:val="20"/>
                <w:szCs w:val="20"/>
                <w:u w:val="double"/>
              </w:rPr>
            </w:pPr>
            <w:r w:rsidRPr="009F227C">
              <w:rPr>
                <w:sz w:val="20"/>
                <w:szCs w:val="20"/>
                <w:u w:val="double"/>
              </w:rPr>
              <w:t>9.</w:t>
            </w:r>
            <w:r>
              <w:rPr>
                <w:sz w:val="20"/>
                <w:szCs w:val="20"/>
                <w:u w:val="double"/>
              </w:rPr>
              <w:t>05</w:t>
            </w:r>
            <w:r w:rsidRPr="009F227C">
              <w:rPr>
                <w:sz w:val="20"/>
                <w:szCs w:val="20"/>
                <w:u w:val="double"/>
              </w:rPr>
              <w:t>%</w:t>
            </w:r>
          </w:p>
        </w:tc>
        <w:tc>
          <w:tcPr>
            <w:tcW w:w="963" w:type="dxa"/>
            <w:tcBorders>
              <w:top w:val="nil"/>
              <w:left w:val="nil"/>
              <w:bottom w:val="nil"/>
              <w:right w:val="nil"/>
            </w:tcBorders>
            <w:shd w:val="clear" w:color="000000" w:fill="FFFFFF"/>
            <w:noWrap/>
            <w:vAlign w:val="bottom"/>
            <w:hideMark/>
          </w:tcPr>
          <w:p w14:paraId="7D5CFA93" w14:textId="77777777" w:rsidR="008750AD" w:rsidRPr="009F227C" w:rsidRDefault="008750AD" w:rsidP="008750AD">
            <w:pPr>
              <w:jc w:val="right"/>
              <w:rPr>
                <w:sz w:val="20"/>
                <w:szCs w:val="20"/>
                <w:u w:val="double"/>
              </w:rPr>
            </w:pPr>
            <w:r w:rsidRPr="009F227C">
              <w:rPr>
                <w:sz w:val="20"/>
                <w:szCs w:val="20"/>
                <w:u w:val="double"/>
              </w:rPr>
              <w:t>11.</w:t>
            </w:r>
            <w:r>
              <w:rPr>
                <w:sz w:val="20"/>
                <w:szCs w:val="20"/>
                <w:u w:val="double"/>
              </w:rPr>
              <w:t>05</w:t>
            </w:r>
            <w:r w:rsidRPr="009F227C">
              <w:rPr>
                <w:sz w:val="20"/>
                <w:szCs w:val="20"/>
                <w:u w:val="double"/>
              </w:rPr>
              <w:t>%</w:t>
            </w:r>
          </w:p>
        </w:tc>
        <w:tc>
          <w:tcPr>
            <w:tcW w:w="1039" w:type="dxa"/>
            <w:tcBorders>
              <w:top w:val="nil"/>
              <w:left w:val="nil"/>
              <w:bottom w:val="nil"/>
              <w:right w:val="single" w:sz="4" w:space="0" w:color="auto"/>
            </w:tcBorders>
            <w:shd w:val="clear" w:color="000000" w:fill="FFFFFF"/>
            <w:noWrap/>
            <w:vAlign w:val="bottom"/>
            <w:hideMark/>
          </w:tcPr>
          <w:p w14:paraId="7305C765" w14:textId="77777777" w:rsidR="008750AD" w:rsidRPr="009F227C" w:rsidRDefault="008750AD" w:rsidP="008750AD">
            <w:pPr>
              <w:rPr>
                <w:sz w:val="20"/>
                <w:szCs w:val="20"/>
              </w:rPr>
            </w:pPr>
            <w:r w:rsidRPr="009F227C">
              <w:rPr>
                <w:sz w:val="20"/>
                <w:szCs w:val="20"/>
              </w:rPr>
              <w:t> </w:t>
            </w:r>
          </w:p>
        </w:tc>
      </w:tr>
      <w:tr w:rsidR="008750AD" w:rsidRPr="009F227C" w14:paraId="44CF5447" w14:textId="77777777" w:rsidTr="008750AD">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2BE25338" w14:textId="77777777" w:rsidR="008750AD" w:rsidRPr="009F227C" w:rsidRDefault="008750AD" w:rsidP="008750AD">
            <w:pPr>
              <w:rPr>
                <w:sz w:val="20"/>
                <w:szCs w:val="20"/>
              </w:rPr>
            </w:pPr>
            <w:r w:rsidRPr="009F227C">
              <w:rPr>
                <w:sz w:val="20"/>
                <w:szCs w:val="20"/>
              </w:rPr>
              <w:t> </w:t>
            </w:r>
          </w:p>
        </w:tc>
        <w:tc>
          <w:tcPr>
            <w:tcW w:w="3440" w:type="dxa"/>
            <w:tcBorders>
              <w:top w:val="nil"/>
              <w:left w:val="nil"/>
              <w:bottom w:val="single" w:sz="4" w:space="0" w:color="auto"/>
              <w:right w:val="nil"/>
            </w:tcBorders>
            <w:shd w:val="clear" w:color="000000" w:fill="FFFFFF"/>
            <w:noWrap/>
            <w:vAlign w:val="bottom"/>
            <w:hideMark/>
          </w:tcPr>
          <w:p w14:paraId="249F523A" w14:textId="77777777" w:rsidR="008750AD" w:rsidRPr="009F227C" w:rsidRDefault="008750AD" w:rsidP="008750AD">
            <w:pPr>
              <w:rPr>
                <w:color w:val="000000"/>
                <w:sz w:val="20"/>
                <w:szCs w:val="20"/>
              </w:rPr>
            </w:pPr>
            <w:r w:rsidRPr="009F227C">
              <w:rPr>
                <w:color w:val="000000"/>
                <w:sz w:val="20"/>
                <w:szCs w:val="20"/>
              </w:rPr>
              <w:t> </w:t>
            </w:r>
          </w:p>
        </w:tc>
        <w:tc>
          <w:tcPr>
            <w:tcW w:w="1316" w:type="dxa"/>
            <w:tcBorders>
              <w:top w:val="nil"/>
              <w:left w:val="nil"/>
              <w:bottom w:val="single" w:sz="4" w:space="0" w:color="auto"/>
              <w:right w:val="nil"/>
            </w:tcBorders>
            <w:shd w:val="clear" w:color="000000" w:fill="FFFFFF"/>
            <w:noWrap/>
            <w:vAlign w:val="bottom"/>
            <w:hideMark/>
          </w:tcPr>
          <w:p w14:paraId="0F224E78" w14:textId="77777777" w:rsidR="008750AD" w:rsidRPr="009F227C" w:rsidRDefault="008750AD" w:rsidP="008750AD">
            <w:pPr>
              <w:rPr>
                <w:color w:val="000000"/>
                <w:sz w:val="20"/>
                <w:szCs w:val="20"/>
              </w:rPr>
            </w:pPr>
            <w:r w:rsidRPr="009F227C">
              <w:rPr>
                <w:color w:val="000000"/>
                <w:sz w:val="20"/>
                <w:szCs w:val="20"/>
              </w:rPr>
              <w:t> </w:t>
            </w:r>
          </w:p>
        </w:tc>
        <w:tc>
          <w:tcPr>
            <w:tcW w:w="1000" w:type="dxa"/>
            <w:tcBorders>
              <w:top w:val="nil"/>
              <w:left w:val="nil"/>
              <w:bottom w:val="single" w:sz="4" w:space="0" w:color="auto"/>
              <w:right w:val="nil"/>
            </w:tcBorders>
            <w:shd w:val="clear" w:color="000000" w:fill="FFFFFF"/>
            <w:noWrap/>
            <w:vAlign w:val="bottom"/>
            <w:hideMark/>
          </w:tcPr>
          <w:p w14:paraId="32290B71" w14:textId="77777777" w:rsidR="008750AD" w:rsidRPr="009F227C" w:rsidRDefault="008750AD" w:rsidP="008750AD">
            <w:pPr>
              <w:rPr>
                <w:sz w:val="20"/>
                <w:szCs w:val="20"/>
              </w:rPr>
            </w:pPr>
            <w:r w:rsidRPr="009F227C">
              <w:rPr>
                <w:sz w:val="20"/>
                <w:szCs w:val="20"/>
              </w:rPr>
              <w:t> </w:t>
            </w:r>
          </w:p>
        </w:tc>
        <w:tc>
          <w:tcPr>
            <w:tcW w:w="1520" w:type="dxa"/>
            <w:tcBorders>
              <w:top w:val="nil"/>
              <w:left w:val="nil"/>
              <w:bottom w:val="single" w:sz="4" w:space="0" w:color="auto"/>
              <w:right w:val="nil"/>
            </w:tcBorders>
            <w:shd w:val="clear" w:color="000000" w:fill="FFFFFF"/>
            <w:noWrap/>
            <w:vAlign w:val="bottom"/>
            <w:hideMark/>
          </w:tcPr>
          <w:p w14:paraId="6BA8AA37" w14:textId="77777777" w:rsidR="008750AD" w:rsidRPr="009F227C" w:rsidRDefault="008750AD" w:rsidP="008750AD">
            <w:pPr>
              <w:rPr>
                <w:sz w:val="20"/>
                <w:szCs w:val="20"/>
              </w:rPr>
            </w:pPr>
            <w:r w:rsidRPr="009F227C">
              <w:rPr>
                <w:sz w:val="20"/>
                <w:szCs w:val="20"/>
              </w:rPr>
              <w:t> </w:t>
            </w:r>
          </w:p>
        </w:tc>
        <w:tc>
          <w:tcPr>
            <w:tcW w:w="3040" w:type="dxa"/>
            <w:gridSpan w:val="2"/>
            <w:tcBorders>
              <w:top w:val="nil"/>
              <w:left w:val="nil"/>
              <w:bottom w:val="single" w:sz="4" w:space="0" w:color="auto"/>
              <w:right w:val="nil"/>
            </w:tcBorders>
            <w:shd w:val="clear" w:color="000000" w:fill="FFFFFF"/>
            <w:noWrap/>
            <w:vAlign w:val="bottom"/>
            <w:hideMark/>
          </w:tcPr>
          <w:p w14:paraId="4096FAB7" w14:textId="77777777" w:rsidR="008750AD" w:rsidRPr="009F227C" w:rsidRDefault="008750AD" w:rsidP="008750AD">
            <w:pPr>
              <w:rPr>
                <w:sz w:val="20"/>
                <w:szCs w:val="20"/>
              </w:rPr>
            </w:pPr>
            <w:r w:rsidRPr="009F227C">
              <w:rPr>
                <w:sz w:val="20"/>
                <w:szCs w:val="20"/>
              </w:rPr>
              <w:t xml:space="preserve">   OVERALL RATE OF RETURN</w:t>
            </w:r>
          </w:p>
        </w:tc>
        <w:tc>
          <w:tcPr>
            <w:tcW w:w="933" w:type="dxa"/>
            <w:tcBorders>
              <w:top w:val="nil"/>
              <w:left w:val="nil"/>
              <w:bottom w:val="single" w:sz="4" w:space="0" w:color="auto"/>
              <w:right w:val="nil"/>
            </w:tcBorders>
            <w:shd w:val="clear" w:color="000000" w:fill="FFFFFF"/>
            <w:noWrap/>
            <w:vAlign w:val="bottom"/>
            <w:hideMark/>
          </w:tcPr>
          <w:p w14:paraId="7B1D0655" w14:textId="77777777" w:rsidR="008750AD" w:rsidRPr="009F227C" w:rsidRDefault="008750AD" w:rsidP="008750AD">
            <w:pPr>
              <w:jc w:val="right"/>
              <w:rPr>
                <w:sz w:val="20"/>
                <w:szCs w:val="20"/>
                <w:u w:val="double"/>
              </w:rPr>
            </w:pPr>
            <w:r w:rsidRPr="009F227C">
              <w:rPr>
                <w:sz w:val="20"/>
                <w:szCs w:val="20"/>
                <w:u w:val="double"/>
              </w:rPr>
              <w:t>7.2</w:t>
            </w:r>
            <w:r>
              <w:rPr>
                <w:sz w:val="20"/>
                <w:szCs w:val="20"/>
                <w:u w:val="double"/>
              </w:rPr>
              <w:t>0</w:t>
            </w:r>
            <w:r w:rsidRPr="009F227C">
              <w:rPr>
                <w:sz w:val="20"/>
                <w:szCs w:val="20"/>
                <w:u w:val="double"/>
              </w:rPr>
              <w:t>%</w:t>
            </w:r>
          </w:p>
        </w:tc>
        <w:tc>
          <w:tcPr>
            <w:tcW w:w="963" w:type="dxa"/>
            <w:tcBorders>
              <w:top w:val="nil"/>
              <w:left w:val="nil"/>
              <w:bottom w:val="single" w:sz="4" w:space="0" w:color="auto"/>
              <w:right w:val="nil"/>
            </w:tcBorders>
            <w:shd w:val="clear" w:color="000000" w:fill="FFFFFF"/>
            <w:noWrap/>
            <w:vAlign w:val="bottom"/>
            <w:hideMark/>
          </w:tcPr>
          <w:p w14:paraId="2388F280" w14:textId="77777777" w:rsidR="008750AD" w:rsidRPr="009F227C" w:rsidRDefault="008750AD" w:rsidP="008750AD">
            <w:pPr>
              <w:jc w:val="right"/>
              <w:rPr>
                <w:sz w:val="20"/>
                <w:szCs w:val="20"/>
                <w:u w:val="double"/>
              </w:rPr>
            </w:pPr>
            <w:r w:rsidRPr="009F227C">
              <w:rPr>
                <w:sz w:val="20"/>
                <w:szCs w:val="20"/>
                <w:u w:val="double"/>
              </w:rPr>
              <w:t>8.</w:t>
            </w:r>
            <w:r>
              <w:rPr>
                <w:sz w:val="20"/>
                <w:szCs w:val="20"/>
                <w:u w:val="double"/>
              </w:rPr>
              <w:t>19</w:t>
            </w:r>
            <w:r w:rsidRPr="009F227C">
              <w:rPr>
                <w:sz w:val="20"/>
                <w:szCs w:val="20"/>
                <w:u w:val="double"/>
              </w:rPr>
              <w:t>%</w:t>
            </w:r>
          </w:p>
        </w:tc>
        <w:tc>
          <w:tcPr>
            <w:tcW w:w="1039" w:type="dxa"/>
            <w:tcBorders>
              <w:top w:val="nil"/>
              <w:left w:val="nil"/>
              <w:bottom w:val="single" w:sz="4" w:space="0" w:color="auto"/>
              <w:right w:val="single" w:sz="4" w:space="0" w:color="auto"/>
            </w:tcBorders>
            <w:shd w:val="clear" w:color="000000" w:fill="FFFFFF"/>
            <w:noWrap/>
            <w:vAlign w:val="bottom"/>
            <w:hideMark/>
          </w:tcPr>
          <w:p w14:paraId="57CBE9A5" w14:textId="77777777" w:rsidR="008750AD" w:rsidRPr="009F227C" w:rsidRDefault="008750AD" w:rsidP="008750AD">
            <w:pPr>
              <w:rPr>
                <w:sz w:val="20"/>
                <w:szCs w:val="20"/>
              </w:rPr>
            </w:pPr>
            <w:r w:rsidRPr="009F227C">
              <w:rPr>
                <w:sz w:val="20"/>
                <w:szCs w:val="20"/>
              </w:rPr>
              <w:t> </w:t>
            </w:r>
          </w:p>
        </w:tc>
      </w:tr>
    </w:tbl>
    <w:p w14:paraId="473A0793" w14:textId="77777777" w:rsidR="0062216C" w:rsidRPr="009F227C" w:rsidRDefault="0062216C" w:rsidP="005F7ACC">
      <w:pPr>
        <w:pStyle w:val="OrderBody"/>
        <w:sectPr w:rsidR="0062216C" w:rsidRPr="009F227C" w:rsidSect="00AC30DF">
          <w:headerReference w:type="first" r:id="rId11"/>
          <w:pgSz w:w="15840" w:h="12240" w:orient="landscape" w:code="1"/>
          <w:pgMar w:top="1440" w:right="1440" w:bottom="1440" w:left="1440" w:header="720" w:footer="720" w:gutter="0"/>
          <w:cols w:space="720"/>
          <w:titlePg/>
          <w:docGrid w:linePitch="360"/>
        </w:sectPr>
      </w:pPr>
    </w:p>
    <w:tbl>
      <w:tblPr>
        <w:tblW w:w="11628" w:type="dxa"/>
        <w:jc w:val="center"/>
        <w:tblLook w:val="04A0" w:firstRow="1" w:lastRow="0" w:firstColumn="1" w:lastColumn="0" w:noHBand="0" w:noVBand="1"/>
      </w:tblPr>
      <w:tblGrid>
        <w:gridCol w:w="480"/>
        <w:gridCol w:w="2460"/>
        <w:gridCol w:w="1220"/>
        <w:gridCol w:w="1220"/>
        <w:gridCol w:w="1220"/>
        <w:gridCol w:w="1250"/>
        <w:gridCol w:w="1220"/>
        <w:gridCol w:w="1220"/>
        <w:gridCol w:w="1338"/>
      </w:tblGrid>
      <w:tr w:rsidR="0062216C" w:rsidRPr="009F227C" w14:paraId="77842D9A" w14:textId="77777777" w:rsidTr="008750AD">
        <w:trPr>
          <w:trHeight w:val="233"/>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18416D4B" w14:textId="77777777" w:rsidR="0062216C" w:rsidRPr="009F227C" w:rsidRDefault="0062216C" w:rsidP="004E4E2B">
            <w:pPr>
              <w:rPr>
                <w:sz w:val="20"/>
                <w:szCs w:val="20"/>
              </w:rPr>
            </w:pPr>
            <w:r w:rsidRPr="009F227C">
              <w:rPr>
                <w:sz w:val="20"/>
                <w:szCs w:val="20"/>
              </w:rPr>
              <w:lastRenderedPageBreak/>
              <w:t> </w:t>
            </w:r>
          </w:p>
        </w:tc>
        <w:tc>
          <w:tcPr>
            <w:tcW w:w="2460" w:type="dxa"/>
            <w:tcBorders>
              <w:top w:val="single" w:sz="4" w:space="0" w:color="auto"/>
              <w:left w:val="nil"/>
              <w:bottom w:val="nil"/>
              <w:right w:val="nil"/>
            </w:tcBorders>
            <w:shd w:val="clear" w:color="000000" w:fill="FFFFFF"/>
            <w:noWrap/>
            <w:vAlign w:val="bottom"/>
            <w:hideMark/>
          </w:tcPr>
          <w:p w14:paraId="210A9663"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2E381A06"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394B2BA7"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13D6667C" w14:textId="77777777" w:rsidR="0062216C" w:rsidRPr="009F227C" w:rsidRDefault="0062216C" w:rsidP="004E4E2B">
            <w:pPr>
              <w:rPr>
                <w:sz w:val="20"/>
                <w:szCs w:val="20"/>
              </w:rPr>
            </w:pPr>
            <w:r w:rsidRPr="009F227C">
              <w:rPr>
                <w:sz w:val="20"/>
                <w:szCs w:val="20"/>
              </w:rPr>
              <w:t> </w:t>
            </w:r>
          </w:p>
        </w:tc>
        <w:tc>
          <w:tcPr>
            <w:tcW w:w="1250" w:type="dxa"/>
            <w:tcBorders>
              <w:top w:val="single" w:sz="4" w:space="0" w:color="auto"/>
              <w:left w:val="nil"/>
              <w:bottom w:val="nil"/>
              <w:right w:val="nil"/>
            </w:tcBorders>
            <w:shd w:val="clear" w:color="000000" w:fill="FFFFFF"/>
            <w:noWrap/>
            <w:vAlign w:val="bottom"/>
            <w:hideMark/>
          </w:tcPr>
          <w:p w14:paraId="23265B18"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11817C77"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2F90A56B" w14:textId="77777777" w:rsidR="0062216C" w:rsidRPr="009F227C" w:rsidRDefault="0062216C" w:rsidP="004E4E2B">
            <w:pPr>
              <w:rPr>
                <w:sz w:val="20"/>
                <w:szCs w:val="20"/>
              </w:rPr>
            </w:pPr>
            <w:r w:rsidRPr="009F227C">
              <w:rPr>
                <w:sz w:val="20"/>
                <w:szCs w:val="20"/>
              </w:rPr>
              <w:t> </w:t>
            </w:r>
          </w:p>
        </w:tc>
        <w:tc>
          <w:tcPr>
            <w:tcW w:w="1338" w:type="dxa"/>
            <w:tcBorders>
              <w:top w:val="single" w:sz="4" w:space="0" w:color="auto"/>
              <w:left w:val="nil"/>
              <w:bottom w:val="nil"/>
              <w:right w:val="single" w:sz="4" w:space="0" w:color="auto"/>
            </w:tcBorders>
            <w:shd w:val="clear" w:color="000000" w:fill="FFFFFF"/>
            <w:noWrap/>
            <w:vAlign w:val="bottom"/>
            <w:hideMark/>
          </w:tcPr>
          <w:p w14:paraId="5B26B896" w14:textId="77777777" w:rsidR="0062216C" w:rsidRPr="009F227C" w:rsidRDefault="0062216C" w:rsidP="004E4E2B">
            <w:pPr>
              <w:rPr>
                <w:sz w:val="20"/>
                <w:szCs w:val="20"/>
              </w:rPr>
            </w:pPr>
            <w:r w:rsidRPr="009F227C">
              <w:rPr>
                <w:sz w:val="20"/>
                <w:szCs w:val="20"/>
              </w:rPr>
              <w:t> </w:t>
            </w:r>
          </w:p>
        </w:tc>
      </w:tr>
      <w:tr w:rsidR="0062216C" w:rsidRPr="009F227C" w14:paraId="6B5F6099"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4D6685B" w14:textId="77777777" w:rsidR="0062216C" w:rsidRPr="009F227C" w:rsidRDefault="0062216C" w:rsidP="004E4E2B">
            <w:pPr>
              <w:rPr>
                <w:color w:val="000000"/>
                <w:sz w:val="20"/>
                <w:szCs w:val="20"/>
              </w:rPr>
            </w:pPr>
            <w:r w:rsidRPr="009F227C">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14:paraId="506E24D4" w14:textId="77777777" w:rsidR="0062216C" w:rsidRPr="009F227C" w:rsidRDefault="0062216C" w:rsidP="004E4E2B">
            <w:pPr>
              <w:rPr>
                <w:b/>
                <w:bCs/>
                <w:sz w:val="20"/>
                <w:szCs w:val="20"/>
              </w:rPr>
            </w:pPr>
            <w:r w:rsidRPr="009F227C">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14:paraId="2C87B494"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6D276A41" w14:textId="77777777" w:rsidR="0062216C" w:rsidRPr="009F227C" w:rsidRDefault="0062216C" w:rsidP="004E4E2B">
            <w:pPr>
              <w:rPr>
                <w:b/>
                <w:bCs/>
                <w:sz w:val="20"/>
                <w:szCs w:val="20"/>
              </w:rPr>
            </w:pPr>
            <w:r w:rsidRPr="009F227C">
              <w:rPr>
                <w:b/>
                <w:bCs/>
                <w:sz w:val="20"/>
                <w:szCs w:val="20"/>
              </w:rPr>
              <w:t> </w:t>
            </w:r>
          </w:p>
        </w:tc>
        <w:tc>
          <w:tcPr>
            <w:tcW w:w="1250" w:type="dxa"/>
            <w:tcBorders>
              <w:top w:val="nil"/>
              <w:left w:val="nil"/>
              <w:bottom w:val="nil"/>
              <w:right w:val="nil"/>
            </w:tcBorders>
            <w:shd w:val="clear" w:color="000000" w:fill="FFFFFF"/>
            <w:noWrap/>
            <w:vAlign w:val="bottom"/>
            <w:hideMark/>
          </w:tcPr>
          <w:p w14:paraId="1C242D50"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32EB068B" w14:textId="77777777" w:rsidR="0062216C" w:rsidRPr="009F227C" w:rsidRDefault="0062216C" w:rsidP="004E4E2B">
            <w:pPr>
              <w:rPr>
                <w:b/>
                <w:bCs/>
                <w:sz w:val="20"/>
                <w:szCs w:val="20"/>
              </w:rPr>
            </w:pPr>
            <w:r w:rsidRPr="009F227C">
              <w:rPr>
                <w:b/>
                <w:bCs/>
                <w:sz w:val="20"/>
                <w:szCs w:val="20"/>
              </w:rPr>
              <w:t> </w:t>
            </w:r>
          </w:p>
        </w:tc>
        <w:tc>
          <w:tcPr>
            <w:tcW w:w="2558" w:type="dxa"/>
            <w:gridSpan w:val="2"/>
            <w:tcBorders>
              <w:top w:val="nil"/>
              <w:left w:val="nil"/>
              <w:bottom w:val="nil"/>
              <w:right w:val="single" w:sz="4" w:space="0" w:color="000000"/>
            </w:tcBorders>
            <w:shd w:val="clear" w:color="000000" w:fill="FFFFFF"/>
            <w:noWrap/>
            <w:vAlign w:val="bottom"/>
            <w:hideMark/>
          </w:tcPr>
          <w:p w14:paraId="7D66C9F9" w14:textId="77777777" w:rsidR="0062216C" w:rsidRPr="009F227C" w:rsidRDefault="0062216C" w:rsidP="004E4E2B">
            <w:pPr>
              <w:jc w:val="right"/>
              <w:rPr>
                <w:b/>
                <w:bCs/>
                <w:sz w:val="20"/>
                <w:szCs w:val="20"/>
              </w:rPr>
            </w:pPr>
            <w:r w:rsidRPr="009F227C">
              <w:rPr>
                <w:b/>
                <w:bCs/>
                <w:sz w:val="20"/>
                <w:szCs w:val="20"/>
              </w:rPr>
              <w:t>Schedule No. 3-A</w:t>
            </w:r>
          </w:p>
        </w:tc>
      </w:tr>
      <w:tr w:rsidR="0062216C" w:rsidRPr="009F227C" w14:paraId="4F26B745"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4509B342" w14:textId="77777777" w:rsidR="0062216C" w:rsidRPr="009F227C" w:rsidRDefault="0062216C" w:rsidP="004E4E2B">
            <w:pPr>
              <w:rPr>
                <w:color w:val="000000"/>
                <w:sz w:val="20"/>
                <w:szCs w:val="20"/>
              </w:rPr>
            </w:pPr>
            <w:r w:rsidRPr="009F227C">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14:paraId="202ED78D" w14:textId="77777777" w:rsidR="0062216C" w:rsidRPr="009F227C" w:rsidRDefault="0062216C" w:rsidP="004E4E2B">
            <w:pPr>
              <w:rPr>
                <w:b/>
                <w:bCs/>
                <w:sz w:val="20"/>
                <w:szCs w:val="20"/>
              </w:rPr>
            </w:pPr>
            <w:r w:rsidRPr="009F227C">
              <w:rPr>
                <w:b/>
                <w:bCs/>
                <w:sz w:val="20"/>
                <w:szCs w:val="20"/>
              </w:rPr>
              <w:t>Statement of Water Operations</w:t>
            </w:r>
          </w:p>
        </w:tc>
        <w:tc>
          <w:tcPr>
            <w:tcW w:w="1220" w:type="dxa"/>
            <w:tcBorders>
              <w:top w:val="nil"/>
              <w:left w:val="nil"/>
              <w:bottom w:val="nil"/>
              <w:right w:val="nil"/>
            </w:tcBorders>
            <w:shd w:val="clear" w:color="000000" w:fill="FFFFFF"/>
            <w:noWrap/>
            <w:vAlign w:val="bottom"/>
            <w:hideMark/>
          </w:tcPr>
          <w:p w14:paraId="400FF744"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3F8DCAA3" w14:textId="77777777" w:rsidR="0062216C" w:rsidRPr="009F227C" w:rsidRDefault="0062216C" w:rsidP="004E4E2B">
            <w:pPr>
              <w:rPr>
                <w:b/>
                <w:bCs/>
                <w:sz w:val="20"/>
                <w:szCs w:val="20"/>
              </w:rPr>
            </w:pPr>
            <w:r w:rsidRPr="009F227C">
              <w:rPr>
                <w:b/>
                <w:bCs/>
                <w:sz w:val="20"/>
                <w:szCs w:val="20"/>
              </w:rPr>
              <w:t> </w:t>
            </w:r>
          </w:p>
        </w:tc>
        <w:tc>
          <w:tcPr>
            <w:tcW w:w="1250" w:type="dxa"/>
            <w:tcBorders>
              <w:top w:val="nil"/>
              <w:left w:val="nil"/>
              <w:bottom w:val="nil"/>
              <w:right w:val="nil"/>
            </w:tcBorders>
            <w:shd w:val="clear" w:color="000000" w:fill="FFFFFF"/>
            <w:noWrap/>
            <w:vAlign w:val="bottom"/>
            <w:hideMark/>
          </w:tcPr>
          <w:p w14:paraId="3DA3AE60"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4B656693" w14:textId="77777777" w:rsidR="0062216C" w:rsidRPr="009F227C" w:rsidRDefault="0062216C" w:rsidP="004E4E2B">
            <w:pPr>
              <w:rPr>
                <w:b/>
                <w:bCs/>
                <w:sz w:val="20"/>
                <w:szCs w:val="20"/>
              </w:rPr>
            </w:pPr>
            <w:r w:rsidRPr="009F227C">
              <w:rPr>
                <w:b/>
                <w:bCs/>
                <w:sz w:val="20"/>
                <w:szCs w:val="20"/>
              </w:rPr>
              <w:t> </w:t>
            </w:r>
          </w:p>
        </w:tc>
        <w:tc>
          <w:tcPr>
            <w:tcW w:w="2558" w:type="dxa"/>
            <w:gridSpan w:val="2"/>
            <w:tcBorders>
              <w:top w:val="nil"/>
              <w:left w:val="nil"/>
              <w:bottom w:val="nil"/>
              <w:right w:val="single" w:sz="4" w:space="0" w:color="000000"/>
            </w:tcBorders>
            <w:shd w:val="clear" w:color="000000" w:fill="FFFFFF"/>
            <w:noWrap/>
            <w:vAlign w:val="bottom"/>
            <w:hideMark/>
          </w:tcPr>
          <w:p w14:paraId="0C1CFD1B" w14:textId="77777777" w:rsidR="0062216C" w:rsidRPr="009F227C" w:rsidRDefault="0062216C" w:rsidP="004E4E2B">
            <w:pPr>
              <w:jc w:val="right"/>
              <w:rPr>
                <w:b/>
                <w:bCs/>
                <w:sz w:val="20"/>
                <w:szCs w:val="20"/>
              </w:rPr>
            </w:pPr>
            <w:r w:rsidRPr="009F227C">
              <w:rPr>
                <w:b/>
                <w:bCs/>
                <w:sz w:val="20"/>
                <w:szCs w:val="20"/>
              </w:rPr>
              <w:t>Docket No. 20240068-WS</w:t>
            </w:r>
          </w:p>
        </w:tc>
      </w:tr>
      <w:tr w:rsidR="0062216C" w:rsidRPr="009F227C" w14:paraId="088FB01C"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1B51B054" w14:textId="77777777" w:rsidR="0062216C" w:rsidRPr="009F227C" w:rsidRDefault="0062216C" w:rsidP="004E4E2B">
            <w:pPr>
              <w:rPr>
                <w:color w:val="000000"/>
                <w:sz w:val="20"/>
                <w:szCs w:val="20"/>
              </w:rPr>
            </w:pPr>
            <w:r w:rsidRPr="009F227C">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14:paraId="27E64D53" w14:textId="77777777" w:rsidR="0062216C" w:rsidRPr="009F227C" w:rsidRDefault="0062216C" w:rsidP="004E4E2B">
            <w:pPr>
              <w:rPr>
                <w:b/>
                <w:bCs/>
                <w:sz w:val="20"/>
                <w:szCs w:val="20"/>
              </w:rPr>
            </w:pPr>
            <w:r w:rsidRPr="009F227C">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14:paraId="49313594"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7FE15317" w14:textId="77777777" w:rsidR="0062216C" w:rsidRPr="009F227C" w:rsidRDefault="0062216C" w:rsidP="004E4E2B">
            <w:pPr>
              <w:rPr>
                <w:b/>
                <w:bCs/>
                <w:sz w:val="20"/>
                <w:szCs w:val="20"/>
              </w:rPr>
            </w:pPr>
            <w:r w:rsidRPr="009F227C">
              <w:rPr>
                <w:b/>
                <w:bCs/>
                <w:sz w:val="20"/>
                <w:szCs w:val="20"/>
              </w:rPr>
              <w:t> </w:t>
            </w:r>
          </w:p>
        </w:tc>
        <w:tc>
          <w:tcPr>
            <w:tcW w:w="1250" w:type="dxa"/>
            <w:tcBorders>
              <w:top w:val="nil"/>
              <w:left w:val="nil"/>
              <w:bottom w:val="nil"/>
              <w:right w:val="nil"/>
            </w:tcBorders>
            <w:shd w:val="clear" w:color="000000" w:fill="FFFFFF"/>
            <w:noWrap/>
            <w:vAlign w:val="bottom"/>
            <w:hideMark/>
          </w:tcPr>
          <w:p w14:paraId="023DA1E1"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1177E66B"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3FCF5AC2" w14:textId="77777777" w:rsidR="0062216C" w:rsidRPr="009F227C" w:rsidRDefault="0062216C" w:rsidP="004E4E2B">
            <w:pPr>
              <w:rPr>
                <w:b/>
                <w:bCs/>
                <w:sz w:val="20"/>
                <w:szCs w:val="20"/>
              </w:rPr>
            </w:pPr>
            <w:r w:rsidRPr="009F227C">
              <w:rPr>
                <w:b/>
                <w:bCs/>
                <w:sz w:val="20"/>
                <w:szCs w:val="20"/>
              </w:rPr>
              <w:t> </w:t>
            </w:r>
          </w:p>
        </w:tc>
        <w:tc>
          <w:tcPr>
            <w:tcW w:w="1338" w:type="dxa"/>
            <w:tcBorders>
              <w:top w:val="nil"/>
              <w:left w:val="nil"/>
              <w:bottom w:val="nil"/>
              <w:right w:val="single" w:sz="4" w:space="0" w:color="auto"/>
            </w:tcBorders>
            <w:shd w:val="clear" w:color="000000" w:fill="FFFFFF"/>
            <w:noWrap/>
            <w:vAlign w:val="bottom"/>
            <w:hideMark/>
          </w:tcPr>
          <w:p w14:paraId="10D9A4B0" w14:textId="77777777" w:rsidR="0062216C" w:rsidRPr="009F227C" w:rsidRDefault="0062216C" w:rsidP="004E4E2B">
            <w:pPr>
              <w:rPr>
                <w:b/>
                <w:bCs/>
                <w:sz w:val="20"/>
                <w:szCs w:val="20"/>
              </w:rPr>
            </w:pPr>
            <w:r w:rsidRPr="009F227C">
              <w:rPr>
                <w:b/>
                <w:bCs/>
                <w:sz w:val="20"/>
                <w:szCs w:val="20"/>
              </w:rPr>
              <w:t> </w:t>
            </w:r>
          </w:p>
        </w:tc>
      </w:tr>
      <w:tr w:rsidR="0062216C" w:rsidRPr="009F227C" w14:paraId="157B6AB3" w14:textId="77777777" w:rsidTr="008750AD">
        <w:trPr>
          <w:trHeight w:val="117"/>
          <w:jc w:val="center"/>
        </w:trPr>
        <w:tc>
          <w:tcPr>
            <w:tcW w:w="480" w:type="dxa"/>
            <w:tcBorders>
              <w:top w:val="nil"/>
              <w:left w:val="single" w:sz="4" w:space="0" w:color="auto"/>
              <w:bottom w:val="nil"/>
              <w:right w:val="nil"/>
            </w:tcBorders>
            <w:shd w:val="clear" w:color="000000" w:fill="FFFFFF"/>
            <w:noWrap/>
            <w:vAlign w:val="bottom"/>
            <w:hideMark/>
          </w:tcPr>
          <w:p w14:paraId="0B63D02E"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0F363C6C"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EB8A83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D193909"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BAE1B49" w14:textId="77777777" w:rsidR="0062216C" w:rsidRPr="009F227C" w:rsidRDefault="0062216C" w:rsidP="004E4E2B">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715993A9"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482B9ED"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6237291" w14:textId="77777777" w:rsidR="0062216C" w:rsidRPr="009F227C" w:rsidRDefault="0062216C" w:rsidP="004E4E2B">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8EF0ABA" w14:textId="77777777" w:rsidR="0062216C" w:rsidRPr="009F227C" w:rsidRDefault="0062216C" w:rsidP="004E4E2B">
            <w:pPr>
              <w:rPr>
                <w:sz w:val="20"/>
                <w:szCs w:val="20"/>
              </w:rPr>
            </w:pPr>
            <w:r w:rsidRPr="009F227C">
              <w:rPr>
                <w:sz w:val="20"/>
                <w:szCs w:val="20"/>
              </w:rPr>
              <w:t> </w:t>
            </w:r>
          </w:p>
        </w:tc>
      </w:tr>
      <w:tr w:rsidR="0062216C" w:rsidRPr="009F227C" w14:paraId="5643614E" w14:textId="77777777" w:rsidTr="008750AD">
        <w:trPr>
          <w:trHeight w:val="152"/>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3AB9026F" w14:textId="77777777" w:rsidR="0062216C" w:rsidRPr="009F227C" w:rsidRDefault="0062216C" w:rsidP="004E4E2B">
            <w:pPr>
              <w:rPr>
                <w:b/>
                <w:bCs/>
                <w:sz w:val="20"/>
                <w:szCs w:val="20"/>
              </w:rPr>
            </w:pPr>
            <w:r w:rsidRPr="009F227C">
              <w:rPr>
                <w:b/>
                <w:bCs/>
                <w:sz w:val="20"/>
                <w:szCs w:val="20"/>
              </w:rPr>
              <w:t> </w:t>
            </w:r>
          </w:p>
        </w:tc>
        <w:tc>
          <w:tcPr>
            <w:tcW w:w="2460" w:type="dxa"/>
            <w:tcBorders>
              <w:top w:val="single" w:sz="4" w:space="0" w:color="000000"/>
              <w:left w:val="nil"/>
              <w:bottom w:val="nil"/>
              <w:right w:val="nil"/>
            </w:tcBorders>
            <w:shd w:val="clear" w:color="000000" w:fill="FFFFFF"/>
            <w:noWrap/>
            <w:vAlign w:val="bottom"/>
            <w:hideMark/>
          </w:tcPr>
          <w:p w14:paraId="669F3902"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55AF605"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D9CCDB3"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538C0220" w14:textId="77777777" w:rsidR="0062216C" w:rsidRPr="009F227C" w:rsidRDefault="0062216C" w:rsidP="004E4E2B">
            <w:pPr>
              <w:rPr>
                <w:b/>
                <w:bCs/>
                <w:sz w:val="20"/>
                <w:szCs w:val="20"/>
              </w:rPr>
            </w:pPr>
            <w:r w:rsidRPr="009F227C">
              <w:rPr>
                <w:b/>
                <w:bCs/>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3D3A6502"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441E056"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E47F837" w14:textId="77777777" w:rsidR="0062216C" w:rsidRPr="009F227C" w:rsidRDefault="0062216C" w:rsidP="004E4E2B">
            <w:pPr>
              <w:rPr>
                <w:b/>
                <w:bCs/>
                <w:sz w:val="20"/>
                <w:szCs w:val="20"/>
              </w:rPr>
            </w:pPr>
            <w:r w:rsidRPr="009F227C">
              <w:rPr>
                <w:b/>
                <w:bCs/>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5A0A3FEE" w14:textId="77777777" w:rsidR="0062216C" w:rsidRPr="009F227C" w:rsidRDefault="0062216C" w:rsidP="004E4E2B">
            <w:pPr>
              <w:rPr>
                <w:b/>
                <w:bCs/>
                <w:sz w:val="20"/>
                <w:szCs w:val="20"/>
              </w:rPr>
            </w:pPr>
            <w:r w:rsidRPr="009F227C">
              <w:rPr>
                <w:b/>
                <w:bCs/>
                <w:sz w:val="20"/>
                <w:szCs w:val="20"/>
              </w:rPr>
              <w:t> </w:t>
            </w:r>
          </w:p>
        </w:tc>
      </w:tr>
      <w:tr w:rsidR="0062216C" w:rsidRPr="009F227C" w14:paraId="20275D02"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71F8D0FD" w14:textId="77777777" w:rsidR="0062216C" w:rsidRPr="009F227C" w:rsidRDefault="0062216C" w:rsidP="004E4E2B">
            <w:pPr>
              <w:rPr>
                <w:b/>
                <w:bCs/>
                <w:sz w:val="20"/>
                <w:szCs w:val="20"/>
              </w:rPr>
            </w:pPr>
            <w:r w:rsidRPr="009F227C">
              <w:rPr>
                <w:b/>
                <w:bCs/>
                <w:sz w:val="20"/>
                <w:szCs w:val="20"/>
              </w:rPr>
              <w:t> </w:t>
            </w:r>
          </w:p>
        </w:tc>
        <w:tc>
          <w:tcPr>
            <w:tcW w:w="2460" w:type="dxa"/>
            <w:tcBorders>
              <w:top w:val="nil"/>
              <w:left w:val="nil"/>
              <w:bottom w:val="nil"/>
              <w:right w:val="nil"/>
            </w:tcBorders>
            <w:shd w:val="clear" w:color="000000" w:fill="FFFFFF"/>
            <w:noWrap/>
            <w:vAlign w:val="bottom"/>
            <w:hideMark/>
          </w:tcPr>
          <w:p w14:paraId="71766A13"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66D057F5" w14:textId="77777777" w:rsidR="0062216C" w:rsidRPr="009F227C" w:rsidRDefault="0062216C" w:rsidP="004E4E2B">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61CB31FC" w14:textId="77777777" w:rsidR="0062216C" w:rsidRPr="009F227C" w:rsidRDefault="0062216C" w:rsidP="004E4E2B">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4B498489" w14:textId="77777777" w:rsidR="0062216C" w:rsidRPr="009F227C" w:rsidRDefault="0062216C" w:rsidP="004E4E2B">
            <w:pPr>
              <w:jc w:val="center"/>
              <w:rPr>
                <w:b/>
                <w:bCs/>
                <w:sz w:val="20"/>
                <w:szCs w:val="20"/>
              </w:rPr>
            </w:pPr>
            <w:r w:rsidRPr="009F227C">
              <w:rPr>
                <w:b/>
                <w:bCs/>
                <w:sz w:val="20"/>
                <w:szCs w:val="20"/>
              </w:rPr>
              <w:t>Adjusted</w:t>
            </w:r>
          </w:p>
        </w:tc>
        <w:tc>
          <w:tcPr>
            <w:tcW w:w="1250" w:type="dxa"/>
            <w:tcBorders>
              <w:top w:val="nil"/>
              <w:left w:val="nil"/>
              <w:bottom w:val="nil"/>
              <w:right w:val="nil"/>
            </w:tcBorders>
            <w:shd w:val="clear" w:color="000000" w:fill="FFFFFF"/>
            <w:noWrap/>
            <w:vAlign w:val="bottom"/>
            <w:hideMark/>
          </w:tcPr>
          <w:p w14:paraId="5E6E5C80" w14:textId="77777777" w:rsidR="0062216C" w:rsidRPr="009F227C" w:rsidRDefault="00CE35E9" w:rsidP="00CE35E9">
            <w:pPr>
              <w:jc w:val="center"/>
              <w:rPr>
                <w:b/>
                <w:bCs/>
                <w:sz w:val="20"/>
                <w:szCs w:val="20"/>
              </w:rPr>
            </w:pPr>
            <w:r w:rsidRPr="009F227C">
              <w:rPr>
                <w:b/>
                <w:bCs/>
                <w:sz w:val="20"/>
                <w:szCs w:val="20"/>
              </w:rPr>
              <w:t>Approved</w:t>
            </w:r>
          </w:p>
        </w:tc>
        <w:tc>
          <w:tcPr>
            <w:tcW w:w="1220" w:type="dxa"/>
            <w:tcBorders>
              <w:top w:val="nil"/>
              <w:left w:val="nil"/>
              <w:bottom w:val="nil"/>
              <w:right w:val="nil"/>
            </w:tcBorders>
            <w:shd w:val="clear" w:color="000000" w:fill="FFFFFF"/>
            <w:noWrap/>
            <w:vAlign w:val="bottom"/>
            <w:hideMark/>
          </w:tcPr>
          <w:p w14:paraId="4ADF8772" w14:textId="77777777" w:rsidR="0062216C" w:rsidRPr="009F227C" w:rsidRDefault="00CE35E9" w:rsidP="00CE35E9">
            <w:pPr>
              <w:jc w:val="center"/>
              <w:rPr>
                <w:b/>
                <w:bCs/>
                <w:sz w:val="20"/>
                <w:szCs w:val="20"/>
              </w:rPr>
            </w:pPr>
            <w:r w:rsidRPr="009F227C">
              <w:rPr>
                <w:b/>
                <w:bCs/>
                <w:sz w:val="20"/>
                <w:szCs w:val="20"/>
              </w:rPr>
              <w:t>Approved</w:t>
            </w:r>
          </w:p>
        </w:tc>
        <w:tc>
          <w:tcPr>
            <w:tcW w:w="1220" w:type="dxa"/>
            <w:tcBorders>
              <w:top w:val="nil"/>
              <w:left w:val="nil"/>
              <w:bottom w:val="nil"/>
              <w:right w:val="nil"/>
            </w:tcBorders>
            <w:shd w:val="clear" w:color="000000" w:fill="FFFFFF"/>
            <w:noWrap/>
            <w:vAlign w:val="bottom"/>
            <w:hideMark/>
          </w:tcPr>
          <w:p w14:paraId="7C5BFE4C" w14:textId="77777777" w:rsidR="0062216C" w:rsidRPr="009F227C" w:rsidRDefault="0062216C" w:rsidP="004E4E2B">
            <w:pPr>
              <w:rPr>
                <w:b/>
                <w:bCs/>
                <w:sz w:val="20"/>
                <w:szCs w:val="20"/>
              </w:rPr>
            </w:pPr>
            <w:r w:rsidRPr="009F227C">
              <w:rPr>
                <w:b/>
                <w:bCs/>
                <w:sz w:val="20"/>
                <w:szCs w:val="20"/>
              </w:rPr>
              <w:t> </w:t>
            </w:r>
          </w:p>
        </w:tc>
        <w:tc>
          <w:tcPr>
            <w:tcW w:w="1338" w:type="dxa"/>
            <w:tcBorders>
              <w:top w:val="nil"/>
              <w:left w:val="nil"/>
              <w:bottom w:val="nil"/>
              <w:right w:val="single" w:sz="4" w:space="0" w:color="auto"/>
            </w:tcBorders>
            <w:shd w:val="clear" w:color="000000" w:fill="FFFFFF"/>
            <w:noWrap/>
            <w:vAlign w:val="bottom"/>
            <w:hideMark/>
          </w:tcPr>
          <w:p w14:paraId="70379A4D" w14:textId="77777777" w:rsidR="0062216C" w:rsidRPr="009F227C" w:rsidRDefault="0062216C" w:rsidP="004E4E2B">
            <w:pPr>
              <w:rPr>
                <w:b/>
                <w:bCs/>
                <w:sz w:val="20"/>
                <w:szCs w:val="20"/>
              </w:rPr>
            </w:pPr>
            <w:r w:rsidRPr="009F227C">
              <w:rPr>
                <w:b/>
                <w:bCs/>
                <w:sz w:val="20"/>
                <w:szCs w:val="20"/>
              </w:rPr>
              <w:t> </w:t>
            </w:r>
          </w:p>
        </w:tc>
      </w:tr>
      <w:tr w:rsidR="0062216C" w:rsidRPr="009F227C" w14:paraId="5DD71A36"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127D1E5" w14:textId="77777777" w:rsidR="0062216C" w:rsidRPr="009F227C" w:rsidRDefault="0062216C" w:rsidP="004E4E2B">
            <w:pPr>
              <w:rPr>
                <w:b/>
                <w:bCs/>
                <w:sz w:val="20"/>
                <w:szCs w:val="20"/>
              </w:rPr>
            </w:pPr>
            <w:r w:rsidRPr="009F227C">
              <w:rPr>
                <w:b/>
                <w:bCs/>
                <w:sz w:val="20"/>
                <w:szCs w:val="20"/>
              </w:rPr>
              <w:t> </w:t>
            </w:r>
          </w:p>
        </w:tc>
        <w:tc>
          <w:tcPr>
            <w:tcW w:w="2460" w:type="dxa"/>
            <w:tcBorders>
              <w:top w:val="nil"/>
              <w:left w:val="nil"/>
              <w:bottom w:val="nil"/>
              <w:right w:val="nil"/>
            </w:tcBorders>
            <w:shd w:val="clear" w:color="000000" w:fill="FFFFFF"/>
            <w:noWrap/>
            <w:vAlign w:val="bottom"/>
            <w:hideMark/>
          </w:tcPr>
          <w:p w14:paraId="0FAC1290"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5750E605" w14:textId="77777777" w:rsidR="0062216C" w:rsidRPr="009F227C" w:rsidRDefault="0062216C" w:rsidP="004E4E2B">
            <w:pPr>
              <w:jc w:val="center"/>
              <w:rPr>
                <w:b/>
                <w:bCs/>
                <w:sz w:val="20"/>
                <w:szCs w:val="20"/>
              </w:rPr>
            </w:pPr>
            <w:r w:rsidRPr="009F227C">
              <w:rPr>
                <w:b/>
                <w:bCs/>
                <w:sz w:val="20"/>
                <w:szCs w:val="20"/>
              </w:rPr>
              <w:t>Per</w:t>
            </w:r>
          </w:p>
        </w:tc>
        <w:tc>
          <w:tcPr>
            <w:tcW w:w="1220" w:type="dxa"/>
            <w:tcBorders>
              <w:top w:val="nil"/>
              <w:left w:val="nil"/>
              <w:bottom w:val="nil"/>
              <w:right w:val="nil"/>
            </w:tcBorders>
            <w:shd w:val="clear" w:color="000000" w:fill="FFFFFF"/>
            <w:noWrap/>
            <w:vAlign w:val="bottom"/>
            <w:hideMark/>
          </w:tcPr>
          <w:p w14:paraId="55952123" w14:textId="77777777" w:rsidR="0062216C" w:rsidRPr="009F227C" w:rsidRDefault="0062216C" w:rsidP="004E4E2B">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552514F4" w14:textId="77777777" w:rsidR="0062216C" w:rsidRPr="009F227C" w:rsidRDefault="0062216C" w:rsidP="004E4E2B">
            <w:pPr>
              <w:jc w:val="center"/>
              <w:rPr>
                <w:b/>
                <w:bCs/>
                <w:sz w:val="20"/>
                <w:szCs w:val="20"/>
              </w:rPr>
            </w:pPr>
            <w:r w:rsidRPr="009F227C">
              <w:rPr>
                <w:b/>
                <w:bCs/>
                <w:sz w:val="20"/>
                <w:szCs w:val="20"/>
              </w:rPr>
              <w:t>Test Year</w:t>
            </w:r>
          </w:p>
        </w:tc>
        <w:tc>
          <w:tcPr>
            <w:tcW w:w="1250" w:type="dxa"/>
            <w:tcBorders>
              <w:top w:val="nil"/>
              <w:left w:val="nil"/>
              <w:bottom w:val="nil"/>
              <w:right w:val="nil"/>
            </w:tcBorders>
            <w:shd w:val="clear" w:color="000000" w:fill="FFFFFF"/>
            <w:noWrap/>
            <w:vAlign w:val="bottom"/>
            <w:hideMark/>
          </w:tcPr>
          <w:p w14:paraId="0AA1BB4C" w14:textId="77777777" w:rsidR="0062216C" w:rsidRPr="009F227C" w:rsidRDefault="0062216C" w:rsidP="004E4E2B">
            <w:pPr>
              <w:jc w:val="center"/>
              <w:rPr>
                <w:b/>
                <w:bCs/>
                <w:sz w:val="20"/>
                <w:szCs w:val="20"/>
              </w:rPr>
            </w:pPr>
            <w:r w:rsidRPr="009F227C">
              <w:rPr>
                <w:b/>
                <w:bCs/>
                <w:sz w:val="20"/>
                <w:szCs w:val="20"/>
              </w:rPr>
              <w:t>Adjust-</w:t>
            </w:r>
          </w:p>
        </w:tc>
        <w:tc>
          <w:tcPr>
            <w:tcW w:w="1220" w:type="dxa"/>
            <w:tcBorders>
              <w:top w:val="nil"/>
              <w:left w:val="nil"/>
              <w:bottom w:val="nil"/>
              <w:right w:val="nil"/>
            </w:tcBorders>
            <w:shd w:val="clear" w:color="000000" w:fill="FFFFFF"/>
            <w:noWrap/>
            <w:vAlign w:val="bottom"/>
            <w:hideMark/>
          </w:tcPr>
          <w:p w14:paraId="799B003D" w14:textId="77777777" w:rsidR="0062216C" w:rsidRPr="009F227C" w:rsidRDefault="0062216C" w:rsidP="004E4E2B">
            <w:pPr>
              <w:jc w:val="center"/>
              <w:rPr>
                <w:b/>
                <w:bCs/>
                <w:sz w:val="20"/>
                <w:szCs w:val="20"/>
              </w:rPr>
            </w:pPr>
            <w:r w:rsidRPr="009F227C">
              <w:rPr>
                <w:b/>
                <w:bCs/>
                <w:sz w:val="20"/>
                <w:szCs w:val="20"/>
              </w:rPr>
              <w:t>Adjusted</w:t>
            </w:r>
          </w:p>
        </w:tc>
        <w:tc>
          <w:tcPr>
            <w:tcW w:w="1220" w:type="dxa"/>
            <w:tcBorders>
              <w:top w:val="nil"/>
              <w:left w:val="nil"/>
              <w:bottom w:val="nil"/>
              <w:right w:val="nil"/>
            </w:tcBorders>
            <w:shd w:val="clear" w:color="000000" w:fill="FFFFFF"/>
            <w:noWrap/>
            <w:vAlign w:val="bottom"/>
            <w:hideMark/>
          </w:tcPr>
          <w:p w14:paraId="4A6515C0" w14:textId="77777777" w:rsidR="0062216C" w:rsidRPr="009F227C" w:rsidRDefault="0062216C" w:rsidP="004E4E2B">
            <w:pPr>
              <w:jc w:val="center"/>
              <w:rPr>
                <w:b/>
                <w:bCs/>
                <w:sz w:val="20"/>
                <w:szCs w:val="20"/>
              </w:rPr>
            </w:pPr>
            <w:r w:rsidRPr="009F227C">
              <w:rPr>
                <w:b/>
                <w:bCs/>
                <w:sz w:val="20"/>
                <w:szCs w:val="20"/>
              </w:rPr>
              <w:t>Revenue</w:t>
            </w:r>
          </w:p>
        </w:tc>
        <w:tc>
          <w:tcPr>
            <w:tcW w:w="1338" w:type="dxa"/>
            <w:tcBorders>
              <w:top w:val="nil"/>
              <w:left w:val="nil"/>
              <w:bottom w:val="nil"/>
              <w:right w:val="single" w:sz="4" w:space="0" w:color="auto"/>
            </w:tcBorders>
            <w:shd w:val="clear" w:color="000000" w:fill="FFFFFF"/>
            <w:noWrap/>
            <w:vAlign w:val="bottom"/>
            <w:hideMark/>
          </w:tcPr>
          <w:p w14:paraId="23004EAD" w14:textId="77777777" w:rsidR="0062216C" w:rsidRPr="009F227C" w:rsidRDefault="0062216C" w:rsidP="004E4E2B">
            <w:pPr>
              <w:jc w:val="center"/>
              <w:rPr>
                <w:b/>
                <w:bCs/>
                <w:sz w:val="20"/>
                <w:szCs w:val="20"/>
              </w:rPr>
            </w:pPr>
            <w:r w:rsidRPr="009F227C">
              <w:rPr>
                <w:b/>
                <w:bCs/>
                <w:sz w:val="20"/>
                <w:szCs w:val="20"/>
              </w:rPr>
              <w:t>Revenue</w:t>
            </w:r>
          </w:p>
        </w:tc>
      </w:tr>
      <w:tr w:rsidR="0062216C" w:rsidRPr="009F227C" w14:paraId="500F65FA"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01581E1" w14:textId="77777777" w:rsidR="0062216C" w:rsidRPr="009F227C" w:rsidRDefault="0062216C" w:rsidP="004E4E2B">
            <w:pPr>
              <w:rPr>
                <w:b/>
                <w:bCs/>
                <w:sz w:val="20"/>
                <w:szCs w:val="20"/>
              </w:rPr>
            </w:pPr>
            <w:r w:rsidRPr="009F227C">
              <w:rPr>
                <w:b/>
                <w:bCs/>
                <w:sz w:val="20"/>
                <w:szCs w:val="20"/>
              </w:rPr>
              <w:t> </w:t>
            </w:r>
          </w:p>
        </w:tc>
        <w:tc>
          <w:tcPr>
            <w:tcW w:w="2460" w:type="dxa"/>
            <w:tcBorders>
              <w:top w:val="nil"/>
              <w:left w:val="nil"/>
              <w:bottom w:val="nil"/>
              <w:right w:val="nil"/>
            </w:tcBorders>
            <w:shd w:val="clear" w:color="000000" w:fill="FFFFFF"/>
            <w:noWrap/>
            <w:vAlign w:val="bottom"/>
            <w:hideMark/>
          </w:tcPr>
          <w:p w14:paraId="74245CAB" w14:textId="77777777" w:rsidR="0062216C" w:rsidRPr="009F227C" w:rsidRDefault="0062216C" w:rsidP="004E4E2B">
            <w:pPr>
              <w:jc w:val="center"/>
              <w:rPr>
                <w:b/>
                <w:bCs/>
                <w:sz w:val="20"/>
                <w:szCs w:val="20"/>
              </w:rPr>
            </w:pPr>
            <w:r w:rsidRPr="009F227C">
              <w:rPr>
                <w:b/>
                <w:bCs/>
                <w:sz w:val="20"/>
                <w:szCs w:val="20"/>
              </w:rPr>
              <w:t>Description</w:t>
            </w:r>
          </w:p>
        </w:tc>
        <w:tc>
          <w:tcPr>
            <w:tcW w:w="1220" w:type="dxa"/>
            <w:tcBorders>
              <w:top w:val="nil"/>
              <w:left w:val="nil"/>
              <w:bottom w:val="nil"/>
              <w:right w:val="nil"/>
            </w:tcBorders>
            <w:shd w:val="clear" w:color="000000" w:fill="FFFFFF"/>
            <w:noWrap/>
            <w:vAlign w:val="bottom"/>
            <w:hideMark/>
          </w:tcPr>
          <w:p w14:paraId="3203F459" w14:textId="77777777" w:rsidR="0062216C" w:rsidRPr="009F227C" w:rsidRDefault="0062216C" w:rsidP="004E4E2B">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5CC1C748" w14:textId="77777777" w:rsidR="0062216C" w:rsidRPr="009F227C" w:rsidRDefault="0062216C" w:rsidP="004E4E2B">
            <w:pPr>
              <w:jc w:val="center"/>
              <w:rPr>
                <w:b/>
                <w:bCs/>
                <w:sz w:val="20"/>
                <w:szCs w:val="20"/>
              </w:rPr>
            </w:pPr>
            <w:r w:rsidRPr="009F227C">
              <w:rPr>
                <w:b/>
                <w:bCs/>
                <w:sz w:val="20"/>
                <w:szCs w:val="20"/>
              </w:rPr>
              <w:t>Adj</w:t>
            </w:r>
          </w:p>
        </w:tc>
        <w:tc>
          <w:tcPr>
            <w:tcW w:w="1220" w:type="dxa"/>
            <w:tcBorders>
              <w:top w:val="nil"/>
              <w:left w:val="nil"/>
              <w:bottom w:val="nil"/>
              <w:right w:val="nil"/>
            </w:tcBorders>
            <w:shd w:val="clear" w:color="000000" w:fill="FFFFFF"/>
            <w:noWrap/>
            <w:vAlign w:val="bottom"/>
            <w:hideMark/>
          </w:tcPr>
          <w:p w14:paraId="110703E7" w14:textId="77777777" w:rsidR="0062216C" w:rsidRPr="009F227C" w:rsidRDefault="0062216C" w:rsidP="004E4E2B">
            <w:pPr>
              <w:jc w:val="center"/>
              <w:rPr>
                <w:b/>
                <w:bCs/>
                <w:sz w:val="20"/>
                <w:szCs w:val="20"/>
              </w:rPr>
            </w:pPr>
            <w:r w:rsidRPr="009F227C">
              <w:rPr>
                <w:b/>
                <w:bCs/>
                <w:sz w:val="20"/>
                <w:szCs w:val="20"/>
              </w:rPr>
              <w:t>Per Utility</w:t>
            </w:r>
          </w:p>
        </w:tc>
        <w:tc>
          <w:tcPr>
            <w:tcW w:w="1250" w:type="dxa"/>
            <w:tcBorders>
              <w:top w:val="nil"/>
              <w:left w:val="nil"/>
              <w:bottom w:val="nil"/>
              <w:right w:val="nil"/>
            </w:tcBorders>
            <w:shd w:val="clear" w:color="000000" w:fill="FFFFFF"/>
            <w:noWrap/>
            <w:vAlign w:val="bottom"/>
            <w:hideMark/>
          </w:tcPr>
          <w:p w14:paraId="552D7A3A" w14:textId="77777777" w:rsidR="0062216C" w:rsidRPr="009F227C" w:rsidRDefault="0062216C" w:rsidP="004E4E2B">
            <w:pPr>
              <w:jc w:val="center"/>
              <w:rPr>
                <w:b/>
                <w:bCs/>
                <w:sz w:val="20"/>
                <w:szCs w:val="20"/>
              </w:rPr>
            </w:pPr>
            <w:r w:rsidRPr="009F227C">
              <w:rPr>
                <w:b/>
                <w:bCs/>
                <w:sz w:val="20"/>
                <w:szCs w:val="20"/>
              </w:rPr>
              <w:t>ments</w:t>
            </w:r>
          </w:p>
        </w:tc>
        <w:tc>
          <w:tcPr>
            <w:tcW w:w="1220" w:type="dxa"/>
            <w:tcBorders>
              <w:top w:val="nil"/>
              <w:left w:val="nil"/>
              <w:bottom w:val="nil"/>
              <w:right w:val="nil"/>
            </w:tcBorders>
            <w:shd w:val="clear" w:color="000000" w:fill="FFFFFF"/>
            <w:noWrap/>
            <w:vAlign w:val="bottom"/>
            <w:hideMark/>
          </w:tcPr>
          <w:p w14:paraId="4CB6DD95" w14:textId="77777777" w:rsidR="0062216C" w:rsidRPr="009F227C" w:rsidRDefault="0062216C" w:rsidP="004E4E2B">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1E5F8728" w14:textId="77777777" w:rsidR="0062216C" w:rsidRPr="009F227C" w:rsidRDefault="0062216C" w:rsidP="004E4E2B">
            <w:pPr>
              <w:jc w:val="center"/>
              <w:rPr>
                <w:b/>
                <w:bCs/>
                <w:sz w:val="20"/>
                <w:szCs w:val="20"/>
              </w:rPr>
            </w:pPr>
            <w:r w:rsidRPr="009F227C">
              <w:rPr>
                <w:b/>
                <w:bCs/>
                <w:sz w:val="20"/>
                <w:szCs w:val="20"/>
              </w:rPr>
              <w:t>Increase</w:t>
            </w:r>
          </w:p>
        </w:tc>
        <w:tc>
          <w:tcPr>
            <w:tcW w:w="1338" w:type="dxa"/>
            <w:tcBorders>
              <w:top w:val="nil"/>
              <w:left w:val="nil"/>
              <w:bottom w:val="nil"/>
              <w:right w:val="single" w:sz="4" w:space="0" w:color="auto"/>
            </w:tcBorders>
            <w:shd w:val="clear" w:color="000000" w:fill="FFFFFF"/>
            <w:noWrap/>
            <w:vAlign w:val="bottom"/>
            <w:hideMark/>
          </w:tcPr>
          <w:p w14:paraId="51D0BDD5" w14:textId="77777777" w:rsidR="0062216C" w:rsidRPr="009F227C" w:rsidRDefault="0062216C" w:rsidP="004E4E2B">
            <w:pPr>
              <w:jc w:val="center"/>
              <w:rPr>
                <w:b/>
                <w:bCs/>
                <w:sz w:val="20"/>
                <w:szCs w:val="20"/>
              </w:rPr>
            </w:pPr>
            <w:r w:rsidRPr="009F227C">
              <w:rPr>
                <w:b/>
                <w:bCs/>
                <w:sz w:val="20"/>
                <w:szCs w:val="20"/>
              </w:rPr>
              <w:t>Requirement</w:t>
            </w:r>
          </w:p>
        </w:tc>
      </w:tr>
      <w:tr w:rsidR="0062216C" w:rsidRPr="009F227C" w14:paraId="37B85C56" w14:textId="77777777" w:rsidTr="008750AD">
        <w:trPr>
          <w:trHeight w:val="216"/>
          <w:jc w:val="center"/>
        </w:trPr>
        <w:tc>
          <w:tcPr>
            <w:tcW w:w="480" w:type="dxa"/>
            <w:tcBorders>
              <w:top w:val="nil"/>
              <w:left w:val="single" w:sz="4" w:space="0" w:color="auto"/>
              <w:bottom w:val="nil"/>
              <w:right w:val="nil"/>
            </w:tcBorders>
            <w:shd w:val="clear" w:color="000000" w:fill="FFFFFF"/>
            <w:noWrap/>
            <w:vAlign w:val="bottom"/>
            <w:hideMark/>
          </w:tcPr>
          <w:p w14:paraId="79C7FA3D"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07D7EEE0"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1F3AC7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C2C27B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4FBC908" w14:textId="77777777" w:rsidR="0062216C" w:rsidRPr="009F227C" w:rsidRDefault="0062216C" w:rsidP="004E4E2B">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0A5C21EF"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B8E822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522D738" w14:textId="77777777" w:rsidR="0062216C" w:rsidRPr="009F227C" w:rsidRDefault="0062216C" w:rsidP="004E4E2B">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4A77821" w14:textId="77777777" w:rsidR="0062216C" w:rsidRPr="009F227C" w:rsidRDefault="0062216C" w:rsidP="004E4E2B">
            <w:pPr>
              <w:rPr>
                <w:sz w:val="20"/>
                <w:szCs w:val="20"/>
              </w:rPr>
            </w:pPr>
            <w:r w:rsidRPr="009F227C">
              <w:rPr>
                <w:sz w:val="20"/>
                <w:szCs w:val="20"/>
              </w:rPr>
              <w:t> </w:t>
            </w:r>
          </w:p>
        </w:tc>
      </w:tr>
      <w:tr w:rsidR="008750AD" w:rsidRPr="009F227C" w14:paraId="4D1962EA" w14:textId="77777777" w:rsidTr="008750AD">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36BB1A9F" w14:textId="77777777" w:rsidR="008750AD" w:rsidRPr="009F227C" w:rsidRDefault="008750AD" w:rsidP="008750AD">
            <w:pPr>
              <w:rPr>
                <w:sz w:val="20"/>
                <w:szCs w:val="20"/>
              </w:rPr>
            </w:pPr>
            <w:r w:rsidRPr="009F227C">
              <w:rPr>
                <w:sz w:val="20"/>
                <w:szCs w:val="20"/>
              </w:rPr>
              <w:t> </w:t>
            </w:r>
          </w:p>
        </w:tc>
        <w:tc>
          <w:tcPr>
            <w:tcW w:w="2460" w:type="dxa"/>
            <w:tcBorders>
              <w:top w:val="single" w:sz="4" w:space="0" w:color="000000"/>
              <w:left w:val="nil"/>
              <w:bottom w:val="nil"/>
              <w:right w:val="nil"/>
            </w:tcBorders>
            <w:shd w:val="clear" w:color="000000" w:fill="FFFFFF"/>
            <w:noWrap/>
            <w:vAlign w:val="bottom"/>
            <w:hideMark/>
          </w:tcPr>
          <w:p w14:paraId="42F91543" w14:textId="2621BF12" w:rsidR="008750AD" w:rsidRPr="009F227C" w:rsidRDefault="008750AD" w:rsidP="008750AD">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8B17A76" w14:textId="19F42EF3" w:rsidR="008750AD" w:rsidRPr="009F227C" w:rsidRDefault="008750AD" w:rsidP="008750AD">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7BB3F9E0" w14:textId="3E22EE9D" w:rsidR="008750AD" w:rsidRPr="009F227C" w:rsidRDefault="008750AD" w:rsidP="008750AD">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285EDA0" w14:textId="03A856F7" w:rsidR="008750AD" w:rsidRPr="009F227C" w:rsidRDefault="008750AD" w:rsidP="008750AD">
            <w:pPr>
              <w:rPr>
                <w:sz w:val="20"/>
                <w:szCs w:val="20"/>
              </w:rPr>
            </w:pPr>
            <w:r w:rsidRPr="009F227C">
              <w:rPr>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26F9F8A8" w14:textId="2BB8DDCB" w:rsidR="008750AD" w:rsidRPr="009F227C" w:rsidRDefault="008750AD" w:rsidP="008750AD">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5EC4FD3A" w14:textId="156584D4" w:rsidR="008750AD" w:rsidRPr="009F227C" w:rsidRDefault="008750AD" w:rsidP="008750AD">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6337CC0" w14:textId="4DFDFDEE" w:rsidR="008750AD" w:rsidRPr="009F227C" w:rsidRDefault="008750AD" w:rsidP="008750AD">
            <w:pPr>
              <w:rPr>
                <w:sz w:val="20"/>
                <w:szCs w:val="20"/>
              </w:rPr>
            </w:pPr>
            <w:r w:rsidRPr="009F227C">
              <w:rPr>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4045B40E" w14:textId="32A77318" w:rsidR="008750AD" w:rsidRPr="009F227C" w:rsidRDefault="008750AD" w:rsidP="008750AD">
            <w:pPr>
              <w:rPr>
                <w:sz w:val="20"/>
                <w:szCs w:val="20"/>
              </w:rPr>
            </w:pPr>
            <w:r w:rsidRPr="009F227C">
              <w:rPr>
                <w:sz w:val="20"/>
                <w:szCs w:val="20"/>
              </w:rPr>
              <w:t> </w:t>
            </w:r>
          </w:p>
        </w:tc>
      </w:tr>
      <w:tr w:rsidR="008750AD" w:rsidRPr="009F227C" w14:paraId="6061A44D"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61F47F13" w14:textId="77777777" w:rsidR="008750AD" w:rsidRPr="009F227C" w:rsidRDefault="008750AD" w:rsidP="008750AD">
            <w:pPr>
              <w:jc w:val="center"/>
              <w:rPr>
                <w:sz w:val="20"/>
                <w:szCs w:val="20"/>
              </w:rPr>
            </w:pPr>
            <w:r w:rsidRPr="009F227C">
              <w:rPr>
                <w:sz w:val="20"/>
                <w:szCs w:val="20"/>
              </w:rPr>
              <w:t>1</w:t>
            </w:r>
          </w:p>
        </w:tc>
        <w:tc>
          <w:tcPr>
            <w:tcW w:w="2460" w:type="dxa"/>
            <w:tcBorders>
              <w:top w:val="nil"/>
              <w:left w:val="nil"/>
              <w:bottom w:val="nil"/>
              <w:right w:val="nil"/>
            </w:tcBorders>
            <w:shd w:val="clear" w:color="000000" w:fill="FFFFFF"/>
            <w:noWrap/>
            <w:vAlign w:val="bottom"/>
            <w:hideMark/>
          </w:tcPr>
          <w:p w14:paraId="7BBBF475" w14:textId="11AD488A" w:rsidR="008750AD" w:rsidRPr="009F227C" w:rsidRDefault="008750AD" w:rsidP="008750AD">
            <w:pPr>
              <w:rPr>
                <w:b/>
                <w:bCs/>
                <w:sz w:val="20"/>
                <w:szCs w:val="20"/>
              </w:rPr>
            </w:pPr>
            <w:r w:rsidRPr="009F227C">
              <w:rPr>
                <w:b/>
                <w:bCs/>
                <w:sz w:val="20"/>
                <w:szCs w:val="20"/>
              </w:rPr>
              <w:t>Operating Revenues:</w:t>
            </w:r>
          </w:p>
        </w:tc>
        <w:tc>
          <w:tcPr>
            <w:tcW w:w="1220" w:type="dxa"/>
            <w:tcBorders>
              <w:top w:val="nil"/>
              <w:left w:val="nil"/>
              <w:bottom w:val="nil"/>
              <w:right w:val="nil"/>
            </w:tcBorders>
            <w:shd w:val="clear" w:color="000000" w:fill="FFFFFF"/>
            <w:noWrap/>
            <w:vAlign w:val="bottom"/>
            <w:hideMark/>
          </w:tcPr>
          <w:p w14:paraId="749E36AB" w14:textId="74EDD42A" w:rsidR="008750AD" w:rsidRPr="009F227C" w:rsidRDefault="008750AD" w:rsidP="008750AD">
            <w:pPr>
              <w:jc w:val="right"/>
              <w:rPr>
                <w:sz w:val="20"/>
                <w:szCs w:val="20"/>
                <w:u w:val="single"/>
              </w:rPr>
            </w:pPr>
            <w:r w:rsidRPr="009F227C">
              <w:rPr>
                <w:sz w:val="20"/>
                <w:szCs w:val="20"/>
                <w:u w:val="single"/>
              </w:rPr>
              <w:t>$22,532,175</w:t>
            </w:r>
          </w:p>
        </w:tc>
        <w:tc>
          <w:tcPr>
            <w:tcW w:w="1220" w:type="dxa"/>
            <w:tcBorders>
              <w:top w:val="nil"/>
              <w:left w:val="nil"/>
              <w:bottom w:val="nil"/>
              <w:right w:val="nil"/>
            </w:tcBorders>
            <w:shd w:val="clear" w:color="000000" w:fill="FFFFFF"/>
            <w:noWrap/>
            <w:vAlign w:val="bottom"/>
            <w:hideMark/>
          </w:tcPr>
          <w:p w14:paraId="74A43C39" w14:textId="5D2F02DF" w:rsidR="008750AD" w:rsidRPr="009F227C" w:rsidRDefault="008750AD" w:rsidP="008750AD">
            <w:pPr>
              <w:jc w:val="right"/>
              <w:rPr>
                <w:sz w:val="20"/>
                <w:szCs w:val="20"/>
                <w:u w:val="single"/>
              </w:rPr>
            </w:pPr>
            <w:r w:rsidRPr="009F227C">
              <w:rPr>
                <w:sz w:val="20"/>
                <w:szCs w:val="20"/>
                <w:u w:val="single"/>
              </w:rPr>
              <w:t>$5,563,719</w:t>
            </w:r>
          </w:p>
        </w:tc>
        <w:tc>
          <w:tcPr>
            <w:tcW w:w="1220" w:type="dxa"/>
            <w:tcBorders>
              <w:top w:val="nil"/>
              <w:left w:val="nil"/>
              <w:bottom w:val="nil"/>
              <w:right w:val="nil"/>
            </w:tcBorders>
            <w:shd w:val="clear" w:color="000000" w:fill="FFFFFF"/>
            <w:noWrap/>
            <w:vAlign w:val="bottom"/>
            <w:hideMark/>
          </w:tcPr>
          <w:p w14:paraId="5BA74B85" w14:textId="3A536ADF" w:rsidR="008750AD" w:rsidRPr="009F227C" w:rsidRDefault="008750AD" w:rsidP="008750AD">
            <w:pPr>
              <w:jc w:val="right"/>
              <w:rPr>
                <w:sz w:val="20"/>
                <w:szCs w:val="20"/>
                <w:u w:val="single"/>
              </w:rPr>
            </w:pPr>
            <w:r w:rsidRPr="009F227C">
              <w:rPr>
                <w:sz w:val="20"/>
                <w:szCs w:val="20"/>
                <w:u w:val="single"/>
              </w:rPr>
              <w:t>$28,095,894</w:t>
            </w:r>
          </w:p>
        </w:tc>
        <w:tc>
          <w:tcPr>
            <w:tcW w:w="1250" w:type="dxa"/>
            <w:tcBorders>
              <w:top w:val="nil"/>
              <w:left w:val="nil"/>
              <w:bottom w:val="nil"/>
              <w:right w:val="nil"/>
            </w:tcBorders>
            <w:shd w:val="clear" w:color="000000" w:fill="FFFFFF"/>
            <w:noWrap/>
            <w:vAlign w:val="bottom"/>
            <w:hideMark/>
          </w:tcPr>
          <w:p w14:paraId="3C090E0D" w14:textId="4CD20D87" w:rsidR="008750AD" w:rsidRPr="009F227C" w:rsidRDefault="008750AD" w:rsidP="008750AD">
            <w:pPr>
              <w:jc w:val="right"/>
              <w:rPr>
                <w:sz w:val="20"/>
                <w:szCs w:val="20"/>
                <w:u w:val="single"/>
              </w:rPr>
            </w:pPr>
            <w:r w:rsidRPr="009F227C">
              <w:rPr>
                <w:sz w:val="20"/>
                <w:szCs w:val="20"/>
                <w:u w:val="single"/>
              </w:rPr>
              <w:t>($5,177,609)</w:t>
            </w:r>
          </w:p>
        </w:tc>
        <w:tc>
          <w:tcPr>
            <w:tcW w:w="1220" w:type="dxa"/>
            <w:tcBorders>
              <w:top w:val="nil"/>
              <w:left w:val="nil"/>
              <w:bottom w:val="nil"/>
              <w:right w:val="nil"/>
            </w:tcBorders>
            <w:shd w:val="clear" w:color="000000" w:fill="FFFFFF"/>
            <w:noWrap/>
            <w:vAlign w:val="bottom"/>
            <w:hideMark/>
          </w:tcPr>
          <w:p w14:paraId="426CCF4E" w14:textId="75687783" w:rsidR="008750AD" w:rsidRPr="009F227C" w:rsidRDefault="008750AD" w:rsidP="008750AD">
            <w:pPr>
              <w:jc w:val="right"/>
              <w:rPr>
                <w:sz w:val="20"/>
                <w:szCs w:val="20"/>
                <w:u w:val="single"/>
              </w:rPr>
            </w:pPr>
            <w:r w:rsidRPr="009F227C">
              <w:rPr>
                <w:sz w:val="20"/>
                <w:szCs w:val="20"/>
                <w:u w:val="single"/>
              </w:rPr>
              <w:t>$22,918,285</w:t>
            </w:r>
          </w:p>
        </w:tc>
        <w:tc>
          <w:tcPr>
            <w:tcW w:w="1220" w:type="dxa"/>
            <w:tcBorders>
              <w:top w:val="nil"/>
              <w:left w:val="nil"/>
              <w:bottom w:val="nil"/>
              <w:right w:val="nil"/>
            </w:tcBorders>
            <w:shd w:val="clear" w:color="000000" w:fill="FFFFFF"/>
            <w:noWrap/>
            <w:vAlign w:val="bottom"/>
            <w:hideMark/>
          </w:tcPr>
          <w:p w14:paraId="6359C138" w14:textId="672519F9" w:rsidR="008750AD" w:rsidRPr="009F227C" w:rsidRDefault="008750AD" w:rsidP="008750AD">
            <w:pPr>
              <w:jc w:val="right"/>
              <w:rPr>
                <w:sz w:val="20"/>
                <w:szCs w:val="20"/>
                <w:u w:val="single"/>
              </w:rPr>
            </w:pPr>
            <w:r w:rsidRPr="009F227C">
              <w:rPr>
                <w:sz w:val="20"/>
                <w:szCs w:val="20"/>
                <w:u w:val="single"/>
              </w:rPr>
              <w:t>$4,5</w:t>
            </w:r>
            <w:r>
              <w:rPr>
                <w:sz w:val="20"/>
                <w:szCs w:val="20"/>
                <w:u w:val="single"/>
              </w:rPr>
              <w:t>32,641</w:t>
            </w:r>
          </w:p>
        </w:tc>
        <w:tc>
          <w:tcPr>
            <w:tcW w:w="1338" w:type="dxa"/>
            <w:tcBorders>
              <w:top w:val="nil"/>
              <w:left w:val="nil"/>
              <w:bottom w:val="nil"/>
              <w:right w:val="single" w:sz="4" w:space="0" w:color="auto"/>
            </w:tcBorders>
            <w:shd w:val="clear" w:color="000000" w:fill="FFFFFF"/>
            <w:noWrap/>
            <w:vAlign w:val="bottom"/>
            <w:hideMark/>
          </w:tcPr>
          <w:p w14:paraId="0556720A" w14:textId="76BE25C9" w:rsidR="008750AD" w:rsidRPr="009F227C" w:rsidRDefault="008750AD" w:rsidP="008750AD">
            <w:pPr>
              <w:jc w:val="right"/>
              <w:rPr>
                <w:sz w:val="20"/>
                <w:szCs w:val="20"/>
                <w:u w:val="single"/>
              </w:rPr>
            </w:pPr>
            <w:r w:rsidRPr="009F227C">
              <w:rPr>
                <w:sz w:val="20"/>
                <w:szCs w:val="20"/>
                <w:u w:val="single"/>
              </w:rPr>
              <w:t>$27,4</w:t>
            </w:r>
            <w:r>
              <w:rPr>
                <w:sz w:val="20"/>
                <w:szCs w:val="20"/>
                <w:u w:val="single"/>
              </w:rPr>
              <w:t>50,926</w:t>
            </w:r>
          </w:p>
        </w:tc>
      </w:tr>
      <w:tr w:rsidR="008750AD" w:rsidRPr="009F227C" w14:paraId="0CAFAFEA"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1CE9006E"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31C2495D" w14:textId="15D0A515"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585409E" w14:textId="12969DDC"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40C99FB" w14:textId="2F95C937"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27C0EF2" w14:textId="7B5C602D"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7C562ECE" w14:textId="0AE41BD6"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14E8D53" w14:textId="3B0C0998"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D905FA1" w14:textId="333E8A51" w:rsidR="008750AD" w:rsidRPr="009F227C" w:rsidRDefault="008750AD" w:rsidP="008750AD">
            <w:pPr>
              <w:jc w:val="right"/>
              <w:rPr>
                <w:sz w:val="20"/>
                <w:szCs w:val="20"/>
              </w:rPr>
            </w:pPr>
            <w:r w:rsidRPr="009F227C">
              <w:rPr>
                <w:sz w:val="20"/>
                <w:szCs w:val="20"/>
              </w:rPr>
              <w:t>19.</w:t>
            </w:r>
            <w:r>
              <w:rPr>
                <w:sz w:val="20"/>
                <w:szCs w:val="20"/>
              </w:rPr>
              <w:t>8</w:t>
            </w:r>
            <w:r w:rsidRPr="009F227C">
              <w:rPr>
                <w:sz w:val="20"/>
                <w:szCs w:val="20"/>
              </w:rPr>
              <w:t>%</w:t>
            </w:r>
          </w:p>
        </w:tc>
        <w:tc>
          <w:tcPr>
            <w:tcW w:w="1338" w:type="dxa"/>
            <w:tcBorders>
              <w:top w:val="nil"/>
              <w:left w:val="nil"/>
              <w:bottom w:val="nil"/>
              <w:right w:val="single" w:sz="4" w:space="0" w:color="auto"/>
            </w:tcBorders>
            <w:shd w:val="clear" w:color="000000" w:fill="FFFFFF"/>
            <w:noWrap/>
            <w:vAlign w:val="bottom"/>
            <w:hideMark/>
          </w:tcPr>
          <w:p w14:paraId="76B158FC" w14:textId="05F1CE2C" w:rsidR="008750AD" w:rsidRPr="009F227C" w:rsidRDefault="008750AD" w:rsidP="008750AD">
            <w:pPr>
              <w:rPr>
                <w:sz w:val="20"/>
                <w:szCs w:val="20"/>
              </w:rPr>
            </w:pPr>
            <w:r w:rsidRPr="009F227C">
              <w:rPr>
                <w:sz w:val="20"/>
                <w:szCs w:val="20"/>
              </w:rPr>
              <w:t> </w:t>
            </w:r>
          </w:p>
        </w:tc>
      </w:tr>
      <w:tr w:rsidR="008750AD" w:rsidRPr="009F227C" w14:paraId="12BA4177"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4AFC5AEE"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4E393BC5" w14:textId="31E2B5A3" w:rsidR="008750AD" w:rsidRPr="009F227C" w:rsidRDefault="008750AD" w:rsidP="008750AD">
            <w:pPr>
              <w:rPr>
                <w:b/>
                <w:bCs/>
                <w:sz w:val="20"/>
                <w:szCs w:val="20"/>
              </w:rPr>
            </w:pPr>
            <w:r w:rsidRPr="009F227C">
              <w:rPr>
                <w:b/>
                <w:bCs/>
                <w:sz w:val="20"/>
                <w:szCs w:val="20"/>
              </w:rPr>
              <w:t>Operating Expenses</w:t>
            </w:r>
          </w:p>
        </w:tc>
        <w:tc>
          <w:tcPr>
            <w:tcW w:w="1220" w:type="dxa"/>
            <w:tcBorders>
              <w:top w:val="nil"/>
              <w:left w:val="nil"/>
              <w:bottom w:val="nil"/>
              <w:right w:val="nil"/>
            </w:tcBorders>
            <w:shd w:val="clear" w:color="000000" w:fill="FFFFFF"/>
            <w:noWrap/>
            <w:vAlign w:val="bottom"/>
            <w:hideMark/>
          </w:tcPr>
          <w:p w14:paraId="04B6D035" w14:textId="16199EF2"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45E3A59" w14:textId="682721EB"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DF151E8" w14:textId="69EA1F79"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0DE00893" w14:textId="349FC489"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6B5BA54" w14:textId="6C1A0FFB"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4BA1AEE" w14:textId="49B52CFE"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2A80450" w14:textId="027D3BE4" w:rsidR="008750AD" w:rsidRPr="009F227C" w:rsidRDefault="008750AD" w:rsidP="008750AD">
            <w:pPr>
              <w:rPr>
                <w:sz w:val="20"/>
                <w:szCs w:val="20"/>
              </w:rPr>
            </w:pPr>
            <w:r w:rsidRPr="009F227C">
              <w:rPr>
                <w:sz w:val="20"/>
                <w:szCs w:val="20"/>
              </w:rPr>
              <w:t> </w:t>
            </w:r>
          </w:p>
        </w:tc>
      </w:tr>
      <w:tr w:rsidR="008750AD" w:rsidRPr="009F227C" w14:paraId="3253CA03" w14:textId="77777777" w:rsidTr="008750AD">
        <w:trPr>
          <w:trHeight w:val="310"/>
          <w:jc w:val="center"/>
        </w:trPr>
        <w:tc>
          <w:tcPr>
            <w:tcW w:w="480" w:type="dxa"/>
            <w:tcBorders>
              <w:top w:val="nil"/>
              <w:left w:val="single" w:sz="4" w:space="0" w:color="auto"/>
              <w:bottom w:val="nil"/>
              <w:right w:val="nil"/>
            </w:tcBorders>
            <w:shd w:val="clear" w:color="000000" w:fill="FFFFFF"/>
            <w:noWrap/>
            <w:vAlign w:val="bottom"/>
            <w:hideMark/>
          </w:tcPr>
          <w:p w14:paraId="0E6E21E3" w14:textId="77777777" w:rsidR="008750AD" w:rsidRPr="009F227C" w:rsidRDefault="008750AD" w:rsidP="008750AD">
            <w:pPr>
              <w:jc w:val="center"/>
              <w:rPr>
                <w:sz w:val="20"/>
                <w:szCs w:val="20"/>
              </w:rPr>
            </w:pPr>
            <w:r w:rsidRPr="009F227C">
              <w:rPr>
                <w:sz w:val="20"/>
                <w:szCs w:val="20"/>
              </w:rPr>
              <w:t>2</w:t>
            </w:r>
          </w:p>
        </w:tc>
        <w:tc>
          <w:tcPr>
            <w:tcW w:w="2460" w:type="dxa"/>
            <w:tcBorders>
              <w:top w:val="nil"/>
              <w:left w:val="nil"/>
              <w:bottom w:val="nil"/>
              <w:right w:val="nil"/>
            </w:tcBorders>
            <w:shd w:val="clear" w:color="000000" w:fill="FFFFFF"/>
            <w:noWrap/>
            <w:vAlign w:val="bottom"/>
            <w:hideMark/>
          </w:tcPr>
          <w:p w14:paraId="3216C906" w14:textId="5ADEFE93" w:rsidR="008750AD" w:rsidRPr="009F227C" w:rsidRDefault="008750AD" w:rsidP="008750AD">
            <w:pPr>
              <w:rPr>
                <w:sz w:val="20"/>
                <w:szCs w:val="20"/>
              </w:rPr>
            </w:pPr>
            <w:r w:rsidRPr="009F227C">
              <w:rPr>
                <w:sz w:val="20"/>
                <w:szCs w:val="20"/>
              </w:rPr>
              <w:t xml:space="preserve">    O&amp;M</w:t>
            </w:r>
          </w:p>
        </w:tc>
        <w:tc>
          <w:tcPr>
            <w:tcW w:w="1220" w:type="dxa"/>
            <w:tcBorders>
              <w:top w:val="nil"/>
              <w:left w:val="nil"/>
              <w:bottom w:val="nil"/>
              <w:right w:val="nil"/>
            </w:tcBorders>
            <w:shd w:val="clear" w:color="000000" w:fill="FFFFFF"/>
            <w:noWrap/>
            <w:vAlign w:val="bottom"/>
            <w:hideMark/>
          </w:tcPr>
          <w:p w14:paraId="2F2AB091" w14:textId="2180FEA9" w:rsidR="008750AD" w:rsidRPr="009F227C" w:rsidRDefault="008750AD" w:rsidP="008750AD">
            <w:pPr>
              <w:jc w:val="right"/>
              <w:rPr>
                <w:sz w:val="20"/>
                <w:szCs w:val="20"/>
              </w:rPr>
            </w:pPr>
            <w:r w:rsidRPr="009F227C">
              <w:rPr>
                <w:sz w:val="20"/>
                <w:szCs w:val="20"/>
              </w:rPr>
              <w:t>$12,536,020</w:t>
            </w:r>
          </w:p>
        </w:tc>
        <w:tc>
          <w:tcPr>
            <w:tcW w:w="1220" w:type="dxa"/>
            <w:tcBorders>
              <w:top w:val="nil"/>
              <w:left w:val="nil"/>
              <w:bottom w:val="nil"/>
              <w:right w:val="nil"/>
            </w:tcBorders>
            <w:shd w:val="clear" w:color="000000" w:fill="FFFFFF"/>
            <w:noWrap/>
            <w:vAlign w:val="bottom"/>
            <w:hideMark/>
          </w:tcPr>
          <w:p w14:paraId="13C465CC" w14:textId="2DDA1D32" w:rsidR="008750AD" w:rsidRPr="009F227C" w:rsidRDefault="008750AD" w:rsidP="008750AD">
            <w:pPr>
              <w:jc w:val="right"/>
              <w:rPr>
                <w:sz w:val="20"/>
                <w:szCs w:val="20"/>
              </w:rPr>
            </w:pPr>
            <w:r w:rsidRPr="009F227C">
              <w:rPr>
                <w:sz w:val="20"/>
                <w:szCs w:val="20"/>
              </w:rPr>
              <w:t>$743,783</w:t>
            </w:r>
          </w:p>
        </w:tc>
        <w:tc>
          <w:tcPr>
            <w:tcW w:w="1220" w:type="dxa"/>
            <w:tcBorders>
              <w:top w:val="nil"/>
              <w:left w:val="nil"/>
              <w:bottom w:val="nil"/>
              <w:right w:val="nil"/>
            </w:tcBorders>
            <w:shd w:val="clear" w:color="000000" w:fill="FFFFFF"/>
            <w:noWrap/>
            <w:vAlign w:val="bottom"/>
            <w:hideMark/>
          </w:tcPr>
          <w:p w14:paraId="708202A5" w14:textId="1EBDD0F9" w:rsidR="008750AD" w:rsidRPr="009F227C" w:rsidRDefault="008750AD" w:rsidP="008750AD">
            <w:pPr>
              <w:jc w:val="right"/>
              <w:rPr>
                <w:sz w:val="20"/>
                <w:szCs w:val="20"/>
              </w:rPr>
            </w:pPr>
            <w:r w:rsidRPr="009F227C">
              <w:rPr>
                <w:sz w:val="20"/>
                <w:szCs w:val="20"/>
              </w:rPr>
              <w:t>$13,279,803</w:t>
            </w:r>
          </w:p>
        </w:tc>
        <w:tc>
          <w:tcPr>
            <w:tcW w:w="1250" w:type="dxa"/>
            <w:tcBorders>
              <w:top w:val="nil"/>
              <w:left w:val="nil"/>
              <w:bottom w:val="nil"/>
              <w:right w:val="nil"/>
            </w:tcBorders>
            <w:shd w:val="clear" w:color="000000" w:fill="FFFFFF"/>
            <w:noWrap/>
            <w:vAlign w:val="bottom"/>
            <w:hideMark/>
          </w:tcPr>
          <w:p w14:paraId="46AC7558" w14:textId="5F7FBCD2" w:rsidR="008750AD" w:rsidRPr="009F227C" w:rsidRDefault="008750AD" w:rsidP="008750AD">
            <w:pPr>
              <w:jc w:val="right"/>
              <w:rPr>
                <w:sz w:val="20"/>
                <w:szCs w:val="20"/>
              </w:rPr>
            </w:pPr>
            <w:r w:rsidRPr="009F227C">
              <w:rPr>
                <w:sz w:val="20"/>
                <w:szCs w:val="20"/>
              </w:rPr>
              <w:t>(7</w:t>
            </w:r>
            <w:r>
              <w:rPr>
                <w:sz w:val="20"/>
                <w:szCs w:val="20"/>
              </w:rPr>
              <w:t>54,284</w:t>
            </w:r>
            <w:r w:rsidRPr="009F227C">
              <w:rPr>
                <w:sz w:val="20"/>
                <w:szCs w:val="20"/>
              </w:rPr>
              <w:t>)</w:t>
            </w:r>
          </w:p>
        </w:tc>
        <w:tc>
          <w:tcPr>
            <w:tcW w:w="1220" w:type="dxa"/>
            <w:tcBorders>
              <w:top w:val="nil"/>
              <w:left w:val="nil"/>
              <w:bottom w:val="nil"/>
              <w:right w:val="nil"/>
            </w:tcBorders>
            <w:shd w:val="clear" w:color="000000" w:fill="FFFFFF"/>
            <w:noWrap/>
            <w:vAlign w:val="bottom"/>
            <w:hideMark/>
          </w:tcPr>
          <w:p w14:paraId="611E7F1E" w14:textId="1E148B24" w:rsidR="008750AD" w:rsidRPr="009F227C" w:rsidRDefault="008750AD" w:rsidP="008750AD">
            <w:pPr>
              <w:jc w:val="right"/>
              <w:rPr>
                <w:sz w:val="20"/>
                <w:szCs w:val="20"/>
              </w:rPr>
            </w:pPr>
            <w:r w:rsidRPr="009F227C">
              <w:rPr>
                <w:sz w:val="20"/>
                <w:szCs w:val="20"/>
              </w:rPr>
              <w:t>12,5</w:t>
            </w:r>
            <w:r>
              <w:rPr>
                <w:sz w:val="20"/>
                <w:szCs w:val="20"/>
              </w:rPr>
              <w:t>24,979</w:t>
            </w:r>
          </w:p>
        </w:tc>
        <w:tc>
          <w:tcPr>
            <w:tcW w:w="1220" w:type="dxa"/>
            <w:tcBorders>
              <w:top w:val="nil"/>
              <w:left w:val="nil"/>
              <w:bottom w:val="nil"/>
              <w:right w:val="nil"/>
            </w:tcBorders>
            <w:shd w:val="clear" w:color="000000" w:fill="FFFFFF"/>
            <w:noWrap/>
            <w:vAlign w:val="bottom"/>
            <w:hideMark/>
          </w:tcPr>
          <w:p w14:paraId="69FF8D0B" w14:textId="21AE0A1A"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BD2D576" w14:textId="4BA1437A" w:rsidR="008750AD" w:rsidRPr="009F227C" w:rsidRDefault="008750AD" w:rsidP="008750AD">
            <w:pPr>
              <w:jc w:val="right"/>
              <w:rPr>
                <w:sz w:val="20"/>
                <w:szCs w:val="20"/>
              </w:rPr>
            </w:pPr>
            <w:r w:rsidRPr="009F227C">
              <w:rPr>
                <w:sz w:val="20"/>
                <w:szCs w:val="20"/>
              </w:rPr>
              <w:t>12,5</w:t>
            </w:r>
            <w:r>
              <w:rPr>
                <w:sz w:val="20"/>
                <w:szCs w:val="20"/>
              </w:rPr>
              <w:t>24,979</w:t>
            </w:r>
          </w:p>
        </w:tc>
      </w:tr>
      <w:tr w:rsidR="008750AD" w:rsidRPr="009F227C" w14:paraId="60267769" w14:textId="77777777" w:rsidTr="008750AD">
        <w:trPr>
          <w:trHeight w:val="310"/>
          <w:jc w:val="center"/>
        </w:trPr>
        <w:tc>
          <w:tcPr>
            <w:tcW w:w="480" w:type="dxa"/>
            <w:tcBorders>
              <w:top w:val="nil"/>
              <w:left w:val="single" w:sz="4" w:space="0" w:color="auto"/>
              <w:bottom w:val="nil"/>
              <w:right w:val="nil"/>
            </w:tcBorders>
            <w:shd w:val="clear" w:color="000000" w:fill="FFFFFF"/>
            <w:noWrap/>
            <w:vAlign w:val="bottom"/>
            <w:hideMark/>
          </w:tcPr>
          <w:p w14:paraId="5379AD21"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7DF3B53C" w14:textId="7FD3BEF6"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97CAE5E" w14:textId="5629A30F"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F3A1176" w14:textId="31B051C2"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1BC9004" w14:textId="4F3999E0"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79EDD379" w14:textId="408C0972"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3D6C9FC" w14:textId="2D16FE26"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20F9A4B" w14:textId="1428B7D7"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3B9F0F9B" w14:textId="13631D0B" w:rsidR="008750AD" w:rsidRPr="009F227C" w:rsidRDefault="008750AD" w:rsidP="008750AD">
            <w:pPr>
              <w:rPr>
                <w:sz w:val="20"/>
                <w:szCs w:val="20"/>
              </w:rPr>
            </w:pPr>
            <w:r w:rsidRPr="009F227C">
              <w:rPr>
                <w:sz w:val="20"/>
                <w:szCs w:val="20"/>
              </w:rPr>
              <w:t> </w:t>
            </w:r>
          </w:p>
        </w:tc>
      </w:tr>
      <w:tr w:rsidR="008750AD" w:rsidRPr="009F227C" w14:paraId="1F2AC823"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3EBFE9A3" w14:textId="77777777" w:rsidR="008750AD" w:rsidRPr="009F227C" w:rsidRDefault="008750AD" w:rsidP="008750AD">
            <w:pPr>
              <w:jc w:val="center"/>
              <w:rPr>
                <w:sz w:val="20"/>
                <w:szCs w:val="20"/>
              </w:rPr>
            </w:pPr>
            <w:r w:rsidRPr="009F227C">
              <w:rPr>
                <w:sz w:val="20"/>
                <w:szCs w:val="20"/>
              </w:rPr>
              <w:t>3</w:t>
            </w:r>
          </w:p>
        </w:tc>
        <w:tc>
          <w:tcPr>
            <w:tcW w:w="2460" w:type="dxa"/>
            <w:tcBorders>
              <w:top w:val="nil"/>
              <w:left w:val="nil"/>
              <w:bottom w:val="nil"/>
              <w:right w:val="nil"/>
            </w:tcBorders>
            <w:shd w:val="clear" w:color="000000" w:fill="FFFFFF"/>
            <w:noWrap/>
            <w:vAlign w:val="bottom"/>
            <w:hideMark/>
          </w:tcPr>
          <w:p w14:paraId="6372DAAB" w14:textId="194487F1" w:rsidR="008750AD" w:rsidRPr="009F227C" w:rsidRDefault="008750AD" w:rsidP="008750AD">
            <w:pPr>
              <w:rPr>
                <w:sz w:val="20"/>
                <w:szCs w:val="20"/>
              </w:rPr>
            </w:pPr>
            <w:r w:rsidRPr="009F227C">
              <w:rPr>
                <w:sz w:val="20"/>
                <w:szCs w:val="20"/>
              </w:rPr>
              <w:t xml:space="preserve">    Depreciation</w:t>
            </w:r>
          </w:p>
        </w:tc>
        <w:tc>
          <w:tcPr>
            <w:tcW w:w="1220" w:type="dxa"/>
            <w:tcBorders>
              <w:top w:val="nil"/>
              <w:left w:val="nil"/>
              <w:bottom w:val="nil"/>
              <w:right w:val="nil"/>
            </w:tcBorders>
            <w:shd w:val="clear" w:color="000000" w:fill="FFFFFF"/>
            <w:noWrap/>
            <w:vAlign w:val="bottom"/>
            <w:hideMark/>
          </w:tcPr>
          <w:p w14:paraId="483BC4C3" w14:textId="63C9F8E2" w:rsidR="008750AD" w:rsidRPr="009F227C" w:rsidRDefault="008750AD" w:rsidP="008750AD">
            <w:pPr>
              <w:jc w:val="right"/>
              <w:rPr>
                <w:sz w:val="20"/>
                <w:szCs w:val="20"/>
              </w:rPr>
            </w:pPr>
            <w:r w:rsidRPr="009F227C">
              <w:rPr>
                <w:sz w:val="20"/>
                <w:szCs w:val="20"/>
              </w:rPr>
              <w:t>2,572,862</w:t>
            </w:r>
          </w:p>
        </w:tc>
        <w:tc>
          <w:tcPr>
            <w:tcW w:w="1220" w:type="dxa"/>
            <w:tcBorders>
              <w:top w:val="nil"/>
              <w:left w:val="nil"/>
              <w:bottom w:val="nil"/>
              <w:right w:val="nil"/>
            </w:tcBorders>
            <w:shd w:val="clear" w:color="000000" w:fill="FFFFFF"/>
            <w:noWrap/>
            <w:vAlign w:val="bottom"/>
            <w:hideMark/>
          </w:tcPr>
          <w:p w14:paraId="37F8433C" w14:textId="6B68FAE8" w:rsidR="008750AD" w:rsidRPr="009F227C" w:rsidRDefault="008750AD" w:rsidP="008750AD">
            <w:pPr>
              <w:jc w:val="right"/>
              <w:rPr>
                <w:sz w:val="20"/>
                <w:szCs w:val="20"/>
              </w:rPr>
            </w:pPr>
            <w:r w:rsidRPr="009F227C">
              <w:rPr>
                <w:sz w:val="20"/>
                <w:szCs w:val="20"/>
              </w:rPr>
              <w:t>1,908,761</w:t>
            </w:r>
          </w:p>
        </w:tc>
        <w:tc>
          <w:tcPr>
            <w:tcW w:w="1220" w:type="dxa"/>
            <w:tcBorders>
              <w:top w:val="nil"/>
              <w:left w:val="nil"/>
              <w:bottom w:val="nil"/>
              <w:right w:val="nil"/>
            </w:tcBorders>
            <w:shd w:val="clear" w:color="000000" w:fill="FFFFFF"/>
            <w:noWrap/>
            <w:vAlign w:val="bottom"/>
            <w:hideMark/>
          </w:tcPr>
          <w:p w14:paraId="4A3818D5" w14:textId="6AB8D105" w:rsidR="008750AD" w:rsidRPr="009F227C" w:rsidRDefault="008750AD" w:rsidP="008750AD">
            <w:pPr>
              <w:jc w:val="right"/>
              <w:rPr>
                <w:sz w:val="20"/>
                <w:szCs w:val="20"/>
              </w:rPr>
            </w:pPr>
            <w:r w:rsidRPr="009F227C">
              <w:rPr>
                <w:sz w:val="20"/>
                <w:szCs w:val="20"/>
              </w:rPr>
              <w:t>$4,481,623</w:t>
            </w:r>
          </w:p>
        </w:tc>
        <w:tc>
          <w:tcPr>
            <w:tcW w:w="1250" w:type="dxa"/>
            <w:tcBorders>
              <w:top w:val="nil"/>
              <w:left w:val="nil"/>
              <w:bottom w:val="nil"/>
              <w:right w:val="nil"/>
            </w:tcBorders>
            <w:shd w:val="clear" w:color="000000" w:fill="FFFFFF"/>
            <w:noWrap/>
            <w:vAlign w:val="bottom"/>
            <w:hideMark/>
          </w:tcPr>
          <w:p w14:paraId="651D7A85" w14:textId="256E5092" w:rsidR="008750AD" w:rsidRPr="009F227C" w:rsidRDefault="008750AD" w:rsidP="008750AD">
            <w:pPr>
              <w:jc w:val="right"/>
              <w:rPr>
                <w:sz w:val="20"/>
                <w:szCs w:val="20"/>
              </w:rPr>
            </w:pPr>
            <w:r w:rsidRPr="009F227C">
              <w:rPr>
                <w:sz w:val="20"/>
                <w:szCs w:val="20"/>
              </w:rPr>
              <w:t>(161,558)</w:t>
            </w:r>
          </w:p>
        </w:tc>
        <w:tc>
          <w:tcPr>
            <w:tcW w:w="1220" w:type="dxa"/>
            <w:tcBorders>
              <w:top w:val="nil"/>
              <w:left w:val="nil"/>
              <w:bottom w:val="nil"/>
              <w:right w:val="nil"/>
            </w:tcBorders>
            <w:shd w:val="clear" w:color="000000" w:fill="FFFFFF"/>
            <w:noWrap/>
            <w:vAlign w:val="bottom"/>
            <w:hideMark/>
          </w:tcPr>
          <w:p w14:paraId="36F223AC" w14:textId="1D8BCB2C" w:rsidR="008750AD" w:rsidRPr="009F227C" w:rsidRDefault="008750AD" w:rsidP="008750AD">
            <w:pPr>
              <w:jc w:val="right"/>
              <w:rPr>
                <w:sz w:val="20"/>
                <w:szCs w:val="20"/>
              </w:rPr>
            </w:pPr>
            <w:r w:rsidRPr="009F227C">
              <w:rPr>
                <w:sz w:val="20"/>
                <w:szCs w:val="20"/>
              </w:rPr>
              <w:t>4,320,065</w:t>
            </w:r>
          </w:p>
        </w:tc>
        <w:tc>
          <w:tcPr>
            <w:tcW w:w="1220" w:type="dxa"/>
            <w:tcBorders>
              <w:top w:val="nil"/>
              <w:left w:val="nil"/>
              <w:bottom w:val="nil"/>
              <w:right w:val="nil"/>
            </w:tcBorders>
            <w:shd w:val="clear" w:color="000000" w:fill="FFFFFF"/>
            <w:noWrap/>
            <w:vAlign w:val="bottom"/>
            <w:hideMark/>
          </w:tcPr>
          <w:p w14:paraId="024F51C8" w14:textId="2A968608"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38012665" w14:textId="0F852A6F" w:rsidR="008750AD" w:rsidRPr="009F227C" w:rsidRDefault="008750AD" w:rsidP="008750AD">
            <w:pPr>
              <w:jc w:val="right"/>
              <w:rPr>
                <w:sz w:val="20"/>
                <w:szCs w:val="20"/>
              </w:rPr>
            </w:pPr>
            <w:r w:rsidRPr="009F227C">
              <w:rPr>
                <w:sz w:val="20"/>
                <w:szCs w:val="20"/>
              </w:rPr>
              <w:t>4,320,065</w:t>
            </w:r>
          </w:p>
        </w:tc>
      </w:tr>
      <w:tr w:rsidR="008750AD" w:rsidRPr="009F227C" w14:paraId="493CD0A7"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474CB038"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64113573" w14:textId="25A81DA5"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33C6635" w14:textId="5BA69D5E"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F29A22C" w14:textId="0E9A2ECD"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B3F3E30" w14:textId="08F1580C"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04419DDE" w14:textId="731CEEC3"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4520CBC" w14:textId="0D39AB78"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ABF8641" w14:textId="0D118196"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08E2C0D" w14:textId="1E495644" w:rsidR="008750AD" w:rsidRPr="009F227C" w:rsidRDefault="008750AD" w:rsidP="008750AD">
            <w:pPr>
              <w:rPr>
                <w:sz w:val="20"/>
                <w:szCs w:val="20"/>
              </w:rPr>
            </w:pPr>
            <w:r w:rsidRPr="009F227C">
              <w:rPr>
                <w:sz w:val="20"/>
                <w:szCs w:val="20"/>
              </w:rPr>
              <w:t> </w:t>
            </w:r>
          </w:p>
        </w:tc>
      </w:tr>
      <w:tr w:rsidR="008750AD" w:rsidRPr="009F227C" w14:paraId="281BCA90"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3D1D8005" w14:textId="77777777" w:rsidR="008750AD" w:rsidRPr="009F227C" w:rsidRDefault="008750AD" w:rsidP="008750AD">
            <w:pPr>
              <w:jc w:val="center"/>
              <w:rPr>
                <w:sz w:val="20"/>
                <w:szCs w:val="20"/>
              </w:rPr>
            </w:pPr>
            <w:r w:rsidRPr="009F227C">
              <w:rPr>
                <w:sz w:val="20"/>
                <w:szCs w:val="20"/>
              </w:rPr>
              <w:t>4</w:t>
            </w:r>
          </w:p>
        </w:tc>
        <w:tc>
          <w:tcPr>
            <w:tcW w:w="2460" w:type="dxa"/>
            <w:tcBorders>
              <w:top w:val="nil"/>
              <w:left w:val="nil"/>
              <w:bottom w:val="nil"/>
              <w:right w:val="nil"/>
            </w:tcBorders>
            <w:shd w:val="clear" w:color="000000" w:fill="FFFFFF"/>
            <w:noWrap/>
            <w:vAlign w:val="bottom"/>
            <w:hideMark/>
          </w:tcPr>
          <w:p w14:paraId="2FC50221" w14:textId="72AA5E34" w:rsidR="008750AD" w:rsidRPr="009F227C" w:rsidRDefault="008750AD" w:rsidP="008750AD">
            <w:pPr>
              <w:rPr>
                <w:sz w:val="20"/>
                <w:szCs w:val="20"/>
              </w:rPr>
            </w:pPr>
            <w:r w:rsidRPr="009F227C">
              <w:rPr>
                <w:sz w:val="20"/>
                <w:szCs w:val="20"/>
              </w:rPr>
              <w:t xml:space="preserve">    Amortization</w:t>
            </w:r>
          </w:p>
        </w:tc>
        <w:tc>
          <w:tcPr>
            <w:tcW w:w="1220" w:type="dxa"/>
            <w:tcBorders>
              <w:top w:val="nil"/>
              <w:left w:val="nil"/>
              <w:bottom w:val="nil"/>
              <w:right w:val="nil"/>
            </w:tcBorders>
            <w:shd w:val="clear" w:color="000000" w:fill="FFFFFF"/>
            <w:noWrap/>
            <w:vAlign w:val="bottom"/>
            <w:hideMark/>
          </w:tcPr>
          <w:p w14:paraId="33EF7C50" w14:textId="74F624FC" w:rsidR="008750AD" w:rsidRPr="009F227C" w:rsidRDefault="008750AD" w:rsidP="008750AD">
            <w:pPr>
              <w:jc w:val="right"/>
              <w:rPr>
                <w:sz w:val="20"/>
                <w:szCs w:val="20"/>
              </w:rPr>
            </w:pPr>
            <w:r w:rsidRPr="009F227C">
              <w:rPr>
                <w:sz w:val="20"/>
                <w:szCs w:val="20"/>
              </w:rPr>
              <w:t>0</w:t>
            </w:r>
          </w:p>
        </w:tc>
        <w:tc>
          <w:tcPr>
            <w:tcW w:w="1220" w:type="dxa"/>
            <w:tcBorders>
              <w:top w:val="nil"/>
              <w:left w:val="nil"/>
              <w:bottom w:val="nil"/>
              <w:right w:val="nil"/>
            </w:tcBorders>
            <w:shd w:val="clear" w:color="000000" w:fill="FFFFFF"/>
            <w:noWrap/>
            <w:vAlign w:val="bottom"/>
            <w:hideMark/>
          </w:tcPr>
          <w:p w14:paraId="0580D81E" w14:textId="6F48D3BC" w:rsidR="008750AD" w:rsidRPr="009F227C" w:rsidRDefault="008750AD" w:rsidP="008750AD">
            <w:pPr>
              <w:jc w:val="right"/>
              <w:rPr>
                <w:sz w:val="20"/>
                <w:szCs w:val="20"/>
              </w:rPr>
            </w:pPr>
            <w:r w:rsidRPr="009F227C">
              <w:rPr>
                <w:sz w:val="20"/>
                <w:szCs w:val="20"/>
              </w:rPr>
              <w:t>46,750</w:t>
            </w:r>
          </w:p>
        </w:tc>
        <w:tc>
          <w:tcPr>
            <w:tcW w:w="1220" w:type="dxa"/>
            <w:tcBorders>
              <w:top w:val="nil"/>
              <w:left w:val="nil"/>
              <w:bottom w:val="nil"/>
              <w:right w:val="nil"/>
            </w:tcBorders>
            <w:shd w:val="clear" w:color="000000" w:fill="FFFFFF"/>
            <w:noWrap/>
            <w:vAlign w:val="bottom"/>
            <w:hideMark/>
          </w:tcPr>
          <w:p w14:paraId="3AEF9C37" w14:textId="22A67475" w:rsidR="008750AD" w:rsidRPr="009F227C" w:rsidRDefault="008750AD" w:rsidP="008750AD">
            <w:pPr>
              <w:jc w:val="right"/>
              <w:rPr>
                <w:sz w:val="20"/>
                <w:szCs w:val="20"/>
              </w:rPr>
            </w:pPr>
            <w:r w:rsidRPr="009F227C">
              <w:rPr>
                <w:sz w:val="20"/>
                <w:szCs w:val="20"/>
              </w:rPr>
              <w:t>$46,750</w:t>
            </w:r>
          </w:p>
        </w:tc>
        <w:tc>
          <w:tcPr>
            <w:tcW w:w="1250" w:type="dxa"/>
            <w:tcBorders>
              <w:top w:val="nil"/>
              <w:left w:val="nil"/>
              <w:bottom w:val="nil"/>
              <w:right w:val="nil"/>
            </w:tcBorders>
            <w:shd w:val="clear" w:color="000000" w:fill="FFFFFF"/>
            <w:noWrap/>
            <w:vAlign w:val="bottom"/>
            <w:hideMark/>
          </w:tcPr>
          <w:p w14:paraId="1548AEFE" w14:textId="1B1BDA1E" w:rsidR="008750AD" w:rsidRPr="009F227C" w:rsidRDefault="008750AD" w:rsidP="008750AD">
            <w:pPr>
              <w:jc w:val="right"/>
              <w:rPr>
                <w:sz w:val="20"/>
                <w:szCs w:val="20"/>
              </w:rPr>
            </w:pPr>
            <w:r w:rsidRPr="009F227C">
              <w:rPr>
                <w:sz w:val="20"/>
                <w:szCs w:val="20"/>
              </w:rPr>
              <w:t>0</w:t>
            </w:r>
          </w:p>
        </w:tc>
        <w:tc>
          <w:tcPr>
            <w:tcW w:w="1220" w:type="dxa"/>
            <w:tcBorders>
              <w:top w:val="nil"/>
              <w:left w:val="nil"/>
              <w:bottom w:val="nil"/>
              <w:right w:val="nil"/>
            </w:tcBorders>
            <w:shd w:val="clear" w:color="000000" w:fill="FFFFFF"/>
            <w:noWrap/>
            <w:vAlign w:val="bottom"/>
            <w:hideMark/>
          </w:tcPr>
          <w:p w14:paraId="206E04EA" w14:textId="008D3AE6" w:rsidR="008750AD" w:rsidRPr="009F227C" w:rsidRDefault="008750AD" w:rsidP="008750AD">
            <w:pPr>
              <w:jc w:val="right"/>
              <w:rPr>
                <w:sz w:val="20"/>
                <w:szCs w:val="20"/>
              </w:rPr>
            </w:pPr>
            <w:r w:rsidRPr="009F227C">
              <w:rPr>
                <w:sz w:val="20"/>
                <w:szCs w:val="20"/>
              </w:rPr>
              <w:t>46,750</w:t>
            </w:r>
          </w:p>
        </w:tc>
        <w:tc>
          <w:tcPr>
            <w:tcW w:w="1220" w:type="dxa"/>
            <w:tcBorders>
              <w:top w:val="nil"/>
              <w:left w:val="nil"/>
              <w:bottom w:val="nil"/>
              <w:right w:val="nil"/>
            </w:tcBorders>
            <w:shd w:val="clear" w:color="000000" w:fill="FFFFFF"/>
            <w:noWrap/>
            <w:vAlign w:val="bottom"/>
            <w:hideMark/>
          </w:tcPr>
          <w:p w14:paraId="37BF5927" w14:textId="74ABC90D"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2CC0655" w14:textId="0A187025" w:rsidR="008750AD" w:rsidRPr="009F227C" w:rsidRDefault="008750AD" w:rsidP="008750AD">
            <w:pPr>
              <w:jc w:val="right"/>
              <w:rPr>
                <w:sz w:val="20"/>
                <w:szCs w:val="20"/>
              </w:rPr>
            </w:pPr>
            <w:r w:rsidRPr="009F227C">
              <w:rPr>
                <w:sz w:val="20"/>
                <w:szCs w:val="20"/>
              </w:rPr>
              <w:t>46,750</w:t>
            </w:r>
          </w:p>
        </w:tc>
      </w:tr>
      <w:tr w:rsidR="008750AD" w:rsidRPr="009F227C" w14:paraId="4F339491" w14:textId="77777777" w:rsidTr="008750AD">
        <w:trPr>
          <w:trHeight w:val="310"/>
          <w:jc w:val="center"/>
        </w:trPr>
        <w:tc>
          <w:tcPr>
            <w:tcW w:w="480" w:type="dxa"/>
            <w:tcBorders>
              <w:top w:val="nil"/>
              <w:left w:val="single" w:sz="4" w:space="0" w:color="auto"/>
              <w:bottom w:val="nil"/>
              <w:right w:val="nil"/>
            </w:tcBorders>
            <w:shd w:val="clear" w:color="000000" w:fill="FFFFFF"/>
            <w:noWrap/>
            <w:vAlign w:val="bottom"/>
            <w:hideMark/>
          </w:tcPr>
          <w:p w14:paraId="4D36CE6D"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4A9A1CD0" w14:textId="2EDBB3EC"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5504303" w14:textId="2D076FA1"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3278FB3" w14:textId="1BEC3285"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FC0960D" w14:textId="6B7C6311"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7A494A42" w14:textId="54E83662"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8B2C880" w14:textId="6D9F577D"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DC2C086" w14:textId="486AA64D"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360AF58" w14:textId="045D663B" w:rsidR="008750AD" w:rsidRPr="009F227C" w:rsidRDefault="008750AD" w:rsidP="008750AD">
            <w:pPr>
              <w:rPr>
                <w:sz w:val="20"/>
                <w:szCs w:val="20"/>
              </w:rPr>
            </w:pPr>
            <w:r w:rsidRPr="009F227C">
              <w:rPr>
                <w:sz w:val="20"/>
                <w:szCs w:val="20"/>
              </w:rPr>
              <w:t> </w:t>
            </w:r>
          </w:p>
        </w:tc>
      </w:tr>
      <w:tr w:rsidR="008750AD" w:rsidRPr="009F227C" w14:paraId="127EDA11" w14:textId="77777777" w:rsidTr="008750AD">
        <w:trPr>
          <w:trHeight w:val="310"/>
          <w:jc w:val="center"/>
        </w:trPr>
        <w:tc>
          <w:tcPr>
            <w:tcW w:w="480" w:type="dxa"/>
            <w:tcBorders>
              <w:top w:val="nil"/>
              <w:left w:val="single" w:sz="4" w:space="0" w:color="auto"/>
              <w:bottom w:val="nil"/>
              <w:right w:val="nil"/>
            </w:tcBorders>
            <w:shd w:val="clear" w:color="000000" w:fill="FFFFFF"/>
            <w:noWrap/>
            <w:vAlign w:val="bottom"/>
            <w:hideMark/>
          </w:tcPr>
          <w:p w14:paraId="08D7511A" w14:textId="77777777" w:rsidR="008750AD" w:rsidRPr="009F227C" w:rsidRDefault="008750AD" w:rsidP="008750AD">
            <w:pPr>
              <w:jc w:val="center"/>
              <w:rPr>
                <w:sz w:val="20"/>
                <w:szCs w:val="20"/>
              </w:rPr>
            </w:pPr>
            <w:r w:rsidRPr="009F227C">
              <w:rPr>
                <w:sz w:val="20"/>
                <w:szCs w:val="20"/>
              </w:rPr>
              <w:t>5</w:t>
            </w:r>
          </w:p>
        </w:tc>
        <w:tc>
          <w:tcPr>
            <w:tcW w:w="2460" w:type="dxa"/>
            <w:tcBorders>
              <w:top w:val="nil"/>
              <w:left w:val="nil"/>
              <w:bottom w:val="nil"/>
              <w:right w:val="nil"/>
            </w:tcBorders>
            <w:shd w:val="clear" w:color="000000" w:fill="FFFFFF"/>
            <w:noWrap/>
            <w:vAlign w:val="bottom"/>
            <w:hideMark/>
          </w:tcPr>
          <w:p w14:paraId="474EFE6E" w14:textId="1E2AEAF3" w:rsidR="008750AD" w:rsidRPr="009F227C" w:rsidRDefault="008750AD" w:rsidP="008750AD">
            <w:pPr>
              <w:rPr>
                <w:sz w:val="20"/>
                <w:szCs w:val="20"/>
              </w:rPr>
            </w:pPr>
            <w:r w:rsidRPr="009F227C">
              <w:rPr>
                <w:sz w:val="20"/>
                <w:szCs w:val="20"/>
              </w:rPr>
              <w:t xml:space="preserve">    TOTI</w:t>
            </w:r>
          </w:p>
        </w:tc>
        <w:tc>
          <w:tcPr>
            <w:tcW w:w="1220" w:type="dxa"/>
            <w:tcBorders>
              <w:top w:val="nil"/>
              <w:left w:val="nil"/>
              <w:bottom w:val="nil"/>
              <w:right w:val="nil"/>
            </w:tcBorders>
            <w:shd w:val="clear" w:color="000000" w:fill="FFFFFF"/>
            <w:noWrap/>
            <w:vAlign w:val="bottom"/>
            <w:hideMark/>
          </w:tcPr>
          <w:p w14:paraId="3C838D57" w14:textId="3F496CAB" w:rsidR="008750AD" w:rsidRPr="009F227C" w:rsidRDefault="008750AD" w:rsidP="008750AD">
            <w:pPr>
              <w:jc w:val="right"/>
              <w:rPr>
                <w:sz w:val="20"/>
                <w:szCs w:val="20"/>
              </w:rPr>
            </w:pPr>
            <w:r w:rsidRPr="009F227C">
              <w:rPr>
                <w:sz w:val="20"/>
                <w:szCs w:val="20"/>
              </w:rPr>
              <w:t>1,934,995</w:t>
            </w:r>
          </w:p>
        </w:tc>
        <w:tc>
          <w:tcPr>
            <w:tcW w:w="1220" w:type="dxa"/>
            <w:tcBorders>
              <w:top w:val="nil"/>
              <w:left w:val="nil"/>
              <w:bottom w:val="nil"/>
              <w:right w:val="nil"/>
            </w:tcBorders>
            <w:shd w:val="clear" w:color="000000" w:fill="FFFFFF"/>
            <w:noWrap/>
            <w:vAlign w:val="bottom"/>
            <w:hideMark/>
          </w:tcPr>
          <w:p w14:paraId="1DD2121B" w14:textId="25C8C3F5" w:rsidR="008750AD" w:rsidRPr="009F227C" w:rsidRDefault="008750AD" w:rsidP="008750AD">
            <w:pPr>
              <w:jc w:val="right"/>
              <w:rPr>
                <w:sz w:val="20"/>
                <w:szCs w:val="20"/>
              </w:rPr>
            </w:pPr>
            <w:r w:rsidRPr="009F227C">
              <w:rPr>
                <w:sz w:val="20"/>
                <w:szCs w:val="20"/>
              </w:rPr>
              <w:t>573,609</w:t>
            </w:r>
          </w:p>
        </w:tc>
        <w:tc>
          <w:tcPr>
            <w:tcW w:w="1220" w:type="dxa"/>
            <w:tcBorders>
              <w:top w:val="nil"/>
              <w:left w:val="nil"/>
              <w:bottom w:val="nil"/>
              <w:right w:val="nil"/>
            </w:tcBorders>
            <w:shd w:val="clear" w:color="000000" w:fill="FFFFFF"/>
            <w:noWrap/>
            <w:vAlign w:val="bottom"/>
            <w:hideMark/>
          </w:tcPr>
          <w:p w14:paraId="1F0D64EF" w14:textId="3474BA2E" w:rsidR="008750AD" w:rsidRPr="009F227C" w:rsidRDefault="008750AD" w:rsidP="008750AD">
            <w:pPr>
              <w:jc w:val="right"/>
              <w:rPr>
                <w:sz w:val="20"/>
                <w:szCs w:val="20"/>
              </w:rPr>
            </w:pPr>
            <w:r w:rsidRPr="009F227C">
              <w:rPr>
                <w:sz w:val="20"/>
                <w:szCs w:val="20"/>
              </w:rPr>
              <w:t>$2,508,604</w:t>
            </w:r>
          </w:p>
        </w:tc>
        <w:tc>
          <w:tcPr>
            <w:tcW w:w="1250" w:type="dxa"/>
            <w:tcBorders>
              <w:top w:val="nil"/>
              <w:left w:val="nil"/>
              <w:bottom w:val="nil"/>
              <w:right w:val="nil"/>
            </w:tcBorders>
            <w:shd w:val="clear" w:color="000000" w:fill="FFFFFF"/>
            <w:noWrap/>
            <w:vAlign w:val="bottom"/>
            <w:hideMark/>
          </w:tcPr>
          <w:p w14:paraId="5FE5F778" w14:textId="0126D229" w:rsidR="008750AD" w:rsidRPr="009F227C" w:rsidRDefault="008750AD" w:rsidP="008750AD">
            <w:pPr>
              <w:jc w:val="right"/>
              <w:rPr>
                <w:sz w:val="20"/>
                <w:szCs w:val="20"/>
              </w:rPr>
            </w:pPr>
            <w:r w:rsidRPr="009F227C">
              <w:rPr>
                <w:sz w:val="20"/>
                <w:szCs w:val="20"/>
              </w:rPr>
              <w:t>(226,575)</w:t>
            </w:r>
          </w:p>
        </w:tc>
        <w:tc>
          <w:tcPr>
            <w:tcW w:w="1220" w:type="dxa"/>
            <w:tcBorders>
              <w:top w:val="nil"/>
              <w:left w:val="nil"/>
              <w:bottom w:val="nil"/>
              <w:right w:val="nil"/>
            </w:tcBorders>
            <w:shd w:val="clear" w:color="000000" w:fill="FFFFFF"/>
            <w:noWrap/>
            <w:vAlign w:val="bottom"/>
            <w:hideMark/>
          </w:tcPr>
          <w:p w14:paraId="14539DD9" w14:textId="7999FE6D" w:rsidR="008750AD" w:rsidRPr="009F227C" w:rsidRDefault="008750AD" w:rsidP="008750AD">
            <w:pPr>
              <w:jc w:val="right"/>
              <w:rPr>
                <w:sz w:val="20"/>
                <w:szCs w:val="20"/>
              </w:rPr>
            </w:pPr>
            <w:r w:rsidRPr="009F227C">
              <w:rPr>
                <w:sz w:val="20"/>
                <w:szCs w:val="20"/>
              </w:rPr>
              <w:t>2,282,029</w:t>
            </w:r>
          </w:p>
        </w:tc>
        <w:tc>
          <w:tcPr>
            <w:tcW w:w="1220" w:type="dxa"/>
            <w:tcBorders>
              <w:top w:val="nil"/>
              <w:left w:val="nil"/>
              <w:bottom w:val="nil"/>
              <w:right w:val="nil"/>
            </w:tcBorders>
            <w:shd w:val="clear" w:color="000000" w:fill="FFFFFF"/>
            <w:noWrap/>
            <w:vAlign w:val="bottom"/>
            <w:hideMark/>
          </w:tcPr>
          <w:p w14:paraId="66DB4CD8" w14:textId="7A8408F1" w:rsidR="008750AD" w:rsidRPr="009F227C" w:rsidRDefault="008750AD" w:rsidP="008750AD">
            <w:pPr>
              <w:jc w:val="right"/>
              <w:rPr>
                <w:sz w:val="20"/>
                <w:szCs w:val="20"/>
              </w:rPr>
            </w:pPr>
            <w:r w:rsidRPr="009F227C">
              <w:rPr>
                <w:sz w:val="20"/>
                <w:szCs w:val="20"/>
              </w:rPr>
              <w:t>20</w:t>
            </w:r>
            <w:r>
              <w:rPr>
                <w:sz w:val="20"/>
                <w:szCs w:val="20"/>
              </w:rPr>
              <w:t>3,969</w:t>
            </w:r>
          </w:p>
        </w:tc>
        <w:tc>
          <w:tcPr>
            <w:tcW w:w="1338" w:type="dxa"/>
            <w:tcBorders>
              <w:top w:val="nil"/>
              <w:left w:val="nil"/>
              <w:bottom w:val="nil"/>
              <w:right w:val="single" w:sz="4" w:space="0" w:color="auto"/>
            </w:tcBorders>
            <w:shd w:val="clear" w:color="000000" w:fill="FFFFFF"/>
            <w:noWrap/>
            <w:vAlign w:val="bottom"/>
            <w:hideMark/>
          </w:tcPr>
          <w:p w14:paraId="061FF175" w14:textId="66245A00" w:rsidR="008750AD" w:rsidRPr="009F227C" w:rsidRDefault="008750AD" w:rsidP="008750AD">
            <w:pPr>
              <w:jc w:val="right"/>
              <w:rPr>
                <w:sz w:val="20"/>
                <w:szCs w:val="20"/>
              </w:rPr>
            </w:pPr>
            <w:r w:rsidRPr="009F227C">
              <w:rPr>
                <w:sz w:val="20"/>
                <w:szCs w:val="20"/>
              </w:rPr>
              <w:t>2,48</w:t>
            </w:r>
            <w:r>
              <w:rPr>
                <w:sz w:val="20"/>
                <w:szCs w:val="20"/>
              </w:rPr>
              <w:t>5,998</w:t>
            </w:r>
          </w:p>
        </w:tc>
      </w:tr>
      <w:tr w:rsidR="008750AD" w:rsidRPr="009F227C" w14:paraId="772D402F"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780795F"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06BCF806" w14:textId="06BFA0A2"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A83AEBC" w14:textId="1B7DAB94"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8D330BF" w14:textId="1534D1A8"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901F00B" w14:textId="2E997B5A"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0A62BBFA" w14:textId="05BEE1DA"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8D22178" w14:textId="070CAA94"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05A9C30" w14:textId="5E0862C5"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F269BA1" w14:textId="6886A58F" w:rsidR="008750AD" w:rsidRPr="009F227C" w:rsidRDefault="008750AD" w:rsidP="008750AD">
            <w:pPr>
              <w:rPr>
                <w:sz w:val="20"/>
                <w:szCs w:val="20"/>
              </w:rPr>
            </w:pPr>
            <w:r w:rsidRPr="009F227C">
              <w:rPr>
                <w:sz w:val="20"/>
                <w:szCs w:val="20"/>
              </w:rPr>
              <w:t> </w:t>
            </w:r>
          </w:p>
        </w:tc>
      </w:tr>
      <w:tr w:rsidR="008750AD" w:rsidRPr="009F227C" w14:paraId="07120AD3"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1E044B5B" w14:textId="77777777" w:rsidR="008750AD" w:rsidRPr="009F227C" w:rsidRDefault="008750AD" w:rsidP="008750AD">
            <w:pPr>
              <w:jc w:val="center"/>
              <w:rPr>
                <w:sz w:val="20"/>
                <w:szCs w:val="20"/>
              </w:rPr>
            </w:pPr>
            <w:r w:rsidRPr="009F227C">
              <w:rPr>
                <w:sz w:val="20"/>
                <w:szCs w:val="20"/>
              </w:rPr>
              <w:t>6</w:t>
            </w:r>
          </w:p>
        </w:tc>
        <w:tc>
          <w:tcPr>
            <w:tcW w:w="2460" w:type="dxa"/>
            <w:tcBorders>
              <w:top w:val="nil"/>
              <w:left w:val="nil"/>
              <w:bottom w:val="nil"/>
              <w:right w:val="nil"/>
            </w:tcBorders>
            <w:shd w:val="clear" w:color="000000" w:fill="FFFFFF"/>
            <w:noWrap/>
            <w:vAlign w:val="bottom"/>
            <w:hideMark/>
          </w:tcPr>
          <w:p w14:paraId="25CB9456" w14:textId="274BE587" w:rsidR="008750AD" w:rsidRPr="009F227C" w:rsidRDefault="008750AD" w:rsidP="008750AD">
            <w:pPr>
              <w:rPr>
                <w:sz w:val="20"/>
                <w:szCs w:val="20"/>
              </w:rPr>
            </w:pPr>
            <w:r w:rsidRPr="009F227C">
              <w:rPr>
                <w:sz w:val="20"/>
                <w:szCs w:val="20"/>
              </w:rPr>
              <w:t xml:space="preserve">    Income Taxes</w:t>
            </w:r>
          </w:p>
        </w:tc>
        <w:tc>
          <w:tcPr>
            <w:tcW w:w="1220" w:type="dxa"/>
            <w:tcBorders>
              <w:top w:val="nil"/>
              <w:left w:val="nil"/>
              <w:bottom w:val="nil"/>
              <w:right w:val="nil"/>
            </w:tcBorders>
            <w:shd w:val="clear" w:color="000000" w:fill="FFFFFF"/>
            <w:noWrap/>
            <w:vAlign w:val="bottom"/>
            <w:hideMark/>
          </w:tcPr>
          <w:p w14:paraId="0E067C84" w14:textId="17ED792A" w:rsidR="008750AD" w:rsidRPr="009F227C" w:rsidRDefault="008750AD" w:rsidP="008750AD">
            <w:pPr>
              <w:jc w:val="right"/>
              <w:rPr>
                <w:sz w:val="20"/>
                <w:szCs w:val="20"/>
                <w:u w:val="single"/>
              </w:rPr>
            </w:pPr>
            <w:r w:rsidRPr="009F227C">
              <w:rPr>
                <w:sz w:val="20"/>
                <w:szCs w:val="20"/>
                <w:u w:val="single"/>
              </w:rPr>
              <w:t>1,112,778</w:t>
            </w:r>
          </w:p>
        </w:tc>
        <w:tc>
          <w:tcPr>
            <w:tcW w:w="1220" w:type="dxa"/>
            <w:tcBorders>
              <w:top w:val="nil"/>
              <w:left w:val="nil"/>
              <w:bottom w:val="nil"/>
              <w:right w:val="nil"/>
            </w:tcBorders>
            <w:shd w:val="clear" w:color="000000" w:fill="FFFFFF"/>
            <w:noWrap/>
            <w:vAlign w:val="bottom"/>
            <w:hideMark/>
          </w:tcPr>
          <w:p w14:paraId="29E37C31" w14:textId="2489909C" w:rsidR="008750AD" w:rsidRPr="009F227C" w:rsidRDefault="008750AD" w:rsidP="008750AD">
            <w:pPr>
              <w:jc w:val="right"/>
              <w:rPr>
                <w:sz w:val="20"/>
                <w:szCs w:val="20"/>
                <w:u w:val="single"/>
              </w:rPr>
            </w:pPr>
            <w:r w:rsidRPr="009F227C">
              <w:rPr>
                <w:sz w:val="20"/>
                <w:szCs w:val="20"/>
                <w:u w:val="single"/>
              </w:rPr>
              <w:t>441,521</w:t>
            </w:r>
          </w:p>
        </w:tc>
        <w:tc>
          <w:tcPr>
            <w:tcW w:w="1220" w:type="dxa"/>
            <w:tcBorders>
              <w:top w:val="nil"/>
              <w:left w:val="nil"/>
              <w:bottom w:val="nil"/>
              <w:right w:val="nil"/>
            </w:tcBorders>
            <w:shd w:val="clear" w:color="000000" w:fill="FFFFFF"/>
            <w:noWrap/>
            <w:vAlign w:val="bottom"/>
            <w:hideMark/>
          </w:tcPr>
          <w:p w14:paraId="17202C09" w14:textId="053DAC07" w:rsidR="008750AD" w:rsidRPr="009F227C" w:rsidRDefault="008750AD" w:rsidP="008750AD">
            <w:pPr>
              <w:jc w:val="right"/>
              <w:rPr>
                <w:sz w:val="20"/>
                <w:szCs w:val="20"/>
                <w:u w:val="single"/>
              </w:rPr>
            </w:pPr>
            <w:r w:rsidRPr="009F227C">
              <w:rPr>
                <w:sz w:val="20"/>
                <w:szCs w:val="20"/>
                <w:u w:val="single"/>
              </w:rPr>
              <w:t>$1,554,299</w:t>
            </w:r>
          </w:p>
        </w:tc>
        <w:tc>
          <w:tcPr>
            <w:tcW w:w="1250" w:type="dxa"/>
            <w:tcBorders>
              <w:top w:val="nil"/>
              <w:left w:val="nil"/>
              <w:bottom w:val="nil"/>
              <w:right w:val="nil"/>
            </w:tcBorders>
            <w:shd w:val="clear" w:color="000000" w:fill="FFFFFF"/>
            <w:noWrap/>
            <w:vAlign w:val="bottom"/>
            <w:hideMark/>
          </w:tcPr>
          <w:p w14:paraId="48460CA4" w14:textId="72592478" w:rsidR="008750AD" w:rsidRPr="009F227C" w:rsidRDefault="008750AD" w:rsidP="008750AD">
            <w:pPr>
              <w:jc w:val="right"/>
              <w:rPr>
                <w:sz w:val="20"/>
                <w:szCs w:val="20"/>
                <w:u w:val="single"/>
              </w:rPr>
            </w:pPr>
            <w:r w:rsidRPr="009F227C">
              <w:rPr>
                <w:sz w:val="20"/>
                <w:szCs w:val="20"/>
                <w:u w:val="single"/>
              </w:rPr>
              <w:t>(1,19</w:t>
            </w:r>
            <w:r>
              <w:rPr>
                <w:sz w:val="20"/>
                <w:szCs w:val="20"/>
                <w:u w:val="single"/>
              </w:rPr>
              <w:t>4,091</w:t>
            </w:r>
            <w:r w:rsidRPr="009F227C">
              <w:rPr>
                <w:sz w:val="20"/>
                <w:szCs w:val="20"/>
                <w:u w:val="single"/>
              </w:rPr>
              <w:t>)</w:t>
            </w:r>
          </w:p>
        </w:tc>
        <w:tc>
          <w:tcPr>
            <w:tcW w:w="1220" w:type="dxa"/>
            <w:tcBorders>
              <w:top w:val="nil"/>
              <w:left w:val="nil"/>
              <w:bottom w:val="nil"/>
              <w:right w:val="nil"/>
            </w:tcBorders>
            <w:shd w:val="clear" w:color="000000" w:fill="FFFFFF"/>
            <w:noWrap/>
            <w:vAlign w:val="bottom"/>
            <w:hideMark/>
          </w:tcPr>
          <w:p w14:paraId="425FD255" w14:textId="010964D4" w:rsidR="008750AD" w:rsidRPr="009F227C" w:rsidRDefault="008750AD" w:rsidP="008750AD">
            <w:pPr>
              <w:jc w:val="right"/>
              <w:rPr>
                <w:sz w:val="20"/>
                <w:szCs w:val="20"/>
                <w:u w:val="single"/>
              </w:rPr>
            </w:pPr>
            <w:r w:rsidRPr="009F227C">
              <w:rPr>
                <w:sz w:val="20"/>
                <w:szCs w:val="20"/>
                <w:u w:val="single"/>
              </w:rPr>
              <w:t>36</w:t>
            </w:r>
            <w:r>
              <w:rPr>
                <w:sz w:val="20"/>
                <w:szCs w:val="20"/>
                <w:u w:val="single"/>
              </w:rPr>
              <w:t>0,208</w:t>
            </w:r>
          </w:p>
        </w:tc>
        <w:tc>
          <w:tcPr>
            <w:tcW w:w="1220" w:type="dxa"/>
            <w:tcBorders>
              <w:top w:val="nil"/>
              <w:left w:val="nil"/>
              <w:bottom w:val="nil"/>
              <w:right w:val="nil"/>
            </w:tcBorders>
            <w:shd w:val="clear" w:color="000000" w:fill="FFFFFF"/>
            <w:noWrap/>
            <w:vAlign w:val="bottom"/>
            <w:hideMark/>
          </w:tcPr>
          <w:p w14:paraId="7114F027" w14:textId="6DFA7E93" w:rsidR="008750AD" w:rsidRPr="009F227C" w:rsidRDefault="008750AD" w:rsidP="008750AD">
            <w:pPr>
              <w:jc w:val="right"/>
              <w:rPr>
                <w:sz w:val="20"/>
                <w:szCs w:val="20"/>
                <w:u w:val="single"/>
              </w:rPr>
            </w:pPr>
            <w:r w:rsidRPr="009F227C">
              <w:rPr>
                <w:sz w:val="20"/>
                <w:szCs w:val="20"/>
                <w:u w:val="single"/>
              </w:rPr>
              <w:t>1,</w:t>
            </w:r>
            <w:r>
              <w:rPr>
                <w:sz w:val="20"/>
                <w:szCs w:val="20"/>
                <w:u w:val="single"/>
              </w:rPr>
              <w:t>097,102</w:t>
            </w:r>
          </w:p>
        </w:tc>
        <w:tc>
          <w:tcPr>
            <w:tcW w:w="1338" w:type="dxa"/>
            <w:tcBorders>
              <w:top w:val="nil"/>
              <w:left w:val="nil"/>
              <w:bottom w:val="nil"/>
              <w:right w:val="single" w:sz="4" w:space="0" w:color="auto"/>
            </w:tcBorders>
            <w:shd w:val="clear" w:color="000000" w:fill="FFFFFF"/>
            <w:noWrap/>
            <w:vAlign w:val="bottom"/>
            <w:hideMark/>
          </w:tcPr>
          <w:p w14:paraId="4B4DE9E0" w14:textId="73C5CE9F" w:rsidR="008750AD" w:rsidRPr="009F227C" w:rsidRDefault="008750AD" w:rsidP="008750AD">
            <w:pPr>
              <w:jc w:val="right"/>
              <w:rPr>
                <w:sz w:val="20"/>
                <w:szCs w:val="20"/>
                <w:u w:val="single"/>
              </w:rPr>
            </w:pPr>
            <w:r w:rsidRPr="009F227C">
              <w:rPr>
                <w:sz w:val="20"/>
                <w:szCs w:val="20"/>
                <w:u w:val="single"/>
              </w:rPr>
              <w:t>1,4</w:t>
            </w:r>
            <w:r>
              <w:rPr>
                <w:sz w:val="20"/>
                <w:szCs w:val="20"/>
                <w:u w:val="single"/>
              </w:rPr>
              <w:t>57,310</w:t>
            </w:r>
          </w:p>
        </w:tc>
      </w:tr>
      <w:tr w:rsidR="008750AD" w:rsidRPr="009F227C" w14:paraId="53A71DF4" w14:textId="77777777" w:rsidTr="008750AD">
        <w:trPr>
          <w:trHeight w:val="310"/>
          <w:jc w:val="center"/>
        </w:trPr>
        <w:tc>
          <w:tcPr>
            <w:tcW w:w="480" w:type="dxa"/>
            <w:tcBorders>
              <w:top w:val="nil"/>
              <w:left w:val="single" w:sz="4" w:space="0" w:color="auto"/>
              <w:bottom w:val="nil"/>
              <w:right w:val="nil"/>
            </w:tcBorders>
            <w:shd w:val="clear" w:color="000000" w:fill="FFFFFF"/>
            <w:noWrap/>
            <w:vAlign w:val="bottom"/>
            <w:hideMark/>
          </w:tcPr>
          <w:p w14:paraId="5A35E8F6"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61371AEE" w14:textId="10F89284"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A10F614" w14:textId="0FA1A1CC"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7BD1A09" w14:textId="1F0EA3F8"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C9C8AA9" w14:textId="31D18BFA"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2C80427F" w14:textId="7ADCB347"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F83D874" w14:textId="697EE98D"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013BD93" w14:textId="62C8AFA6"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05C654D" w14:textId="60575A5D" w:rsidR="008750AD" w:rsidRPr="009F227C" w:rsidRDefault="008750AD" w:rsidP="008750AD">
            <w:pPr>
              <w:rPr>
                <w:sz w:val="20"/>
                <w:szCs w:val="20"/>
              </w:rPr>
            </w:pPr>
            <w:r w:rsidRPr="009F227C">
              <w:rPr>
                <w:sz w:val="20"/>
                <w:szCs w:val="20"/>
              </w:rPr>
              <w:t> </w:t>
            </w:r>
          </w:p>
        </w:tc>
      </w:tr>
      <w:tr w:rsidR="008750AD" w:rsidRPr="009F227C" w14:paraId="581FA294"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4D34F175" w14:textId="77777777" w:rsidR="008750AD" w:rsidRPr="009F227C" w:rsidRDefault="008750AD" w:rsidP="008750AD">
            <w:pPr>
              <w:jc w:val="center"/>
              <w:rPr>
                <w:sz w:val="20"/>
                <w:szCs w:val="20"/>
              </w:rPr>
            </w:pPr>
            <w:r w:rsidRPr="009F227C">
              <w:rPr>
                <w:sz w:val="20"/>
                <w:szCs w:val="20"/>
              </w:rPr>
              <w:t>7</w:t>
            </w:r>
          </w:p>
        </w:tc>
        <w:tc>
          <w:tcPr>
            <w:tcW w:w="2460" w:type="dxa"/>
            <w:tcBorders>
              <w:top w:val="nil"/>
              <w:left w:val="nil"/>
              <w:bottom w:val="nil"/>
              <w:right w:val="nil"/>
            </w:tcBorders>
            <w:shd w:val="clear" w:color="000000" w:fill="FFFFFF"/>
            <w:noWrap/>
            <w:vAlign w:val="bottom"/>
            <w:hideMark/>
          </w:tcPr>
          <w:p w14:paraId="031FEADA" w14:textId="37CE6300" w:rsidR="008750AD" w:rsidRPr="009F227C" w:rsidRDefault="008750AD" w:rsidP="008750AD">
            <w:pPr>
              <w:rPr>
                <w:b/>
                <w:bCs/>
                <w:sz w:val="20"/>
                <w:szCs w:val="20"/>
              </w:rPr>
            </w:pPr>
            <w:r w:rsidRPr="009F227C">
              <w:rPr>
                <w:b/>
                <w:bCs/>
                <w:sz w:val="20"/>
                <w:szCs w:val="20"/>
              </w:rPr>
              <w:t>Total Operating Expense</w:t>
            </w:r>
          </w:p>
        </w:tc>
        <w:tc>
          <w:tcPr>
            <w:tcW w:w="1220" w:type="dxa"/>
            <w:tcBorders>
              <w:top w:val="nil"/>
              <w:left w:val="nil"/>
              <w:bottom w:val="nil"/>
              <w:right w:val="nil"/>
            </w:tcBorders>
            <w:shd w:val="clear" w:color="000000" w:fill="FFFFFF"/>
            <w:noWrap/>
            <w:vAlign w:val="bottom"/>
            <w:hideMark/>
          </w:tcPr>
          <w:p w14:paraId="7A815C66" w14:textId="65784B08" w:rsidR="008750AD" w:rsidRPr="009F227C" w:rsidRDefault="008750AD" w:rsidP="008750AD">
            <w:pPr>
              <w:jc w:val="right"/>
              <w:rPr>
                <w:sz w:val="20"/>
                <w:szCs w:val="20"/>
                <w:u w:val="single"/>
              </w:rPr>
            </w:pPr>
            <w:r w:rsidRPr="009F227C">
              <w:rPr>
                <w:sz w:val="20"/>
                <w:szCs w:val="20"/>
                <w:u w:val="single"/>
              </w:rPr>
              <w:t>18,156,655</w:t>
            </w:r>
          </w:p>
        </w:tc>
        <w:tc>
          <w:tcPr>
            <w:tcW w:w="1220" w:type="dxa"/>
            <w:tcBorders>
              <w:top w:val="nil"/>
              <w:left w:val="nil"/>
              <w:bottom w:val="nil"/>
              <w:right w:val="nil"/>
            </w:tcBorders>
            <w:shd w:val="clear" w:color="000000" w:fill="FFFFFF"/>
            <w:noWrap/>
            <w:vAlign w:val="bottom"/>
            <w:hideMark/>
          </w:tcPr>
          <w:p w14:paraId="4FC29F88" w14:textId="7921FEE9" w:rsidR="008750AD" w:rsidRPr="009F227C" w:rsidRDefault="008750AD" w:rsidP="008750AD">
            <w:pPr>
              <w:jc w:val="right"/>
              <w:rPr>
                <w:sz w:val="20"/>
                <w:szCs w:val="20"/>
                <w:u w:val="single"/>
              </w:rPr>
            </w:pPr>
            <w:r w:rsidRPr="009F227C">
              <w:rPr>
                <w:sz w:val="20"/>
                <w:szCs w:val="20"/>
                <w:u w:val="single"/>
              </w:rPr>
              <w:t>3,714,424</w:t>
            </w:r>
          </w:p>
        </w:tc>
        <w:tc>
          <w:tcPr>
            <w:tcW w:w="1220" w:type="dxa"/>
            <w:tcBorders>
              <w:top w:val="nil"/>
              <w:left w:val="nil"/>
              <w:bottom w:val="nil"/>
              <w:right w:val="nil"/>
            </w:tcBorders>
            <w:shd w:val="clear" w:color="000000" w:fill="FFFFFF"/>
            <w:noWrap/>
            <w:vAlign w:val="bottom"/>
            <w:hideMark/>
          </w:tcPr>
          <w:p w14:paraId="786EF327" w14:textId="4F7EFB75" w:rsidR="008750AD" w:rsidRPr="009F227C" w:rsidRDefault="008750AD" w:rsidP="008750AD">
            <w:pPr>
              <w:jc w:val="right"/>
              <w:rPr>
                <w:sz w:val="20"/>
                <w:szCs w:val="20"/>
                <w:u w:val="single"/>
              </w:rPr>
            </w:pPr>
            <w:r w:rsidRPr="009F227C">
              <w:rPr>
                <w:sz w:val="20"/>
                <w:szCs w:val="20"/>
                <w:u w:val="single"/>
              </w:rPr>
              <w:t>21,871,079</w:t>
            </w:r>
          </w:p>
        </w:tc>
        <w:tc>
          <w:tcPr>
            <w:tcW w:w="1250" w:type="dxa"/>
            <w:tcBorders>
              <w:top w:val="nil"/>
              <w:left w:val="nil"/>
              <w:bottom w:val="nil"/>
              <w:right w:val="nil"/>
            </w:tcBorders>
            <w:shd w:val="clear" w:color="000000" w:fill="FFFFFF"/>
            <w:noWrap/>
            <w:vAlign w:val="bottom"/>
            <w:hideMark/>
          </w:tcPr>
          <w:p w14:paraId="53731BB3" w14:textId="664D132A" w:rsidR="008750AD" w:rsidRPr="009F227C" w:rsidRDefault="008750AD" w:rsidP="008750AD">
            <w:pPr>
              <w:jc w:val="right"/>
              <w:rPr>
                <w:sz w:val="20"/>
                <w:szCs w:val="20"/>
                <w:u w:val="single"/>
              </w:rPr>
            </w:pPr>
            <w:r w:rsidRPr="009F227C">
              <w:rPr>
                <w:sz w:val="20"/>
                <w:szCs w:val="20"/>
                <w:u w:val="single"/>
              </w:rPr>
              <w:t>(2,3</w:t>
            </w:r>
            <w:r>
              <w:rPr>
                <w:sz w:val="20"/>
                <w:szCs w:val="20"/>
                <w:u w:val="single"/>
              </w:rPr>
              <w:t>37,047</w:t>
            </w:r>
            <w:r w:rsidRPr="009F227C">
              <w:rPr>
                <w:sz w:val="20"/>
                <w:szCs w:val="20"/>
                <w:u w:val="single"/>
              </w:rPr>
              <w:t>)</w:t>
            </w:r>
          </w:p>
        </w:tc>
        <w:tc>
          <w:tcPr>
            <w:tcW w:w="1220" w:type="dxa"/>
            <w:tcBorders>
              <w:top w:val="nil"/>
              <w:left w:val="nil"/>
              <w:bottom w:val="nil"/>
              <w:right w:val="nil"/>
            </w:tcBorders>
            <w:shd w:val="clear" w:color="000000" w:fill="FFFFFF"/>
            <w:noWrap/>
            <w:vAlign w:val="bottom"/>
            <w:hideMark/>
          </w:tcPr>
          <w:p w14:paraId="01FA77AD" w14:textId="335ADB39" w:rsidR="008750AD" w:rsidRPr="009F227C" w:rsidRDefault="008750AD" w:rsidP="008750AD">
            <w:pPr>
              <w:jc w:val="right"/>
              <w:rPr>
                <w:sz w:val="20"/>
                <w:szCs w:val="20"/>
                <w:u w:val="single"/>
              </w:rPr>
            </w:pPr>
            <w:r w:rsidRPr="009F227C">
              <w:rPr>
                <w:sz w:val="20"/>
                <w:szCs w:val="20"/>
                <w:u w:val="single"/>
              </w:rPr>
              <w:t>19,5</w:t>
            </w:r>
            <w:r>
              <w:rPr>
                <w:sz w:val="20"/>
                <w:szCs w:val="20"/>
                <w:u w:val="single"/>
              </w:rPr>
              <w:t>34,032</w:t>
            </w:r>
          </w:p>
        </w:tc>
        <w:tc>
          <w:tcPr>
            <w:tcW w:w="1220" w:type="dxa"/>
            <w:tcBorders>
              <w:top w:val="nil"/>
              <w:left w:val="nil"/>
              <w:bottom w:val="nil"/>
              <w:right w:val="nil"/>
            </w:tcBorders>
            <w:shd w:val="clear" w:color="000000" w:fill="FFFFFF"/>
            <w:noWrap/>
            <w:vAlign w:val="bottom"/>
            <w:hideMark/>
          </w:tcPr>
          <w:p w14:paraId="00CDCC91" w14:textId="68E0FDBF" w:rsidR="008750AD" w:rsidRPr="009F227C" w:rsidRDefault="008750AD" w:rsidP="008750AD">
            <w:pPr>
              <w:jc w:val="right"/>
              <w:rPr>
                <w:sz w:val="20"/>
                <w:szCs w:val="20"/>
                <w:u w:val="single"/>
              </w:rPr>
            </w:pPr>
            <w:r w:rsidRPr="009F227C">
              <w:rPr>
                <w:sz w:val="20"/>
                <w:szCs w:val="20"/>
                <w:u w:val="single"/>
              </w:rPr>
              <w:t>1,30</w:t>
            </w:r>
            <w:r>
              <w:rPr>
                <w:sz w:val="20"/>
                <w:szCs w:val="20"/>
                <w:u w:val="single"/>
              </w:rPr>
              <w:t>1,071</w:t>
            </w:r>
          </w:p>
        </w:tc>
        <w:tc>
          <w:tcPr>
            <w:tcW w:w="1338" w:type="dxa"/>
            <w:tcBorders>
              <w:top w:val="nil"/>
              <w:left w:val="nil"/>
              <w:bottom w:val="nil"/>
              <w:right w:val="single" w:sz="4" w:space="0" w:color="auto"/>
            </w:tcBorders>
            <w:shd w:val="clear" w:color="000000" w:fill="FFFFFF"/>
            <w:noWrap/>
            <w:vAlign w:val="bottom"/>
            <w:hideMark/>
          </w:tcPr>
          <w:p w14:paraId="722D8A4D" w14:textId="5A469D51" w:rsidR="008750AD" w:rsidRPr="009F227C" w:rsidRDefault="008750AD" w:rsidP="008750AD">
            <w:pPr>
              <w:jc w:val="right"/>
              <w:rPr>
                <w:sz w:val="20"/>
                <w:szCs w:val="20"/>
                <w:u w:val="single"/>
              </w:rPr>
            </w:pPr>
            <w:r w:rsidRPr="009F227C">
              <w:rPr>
                <w:sz w:val="20"/>
                <w:szCs w:val="20"/>
                <w:u w:val="single"/>
              </w:rPr>
              <w:t>20,83</w:t>
            </w:r>
            <w:r>
              <w:rPr>
                <w:sz w:val="20"/>
                <w:szCs w:val="20"/>
                <w:u w:val="single"/>
              </w:rPr>
              <w:t>5,102</w:t>
            </w:r>
          </w:p>
        </w:tc>
      </w:tr>
      <w:tr w:rsidR="008750AD" w:rsidRPr="009F227C" w14:paraId="7532563C" w14:textId="77777777" w:rsidTr="008750AD">
        <w:trPr>
          <w:trHeight w:val="310"/>
          <w:jc w:val="center"/>
        </w:trPr>
        <w:tc>
          <w:tcPr>
            <w:tcW w:w="480" w:type="dxa"/>
            <w:tcBorders>
              <w:top w:val="nil"/>
              <w:left w:val="single" w:sz="4" w:space="0" w:color="auto"/>
              <w:bottom w:val="nil"/>
              <w:right w:val="nil"/>
            </w:tcBorders>
            <w:shd w:val="clear" w:color="000000" w:fill="FFFFFF"/>
            <w:noWrap/>
            <w:vAlign w:val="bottom"/>
            <w:hideMark/>
          </w:tcPr>
          <w:p w14:paraId="50ACE31A"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13914666" w14:textId="4E699801"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7466463" w14:textId="4CCDFEF7"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285FFAE" w14:textId="4798467A"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9AEAEA0" w14:textId="7268D285"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5D6DDFB4" w14:textId="3AF3A3D5"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B2BE357" w14:textId="61CC0975"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DBD7079" w14:textId="1EDA5ADA"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790B311" w14:textId="4E1BBE41" w:rsidR="008750AD" w:rsidRPr="009F227C" w:rsidRDefault="008750AD" w:rsidP="008750AD">
            <w:pPr>
              <w:rPr>
                <w:sz w:val="20"/>
                <w:szCs w:val="20"/>
              </w:rPr>
            </w:pPr>
            <w:r w:rsidRPr="009F227C">
              <w:rPr>
                <w:sz w:val="20"/>
                <w:szCs w:val="20"/>
              </w:rPr>
              <w:t> </w:t>
            </w:r>
          </w:p>
        </w:tc>
      </w:tr>
      <w:tr w:rsidR="008750AD" w:rsidRPr="009F227C" w14:paraId="05ECE736"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7232B71" w14:textId="77777777" w:rsidR="008750AD" w:rsidRPr="009F227C" w:rsidRDefault="008750AD" w:rsidP="008750AD">
            <w:pPr>
              <w:jc w:val="center"/>
              <w:rPr>
                <w:sz w:val="20"/>
                <w:szCs w:val="20"/>
              </w:rPr>
            </w:pPr>
            <w:r w:rsidRPr="009F227C">
              <w:rPr>
                <w:sz w:val="20"/>
                <w:szCs w:val="20"/>
              </w:rPr>
              <w:t>8</w:t>
            </w:r>
          </w:p>
        </w:tc>
        <w:tc>
          <w:tcPr>
            <w:tcW w:w="2460" w:type="dxa"/>
            <w:tcBorders>
              <w:top w:val="nil"/>
              <w:left w:val="nil"/>
              <w:bottom w:val="nil"/>
              <w:right w:val="nil"/>
            </w:tcBorders>
            <w:shd w:val="clear" w:color="000000" w:fill="FFFFFF"/>
            <w:noWrap/>
            <w:vAlign w:val="bottom"/>
            <w:hideMark/>
          </w:tcPr>
          <w:p w14:paraId="0B465A68" w14:textId="5ED970A7" w:rsidR="008750AD" w:rsidRPr="009F227C" w:rsidRDefault="008750AD" w:rsidP="008750AD">
            <w:pPr>
              <w:rPr>
                <w:b/>
                <w:bCs/>
                <w:sz w:val="20"/>
                <w:szCs w:val="20"/>
              </w:rPr>
            </w:pPr>
            <w:r w:rsidRPr="009F227C">
              <w:rPr>
                <w:b/>
                <w:bCs/>
                <w:sz w:val="20"/>
                <w:szCs w:val="20"/>
              </w:rPr>
              <w:t>Operating Income</w:t>
            </w:r>
          </w:p>
        </w:tc>
        <w:tc>
          <w:tcPr>
            <w:tcW w:w="1220" w:type="dxa"/>
            <w:tcBorders>
              <w:top w:val="nil"/>
              <w:left w:val="nil"/>
              <w:bottom w:val="nil"/>
              <w:right w:val="nil"/>
            </w:tcBorders>
            <w:shd w:val="clear" w:color="000000" w:fill="FFFFFF"/>
            <w:noWrap/>
            <w:vAlign w:val="bottom"/>
            <w:hideMark/>
          </w:tcPr>
          <w:p w14:paraId="2506FEC8" w14:textId="2CAA61ED" w:rsidR="008750AD" w:rsidRPr="009F227C" w:rsidRDefault="008750AD" w:rsidP="008750AD">
            <w:pPr>
              <w:jc w:val="right"/>
              <w:rPr>
                <w:sz w:val="20"/>
                <w:szCs w:val="20"/>
                <w:u w:val="double"/>
              </w:rPr>
            </w:pPr>
            <w:r w:rsidRPr="009F227C">
              <w:rPr>
                <w:sz w:val="20"/>
                <w:szCs w:val="20"/>
                <w:u w:val="double"/>
              </w:rPr>
              <w:t>$4,375,520</w:t>
            </w:r>
          </w:p>
        </w:tc>
        <w:tc>
          <w:tcPr>
            <w:tcW w:w="1220" w:type="dxa"/>
            <w:tcBorders>
              <w:top w:val="nil"/>
              <w:left w:val="nil"/>
              <w:bottom w:val="nil"/>
              <w:right w:val="nil"/>
            </w:tcBorders>
            <w:shd w:val="clear" w:color="000000" w:fill="FFFFFF"/>
            <w:noWrap/>
            <w:vAlign w:val="bottom"/>
            <w:hideMark/>
          </w:tcPr>
          <w:p w14:paraId="1868FE93" w14:textId="63F97A99" w:rsidR="008750AD" w:rsidRPr="009F227C" w:rsidRDefault="008750AD" w:rsidP="008750AD">
            <w:pPr>
              <w:jc w:val="right"/>
              <w:rPr>
                <w:sz w:val="20"/>
                <w:szCs w:val="20"/>
                <w:u w:val="double"/>
              </w:rPr>
            </w:pPr>
            <w:r w:rsidRPr="009F227C">
              <w:rPr>
                <w:sz w:val="20"/>
                <w:szCs w:val="20"/>
                <w:u w:val="double"/>
              </w:rPr>
              <w:t>$1,849,295</w:t>
            </w:r>
          </w:p>
        </w:tc>
        <w:tc>
          <w:tcPr>
            <w:tcW w:w="1220" w:type="dxa"/>
            <w:tcBorders>
              <w:top w:val="nil"/>
              <w:left w:val="nil"/>
              <w:bottom w:val="nil"/>
              <w:right w:val="nil"/>
            </w:tcBorders>
            <w:shd w:val="clear" w:color="000000" w:fill="FFFFFF"/>
            <w:noWrap/>
            <w:vAlign w:val="bottom"/>
            <w:hideMark/>
          </w:tcPr>
          <w:p w14:paraId="0EFAFE8F" w14:textId="7F0B62B1" w:rsidR="008750AD" w:rsidRPr="009F227C" w:rsidRDefault="008750AD" w:rsidP="008750AD">
            <w:pPr>
              <w:jc w:val="right"/>
              <w:rPr>
                <w:sz w:val="20"/>
                <w:szCs w:val="20"/>
                <w:u w:val="double"/>
              </w:rPr>
            </w:pPr>
            <w:r w:rsidRPr="009F227C">
              <w:rPr>
                <w:sz w:val="20"/>
                <w:szCs w:val="20"/>
                <w:u w:val="double"/>
              </w:rPr>
              <w:t>$6,224,815</w:t>
            </w:r>
          </w:p>
        </w:tc>
        <w:tc>
          <w:tcPr>
            <w:tcW w:w="1250" w:type="dxa"/>
            <w:tcBorders>
              <w:top w:val="nil"/>
              <w:left w:val="nil"/>
              <w:bottom w:val="nil"/>
              <w:right w:val="nil"/>
            </w:tcBorders>
            <w:shd w:val="clear" w:color="000000" w:fill="FFFFFF"/>
            <w:noWrap/>
            <w:vAlign w:val="bottom"/>
            <w:hideMark/>
          </w:tcPr>
          <w:p w14:paraId="4E046D6B" w14:textId="1884EAD3" w:rsidR="008750AD" w:rsidRPr="009F227C" w:rsidRDefault="008750AD" w:rsidP="008750AD">
            <w:pPr>
              <w:jc w:val="right"/>
              <w:rPr>
                <w:sz w:val="20"/>
                <w:szCs w:val="20"/>
                <w:u w:val="double"/>
              </w:rPr>
            </w:pPr>
            <w:r w:rsidRPr="009F227C">
              <w:rPr>
                <w:sz w:val="20"/>
                <w:szCs w:val="20"/>
                <w:u w:val="double"/>
              </w:rPr>
              <w:t>($2,8</w:t>
            </w:r>
            <w:r>
              <w:rPr>
                <w:sz w:val="20"/>
                <w:szCs w:val="20"/>
                <w:u w:val="double"/>
              </w:rPr>
              <w:t>40,562</w:t>
            </w:r>
            <w:r w:rsidRPr="009F227C">
              <w:rPr>
                <w:sz w:val="20"/>
                <w:szCs w:val="20"/>
                <w:u w:val="double"/>
              </w:rPr>
              <w:t>)</w:t>
            </w:r>
          </w:p>
        </w:tc>
        <w:tc>
          <w:tcPr>
            <w:tcW w:w="1220" w:type="dxa"/>
            <w:tcBorders>
              <w:top w:val="nil"/>
              <w:left w:val="nil"/>
              <w:bottom w:val="nil"/>
              <w:right w:val="nil"/>
            </w:tcBorders>
            <w:shd w:val="clear" w:color="000000" w:fill="FFFFFF"/>
            <w:noWrap/>
            <w:vAlign w:val="bottom"/>
            <w:hideMark/>
          </w:tcPr>
          <w:p w14:paraId="1AE687ED" w14:textId="06E5371C" w:rsidR="008750AD" w:rsidRPr="009F227C" w:rsidRDefault="008750AD" w:rsidP="008750AD">
            <w:pPr>
              <w:jc w:val="right"/>
              <w:rPr>
                <w:sz w:val="20"/>
                <w:szCs w:val="20"/>
                <w:u w:val="double"/>
              </w:rPr>
            </w:pPr>
            <w:r w:rsidRPr="009F227C">
              <w:rPr>
                <w:sz w:val="20"/>
                <w:szCs w:val="20"/>
                <w:u w:val="double"/>
              </w:rPr>
              <w:t>$3,38</w:t>
            </w:r>
            <w:r>
              <w:rPr>
                <w:sz w:val="20"/>
                <w:szCs w:val="20"/>
                <w:u w:val="double"/>
              </w:rPr>
              <w:t>4,253</w:t>
            </w:r>
          </w:p>
        </w:tc>
        <w:tc>
          <w:tcPr>
            <w:tcW w:w="1220" w:type="dxa"/>
            <w:tcBorders>
              <w:top w:val="nil"/>
              <w:left w:val="nil"/>
              <w:bottom w:val="nil"/>
              <w:right w:val="nil"/>
            </w:tcBorders>
            <w:shd w:val="clear" w:color="000000" w:fill="FFFFFF"/>
            <w:noWrap/>
            <w:vAlign w:val="bottom"/>
            <w:hideMark/>
          </w:tcPr>
          <w:p w14:paraId="18F951B6" w14:textId="2038C233" w:rsidR="008750AD" w:rsidRPr="009F227C" w:rsidRDefault="008750AD" w:rsidP="008750AD">
            <w:pPr>
              <w:jc w:val="right"/>
              <w:rPr>
                <w:sz w:val="20"/>
                <w:szCs w:val="20"/>
                <w:u w:val="double"/>
              </w:rPr>
            </w:pPr>
            <w:r w:rsidRPr="009F227C">
              <w:rPr>
                <w:sz w:val="20"/>
                <w:szCs w:val="20"/>
                <w:u w:val="double"/>
              </w:rPr>
              <w:t>$3,2</w:t>
            </w:r>
            <w:r>
              <w:rPr>
                <w:sz w:val="20"/>
                <w:szCs w:val="20"/>
                <w:u w:val="double"/>
              </w:rPr>
              <w:t>31,570</w:t>
            </w:r>
          </w:p>
        </w:tc>
        <w:tc>
          <w:tcPr>
            <w:tcW w:w="1338" w:type="dxa"/>
            <w:tcBorders>
              <w:top w:val="nil"/>
              <w:left w:val="nil"/>
              <w:bottom w:val="nil"/>
              <w:right w:val="single" w:sz="4" w:space="0" w:color="auto"/>
            </w:tcBorders>
            <w:shd w:val="clear" w:color="000000" w:fill="FFFFFF"/>
            <w:noWrap/>
            <w:vAlign w:val="bottom"/>
            <w:hideMark/>
          </w:tcPr>
          <w:p w14:paraId="2FC078F4" w14:textId="6D5E8794" w:rsidR="008750AD" w:rsidRPr="009F227C" w:rsidRDefault="008750AD" w:rsidP="008750AD">
            <w:pPr>
              <w:jc w:val="right"/>
              <w:rPr>
                <w:sz w:val="20"/>
                <w:szCs w:val="20"/>
                <w:u w:val="double"/>
              </w:rPr>
            </w:pPr>
            <w:r w:rsidRPr="009F227C">
              <w:rPr>
                <w:sz w:val="20"/>
                <w:szCs w:val="20"/>
                <w:u w:val="double"/>
              </w:rPr>
              <w:t>$6,6</w:t>
            </w:r>
            <w:r>
              <w:rPr>
                <w:sz w:val="20"/>
                <w:szCs w:val="20"/>
                <w:u w:val="double"/>
              </w:rPr>
              <w:t>15,824</w:t>
            </w:r>
          </w:p>
        </w:tc>
      </w:tr>
      <w:tr w:rsidR="008750AD" w:rsidRPr="009F227C" w14:paraId="335DEF21" w14:textId="77777777" w:rsidTr="008750AD">
        <w:trPr>
          <w:trHeight w:val="310"/>
          <w:jc w:val="center"/>
        </w:trPr>
        <w:tc>
          <w:tcPr>
            <w:tcW w:w="480" w:type="dxa"/>
            <w:tcBorders>
              <w:top w:val="nil"/>
              <w:left w:val="single" w:sz="4" w:space="0" w:color="auto"/>
              <w:bottom w:val="nil"/>
              <w:right w:val="nil"/>
            </w:tcBorders>
            <w:shd w:val="clear" w:color="000000" w:fill="FFFFFF"/>
            <w:noWrap/>
            <w:vAlign w:val="bottom"/>
            <w:hideMark/>
          </w:tcPr>
          <w:p w14:paraId="6C6EA96D"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6C66BE3F" w14:textId="0E48B959"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C9D5645" w14:textId="417FA788"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B0377BE" w14:textId="2AF3DF1A"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F15BCB1" w14:textId="0FB03E35"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0FF4B822" w14:textId="3488A9B3"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A489E0F" w14:textId="15E99211"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EE477A6" w14:textId="47904DD2"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DCED8BE" w14:textId="3B0CBC32" w:rsidR="008750AD" w:rsidRPr="009F227C" w:rsidRDefault="008750AD" w:rsidP="008750AD">
            <w:pPr>
              <w:rPr>
                <w:sz w:val="20"/>
                <w:szCs w:val="20"/>
              </w:rPr>
            </w:pPr>
            <w:r w:rsidRPr="009F227C">
              <w:rPr>
                <w:sz w:val="20"/>
                <w:szCs w:val="20"/>
              </w:rPr>
              <w:t> </w:t>
            </w:r>
          </w:p>
        </w:tc>
      </w:tr>
      <w:tr w:rsidR="008750AD" w:rsidRPr="009F227C" w14:paraId="24D359EE"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35AB9370" w14:textId="77777777" w:rsidR="008750AD" w:rsidRPr="009F227C" w:rsidRDefault="008750AD" w:rsidP="008750AD">
            <w:pPr>
              <w:jc w:val="center"/>
              <w:rPr>
                <w:sz w:val="20"/>
                <w:szCs w:val="20"/>
              </w:rPr>
            </w:pPr>
            <w:r w:rsidRPr="009F227C">
              <w:rPr>
                <w:sz w:val="20"/>
                <w:szCs w:val="20"/>
              </w:rPr>
              <w:t>9</w:t>
            </w:r>
          </w:p>
        </w:tc>
        <w:tc>
          <w:tcPr>
            <w:tcW w:w="2460" w:type="dxa"/>
            <w:tcBorders>
              <w:top w:val="nil"/>
              <w:left w:val="nil"/>
              <w:bottom w:val="nil"/>
              <w:right w:val="nil"/>
            </w:tcBorders>
            <w:shd w:val="clear" w:color="000000" w:fill="FFFFFF"/>
            <w:noWrap/>
            <w:vAlign w:val="bottom"/>
            <w:hideMark/>
          </w:tcPr>
          <w:p w14:paraId="12441059" w14:textId="7C192561" w:rsidR="008750AD" w:rsidRPr="009F227C" w:rsidRDefault="008750AD" w:rsidP="008750AD">
            <w:pPr>
              <w:rPr>
                <w:b/>
                <w:bCs/>
                <w:sz w:val="20"/>
                <w:szCs w:val="20"/>
              </w:rPr>
            </w:pPr>
            <w:r w:rsidRPr="009F227C">
              <w:rPr>
                <w:b/>
                <w:bCs/>
                <w:sz w:val="20"/>
                <w:szCs w:val="20"/>
              </w:rPr>
              <w:t>Rate Base</w:t>
            </w:r>
          </w:p>
        </w:tc>
        <w:tc>
          <w:tcPr>
            <w:tcW w:w="1220" w:type="dxa"/>
            <w:tcBorders>
              <w:top w:val="nil"/>
              <w:left w:val="nil"/>
              <w:bottom w:val="nil"/>
              <w:right w:val="nil"/>
            </w:tcBorders>
            <w:shd w:val="clear" w:color="000000" w:fill="FFFFFF"/>
            <w:noWrap/>
            <w:vAlign w:val="bottom"/>
            <w:hideMark/>
          </w:tcPr>
          <w:p w14:paraId="5833E5F2" w14:textId="25C88FB2" w:rsidR="008750AD" w:rsidRPr="009F227C" w:rsidRDefault="008750AD" w:rsidP="008750AD">
            <w:pPr>
              <w:jc w:val="right"/>
              <w:rPr>
                <w:sz w:val="20"/>
                <w:szCs w:val="20"/>
                <w:u w:val="double"/>
              </w:rPr>
            </w:pPr>
            <w:r w:rsidRPr="009F227C">
              <w:rPr>
                <w:sz w:val="20"/>
                <w:szCs w:val="20"/>
                <w:u w:val="double"/>
              </w:rPr>
              <w:t>$61,906,290</w:t>
            </w:r>
          </w:p>
        </w:tc>
        <w:tc>
          <w:tcPr>
            <w:tcW w:w="1220" w:type="dxa"/>
            <w:tcBorders>
              <w:top w:val="nil"/>
              <w:left w:val="nil"/>
              <w:bottom w:val="nil"/>
              <w:right w:val="nil"/>
            </w:tcBorders>
            <w:shd w:val="clear" w:color="000000" w:fill="FFFFFF"/>
            <w:noWrap/>
            <w:vAlign w:val="bottom"/>
            <w:hideMark/>
          </w:tcPr>
          <w:p w14:paraId="5A0956EB" w14:textId="4115366F" w:rsidR="008750AD" w:rsidRPr="009F227C" w:rsidRDefault="008750AD" w:rsidP="008750AD">
            <w:pPr>
              <w:jc w:val="right"/>
              <w:rPr>
                <w:sz w:val="20"/>
                <w:szCs w:val="20"/>
                <w:u w:val="double"/>
              </w:rPr>
            </w:pPr>
            <w:r w:rsidRPr="009F227C">
              <w:rPr>
                <w:sz w:val="20"/>
                <w:szCs w:val="20"/>
                <w:u w:val="double"/>
              </w:rPr>
              <w:t>$21,338,377</w:t>
            </w:r>
          </w:p>
        </w:tc>
        <w:tc>
          <w:tcPr>
            <w:tcW w:w="1220" w:type="dxa"/>
            <w:tcBorders>
              <w:top w:val="nil"/>
              <w:left w:val="nil"/>
              <w:bottom w:val="nil"/>
              <w:right w:val="nil"/>
            </w:tcBorders>
            <w:shd w:val="clear" w:color="000000" w:fill="FFFFFF"/>
            <w:noWrap/>
            <w:vAlign w:val="bottom"/>
            <w:hideMark/>
          </w:tcPr>
          <w:p w14:paraId="335865B1" w14:textId="639F38F1" w:rsidR="008750AD" w:rsidRPr="009F227C" w:rsidRDefault="008750AD" w:rsidP="008750AD">
            <w:pPr>
              <w:jc w:val="right"/>
              <w:rPr>
                <w:sz w:val="20"/>
                <w:szCs w:val="20"/>
                <w:u w:val="double"/>
              </w:rPr>
            </w:pPr>
            <w:r w:rsidRPr="009F227C">
              <w:rPr>
                <w:sz w:val="20"/>
                <w:szCs w:val="20"/>
                <w:u w:val="double"/>
              </w:rPr>
              <w:t>$83,244,667</w:t>
            </w:r>
          </w:p>
        </w:tc>
        <w:tc>
          <w:tcPr>
            <w:tcW w:w="1250" w:type="dxa"/>
            <w:tcBorders>
              <w:top w:val="nil"/>
              <w:left w:val="nil"/>
              <w:bottom w:val="nil"/>
              <w:right w:val="nil"/>
            </w:tcBorders>
            <w:shd w:val="clear" w:color="000000" w:fill="FFFFFF"/>
            <w:noWrap/>
            <w:vAlign w:val="bottom"/>
            <w:hideMark/>
          </w:tcPr>
          <w:p w14:paraId="6141F57D" w14:textId="5117D0E4"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A73B379" w14:textId="664333B9" w:rsidR="008750AD" w:rsidRPr="009F227C" w:rsidRDefault="008750AD" w:rsidP="008750AD">
            <w:pPr>
              <w:jc w:val="right"/>
              <w:rPr>
                <w:sz w:val="20"/>
                <w:szCs w:val="20"/>
                <w:u w:val="double"/>
              </w:rPr>
            </w:pPr>
            <w:r w:rsidRPr="009F227C">
              <w:rPr>
                <w:sz w:val="20"/>
                <w:szCs w:val="20"/>
                <w:u w:val="double"/>
              </w:rPr>
              <w:t>$85,959,207</w:t>
            </w:r>
          </w:p>
        </w:tc>
        <w:tc>
          <w:tcPr>
            <w:tcW w:w="1220" w:type="dxa"/>
            <w:tcBorders>
              <w:top w:val="nil"/>
              <w:left w:val="nil"/>
              <w:bottom w:val="nil"/>
              <w:right w:val="nil"/>
            </w:tcBorders>
            <w:shd w:val="clear" w:color="000000" w:fill="FFFFFF"/>
            <w:noWrap/>
            <w:vAlign w:val="bottom"/>
            <w:hideMark/>
          </w:tcPr>
          <w:p w14:paraId="03B8F47D" w14:textId="7494BE2E"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988167B" w14:textId="014259E5" w:rsidR="008750AD" w:rsidRPr="009F227C" w:rsidRDefault="008750AD" w:rsidP="008750AD">
            <w:pPr>
              <w:jc w:val="right"/>
              <w:rPr>
                <w:sz w:val="20"/>
                <w:szCs w:val="20"/>
                <w:u w:val="double"/>
              </w:rPr>
            </w:pPr>
            <w:r w:rsidRPr="009F227C">
              <w:rPr>
                <w:sz w:val="20"/>
                <w:szCs w:val="20"/>
                <w:u w:val="double"/>
              </w:rPr>
              <w:t>$85,959,204</w:t>
            </w:r>
          </w:p>
        </w:tc>
      </w:tr>
      <w:tr w:rsidR="008750AD" w:rsidRPr="009F227C" w14:paraId="55BF7663"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5B2DD2DB" w14:textId="77777777" w:rsidR="008750AD" w:rsidRPr="009F227C" w:rsidRDefault="008750AD" w:rsidP="008750AD">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07FEFBC5" w14:textId="56775D18"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C0D70BC" w14:textId="48BBDF5C"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AAAB0AB" w14:textId="19E71552"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14857D4" w14:textId="4943F35A" w:rsidR="008750AD" w:rsidRPr="009F227C" w:rsidRDefault="008750AD" w:rsidP="008750AD">
            <w:pPr>
              <w:rPr>
                <w:sz w:val="20"/>
                <w:szCs w:val="20"/>
              </w:rPr>
            </w:pPr>
            <w:r w:rsidRPr="009F227C">
              <w:rPr>
                <w:sz w:val="20"/>
                <w:szCs w:val="20"/>
              </w:rPr>
              <w:t> </w:t>
            </w:r>
          </w:p>
        </w:tc>
        <w:tc>
          <w:tcPr>
            <w:tcW w:w="1250" w:type="dxa"/>
            <w:tcBorders>
              <w:top w:val="nil"/>
              <w:left w:val="nil"/>
              <w:bottom w:val="nil"/>
              <w:right w:val="nil"/>
            </w:tcBorders>
            <w:shd w:val="clear" w:color="000000" w:fill="FFFFFF"/>
            <w:noWrap/>
            <w:vAlign w:val="bottom"/>
            <w:hideMark/>
          </w:tcPr>
          <w:p w14:paraId="5F5E3356" w14:textId="59E6E610"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BE4437B" w14:textId="5B1C9199"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EFDAC56" w14:textId="174C1776"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4C9333D" w14:textId="1760368B" w:rsidR="008750AD" w:rsidRPr="009F227C" w:rsidRDefault="008750AD" w:rsidP="008750AD">
            <w:pPr>
              <w:rPr>
                <w:sz w:val="20"/>
                <w:szCs w:val="20"/>
              </w:rPr>
            </w:pPr>
            <w:r w:rsidRPr="009F227C">
              <w:rPr>
                <w:sz w:val="20"/>
                <w:szCs w:val="20"/>
              </w:rPr>
              <w:t> </w:t>
            </w:r>
          </w:p>
        </w:tc>
      </w:tr>
      <w:tr w:rsidR="008750AD" w:rsidRPr="009F227C" w14:paraId="5D997587" w14:textId="77777777" w:rsidTr="008750AD">
        <w:trPr>
          <w:trHeight w:val="260"/>
          <w:jc w:val="center"/>
        </w:trPr>
        <w:tc>
          <w:tcPr>
            <w:tcW w:w="480" w:type="dxa"/>
            <w:tcBorders>
              <w:top w:val="nil"/>
              <w:left w:val="single" w:sz="4" w:space="0" w:color="auto"/>
              <w:bottom w:val="nil"/>
              <w:right w:val="nil"/>
            </w:tcBorders>
            <w:shd w:val="clear" w:color="000000" w:fill="FFFFFF"/>
            <w:noWrap/>
            <w:vAlign w:val="bottom"/>
            <w:hideMark/>
          </w:tcPr>
          <w:p w14:paraId="2D2D9BE4" w14:textId="77777777" w:rsidR="008750AD" w:rsidRPr="009F227C" w:rsidRDefault="008750AD" w:rsidP="008750AD">
            <w:pPr>
              <w:jc w:val="center"/>
              <w:rPr>
                <w:sz w:val="20"/>
                <w:szCs w:val="20"/>
              </w:rPr>
            </w:pPr>
            <w:r w:rsidRPr="009F227C">
              <w:rPr>
                <w:sz w:val="20"/>
                <w:szCs w:val="20"/>
              </w:rPr>
              <w:t>10</w:t>
            </w:r>
          </w:p>
        </w:tc>
        <w:tc>
          <w:tcPr>
            <w:tcW w:w="2460" w:type="dxa"/>
            <w:tcBorders>
              <w:top w:val="nil"/>
              <w:left w:val="nil"/>
              <w:bottom w:val="nil"/>
              <w:right w:val="nil"/>
            </w:tcBorders>
            <w:shd w:val="clear" w:color="000000" w:fill="FFFFFF"/>
            <w:noWrap/>
            <w:vAlign w:val="bottom"/>
            <w:hideMark/>
          </w:tcPr>
          <w:p w14:paraId="49C25132" w14:textId="1C14DBAB" w:rsidR="008750AD" w:rsidRPr="009F227C" w:rsidRDefault="008750AD" w:rsidP="008750AD">
            <w:pPr>
              <w:rPr>
                <w:b/>
                <w:bCs/>
                <w:sz w:val="20"/>
                <w:szCs w:val="20"/>
              </w:rPr>
            </w:pPr>
            <w:r w:rsidRPr="009F227C">
              <w:rPr>
                <w:b/>
                <w:bCs/>
                <w:sz w:val="20"/>
                <w:szCs w:val="20"/>
              </w:rPr>
              <w:t>Rate of Return</w:t>
            </w:r>
          </w:p>
        </w:tc>
        <w:tc>
          <w:tcPr>
            <w:tcW w:w="1220" w:type="dxa"/>
            <w:tcBorders>
              <w:top w:val="nil"/>
              <w:left w:val="nil"/>
              <w:bottom w:val="nil"/>
              <w:right w:val="nil"/>
            </w:tcBorders>
            <w:shd w:val="clear" w:color="000000" w:fill="FFFFFF"/>
            <w:noWrap/>
            <w:vAlign w:val="bottom"/>
            <w:hideMark/>
          </w:tcPr>
          <w:p w14:paraId="3EB1BD10" w14:textId="7FE3D414" w:rsidR="008750AD" w:rsidRPr="009F227C" w:rsidRDefault="008750AD" w:rsidP="008750AD">
            <w:pPr>
              <w:jc w:val="right"/>
              <w:rPr>
                <w:sz w:val="20"/>
                <w:szCs w:val="20"/>
                <w:u w:val="double"/>
              </w:rPr>
            </w:pPr>
            <w:r w:rsidRPr="009F227C">
              <w:rPr>
                <w:sz w:val="20"/>
                <w:szCs w:val="20"/>
                <w:u w:val="double"/>
              </w:rPr>
              <w:t>7.07%</w:t>
            </w:r>
          </w:p>
        </w:tc>
        <w:tc>
          <w:tcPr>
            <w:tcW w:w="1220" w:type="dxa"/>
            <w:tcBorders>
              <w:top w:val="nil"/>
              <w:left w:val="nil"/>
              <w:bottom w:val="nil"/>
              <w:right w:val="nil"/>
            </w:tcBorders>
            <w:shd w:val="clear" w:color="000000" w:fill="FFFFFF"/>
            <w:noWrap/>
            <w:vAlign w:val="bottom"/>
            <w:hideMark/>
          </w:tcPr>
          <w:p w14:paraId="43AED6BE" w14:textId="1767B8C7"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5711F40" w14:textId="0573F6CD" w:rsidR="008750AD" w:rsidRPr="009F227C" w:rsidRDefault="008750AD" w:rsidP="008750AD">
            <w:pPr>
              <w:jc w:val="right"/>
              <w:rPr>
                <w:sz w:val="20"/>
                <w:szCs w:val="20"/>
                <w:u w:val="double"/>
              </w:rPr>
            </w:pPr>
            <w:r w:rsidRPr="009F227C">
              <w:rPr>
                <w:sz w:val="20"/>
                <w:szCs w:val="20"/>
                <w:u w:val="double"/>
              </w:rPr>
              <w:t>7.48%</w:t>
            </w:r>
          </w:p>
        </w:tc>
        <w:tc>
          <w:tcPr>
            <w:tcW w:w="1250" w:type="dxa"/>
            <w:tcBorders>
              <w:top w:val="nil"/>
              <w:left w:val="nil"/>
              <w:bottom w:val="nil"/>
              <w:right w:val="nil"/>
            </w:tcBorders>
            <w:shd w:val="clear" w:color="000000" w:fill="FFFFFF"/>
            <w:noWrap/>
            <w:vAlign w:val="bottom"/>
            <w:hideMark/>
          </w:tcPr>
          <w:p w14:paraId="7FC8A71F" w14:textId="5B5AE2BF" w:rsidR="008750AD" w:rsidRPr="009F227C" w:rsidRDefault="008750AD" w:rsidP="008750AD">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FC05E66" w14:textId="12FB821D" w:rsidR="008750AD" w:rsidRPr="009F227C" w:rsidRDefault="008750AD" w:rsidP="008750AD">
            <w:pPr>
              <w:jc w:val="right"/>
              <w:rPr>
                <w:sz w:val="20"/>
                <w:szCs w:val="20"/>
                <w:u w:val="double"/>
              </w:rPr>
            </w:pPr>
            <w:r w:rsidRPr="009F227C">
              <w:rPr>
                <w:sz w:val="20"/>
                <w:szCs w:val="20"/>
                <w:u w:val="double"/>
              </w:rPr>
              <w:t>3.94%</w:t>
            </w:r>
          </w:p>
        </w:tc>
        <w:tc>
          <w:tcPr>
            <w:tcW w:w="1220" w:type="dxa"/>
            <w:tcBorders>
              <w:top w:val="nil"/>
              <w:left w:val="nil"/>
              <w:bottom w:val="nil"/>
              <w:right w:val="nil"/>
            </w:tcBorders>
            <w:shd w:val="clear" w:color="000000" w:fill="FFFFFF"/>
            <w:noWrap/>
            <w:vAlign w:val="bottom"/>
            <w:hideMark/>
          </w:tcPr>
          <w:p w14:paraId="21F25EED" w14:textId="1036E7B3" w:rsidR="008750AD" w:rsidRPr="009F227C" w:rsidRDefault="008750AD" w:rsidP="008750AD">
            <w:pPr>
              <w:rPr>
                <w:sz w:val="20"/>
                <w:szCs w:val="20"/>
              </w:rPr>
            </w:pPr>
            <w:r w:rsidRPr="009F227C">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A3064D7" w14:textId="7445452D" w:rsidR="008750AD" w:rsidRPr="009F227C" w:rsidRDefault="008750AD" w:rsidP="008750AD">
            <w:pPr>
              <w:jc w:val="right"/>
              <w:rPr>
                <w:sz w:val="20"/>
                <w:szCs w:val="20"/>
                <w:u w:val="double"/>
              </w:rPr>
            </w:pPr>
            <w:r w:rsidRPr="009F227C">
              <w:rPr>
                <w:sz w:val="20"/>
                <w:szCs w:val="20"/>
                <w:u w:val="double"/>
              </w:rPr>
              <w:t>7.7</w:t>
            </w:r>
            <w:r>
              <w:rPr>
                <w:sz w:val="20"/>
                <w:szCs w:val="20"/>
                <w:u w:val="double"/>
              </w:rPr>
              <w:t>0</w:t>
            </w:r>
            <w:r w:rsidRPr="009F227C">
              <w:rPr>
                <w:sz w:val="20"/>
                <w:szCs w:val="20"/>
                <w:u w:val="double"/>
              </w:rPr>
              <w:t>%</w:t>
            </w:r>
          </w:p>
        </w:tc>
      </w:tr>
      <w:tr w:rsidR="0062216C" w:rsidRPr="009F227C" w14:paraId="3BBB225F" w14:textId="77777777" w:rsidTr="008750AD">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633EABAF"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single" w:sz="4" w:space="0" w:color="auto"/>
              <w:right w:val="nil"/>
            </w:tcBorders>
            <w:shd w:val="clear" w:color="000000" w:fill="FFFFFF"/>
            <w:noWrap/>
            <w:vAlign w:val="bottom"/>
            <w:hideMark/>
          </w:tcPr>
          <w:p w14:paraId="764D4B2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0E48738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0C83E406"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3ACF6A96" w14:textId="77777777" w:rsidR="0062216C" w:rsidRPr="009F227C" w:rsidRDefault="0062216C" w:rsidP="004E4E2B">
            <w:pPr>
              <w:rPr>
                <w:sz w:val="20"/>
                <w:szCs w:val="20"/>
              </w:rPr>
            </w:pPr>
            <w:r w:rsidRPr="009F227C">
              <w:rPr>
                <w:sz w:val="20"/>
                <w:szCs w:val="20"/>
              </w:rPr>
              <w:t> </w:t>
            </w:r>
          </w:p>
        </w:tc>
        <w:tc>
          <w:tcPr>
            <w:tcW w:w="1250" w:type="dxa"/>
            <w:tcBorders>
              <w:top w:val="nil"/>
              <w:left w:val="nil"/>
              <w:bottom w:val="single" w:sz="4" w:space="0" w:color="auto"/>
              <w:right w:val="nil"/>
            </w:tcBorders>
            <w:shd w:val="clear" w:color="000000" w:fill="FFFFFF"/>
            <w:noWrap/>
            <w:vAlign w:val="bottom"/>
            <w:hideMark/>
          </w:tcPr>
          <w:p w14:paraId="4238BD0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15B7B84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4424C791" w14:textId="77777777" w:rsidR="0062216C" w:rsidRPr="009F227C" w:rsidRDefault="0062216C" w:rsidP="004E4E2B">
            <w:pPr>
              <w:rPr>
                <w:sz w:val="20"/>
                <w:szCs w:val="20"/>
              </w:rPr>
            </w:pPr>
            <w:r w:rsidRPr="009F227C">
              <w:rPr>
                <w:sz w:val="20"/>
                <w:szCs w:val="20"/>
              </w:rPr>
              <w:t> </w:t>
            </w:r>
          </w:p>
        </w:tc>
        <w:tc>
          <w:tcPr>
            <w:tcW w:w="1338" w:type="dxa"/>
            <w:tcBorders>
              <w:top w:val="nil"/>
              <w:left w:val="nil"/>
              <w:bottom w:val="single" w:sz="4" w:space="0" w:color="auto"/>
              <w:right w:val="single" w:sz="4" w:space="0" w:color="auto"/>
            </w:tcBorders>
            <w:shd w:val="clear" w:color="000000" w:fill="FFFFFF"/>
            <w:noWrap/>
            <w:vAlign w:val="bottom"/>
            <w:hideMark/>
          </w:tcPr>
          <w:p w14:paraId="5208EEB9" w14:textId="77777777" w:rsidR="0062216C" w:rsidRPr="009F227C" w:rsidRDefault="0062216C" w:rsidP="004E4E2B">
            <w:pPr>
              <w:rPr>
                <w:sz w:val="20"/>
                <w:szCs w:val="20"/>
              </w:rPr>
            </w:pPr>
            <w:r w:rsidRPr="009F227C">
              <w:rPr>
                <w:sz w:val="20"/>
                <w:szCs w:val="20"/>
              </w:rPr>
              <w:t> </w:t>
            </w:r>
          </w:p>
        </w:tc>
      </w:tr>
    </w:tbl>
    <w:p w14:paraId="15227752" w14:textId="77777777" w:rsidR="0062216C" w:rsidRPr="009F227C" w:rsidRDefault="0062216C" w:rsidP="005F7ACC">
      <w:pPr>
        <w:pStyle w:val="OrderBody"/>
        <w:sectPr w:rsidR="0062216C" w:rsidRPr="009F227C" w:rsidSect="00AC30DF">
          <w:headerReference w:type="first" r:id="rId12"/>
          <w:pgSz w:w="15840" w:h="12240" w:orient="landscape" w:code="1"/>
          <w:pgMar w:top="1440" w:right="1440" w:bottom="1440" w:left="1440" w:header="720" w:footer="720" w:gutter="0"/>
          <w:cols w:space="720"/>
          <w:titlePg/>
          <w:docGrid w:linePitch="360"/>
        </w:sectPr>
      </w:pPr>
    </w:p>
    <w:tbl>
      <w:tblPr>
        <w:tblW w:w="11480" w:type="dxa"/>
        <w:jc w:val="center"/>
        <w:tblLook w:val="04A0" w:firstRow="1" w:lastRow="0" w:firstColumn="1" w:lastColumn="0" w:noHBand="0" w:noVBand="1"/>
      </w:tblPr>
      <w:tblGrid>
        <w:gridCol w:w="480"/>
        <w:gridCol w:w="2460"/>
        <w:gridCol w:w="1220"/>
        <w:gridCol w:w="1220"/>
        <w:gridCol w:w="1316"/>
        <w:gridCol w:w="1250"/>
        <w:gridCol w:w="1316"/>
        <w:gridCol w:w="1220"/>
        <w:gridCol w:w="1338"/>
      </w:tblGrid>
      <w:tr w:rsidR="0062216C" w:rsidRPr="009F227C" w14:paraId="5921B742" w14:textId="77777777" w:rsidTr="004E4E2B">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66485256" w14:textId="77777777" w:rsidR="0062216C" w:rsidRPr="009F227C" w:rsidRDefault="0062216C" w:rsidP="004E4E2B">
            <w:pPr>
              <w:rPr>
                <w:sz w:val="20"/>
                <w:szCs w:val="20"/>
              </w:rPr>
            </w:pPr>
            <w:bookmarkStart w:id="69" w:name="RANGE!A43:I74"/>
            <w:r w:rsidRPr="009F227C">
              <w:rPr>
                <w:sz w:val="20"/>
                <w:szCs w:val="20"/>
              </w:rPr>
              <w:lastRenderedPageBreak/>
              <w:t> </w:t>
            </w:r>
            <w:bookmarkEnd w:id="69"/>
          </w:p>
        </w:tc>
        <w:tc>
          <w:tcPr>
            <w:tcW w:w="2460" w:type="dxa"/>
            <w:tcBorders>
              <w:top w:val="single" w:sz="4" w:space="0" w:color="auto"/>
              <w:left w:val="nil"/>
              <w:bottom w:val="nil"/>
              <w:right w:val="nil"/>
            </w:tcBorders>
            <w:shd w:val="clear" w:color="000000" w:fill="FFFFFF"/>
            <w:noWrap/>
            <w:vAlign w:val="bottom"/>
            <w:hideMark/>
          </w:tcPr>
          <w:p w14:paraId="7F8BAD5E"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2C86E037"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4D547B91"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3D153E7F"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730B5949"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156D4CD8"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nil"/>
            </w:tcBorders>
            <w:shd w:val="clear" w:color="000000" w:fill="FFFFFF"/>
            <w:noWrap/>
            <w:vAlign w:val="bottom"/>
            <w:hideMark/>
          </w:tcPr>
          <w:p w14:paraId="1D29AFBF" w14:textId="77777777" w:rsidR="0062216C" w:rsidRPr="009F227C" w:rsidRDefault="0062216C" w:rsidP="004E4E2B">
            <w:pPr>
              <w:rPr>
                <w:sz w:val="20"/>
                <w:szCs w:val="20"/>
              </w:rPr>
            </w:pPr>
            <w:r w:rsidRPr="009F227C">
              <w:rPr>
                <w:sz w:val="20"/>
                <w:szCs w:val="20"/>
              </w:rPr>
              <w:t> </w:t>
            </w:r>
          </w:p>
        </w:tc>
        <w:tc>
          <w:tcPr>
            <w:tcW w:w="1220" w:type="dxa"/>
            <w:tcBorders>
              <w:top w:val="single" w:sz="4" w:space="0" w:color="auto"/>
              <w:left w:val="nil"/>
              <w:bottom w:val="nil"/>
              <w:right w:val="single" w:sz="4" w:space="0" w:color="auto"/>
            </w:tcBorders>
            <w:shd w:val="clear" w:color="000000" w:fill="FFFFFF"/>
            <w:noWrap/>
            <w:vAlign w:val="bottom"/>
            <w:hideMark/>
          </w:tcPr>
          <w:p w14:paraId="6347EB7B" w14:textId="77777777" w:rsidR="0062216C" w:rsidRPr="009F227C" w:rsidRDefault="0062216C" w:rsidP="004E4E2B">
            <w:pPr>
              <w:rPr>
                <w:sz w:val="20"/>
                <w:szCs w:val="20"/>
              </w:rPr>
            </w:pPr>
            <w:r w:rsidRPr="009F227C">
              <w:rPr>
                <w:sz w:val="20"/>
                <w:szCs w:val="20"/>
              </w:rPr>
              <w:t> </w:t>
            </w:r>
          </w:p>
        </w:tc>
      </w:tr>
      <w:tr w:rsidR="0062216C" w:rsidRPr="009F227C" w14:paraId="2457948F"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7D803631" w14:textId="77777777" w:rsidR="0062216C" w:rsidRPr="009F227C" w:rsidRDefault="0062216C" w:rsidP="004E4E2B">
            <w:pPr>
              <w:rPr>
                <w:color w:val="000000"/>
                <w:sz w:val="20"/>
                <w:szCs w:val="20"/>
              </w:rPr>
            </w:pPr>
            <w:r w:rsidRPr="009F227C">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14:paraId="3AABE020" w14:textId="77777777" w:rsidR="0062216C" w:rsidRPr="009F227C" w:rsidRDefault="0062216C" w:rsidP="004E4E2B">
            <w:pPr>
              <w:rPr>
                <w:b/>
                <w:bCs/>
                <w:sz w:val="20"/>
                <w:szCs w:val="20"/>
              </w:rPr>
            </w:pPr>
            <w:r w:rsidRPr="009F227C">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14:paraId="6EC1FBDF"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2E8887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DC7C07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32EF4B7" w14:textId="77777777" w:rsidR="0062216C" w:rsidRPr="009F227C" w:rsidRDefault="0062216C" w:rsidP="004E4E2B">
            <w:pPr>
              <w:rPr>
                <w:sz w:val="20"/>
                <w:szCs w:val="20"/>
              </w:rPr>
            </w:pPr>
            <w:r w:rsidRPr="009F227C">
              <w:rPr>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14:paraId="3B6ECA67" w14:textId="77777777" w:rsidR="0062216C" w:rsidRPr="009F227C" w:rsidRDefault="0062216C" w:rsidP="004E4E2B">
            <w:pPr>
              <w:jc w:val="right"/>
              <w:rPr>
                <w:b/>
                <w:bCs/>
                <w:sz w:val="20"/>
                <w:szCs w:val="20"/>
              </w:rPr>
            </w:pPr>
            <w:r w:rsidRPr="009F227C">
              <w:rPr>
                <w:b/>
                <w:bCs/>
                <w:sz w:val="20"/>
                <w:szCs w:val="20"/>
              </w:rPr>
              <w:t>Schedule No. 3-B</w:t>
            </w:r>
          </w:p>
        </w:tc>
      </w:tr>
      <w:tr w:rsidR="0062216C" w:rsidRPr="009F227C" w14:paraId="77778B94"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EEAF2D6" w14:textId="77777777" w:rsidR="0062216C" w:rsidRPr="009F227C" w:rsidRDefault="0062216C" w:rsidP="004E4E2B">
            <w:pPr>
              <w:rPr>
                <w:color w:val="000000"/>
                <w:sz w:val="20"/>
                <w:szCs w:val="20"/>
              </w:rPr>
            </w:pPr>
            <w:r w:rsidRPr="009F227C">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14:paraId="2672E11F" w14:textId="77777777" w:rsidR="0062216C" w:rsidRPr="009F227C" w:rsidRDefault="0062216C" w:rsidP="004E4E2B">
            <w:pPr>
              <w:rPr>
                <w:b/>
                <w:bCs/>
                <w:sz w:val="20"/>
                <w:szCs w:val="20"/>
              </w:rPr>
            </w:pPr>
            <w:r w:rsidRPr="009F227C">
              <w:rPr>
                <w:b/>
                <w:bCs/>
                <w:sz w:val="20"/>
                <w:szCs w:val="20"/>
              </w:rPr>
              <w:t>Statement of Wastewater Operations</w:t>
            </w:r>
          </w:p>
        </w:tc>
        <w:tc>
          <w:tcPr>
            <w:tcW w:w="1220" w:type="dxa"/>
            <w:tcBorders>
              <w:top w:val="nil"/>
              <w:left w:val="nil"/>
              <w:bottom w:val="nil"/>
              <w:right w:val="nil"/>
            </w:tcBorders>
            <w:shd w:val="clear" w:color="000000" w:fill="FFFFFF"/>
            <w:noWrap/>
            <w:vAlign w:val="bottom"/>
            <w:hideMark/>
          </w:tcPr>
          <w:p w14:paraId="203332E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733F306"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EFF0EBC"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9E52F2B" w14:textId="77777777" w:rsidR="0062216C" w:rsidRPr="009F227C" w:rsidRDefault="0062216C" w:rsidP="004E4E2B">
            <w:pPr>
              <w:rPr>
                <w:sz w:val="20"/>
                <w:szCs w:val="20"/>
              </w:rPr>
            </w:pPr>
            <w:r w:rsidRPr="009F227C">
              <w:rPr>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14:paraId="584F5B89" w14:textId="77777777" w:rsidR="0062216C" w:rsidRPr="009F227C" w:rsidRDefault="0062216C" w:rsidP="004E4E2B">
            <w:pPr>
              <w:jc w:val="right"/>
              <w:rPr>
                <w:b/>
                <w:bCs/>
                <w:sz w:val="20"/>
                <w:szCs w:val="20"/>
              </w:rPr>
            </w:pPr>
            <w:r w:rsidRPr="009F227C">
              <w:rPr>
                <w:b/>
                <w:bCs/>
                <w:sz w:val="20"/>
                <w:szCs w:val="20"/>
              </w:rPr>
              <w:t>Docket No. 20240068-WS</w:t>
            </w:r>
          </w:p>
        </w:tc>
      </w:tr>
      <w:tr w:rsidR="0062216C" w:rsidRPr="009F227C" w14:paraId="0A045BBC"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032B3C9" w14:textId="77777777" w:rsidR="0062216C" w:rsidRPr="009F227C" w:rsidRDefault="0062216C" w:rsidP="004E4E2B">
            <w:pPr>
              <w:rPr>
                <w:color w:val="000000"/>
                <w:sz w:val="20"/>
                <w:szCs w:val="20"/>
              </w:rPr>
            </w:pPr>
            <w:r w:rsidRPr="009F227C">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14:paraId="74280C25" w14:textId="77777777" w:rsidR="0062216C" w:rsidRPr="009F227C" w:rsidRDefault="0062216C" w:rsidP="004E4E2B">
            <w:pPr>
              <w:rPr>
                <w:b/>
                <w:bCs/>
                <w:sz w:val="20"/>
                <w:szCs w:val="20"/>
              </w:rPr>
            </w:pPr>
            <w:r w:rsidRPr="009F227C">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14:paraId="3F66D76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761B2D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A163BE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204819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1ECE0BC"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7768CCD" w14:textId="77777777" w:rsidR="0062216C" w:rsidRPr="009F227C" w:rsidRDefault="0062216C" w:rsidP="004E4E2B">
            <w:pPr>
              <w:rPr>
                <w:sz w:val="20"/>
                <w:szCs w:val="20"/>
              </w:rPr>
            </w:pPr>
            <w:r w:rsidRPr="009F227C">
              <w:rPr>
                <w:sz w:val="20"/>
                <w:szCs w:val="20"/>
              </w:rPr>
              <w:t> </w:t>
            </w:r>
          </w:p>
        </w:tc>
      </w:tr>
      <w:tr w:rsidR="0062216C" w:rsidRPr="009F227C" w14:paraId="358E7C67"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43FE4CE"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0239A4C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87430E0"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C83EA8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BC81B4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6CB200D"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999617A"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C3D3520"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32BE21F" w14:textId="77777777" w:rsidR="0062216C" w:rsidRPr="009F227C" w:rsidRDefault="0062216C" w:rsidP="004E4E2B">
            <w:pPr>
              <w:rPr>
                <w:sz w:val="20"/>
                <w:szCs w:val="20"/>
              </w:rPr>
            </w:pPr>
            <w:r w:rsidRPr="009F227C">
              <w:rPr>
                <w:sz w:val="20"/>
                <w:szCs w:val="20"/>
              </w:rPr>
              <w:t> </w:t>
            </w:r>
          </w:p>
        </w:tc>
      </w:tr>
      <w:tr w:rsidR="0062216C" w:rsidRPr="009F227C" w14:paraId="02265B4F" w14:textId="77777777" w:rsidTr="004E4E2B">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36475DA6" w14:textId="77777777" w:rsidR="0062216C" w:rsidRPr="009F227C" w:rsidRDefault="0062216C" w:rsidP="004E4E2B">
            <w:pPr>
              <w:rPr>
                <w:b/>
                <w:bCs/>
                <w:sz w:val="20"/>
                <w:szCs w:val="20"/>
              </w:rPr>
            </w:pPr>
            <w:r w:rsidRPr="009F227C">
              <w:rPr>
                <w:b/>
                <w:bCs/>
                <w:sz w:val="20"/>
                <w:szCs w:val="20"/>
              </w:rPr>
              <w:t> </w:t>
            </w:r>
          </w:p>
        </w:tc>
        <w:tc>
          <w:tcPr>
            <w:tcW w:w="2460" w:type="dxa"/>
            <w:tcBorders>
              <w:top w:val="single" w:sz="4" w:space="0" w:color="000000"/>
              <w:left w:val="nil"/>
              <w:bottom w:val="nil"/>
              <w:right w:val="nil"/>
            </w:tcBorders>
            <w:shd w:val="clear" w:color="000000" w:fill="FFFFFF"/>
            <w:noWrap/>
            <w:vAlign w:val="bottom"/>
            <w:hideMark/>
          </w:tcPr>
          <w:p w14:paraId="6AE08829"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2D48B73"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EF68CAC"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037F90C8"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FE20A84"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2DBA5D32"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1960893" w14:textId="77777777" w:rsidR="0062216C" w:rsidRPr="009F227C" w:rsidRDefault="0062216C" w:rsidP="004E4E2B">
            <w:pPr>
              <w:rPr>
                <w:b/>
                <w:bCs/>
                <w:sz w:val="20"/>
                <w:szCs w:val="20"/>
              </w:rPr>
            </w:pPr>
            <w:r w:rsidRPr="009F227C">
              <w:rPr>
                <w:b/>
                <w:bCs/>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14:paraId="53D3DF32" w14:textId="77777777" w:rsidR="0062216C" w:rsidRPr="009F227C" w:rsidRDefault="0062216C" w:rsidP="004E4E2B">
            <w:pPr>
              <w:rPr>
                <w:b/>
                <w:bCs/>
                <w:sz w:val="20"/>
                <w:szCs w:val="20"/>
              </w:rPr>
            </w:pPr>
            <w:r w:rsidRPr="009F227C">
              <w:rPr>
                <w:b/>
                <w:bCs/>
                <w:sz w:val="20"/>
                <w:szCs w:val="20"/>
              </w:rPr>
              <w:t> </w:t>
            </w:r>
          </w:p>
        </w:tc>
      </w:tr>
      <w:tr w:rsidR="0062216C" w:rsidRPr="009F227C" w14:paraId="0F0F74C8"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14898685"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7AFA6539"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730A226E" w14:textId="77777777" w:rsidR="0062216C" w:rsidRPr="009F227C" w:rsidRDefault="0062216C" w:rsidP="004E4E2B">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66D7D75C" w14:textId="77777777" w:rsidR="0062216C" w:rsidRPr="009F227C" w:rsidRDefault="0062216C" w:rsidP="004E4E2B">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016DD8F1" w14:textId="77777777" w:rsidR="0062216C" w:rsidRPr="009F227C" w:rsidRDefault="0062216C" w:rsidP="004E4E2B">
            <w:pPr>
              <w:jc w:val="center"/>
              <w:rPr>
                <w:b/>
                <w:bCs/>
                <w:sz w:val="20"/>
                <w:szCs w:val="20"/>
              </w:rPr>
            </w:pPr>
            <w:r w:rsidRPr="009F227C">
              <w:rPr>
                <w:b/>
                <w:bCs/>
                <w:sz w:val="20"/>
                <w:szCs w:val="20"/>
              </w:rPr>
              <w:t>Adjusted</w:t>
            </w:r>
          </w:p>
        </w:tc>
        <w:tc>
          <w:tcPr>
            <w:tcW w:w="1220" w:type="dxa"/>
            <w:tcBorders>
              <w:top w:val="nil"/>
              <w:left w:val="nil"/>
              <w:bottom w:val="nil"/>
              <w:right w:val="nil"/>
            </w:tcBorders>
            <w:shd w:val="clear" w:color="000000" w:fill="FFFFFF"/>
            <w:noWrap/>
            <w:vAlign w:val="bottom"/>
            <w:hideMark/>
          </w:tcPr>
          <w:p w14:paraId="6E2833F8" w14:textId="77777777" w:rsidR="0062216C" w:rsidRPr="009F227C" w:rsidRDefault="00CE35E9" w:rsidP="00CE35E9">
            <w:pPr>
              <w:jc w:val="center"/>
              <w:rPr>
                <w:b/>
                <w:bCs/>
                <w:sz w:val="20"/>
                <w:szCs w:val="20"/>
              </w:rPr>
            </w:pPr>
            <w:r w:rsidRPr="009F227C">
              <w:rPr>
                <w:b/>
                <w:bCs/>
                <w:sz w:val="20"/>
                <w:szCs w:val="20"/>
              </w:rPr>
              <w:t>Approved</w:t>
            </w:r>
          </w:p>
        </w:tc>
        <w:tc>
          <w:tcPr>
            <w:tcW w:w="1220" w:type="dxa"/>
            <w:tcBorders>
              <w:top w:val="nil"/>
              <w:left w:val="nil"/>
              <w:bottom w:val="nil"/>
              <w:right w:val="nil"/>
            </w:tcBorders>
            <w:shd w:val="clear" w:color="000000" w:fill="FFFFFF"/>
            <w:noWrap/>
            <w:vAlign w:val="bottom"/>
            <w:hideMark/>
          </w:tcPr>
          <w:p w14:paraId="175EA78F" w14:textId="77777777" w:rsidR="0062216C" w:rsidRPr="009F227C" w:rsidRDefault="00CE35E9" w:rsidP="00CE35E9">
            <w:pPr>
              <w:jc w:val="center"/>
              <w:rPr>
                <w:b/>
                <w:bCs/>
                <w:sz w:val="20"/>
                <w:szCs w:val="20"/>
              </w:rPr>
            </w:pPr>
            <w:r w:rsidRPr="009F227C">
              <w:rPr>
                <w:b/>
                <w:bCs/>
                <w:sz w:val="20"/>
                <w:szCs w:val="20"/>
              </w:rPr>
              <w:t>Approved</w:t>
            </w:r>
          </w:p>
        </w:tc>
        <w:tc>
          <w:tcPr>
            <w:tcW w:w="1220" w:type="dxa"/>
            <w:tcBorders>
              <w:top w:val="nil"/>
              <w:left w:val="nil"/>
              <w:bottom w:val="nil"/>
              <w:right w:val="nil"/>
            </w:tcBorders>
            <w:shd w:val="clear" w:color="000000" w:fill="FFFFFF"/>
            <w:noWrap/>
            <w:vAlign w:val="bottom"/>
            <w:hideMark/>
          </w:tcPr>
          <w:p w14:paraId="254EDEB6"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single" w:sz="4" w:space="0" w:color="auto"/>
            </w:tcBorders>
            <w:shd w:val="clear" w:color="000000" w:fill="FFFFFF"/>
            <w:noWrap/>
            <w:vAlign w:val="bottom"/>
            <w:hideMark/>
          </w:tcPr>
          <w:p w14:paraId="5DC2A3B6" w14:textId="77777777" w:rsidR="0062216C" w:rsidRPr="009F227C" w:rsidRDefault="0062216C" w:rsidP="004E4E2B">
            <w:pPr>
              <w:rPr>
                <w:b/>
                <w:bCs/>
                <w:sz w:val="20"/>
                <w:szCs w:val="20"/>
              </w:rPr>
            </w:pPr>
            <w:r w:rsidRPr="009F227C">
              <w:rPr>
                <w:b/>
                <w:bCs/>
                <w:sz w:val="20"/>
                <w:szCs w:val="20"/>
              </w:rPr>
              <w:t> </w:t>
            </w:r>
          </w:p>
        </w:tc>
      </w:tr>
      <w:tr w:rsidR="0062216C" w:rsidRPr="009F227C" w14:paraId="531134F9"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5EFFD334"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175654B9" w14:textId="77777777" w:rsidR="0062216C" w:rsidRPr="009F227C" w:rsidRDefault="0062216C" w:rsidP="004E4E2B">
            <w:pPr>
              <w:rPr>
                <w:b/>
                <w:bCs/>
                <w:sz w:val="20"/>
                <w:szCs w:val="20"/>
              </w:rPr>
            </w:pPr>
            <w:r w:rsidRPr="009F227C">
              <w:rPr>
                <w:b/>
                <w:bCs/>
                <w:sz w:val="20"/>
                <w:szCs w:val="20"/>
              </w:rPr>
              <w:t> </w:t>
            </w:r>
          </w:p>
        </w:tc>
        <w:tc>
          <w:tcPr>
            <w:tcW w:w="1220" w:type="dxa"/>
            <w:tcBorders>
              <w:top w:val="nil"/>
              <w:left w:val="nil"/>
              <w:bottom w:val="nil"/>
              <w:right w:val="nil"/>
            </w:tcBorders>
            <w:shd w:val="clear" w:color="000000" w:fill="FFFFFF"/>
            <w:noWrap/>
            <w:vAlign w:val="bottom"/>
            <w:hideMark/>
          </w:tcPr>
          <w:p w14:paraId="65FD0716" w14:textId="77777777" w:rsidR="0062216C" w:rsidRPr="009F227C" w:rsidRDefault="0062216C" w:rsidP="004E4E2B">
            <w:pPr>
              <w:jc w:val="center"/>
              <w:rPr>
                <w:b/>
                <w:bCs/>
                <w:sz w:val="20"/>
                <w:szCs w:val="20"/>
              </w:rPr>
            </w:pPr>
            <w:r w:rsidRPr="009F227C">
              <w:rPr>
                <w:b/>
                <w:bCs/>
                <w:sz w:val="20"/>
                <w:szCs w:val="20"/>
              </w:rPr>
              <w:t>Per</w:t>
            </w:r>
          </w:p>
        </w:tc>
        <w:tc>
          <w:tcPr>
            <w:tcW w:w="1220" w:type="dxa"/>
            <w:tcBorders>
              <w:top w:val="nil"/>
              <w:left w:val="nil"/>
              <w:bottom w:val="nil"/>
              <w:right w:val="nil"/>
            </w:tcBorders>
            <w:shd w:val="clear" w:color="000000" w:fill="FFFFFF"/>
            <w:noWrap/>
            <w:vAlign w:val="bottom"/>
            <w:hideMark/>
          </w:tcPr>
          <w:p w14:paraId="3705B494" w14:textId="77777777" w:rsidR="0062216C" w:rsidRPr="009F227C" w:rsidRDefault="0062216C" w:rsidP="004E4E2B">
            <w:pPr>
              <w:jc w:val="center"/>
              <w:rPr>
                <w:b/>
                <w:bCs/>
                <w:sz w:val="20"/>
                <w:szCs w:val="20"/>
              </w:rPr>
            </w:pPr>
            <w:r w:rsidRPr="009F227C">
              <w:rPr>
                <w:b/>
                <w:bCs/>
                <w:sz w:val="20"/>
                <w:szCs w:val="20"/>
              </w:rPr>
              <w:t>Adjust-</w:t>
            </w:r>
          </w:p>
        </w:tc>
        <w:tc>
          <w:tcPr>
            <w:tcW w:w="1220" w:type="dxa"/>
            <w:tcBorders>
              <w:top w:val="nil"/>
              <w:left w:val="nil"/>
              <w:bottom w:val="nil"/>
              <w:right w:val="nil"/>
            </w:tcBorders>
            <w:shd w:val="clear" w:color="000000" w:fill="FFFFFF"/>
            <w:noWrap/>
            <w:vAlign w:val="bottom"/>
            <w:hideMark/>
          </w:tcPr>
          <w:p w14:paraId="70ED6695" w14:textId="77777777" w:rsidR="0062216C" w:rsidRPr="009F227C" w:rsidRDefault="0062216C" w:rsidP="004E4E2B">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5E8553A5" w14:textId="77777777" w:rsidR="0062216C" w:rsidRPr="009F227C" w:rsidRDefault="0062216C" w:rsidP="004E4E2B">
            <w:pPr>
              <w:jc w:val="center"/>
              <w:rPr>
                <w:b/>
                <w:bCs/>
                <w:sz w:val="20"/>
                <w:szCs w:val="20"/>
              </w:rPr>
            </w:pPr>
            <w:r w:rsidRPr="009F227C">
              <w:rPr>
                <w:b/>
                <w:bCs/>
                <w:sz w:val="20"/>
                <w:szCs w:val="20"/>
              </w:rPr>
              <w:t>Adjust-</w:t>
            </w:r>
          </w:p>
        </w:tc>
        <w:tc>
          <w:tcPr>
            <w:tcW w:w="1220" w:type="dxa"/>
            <w:tcBorders>
              <w:top w:val="nil"/>
              <w:left w:val="nil"/>
              <w:bottom w:val="nil"/>
              <w:right w:val="nil"/>
            </w:tcBorders>
            <w:shd w:val="clear" w:color="000000" w:fill="FFFFFF"/>
            <w:noWrap/>
            <w:vAlign w:val="bottom"/>
            <w:hideMark/>
          </w:tcPr>
          <w:p w14:paraId="3BE6C1F9" w14:textId="77777777" w:rsidR="0062216C" w:rsidRPr="009F227C" w:rsidRDefault="0062216C" w:rsidP="004E4E2B">
            <w:pPr>
              <w:jc w:val="center"/>
              <w:rPr>
                <w:b/>
                <w:bCs/>
                <w:sz w:val="20"/>
                <w:szCs w:val="20"/>
              </w:rPr>
            </w:pPr>
            <w:r w:rsidRPr="009F227C">
              <w:rPr>
                <w:b/>
                <w:bCs/>
                <w:sz w:val="20"/>
                <w:szCs w:val="20"/>
              </w:rPr>
              <w:t>Adjusted</w:t>
            </w:r>
          </w:p>
        </w:tc>
        <w:tc>
          <w:tcPr>
            <w:tcW w:w="1220" w:type="dxa"/>
            <w:tcBorders>
              <w:top w:val="nil"/>
              <w:left w:val="nil"/>
              <w:bottom w:val="nil"/>
              <w:right w:val="nil"/>
            </w:tcBorders>
            <w:shd w:val="clear" w:color="000000" w:fill="FFFFFF"/>
            <w:noWrap/>
            <w:vAlign w:val="bottom"/>
            <w:hideMark/>
          </w:tcPr>
          <w:p w14:paraId="1EAC4FEA" w14:textId="77777777" w:rsidR="0062216C" w:rsidRPr="009F227C" w:rsidRDefault="0062216C" w:rsidP="004E4E2B">
            <w:pPr>
              <w:jc w:val="center"/>
              <w:rPr>
                <w:b/>
                <w:bCs/>
                <w:sz w:val="20"/>
                <w:szCs w:val="20"/>
              </w:rPr>
            </w:pPr>
            <w:r w:rsidRPr="009F227C">
              <w:rPr>
                <w:b/>
                <w:bCs/>
                <w:sz w:val="20"/>
                <w:szCs w:val="20"/>
              </w:rPr>
              <w:t>Revenue</w:t>
            </w:r>
          </w:p>
        </w:tc>
        <w:tc>
          <w:tcPr>
            <w:tcW w:w="1220" w:type="dxa"/>
            <w:tcBorders>
              <w:top w:val="nil"/>
              <w:left w:val="nil"/>
              <w:bottom w:val="nil"/>
              <w:right w:val="single" w:sz="4" w:space="0" w:color="auto"/>
            </w:tcBorders>
            <w:shd w:val="clear" w:color="000000" w:fill="FFFFFF"/>
            <w:noWrap/>
            <w:vAlign w:val="bottom"/>
            <w:hideMark/>
          </w:tcPr>
          <w:p w14:paraId="53829168" w14:textId="77777777" w:rsidR="0062216C" w:rsidRPr="009F227C" w:rsidRDefault="0062216C" w:rsidP="004E4E2B">
            <w:pPr>
              <w:jc w:val="center"/>
              <w:rPr>
                <w:b/>
                <w:bCs/>
                <w:sz w:val="20"/>
                <w:szCs w:val="20"/>
              </w:rPr>
            </w:pPr>
            <w:r w:rsidRPr="009F227C">
              <w:rPr>
                <w:b/>
                <w:bCs/>
                <w:sz w:val="20"/>
                <w:szCs w:val="20"/>
              </w:rPr>
              <w:t>Revenue</w:t>
            </w:r>
          </w:p>
        </w:tc>
      </w:tr>
      <w:tr w:rsidR="0062216C" w:rsidRPr="009F227C" w14:paraId="186AF40D"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562A0767"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256AD72E" w14:textId="77777777" w:rsidR="0062216C" w:rsidRPr="009F227C" w:rsidRDefault="0062216C" w:rsidP="004E4E2B">
            <w:pPr>
              <w:jc w:val="center"/>
              <w:rPr>
                <w:b/>
                <w:bCs/>
                <w:sz w:val="20"/>
                <w:szCs w:val="20"/>
              </w:rPr>
            </w:pPr>
            <w:r w:rsidRPr="009F227C">
              <w:rPr>
                <w:b/>
                <w:bCs/>
                <w:sz w:val="20"/>
                <w:szCs w:val="20"/>
              </w:rPr>
              <w:t>Description</w:t>
            </w:r>
          </w:p>
        </w:tc>
        <w:tc>
          <w:tcPr>
            <w:tcW w:w="1220" w:type="dxa"/>
            <w:tcBorders>
              <w:top w:val="nil"/>
              <w:left w:val="nil"/>
              <w:bottom w:val="nil"/>
              <w:right w:val="nil"/>
            </w:tcBorders>
            <w:shd w:val="clear" w:color="000000" w:fill="FFFFFF"/>
            <w:noWrap/>
            <w:vAlign w:val="bottom"/>
            <w:hideMark/>
          </w:tcPr>
          <w:p w14:paraId="0ECDD49C" w14:textId="77777777" w:rsidR="0062216C" w:rsidRPr="009F227C" w:rsidRDefault="0062216C" w:rsidP="004E4E2B">
            <w:pPr>
              <w:jc w:val="center"/>
              <w:rPr>
                <w:b/>
                <w:bCs/>
                <w:sz w:val="20"/>
                <w:szCs w:val="20"/>
              </w:rPr>
            </w:pPr>
            <w:r w:rsidRPr="009F227C">
              <w:rPr>
                <w:b/>
                <w:bCs/>
                <w:sz w:val="20"/>
                <w:szCs w:val="20"/>
              </w:rPr>
              <w:t>Utility</w:t>
            </w:r>
          </w:p>
        </w:tc>
        <w:tc>
          <w:tcPr>
            <w:tcW w:w="1220" w:type="dxa"/>
            <w:tcBorders>
              <w:top w:val="nil"/>
              <w:left w:val="nil"/>
              <w:bottom w:val="nil"/>
              <w:right w:val="nil"/>
            </w:tcBorders>
            <w:shd w:val="clear" w:color="000000" w:fill="FFFFFF"/>
            <w:noWrap/>
            <w:vAlign w:val="bottom"/>
            <w:hideMark/>
          </w:tcPr>
          <w:p w14:paraId="0962106F" w14:textId="77777777" w:rsidR="0062216C" w:rsidRPr="009F227C" w:rsidRDefault="0062216C" w:rsidP="004E4E2B">
            <w:pPr>
              <w:jc w:val="center"/>
              <w:rPr>
                <w:b/>
                <w:bCs/>
                <w:sz w:val="20"/>
                <w:szCs w:val="20"/>
              </w:rPr>
            </w:pPr>
            <w:r w:rsidRPr="009F227C">
              <w:rPr>
                <w:b/>
                <w:bCs/>
                <w:sz w:val="20"/>
                <w:szCs w:val="20"/>
              </w:rPr>
              <w:t>ments</w:t>
            </w:r>
          </w:p>
        </w:tc>
        <w:tc>
          <w:tcPr>
            <w:tcW w:w="1220" w:type="dxa"/>
            <w:tcBorders>
              <w:top w:val="nil"/>
              <w:left w:val="nil"/>
              <w:bottom w:val="nil"/>
              <w:right w:val="nil"/>
            </w:tcBorders>
            <w:shd w:val="clear" w:color="000000" w:fill="FFFFFF"/>
            <w:noWrap/>
            <w:vAlign w:val="bottom"/>
            <w:hideMark/>
          </w:tcPr>
          <w:p w14:paraId="121D28CD" w14:textId="77777777" w:rsidR="0062216C" w:rsidRPr="009F227C" w:rsidRDefault="0062216C" w:rsidP="004E4E2B">
            <w:pPr>
              <w:jc w:val="center"/>
              <w:rPr>
                <w:b/>
                <w:bCs/>
                <w:sz w:val="20"/>
                <w:szCs w:val="20"/>
              </w:rPr>
            </w:pPr>
            <w:r w:rsidRPr="009F227C">
              <w:rPr>
                <w:b/>
                <w:bCs/>
                <w:sz w:val="20"/>
                <w:szCs w:val="20"/>
              </w:rPr>
              <w:t>Per Utility</w:t>
            </w:r>
          </w:p>
        </w:tc>
        <w:tc>
          <w:tcPr>
            <w:tcW w:w="1220" w:type="dxa"/>
            <w:tcBorders>
              <w:top w:val="nil"/>
              <w:left w:val="nil"/>
              <w:bottom w:val="nil"/>
              <w:right w:val="nil"/>
            </w:tcBorders>
            <w:shd w:val="clear" w:color="000000" w:fill="FFFFFF"/>
            <w:noWrap/>
            <w:vAlign w:val="bottom"/>
            <w:hideMark/>
          </w:tcPr>
          <w:p w14:paraId="03B2F5FA" w14:textId="77777777" w:rsidR="0062216C" w:rsidRPr="009F227C" w:rsidRDefault="0062216C" w:rsidP="004E4E2B">
            <w:pPr>
              <w:jc w:val="center"/>
              <w:rPr>
                <w:b/>
                <w:bCs/>
                <w:sz w:val="20"/>
                <w:szCs w:val="20"/>
              </w:rPr>
            </w:pPr>
            <w:r w:rsidRPr="009F227C">
              <w:rPr>
                <w:b/>
                <w:bCs/>
                <w:sz w:val="20"/>
                <w:szCs w:val="20"/>
              </w:rPr>
              <w:t>ments</w:t>
            </w:r>
          </w:p>
        </w:tc>
        <w:tc>
          <w:tcPr>
            <w:tcW w:w="1220" w:type="dxa"/>
            <w:tcBorders>
              <w:top w:val="nil"/>
              <w:left w:val="nil"/>
              <w:bottom w:val="nil"/>
              <w:right w:val="nil"/>
            </w:tcBorders>
            <w:shd w:val="clear" w:color="000000" w:fill="FFFFFF"/>
            <w:noWrap/>
            <w:vAlign w:val="bottom"/>
            <w:hideMark/>
          </w:tcPr>
          <w:p w14:paraId="03931F76" w14:textId="77777777" w:rsidR="0062216C" w:rsidRPr="009F227C" w:rsidRDefault="0062216C" w:rsidP="004E4E2B">
            <w:pPr>
              <w:jc w:val="center"/>
              <w:rPr>
                <w:b/>
                <w:bCs/>
                <w:sz w:val="20"/>
                <w:szCs w:val="20"/>
              </w:rPr>
            </w:pPr>
            <w:r w:rsidRPr="009F227C">
              <w:rPr>
                <w:b/>
                <w:bCs/>
                <w:sz w:val="20"/>
                <w:szCs w:val="20"/>
              </w:rPr>
              <w:t>Test Year</w:t>
            </w:r>
          </w:p>
        </w:tc>
        <w:tc>
          <w:tcPr>
            <w:tcW w:w="1220" w:type="dxa"/>
            <w:tcBorders>
              <w:top w:val="nil"/>
              <w:left w:val="nil"/>
              <w:bottom w:val="nil"/>
              <w:right w:val="nil"/>
            </w:tcBorders>
            <w:shd w:val="clear" w:color="000000" w:fill="FFFFFF"/>
            <w:noWrap/>
            <w:vAlign w:val="bottom"/>
            <w:hideMark/>
          </w:tcPr>
          <w:p w14:paraId="3E2AA8B7" w14:textId="77777777" w:rsidR="0062216C" w:rsidRPr="009F227C" w:rsidRDefault="0062216C" w:rsidP="004E4E2B">
            <w:pPr>
              <w:jc w:val="center"/>
              <w:rPr>
                <w:b/>
                <w:bCs/>
                <w:sz w:val="20"/>
                <w:szCs w:val="20"/>
              </w:rPr>
            </w:pPr>
            <w:r w:rsidRPr="009F227C">
              <w:rPr>
                <w:b/>
                <w:bCs/>
                <w:sz w:val="20"/>
                <w:szCs w:val="20"/>
              </w:rPr>
              <w:t>Increase</w:t>
            </w:r>
          </w:p>
        </w:tc>
        <w:tc>
          <w:tcPr>
            <w:tcW w:w="1220" w:type="dxa"/>
            <w:tcBorders>
              <w:top w:val="nil"/>
              <w:left w:val="nil"/>
              <w:bottom w:val="nil"/>
              <w:right w:val="single" w:sz="4" w:space="0" w:color="auto"/>
            </w:tcBorders>
            <w:shd w:val="clear" w:color="000000" w:fill="FFFFFF"/>
            <w:noWrap/>
            <w:vAlign w:val="bottom"/>
            <w:hideMark/>
          </w:tcPr>
          <w:p w14:paraId="05974CD3" w14:textId="77777777" w:rsidR="0062216C" w:rsidRPr="009F227C" w:rsidRDefault="0062216C" w:rsidP="004E4E2B">
            <w:pPr>
              <w:jc w:val="center"/>
              <w:rPr>
                <w:b/>
                <w:bCs/>
                <w:sz w:val="20"/>
                <w:szCs w:val="20"/>
              </w:rPr>
            </w:pPr>
            <w:r w:rsidRPr="009F227C">
              <w:rPr>
                <w:b/>
                <w:bCs/>
                <w:sz w:val="20"/>
                <w:szCs w:val="20"/>
              </w:rPr>
              <w:t>Requirement</w:t>
            </w:r>
          </w:p>
        </w:tc>
      </w:tr>
      <w:tr w:rsidR="0062216C" w:rsidRPr="009F227C" w14:paraId="623F2ABF"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5A214F71"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4AF18F2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00D6A4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DB274C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2374B2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E4B65A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D884209"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F5A494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55BA2C37" w14:textId="77777777" w:rsidR="0062216C" w:rsidRPr="009F227C" w:rsidRDefault="0062216C" w:rsidP="004E4E2B">
            <w:pPr>
              <w:rPr>
                <w:sz w:val="20"/>
                <w:szCs w:val="20"/>
              </w:rPr>
            </w:pPr>
            <w:r w:rsidRPr="009F227C">
              <w:rPr>
                <w:sz w:val="20"/>
                <w:szCs w:val="20"/>
              </w:rPr>
              <w:t> </w:t>
            </w:r>
          </w:p>
        </w:tc>
      </w:tr>
      <w:tr w:rsidR="0062216C" w:rsidRPr="009F227C" w14:paraId="49AF760D" w14:textId="77777777" w:rsidTr="004E4E2B">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2C57C964" w14:textId="77777777" w:rsidR="0062216C" w:rsidRPr="009F227C" w:rsidRDefault="0062216C" w:rsidP="004E4E2B">
            <w:pPr>
              <w:rPr>
                <w:sz w:val="20"/>
                <w:szCs w:val="20"/>
              </w:rPr>
            </w:pPr>
            <w:r w:rsidRPr="009F227C">
              <w:rPr>
                <w:sz w:val="20"/>
                <w:szCs w:val="20"/>
              </w:rPr>
              <w:t> </w:t>
            </w:r>
          </w:p>
        </w:tc>
        <w:tc>
          <w:tcPr>
            <w:tcW w:w="2460" w:type="dxa"/>
            <w:tcBorders>
              <w:top w:val="single" w:sz="4" w:space="0" w:color="000000"/>
              <w:left w:val="nil"/>
              <w:bottom w:val="nil"/>
              <w:right w:val="nil"/>
            </w:tcBorders>
            <w:shd w:val="clear" w:color="000000" w:fill="FFFFFF"/>
            <w:noWrap/>
            <w:vAlign w:val="bottom"/>
            <w:hideMark/>
          </w:tcPr>
          <w:p w14:paraId="3ED5B94D"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28328CC0"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364E6A0F"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79477FC9"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46FE4704"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23F74E2E"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17EF980" w14:textId="77777777" w:rsidR="0062216C" w:rsidRPr="009F227C" w:rsidRDefault="0062216C" w:rsidP="004E4E2B">
            <w:pPr>
              <w:rPr>
                <w:sz w:val="20"/>
                <w:szCs w:val="20"/>
              </w:rPr>
            </w:pPr>
            <w:r w:rsidRPr="009F227C">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14:paraId="5F368594" w14:textId="77777777" w:rsidR="0062216C" w:rsidRPr="009F227C" w:rsidRDefault="0062216C" w:rsidP="004E4E2B">
            <w:pPr>
              <w:rPr>
                <w:sz w:val="20"/>
                <w:szCs w:val="20"/>
              </w:rPr>
            </w:pPr>
            <w:r w:rsidRPr="009F227C">
              <w:rPr>
                <w:sz w:val="20"/>
                <w:szCs w:val="20"/>
              </w:rPr>
              <w:t> </w:t>
            </w:r>
          </w:p>
        </w:tc>
      </w:tr>
      <w:tr w:rsidR="0062216C" w:rsidRPr="009F227C" w14:paraId="3D91E83E"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B50B127" w14:textId="77777777" w:rsidR="0062216C" w:rsidRPr="009F227C" w:rsidRDefault="0062216C" w:rsidP="004E4E2B">
            <w:pPr>
              <w:jc w:val="center"/>
              <w:rPr>
                <w:sz w:val="20"/>
                <w:szCs w:val="20"/>
              </w:rPr>
            </w:pPr>
            <w:r w:rsidRPr="009F227C">
              <w:rPr>
                <w:sz w:val="20"/>
                <w:szCs w:val="20"/>
              </w:rPr>
              <w:t>1</w:t>
            </w:r>
          </w:p>
        </w:tc>
        <w:tc>
          <w:tcPr>
            <w:tcW w:w="2460" w:type="dxa"/>
            <w:tcBorders>
              <w:top w:val="nil"/>
              <w:left w:val="nil"/>
              <w:bottom w:val="nil"/>
              <w:right w:val="nil"/>
            </w:tcBorders>
            <w:shd w:val="clear" w:color="000000" w:fill="FFFFFF"/>
            <w:noWrap/>
            <w:vAlign w:val="bottom"/>
            <w:hideMark/>
          </w:tcPr>
          <w:p w14:paraId="11A91C9B" w14:textId="77777777" w:rsidR="0062216C" w:rsidRPr="009F227C" w:rsidRDefault="0062216C" w:rsidP="004E4E2B">
            <w:pPr>
              <w:rPr>
                <w:b/>
                <w:bCs/>
                <w:sz w:val="20"/>
                <w:szCs w:val="20"/>
              </w:rPr>
            </w:pPr>
            <w:r w:rsidRPr="009F227C">
              <w:rPr>
                <w:b/>
                <w:bCs/>
                <w:sz w:val="20"/>
                <w:szCs w:val="20"/>
              </w:rPr>
              <w:t>Operating Revenues:</w:t>
            </w:r>
          </w:p>
        </w:tc>
        <w:tc>
          <w:tcPr>
            <w:tcW w:w="1220" w:type="dxa"/>
            <w:tcBorders>
              <w:top w:val="nil"/>
              <w:left w:val="nil"/>
              <w:bottom w:val="nil"/>
              <w:right w:val="nil"/>
            </w:tcBorders>
            <w:shd w:val="clear" w:color="000000" w:fill="FFFFFF"/>
            <w:noWrap/>
            <w:vAlign w:val="bottom"/>
            <w:hideMark/>
          </w:tcPr>
          <w:p w14:paraId="1FBB2E78" w14:textId="77777777" w:rsidR="0062216C" w:rsidRPr="009F227C" w:rsidRDefault="0062216C" w:rsidP="004E4E2B">
            <w:pPr>
              <w:jc w:val="right"/>
              <w:rPr>
                <w:sz w:val="20"/>
                <w:szCs w:val="20"/>
                <w:u w:val="single"/>
              </w:rPr>
            </w:pPr>
            <w:r w:rsidRPr="009F227C">
              <w:rPr>
                <w:sz w:val="20"/>
                <w:szCs w:val="20"/>
                <w:u w:val="single"/>
              </w:rPr>
              <w:t>$28,276,590</w:t>
            </w:r>
          </w:p>
        </w:tc>
        <w:tc>
          <w:tcPr>
            <w:tcW w:w="1220" w:type="dxa"/>
            <w:tcBorders>
              <w:top w:val="nil"/>
              <w:left w:val="nil"/>
              <w:bottom w:val="nil"/>
              <w:right w:val="nil"/>
            </w:tcBorders>
            <w:shd w:val="clear" w:color="000000" w:fill="FFFFFF"/>
            <w:noWrap/>
            <w:vAlign w:val="bottom"/>
            <w:hideMark/>
          </w:tcPr>
          <w:p w14:paraId="6AF261FF" w14:textId="77777777" w:rsidR="0062216C" w:rsidRPr="009F227C" w:rsidRDefault="0062216C" w:rsidP="004E4E2B">
            <w:pPr>
              <w:jc w:val="right"/>
              <w:rPr>
                <w:sz w:val="20"/>
                <w:szCs w:val="20"/>
                <w:u w:val="single"/>
              </w:rPr>
            </w:pPr>
            <w:r w:rsidRPr="009F227C">
              <w:rPr>
                <w:sz w:val="20"/>
                <w:szCs w:val="20"/>
                <w:u w:val="single"/>
              </w:rPr>
              <w:t>$6,043,860</w:t>
            </w:r>
          </w:p>
        </w:tc>
        <w:tc>
          <w:tcPr>
            <w:tcW w:w="1220" w:type="dxa"/>
            <w:tcBorders>
              <w:top w:val="nil"/>
              <w:left w:val="nil"/>
              <w:bottom w:val="nil"/>
              <w:right w:val="nil"/>
            </w:tcBorders>
            <w:shd w:val="clear" w:color="000000" w:fill="FFFFFF"/>
            <w:noWrap/>
            <w:vAlign w:val="bottom"/>
            <w:hideMark/>
          </w:tcPr>
          <w:p w14:paraId="6FA65A83" w14:textId="77777777" w:rsidR="0062216C" w:rsidRPr="009F227C" w:rsidRDefault="0062216C" w:rsidP="004E4E2B">
            <w:pPr>
              <w:jc w:val="right"/>
              <w:rPr>
                <w:sz w:val="20"/>
                <w:szCs w:val="20"/>
                <w:u w:val="single"/>
              </w:rPr>
            </w:pPr>
            <w:r w:rsidRPr="009F227C">
              <w:rPr>
                <w:sz w:val="20"/>
                <w:szCs w:val="20"/>
                <w:u w:val="single"/>
              </w:rPr>
              <w:t>$34,320,450</w:t>
            </w:r>
          </w:p>
        </w:tc>
        <w:tc>
          <w:tcPr>
            <w:tcW w:w="1220" w:type="dxa"/>
            <w:tcBorders>
              <w:top w:val="nil"/>
              <w:left w:val="nil"/>
              <w:bottom w:val="nil"/>
              <w:right w:val="nil"/>
            </w:tcBorders>
            <w:shd w:val="clear" w:color="000000" w:fill="FFFFFF"/>
            <w:noWrap/>
            <w:vAlign w:val="bottom"/>
            <w:hideMark/>
          </w:tcPr>
          <w:p w14:paraId="5BEB3C90" w14:textId="77777777" w:rsidR="0062216C" w:rsidRPr="009F227C" w:rsidRDefault="0062216C" w:rsidP="004E4E2B">
            <w:pPr>
              <w:jc w:val="right"/>
              <w:rPr>
                <w:sz w:val="20"/>
                <w:szCs w:val="20"/>
                <w:u w:val="single"/>
              </w:rPr>
            </w:pPr>
            <w:r w:rsidRPr="009F227C">
              <w:rPr>
                <w:sz w:val="20"/>
                <w:szCs w:val="20"/>
                <w:u w:val="single"/>
              </w:rPr>
              <w:t>($4,703,419)</w:t>
            </w:r>
          </w:p>
        </w:tc>
        <w:tc>
          <w:tcPr>
            <w:tcW w:w="1220" w:type="dxa"/>
            <w:tcBorders>
              <w:top w:val="nil"/>
              <w:left w:val="nil"/>
              <w:bottom w:val="nil"/>
              <w:right w:val="nil"/>
            </w:tcBorders>
            <w:shd w:val="clear" w:color="000000" w:fill="FFFFFF"/>
            <w:noWrap/>
            <w:vAlign w:val="bottom"/>
            <w:hideMark/>
          </w:tcPr>
          <w:p w14:paraId="6A7F4C95" w14:textId="77777777" w:rsidR="0062216C" w:rsidRPr="009F227C" w:rsidRDefault="0062216C" w:rsidP="004E4E2B">
            <w:pPr>
              <w:jc w:val="right"/>
              <w:rPr>
                <w:sz w:val="20"/>
                <w:szCs w:val="20"/>
                <w:u w:val="single"/>
              </w:rPr>
            </w:pPr>
            <w:r w:rsidRPr="009F227C">
              <w:rPr>
                <w:sz w:val="20"/>
                <w:szCs w:val="20"/>
                <w:u w:val="single"/>
              </w:rPr>
              <w:t>$29,617,031</w:t>
            </w:r>
          </w:p>
        </w:tc>
        <w:tc>
          <w:tcPr>
            <w:tcW w:w="1220" w:type="dxa"/>
            <w:tcBorders>
              <w:top w:val="nil"/>
              <w:left w:val="nil"/>
              <w:bottom w:val="nil"/>
              <w:right w:val="nil"/>
            </w:tcBorders>
            <w:shd w:val="clear" w:color="000000" w:fill="FFFFFF"/>
            <w:noWrap/>
            <w:vAlign w:val="bottom"/>
            <w:hideMark/>
          </w:tcPr>
          <w:p w14:paraId="30A9DC07" w14:textId="77777777" w:rsidR="0062216C" w:rsidRPr="009F227C" w:rsidRDefault="0062216C" w:rsidP="004E4E2B">
            <w:pPr>
              <w:jc w:val="right"/>
              <w:rPr>
                <w:sz w:val="20"/>
                <w:szCs w:val="20"/>
                <w:u w:val="single"/>
              </w:rPr>
            </w:pPr>
            <w:r w:rsidRPr="009F227C">
              <w:rPr>
                <w:sz w:val="20"/>
                <w:szCs w:val="20"/>
                <w:u w:val="single"/>
              </w:rPr>
              <w:t>$4,703,419</w:t>
            </w:r>
          </w:p>
        </w:tc>
        <w:tc>
          <w:tcPr>
            <w:tcW w:w="1220" w:type="dxa"/>
            <w:tcBorders>
              <w:top w:val="nil"/>
              <w:left w:val="nil"/>
              <w:bottom w:val="nil"/>
              <w:right w:val="single" w:sz="4" w:space="0" w:color="auto"/>
            </w:tcBorders>
            <w:shd w:val="clear" w:color="000000" w:fill="FFFFFF"/>
            <w:noWrap/>
            <w:vAlign w:val="bottom"/>
            <w:hideMark/>
          </w:tcPr>
          <w:p w14:paraId="7F6AC198" w14:textId="77777777" w:rsidR="0062216C" w:rsidRPr="009F227C" w:rsidRDefault="0062216C" w:rsidP="004E4E2B">
            <w:pPr>
              <w:jc w:val="right"/>
              <w:rPr>
                <w:sz w:val="20"/>
                <w:szCs w:val="20"/>
                <w:u w:val="single"/>
              </w:rPr>
            </w:pPr>
            <w:r w:rsidRPr="009F227C">
              <w:rPr>
                <w:sz w:val="20"/>
                <w:szCs w:val="20"/>
                <w:u w:val="single"/>
              </w:rPr>
              <w:t>$34,320,450</w:t>
            </w:r>
          </w:p>
        </w:tc>
      </w:tr>
      <w:tr w:rsidR="0062216C" w:rsidRPr="009F227C" w14:paraId="045ED367"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21876E76"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63A579D6"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E3FDFD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37AC71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834BFF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AB4E47C"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8AE31A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DB3ADE2" w14:textId="77777777" w:rsidR="0062216C" w:rsidRPr="009F227C" w:rsidRDefault="0062216C" w:rsidP="004E4E2B">
            <w:pPr>
              <w:jc w:val="right"/>
              <w:rPr>
                <w:sz w:val="20"/>
                <w:szCs w:val="20"/>
              </w:rPr>
            </w:pPr>
            <w:r w:rsidRPr="009F227C">
              <w:rPr>
                <w:sz w:val="20"/>
                <w:szCs w:val="20"/>
              </w:rPr>
              <w:t>15.9%</w:t>
            </w:r>
          </w:p>
        </w:tc>
        <w:tc>
          <w:tcPr>
            <w:tcW w:w="1220" w:type="dxa"/>
            <w:tcBorders>
              <w:top w:val="nil"/>
              <w:left w:val="nil"/>
              <w:bottom w:val="nil"/>
              <w:right w:val="single" w:sz="4" w:space="0" w:color="auto"/>
            </w:tcBorders>
            <w:shd w:val="clear" w:color="000000" w:fill="FFFFFF"/>
            <w:noWrap/>
            <w:vAlign w:val="bottom"/>
            <w:hideMark/>
          </w:tcPr>
          <w:p w14:paraId="61228540" w14:textId="77777777" w:rsidR="0062216C" w:rsidRPr="009F227C" w:rsidRDefault="0062216C" w:rsidP="004E4E2B">
            <w:pPr>
              <w:rPr>
                <w:sz w:val="20"/>
                <w:szCs w:val="20"/>
              </w:rPr>
            </w:pPr>
            <w:r w:rsidRPr="009F227C">
              <w:rPr>
                <w:sz w:val="20"/>
                <w:szCs w:val="20"/>
              </w:rPr>
              <w:t> </w:t>
            </w:r>
          </w:p>
        </w:tc>
      </w:tr>
      <w:tr w:rsidR="0062216C" w:rsidRPr="009F227C" w14:paraId="6B350EBF"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4E0C027"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7D3878AC" w14:textId="77777777" w:rsidR="0062216C" w:rsidRPr="009F227C" w:rsidRDefault="0062216C" w:rsidP="004E4E2B">
            <w:pPr>
              <w:rPr>
                <w:b/>
                <w:bCs/>
                <w:sz w:val="20"/>
                <w:szCs w:val="20"/>
              </w:rPr>
            </w:pPr>
            <w:r w:rsidRPr="009F227C">
              <w:rPr>
                <w:b/>
                <w:bCs/>
                <w:sz w:val="20"/>
                <w:szCs w:val="20"/>
              </w:rPr>
              <w:t>Operating Expenses</w:t>
            </w:r>
          </w:p>
        </w:tc>
        <w:tc>
          <w:tcPr>
            <w:tcW w:w="1220" w:type="dxa"/>
            <w:tcBorders>
              <w:top w:val="nil"/>
              <w:left w:val="nil"/>
              <w:bottom w:val="nil"/>
              <w:right w:val="nil"/>
            </w:tcBorders>
            <w:shd w:val="clear" w:color="000000" w:fill="FFFFFF"/>
            <w:noWrap/>
            <w:vAlign w:val="bottom"/>
            <w:hideMark/>
          </w:tcPr>
          <w:p w14:paraId="7A7A5CE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34A5ACA"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689C7A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EBC59EF"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AD2F59F"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A25BFC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453A5E00" w14:textId="77777777" w:rsidR="0062216C" w:rsidRPr="009F227C" w:rsidRDefault="0062216C" w:rsidP="004E4E2B">
            <w:pPr>
              <w:rPr>
                <w:sz w:val="20"/>
                <w:szCs w:val="20"/>
              </w:rPr>
            </w:pPr>
            <w:r w:rsidRPr="009F227C">
              <w:rPr>
                <w:sz w:val="20"/>
                <w:szCs w:val="20"/>
              </w:rPr>
              <w:t> </w:t>
            </w:r>
          </w:p>
        </w:tc>
      </w:tr>
      <w:tr w:rsidR="0062216C" w:rsidRPr="009F227C" w14:paraId="144CD21F"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D83B30A" w14:textId="77777777" w:rsidR="0062216C" w:rsidRPr="009F227C" w:rsidRDefault="0062216C" w:rsidP="004E4E2B">
            <w:pPr>
              <w:jc w:val="center"/>
              <w:rPr>
                <w:sz w:val="20"/>
                <w:szCs w:val="20"/>
              </w:rPr>
            </w:pPr>
            <w:r w:rsidRPr="009F227C">
              <w:rPr>
                <w:sz w:val="20"/>
                <w:szCs w:val="20"/>
              </w:rPr>
              <w:t>2</w:t>
            </w:r>
          </w:p>
        </w:tc>
        <w:tc>
          <w:tcPr>
            <w:tcW w:w="2460" w:type="dxa"/>
            <w:tcBorders>
              <w:top w:val="nil"/>
              <w:left w:val="nil"/>
              <w:bottom w:val="nil"/>
              <w:right w:val="nil"/>
            </w:tcBorders>
            <w:shd w:val="clear" w:color="000000" w:fill="FFFFFF"/>
            <w:noWrap/>
            <w:vAlign w:val="bottom"/>
            <w:hideMark/>
          </w:tcPr>
          <w:p w14:paraId="707877FF" w14:textId="77777777" w:rsidR="0062216C" w:rsidRPr="009F227C" w:rsidRDefault="0062216C" w:rsidP="004E4E2B">
            <w:pPr>
              <w:rPr>
                <w:sz w:val="20"/>
                <w:szCs w:val="20"/>
              </w:rPr>
            </w:pPr>
            <w:r w:rsidRPr="009F227C">
              <w:rPr>
                <w:sz w:val="20"/>
                <w:szCs w:val="20"/>
              </w:rPr>
              <w:t xml:space="preserve">   O&amp;M</w:t>
            </w:r>
          </w:p>
        </w:tc>
        <w:tc>
          <w:tcPr>
            <w:tcW w:w="1220" w:type="dxa"/>
            <w:tcBorders>
              <w:top w:val="nil"/>
              <w:left w:val="nil"/>
              <w:bottom w:val="nil"/>
              <w:right w:val="nil"/>
            </w:tcBorders>
            <w:shd w:val="clear" w:color="000000" w:fill="FFFFFF"/>
            <w:noWrap/>
            <w:vAlign w:val="bottom"/>
            <w:hideMark/>
          </w:tcPr>
          <w:p w14:paraId="58A06B18" w14:textId="77777777" w:rsidR="0062216C" w:rsidRPr="009F227C" w:rsidRDefault="0062216C" w:rsidP="004E4E2B">
            <w:pPr>
              <w:jc w:val="right"/>
              <w:rPr>
                <w:sz w:val="20"/>
                <w:szCs w:val="20"/>
              </w:rPr>
            </w:pPr>
            <w:r w:rsidRPr="009F227C">
              <w:rPr>
                <w:sz w:val="20"/>
                <w:szCs w:val="20"/>
              </w:rPr>
              <w:t>$14,655,194</w:t>
            </w:r>
          </w:p>
        </w:tc>
        <w:tc>
          <w:tcPr>
            <w:tcW w:w="1220" w:type="dxa"/>
            <w:tcBorders>
              <w:top w:val="nil"/>
              <w:left w:val="nil"/>
              <w:bottom w:val="nil"/>
              <w:right w:val="nil"/>
            </w:tcBorders>
            <w:shd w:val="clear" w:color="000000" w:fill="FFFFFF"/>
            <w:noWrap/>
            <w:vAlign w:val="bottom"/>
            <w:hideMark/>
          </w:tcPr>
          <w:p w14:paraId="1D39627E" w14:textId="77777777" w:rsidR="0062216C" w:rsidRPr="009F227C" w:rsidRDefault="0062216C" w:rsidP="004E4E2B">
            <w:pPr>
              <w:jc w:val="right"/>
              <w:rPr>
                <w:sz w:val="20"/>
                <w:szCs w:val="20"/>
              </w:rPr>
            </w:pPr>
            <w:r w:rsidRPr="009F227C">
              <w:rPr>
                <w:sz w:val="20"/>
                <w:szCs w:val="20"/>
              </w:rPr>
              <w:t>$970,541</w:t>
            </w:r>
          </w:p>
        </w:tc>
        <w:tc>
          <w:tcPr>
            <w:tcW w:w="1220" w:type="dxa"/>
            <w:tcBorders>
              <w:top w:val="nil"/>
              <w:left w:val="nil"/>
              <w:bottom w:val="nil"/>
              <w:right w:val="nil"/>
            </w:tcBorders>
            <w:shd w:val="clear" w:color="000000" w:fill="FFFFFF"/>
            <w:noWrap/>
            <w:vAlign w:val="bottom"/>
            <w:hideMark/>
          </w:tcPr>
          <w:p w14:paraId="3D844F65" w14:textId="77777777" w:rsidR="0062216C" w:rsidRPr="009F227C" w:rsidRDefault="0062216C" w:rsidP="004E4E2B">
            <w:pPr>
              <w:jc w:val="right"/>
              <w:rPr>
                <w:sz w:val="20"/>
                <w:szCs w:val="20"/>
              </w:rPr>
            </w:pPr>
            <w:r w:rsidRPr="009F227C">
              <w:rPr>
                <w:sz w:val="20"/>
                <w:szCs w:val="20"/>
              </w:rPr>
              <w:t>$15,625,735</w:t>
            </w:r>
          </w:p>
        </w:tc>
        <w:tc>
          <w:tcPr>
            <w:tcW w:w="1220" w:type="dxa"/>
            <w:tcBorders>
              <w:top w:val="nil"/>
              <w:left w:val="nil"/>
              <w:bottom w:val="nil"/>
              <w:right w:val="nil"/>
            </w:tcBorders>
            <w:shd w:val="clear" w:color="000000" w:fill="FFFFFF"/>
            <w:noWrap/>
            <w:vAlign w:val="bottom"/>
            <w:hideMark/>
          </w:tcPr>
          <w:p w14:paraId="17E6A472" w14:textId="77777777" w:rsidR="0062216C" w:rsidRPr="009F227C" w:rsidRDefault="0062216C" w:rsidP="004E4E2B">
            <w:pPr>
              <w:jc w:val="right"/>
              <w:rPr>
                <w:sz w:val="20"/>
                <w:szCs w:val="20"/>
              </w:rPr>
            </w:pPr>
            <w:r w:rsidRPr="009F227C">
              <w:rPr>
                <w:sz w:val="20"/>
                <w:szCs w:val="20"/>
              </w:rPr>
              <w:t>($853,779)</w:t>
            </w:r>
          </w:p>
        </w:tc>
        <w:tc>
          <w:tcPr>
            <w:tcW w:w="1220" w:type="dxa"/>
            <w:tcBorders>
              <w:top w:val="nil"/>
              <w:left w:val="nil"/>
              <w:bottom w:val="nil"/>
              <w:right w:val="nil"/>
            </w:tcBorders>
            <w:shd w:val="clear" w:color="000000" w:fill="FFFFFF"/>
            <w:noWrap/>
            <w:vAlign w:val="bottom"/>
            <w:hideMark/>
          </w:tcPr>
          <w:p w14:paraId="063F5939" w14:textId="77777777" w:rsidR="0062216C" w:rsidRPr="009F227C" w:rsidRDefault="0062216C" w:rsidP="004E4E2B">
            <w:pPr>
              <w:jc w:val="right"/>
              <w:rPr>
                <w:sz w:val="20"/>
                <w:szCs w:val="20"/>
              </w:rPr>
            </w:pPr>
            <w:r w:rsidRPr="009F227C">
              <w:rPr>
                <w:sz w:val="20"/>
                <w:szCs w:val="20"/>
              </w:rPr>
              <w:t>$14,771,956</w:t>
            </w:r>
          </w:p>
        </w:tc>
        <w:tc>
          <w:tcPr>
            <w:tcW w:w="1220" w:type="dxa"/>
            <w:tcBorders>
              <w:top w:val="nil"/>
              <w:left w:val="nil"/>
              <w:bottom w:val="nil"/>
              <w:right w:val="nil"/>
            </w:tcBorders>
            <w:shd w:val="clear" w:color="000000" w:fill="FFFFFF"/>
            <w:noWrap/>
            <w:vAlign w:val="bottom"/>
            <w:hideMark/>
          </w:tcPr>
          <w:p w14:paraId="474E8ED6"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BCA8B40" w14:textId="77777777" w:rsidR="0062216C" w:rsidRPr="009F227C" w:rsidRDefault="0062216C" w:rsidP="004E4E2B">
            <w:pPr>
              <w:jc w:val="right"/>
              <w:rPr>
                <w:sz w:val="20"/>
                <w:szCs w:val="20"/>
              </w:rPr>
            </w:pPr>
            <w:r w:rsidRPr="009F227C">
              <w:rPr>
                <w:sz w:val="20"/>
                <w:szCs w:val="20"/>
              </w:rPr>
              <w:t>$14,771,956</w:t>
            </w:r>
          </w:p>
        </w:tc>
      </w:tr>
      <w:tr w:rsidR="0062216C" w:rsidRPr="009F227C" w14:paraId="6B08B50F"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225A7C2"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59A195AA"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6F792F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2CD0EE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FC093B9"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9EFECB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458DE0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04B940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7E7BB62C" w14:textId="77777777" w:rsidR="0062216C" w:rsidRPr="009F227C" w:rsidRDefault="0062216C" w:rsidP="004E4E2B">
            <w:pPr>
              <w:rPr>
                <w:sz w:val="20"/>
                <w:szCs w:val="20"/>
              </w:rPr>
            </w:pPr>
            <w:r w:rsidRPr="009F227C">
              <w:rPr>
                <w:sz w:val="20"/>
                <w:szCs w:val="20"/>
              </w:rPr>
              <w:t> </w:t>
            </w:r>
          </w:p>
        </w:tc>
      </w:tr>
      <w:tr w:rsidR="0062216C" w:rsidRPr="009F227C" w14:paraId="20075D82"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817030D" w14:textId="77777777" w:rsidR="0062216C" w:rsidRPr="009F227C" w:rsidRDefault="0062216C" w:rsidP="004E4E2B">
            <w:pPr>
              <w:jc w:val="center"/>
              <w:rPr>
                <w:sz w:val="20"/>
                <w:szCs w:val="20"/>
              </w:rPr>
            </w:pPr>
            <w:r w:rsidRPr="009F227C">
              <w:rPr>
                <w:sz w:val="20"/>
                <w:szCs w:val="20"/>
              </w:rPr>
              <w:t>3</w:t>
            </w:r>
          </w:p>
        </w:tc>
        <w:tc>
          <w:tcPr>
            <w:tcW w:w="2460" w:type="dxa"/>
            <w:tcBorders>
              <w:top w:val="nil"/>
              <w:left w:val="nil"/>
              <w:bottom w:val="nil"/>
              <w:right w:val="nil"/>
            </w:tcBorders>
            <w:shd w:val="clear" w:color="000000" w:fill="FFFFFF"/>
            <w:noWrap/>
            <w:vAlign w:val="bottom"/>
            <w:hideMark/>
          </w:tcPr>
          <w:p w14:paraId="35DCD447" w14:textId="77777777" w:rsidR="0062216C" w:rsidRPr="009F227C" w:rsidRDefault="0062216C" w:rsidP="004E4E2B">
            <w:pPr>
              <w:rPr>
                <w:sz w:val="20"/>
                <w:szCs w:val="20"/>
              </w:rPr>
            </w:pPr>
            <w:r w:rsidRPr="009F227C">
              <w:rPr>
                <w:sz w:val="20"/>
                <w:szCs w:val="20"/>
              </w:rPr>
              <w:t xml:space="preserve">    Depreciation (Net)</w:t>
            </w:r>
          </w:p>
        </w:tc>
        <w:tc>
          <w:tcPr>
            <w:tcW w:w="1220" w:type="dxa"/>
            <w:tcBorders>
              <w:top w:val="nil"/>
              <w:left w:val="nil"/>
              <w:bottom w:val="nil"/>
              <w:right w:val="nil"/>
            </w:tcBorders>
            <w:shd w:val="clear" w:color="000000" w:fill="FFFFFF"/>
            <w:noWrap/>
            <w:vAlign w:val="bottom"/>
            <w:hideMark/>
          </w:tcPr>
          <w:p w14:paraId="73C8775D" w14:textId="77777777" w:rsidR="0062216C" w:rsidRPr="009F227C" w:rsidRDefault="0062216C" w:rsidP="004E4E2B">
            <w:pPr>
              <w:jc w:val="right"/>
              <w:rPr>
                <w:sz w:val="20"/>
                <w:szCs w:val="20"/>
              </w:rPr>
            </w:pPr>
            <w:r w:rsidRPr="009F227C">
              <w:rPr>
                <w:sz w:val="20"/>
                <w:szCs w:val="20"/>
              </w:rPr>
              <w:t>5,374,706</w:t>
            </w:r>
          </w:p>
        </w:tc>
        <w:tc>
          <w:tcPr>
            <w:tcW w:w="1220" w:type="dxa"/>
            <w:tcBorders>
              <w:top w:val="nil"/>
              <w:left w:val="nil"/>
              <w:bottom w:val="nil"/>
              <w:right w:val="nil"/>
            </w:tcBorders>
            <w:shd w:val="clear" w:color="000000" w:fill="FFFFFF"/>
            <w:noWrap/>
            <w:vAlign w:val="bottom"/>
            <w:hideMark/>
          </w:tcPr>
          <w:p w14:paraId="6C98273D" w14:textId="77777777" w:rsidR="0062216C" w:rsidRPr="009F227C" w:rsidRDefault="0062216C" w:rsidP="004E4E2B">
            <w:pPr>
              <w:jc w:val="right"/>
              <w:rPr>
                <w:sz w:val="20"/>
                <w:szCs w:val="20"/>
              </w:rPr>
            </w:pPr>
            <w:r w:rsidRPr="009F227C">
              <w:rPr>
                <w:sz w:val="20"/>
                <w:szCs w:val="20"/>
              </w:rPr>
              <w:t>874,090</w:t>
            </w:r>
          </w:p>
        </w:tc>
        <w:tc>
          <w:tcPr>
            <w:tcW w:w="1220" w:type="dxa"/>
            <w:tcBorders>
              <w:top w:val="nil"/>
              <w:left w:val="nil"/>
              <w:bottom w:val="nil"/>
              <w:right w:val="nil"/>
            </w:tcBorders>
            <w:shd w:val="clear" w:color="000000" w:fill="FFFFFF"/>
            <w:noWrap/>
            <w:vAlign w:val="bottom"/>
            <w:hideMark/>
          </w:tcPr>
          <w:p w14:paraId="24264420" w14:textId="77777777" w:rsidR="0062216C" w:rsidRPr="009F227C" w:rsidRDefault="0062216C" w:rsidP="004E4E2B">
            <w:pPr>
              <w:jc w:val="right"/>
              <w:rPr>
                <w:sz w:val="20"/>
                <w:szCs w:val="20"/>
              </w:rPr>
            </w:pPr>
            <w:r w:rsidRPr="009F227C">
              <w:rPr>
                <w:sz w:val="20"/>
                <w:szCs w:val="20"/>
              </w:rPr>
              <w:t>6,248,796</w:t>
            </w:r>
          </w:p>
        </w:tc>
        <w:tc>
          <w:tcPr>
            <w:tcW w:w="1220" w:type="dxa"/>
            <w:tcBorders>
              <w:top w:val="nil"/>
              <w:left w:val="nil"/>
              <w:bottom w:val="nil"/>
              <w:right w:val="nil"/>
            </w:tcBorders>
            <w:shd w:val="clear" w:color="000000" w:fill="FFFFFF"/>
            <w:noWrap/>
            <w:vAlign w:val="bottom"/>
            <w:hideMark/>
          </w:tcPr>
          <w:p w14:paraId="6B1047EE" w14:textId="77777777" w:rsidR="0062216C" w:rsidRPr="009F227C" w:rsidRDefault="0062216C" w:rsidP="004E4E2B">
            <w:pPr>
              <w:jc w:val="right"/>
              <w:rPr>
                <w:sz w:val="20"/>
                <w:szCs w:val="20"/>
              </w:rPr>
            </w:pPr>
            <w:r w:rsidRPr="009F227C">
              <w:rPr>
                <w:sz w:val="20"/>
                <w:szCs w:val="20"/>
              </w:rPr>
              <w:t>(12,020)</w:t>
            </w:r>
          </w:p>
        </w:tc>
        <w:tc>
          <w:tcPr>
            <w:tcW w:w="1220" w:type="dxa"/>
            <w:tcBorders>
              <w:top w:val="nil"/>
              <w:left w:val="nil"/>
              <w:bottom w:val="nil"/>
              <w:right w:val="nil"/>
            </w:tcBorders>
            <w:shd w:val="clear" w:color="000000" w:fill="FFFFFF"/>
            <w:noWrap/>
            <w:vAlign w:val="bottom"/>
            <w:hideMark/>
          </w:tcPr>
          <w:p w14:paraId="6AA45A2A" w14:textId="77777777" w:rsidR="0062216C" w:rsidRPr="009F227C" w:rsidRDefault="0062216C" w:rsidP="004E4E2B">
            <w:pPr>
              <w:jc w:val="right"/>
              <w:rPr>
                <w:sz w:val="20"/>
                <w:szCs w:val="20"/>
              </w:rPr>
            </w:pPr>
            <w:r w:rsidRPr="009F227C">
              <w:rPr>
                <w:sz w:val="20"/>
                <w:szCs w:val="20"/>
              </w:rPr>
              <w:t>6,236,776</w:t>
            </w:r>
          </w:p>
        </w:tc>
        <w:tc>
          <w:tcPr>
            <w:tcW w:w="1220" w:type="dxa"/>
            <w:tcBorders>
              <w:top w:val="nil"/>
              <w:left w:val="nil"/>
              <w:bottom w:val="nil"/>
              <w:right w:val="nil"/>
            </w:tcBorders>
            <w:shd w:val="clear" w:color="000000" w:fill="FFFFFF"/>
            <w:noWrap/>
            <w:vAlign w:val="bottom"/>
            <w:hideMark/>
          </w:tcPr>
          <w:p w14:paraId="3E23DBE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00B7A37B" w14:textId="77777777" w:rsidR="0062216C" w:rsidRPr="009F227C" w:rsidRDefault="0062216C" w:rsidP="004E4E2B">
            <w:pPr>
              <w:jc w:val="right"/>
              <w:rPr>
                <w:sz w:val="20"/>
                <w:szCs w:val="20"/>
              </w:rPr>
            </w:pPr>
            <w:r w:rsidRPr="009F227C">
              <w:rPr>
                <w:sz w:val="20"/>
                <w:szCs w:val="20"/>
              </w:rPr>
              <w:t>6,236,776</w:t>
            </w:r>
          </w:p>
        </w:tc>
      </w:tr>
      <w:tr w:rsidR="0062216C" w:rsidRPr="009F227C" w14:paraId="1B7E9271"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559B0411"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36F7DC3A"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DC86959"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C7E51B9"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512109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113E17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2BCDC2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255D8A6"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265190B" w14:textId="77777777" w:rsidR="0062216C" w:rsidRPr="009F227C" w:rsidRDefault="0062216C" w:rsidP="004E4E2B">
            <w:pPr>
              <w:rPr>
                <w:sz w:val="20"/>
                <w:szCs w:val="20"/>
              </w:rPr>
            </w:pPr>
            <w:r w:rsidRPr="009F227C">
              <w:rPr>
                <w:sz w:val="20"/>
                <w:szCs w:val="20"/>
              </w:rPr>
              <w:t> </w:t>
            </w:r>
          </w:p>
        </w:tc>
      </w:tr>
      <w:tr w:rsidR="0062216C" w:rsidRPr="009F227C" w14:paraId="3D7D3849"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1C4AB8D" w14:textId="77777777" w:rsidR="0062216C" w:rsidRPr="009F227C" w:rsidRDefault="0062216C" w:rsidP="004E4E2B">
            <w:pPr>
              <w:jc w:val="center"/>
              <w:rPr>
                <w:sz w:val="20"/>
                <w:szCs w:val="20"/>
              </w:rPr>
            </w:pPr>
            <w:r w:rsidRPr="009F227C">
              <w:rPr>
                <w:sz w:val="20"/>
                <w:szCs w:val="20"/>
              </w:rPr>
              <w:t>4</w:t>
            </w:r>
          </w:p>
        </w:tc>
        <w:tc>
          <w:tcPr>
            <w:tcW w:w="2460" w:type="dxa"/>
            <w:tcBorders>
              <w:top w:val="nil"/>
              <w:left w:val="nil"/>
              <w:bottom w:val="nil"/>
              <w:right w:val="nil"/>
            </w:tcBorders>
            <w:shd w:val="clear" w:color="000000" w:fill="FFFFFF"/>
            <w:noWrap/>
            <w:vAlign w:val="bottom"/>
            <w:hideMark/>
          </w:tcPr>
          <w:p w14:paraId="50F62A65" w14:textId="77777777" w:rsidR="0062216C" w:rsidRPr="009F227C" w:rsidRDefault="0062216C" w:rsidP="004E4E2B">
            <w:pPr>
              <w:rPr>
                <w:sz w:val="20"/>
                <w:szCs w:val="20"/>
              </w:rPr>
            </w:pPr>
            <w:r w:rsidRPr="009F227C">
              <w:rPr>
                <w:sz w:val="20"/>
                <w:szCs w:val="20"/>
              </w:rPr>
              <w:t xml:space="preserve">    Amortization</w:t>
            </w:r>
          </w:p>
        </w:tc>
        <w:tc>
          <w:tcPr>
            <w:tcW w:w="1220" w:type="dxa"/>
            <w:tcBorders>
              <w:top w:val="nil"/>
              <w:left w:val="nil"/>
              <w:bottom w:val="nil"/>
              <w:right w:val="nil"/>
            </w:tcBorders>
            <w:shd w:val="clear" w:color="000000" w:fill="FFFFFF"/>
            <w:noWrap/>
            <w:vAlign w:val="bottom"/>
            <w:hideMark/>
          </w:tcPr>
          <w:p w14:paraId="0EC54D4B" w14:textId="77777777" w:rsidR="0062216C" w:rsidRPr="009F227C" w:rsidRDefault="0062216C" w:rsidP="004E4E2B">
            <w:pPr>
              <w:jc w:val="right"/>
              <w:rPr>
                <w:sz w:val="20"/>
                <w:szCs w:val="20"/>
              </w:rPr>
            </w:pPr>
            <w:r w:rsidRPr="009F227C">
              <w:rPr>
                <w:sz w:val="20"/>
                <w:szCs w:val="20"/>
              </w:rPr>
              <w:t>0</w:t>
            </w:r>
          </w:p>
        </w:tc>
        <w:tc>
          <w:tcPr>
            <w:tcW w:w="1220" w:type="dxa"/>
            <w:tcBorders>
              <w:top w:val="nil"/>
              <w:left w:val="nil"/>
              <w:bottom w:val="nil"/>
              <w:right w:val="nil"/>
            </w:tcBorders>
            <w:shd w:val="clear" w:color="000000" w:fill="FFFFFF"/>
            <w:noWrap/>
            <w:vAlign w:val="bottom"/>
            <w:hideMark/>
          </w:tcPr>
          <w:p w14:paraId="4232FF9A" w14:textId="77777777" w:rsidR="0062216C" w:rsidRPr="009F227C" w:rsidRDefault="0062216C" w:rsidP="004E4E2B">
            <w:pPr>
              <w:jc w:val="right"/>
              <w:rPr>
                <w:sz w:val="20"/>
                <w:szCs w:val="20"/>
              </w:rPr>
            </w:pPr>
            <w:r w:rsidRPr="009F227C">
              <w:rPr>
                <w:sz w:val="20"/>
                <w:szCs w:val="20"/>
              </w:rPr>
              <w:t>223,805</w:t>
            </w:r>
          </w:p>
        </w:tc>
        <w:tc>
          <w:tcPr>
            <w:tcW w:w="1220" w:type="dxa"/>
            <w:tcBorders>
              <w:top w:val="nil"/>
              <w:left w:val="nil"/>
              <w:bottom w:val="nil"/>
              <w:right w:val="nil"/>
            </w:tcBorders>
            <w:shd w:val="clear" w:color="000000" w:fill="FFFFFF"/>
            <w:noWrap/>
            <w:vAlign w:val="bottom"/>
            <w:hideMark/>
          </w:tcPr>
          <w:p w14:paraId="39848A1E" w14:textId="77777777" w:rsidR="0062216C" w:rsidRPr="009F227C" w:rsidRDefault="0062216C" w:rsidP="004E4E2B">
            <w:pPr>
              <w:jc w:val="right"/>
              <w:rPr>
                <w:sz w:val="20"/>
                <w:szCs w:val="20"/>
              </w:rPr>
            </w:pPr>
            <w:r w:rsidRPr="009F227C">
              <w:rPr>
                <w:sz w:val="20"/>
                <w:szCs w:val="20"/>
              </w:rPr>
              <w:t>223,805</w:t>
            </w:r>
          </w:p>
        </w:tc>
        <w:tc>
          <w:tcPr>
            <w:tcW w:w="1220" w:type="dxa"/>
            <w:tcBorders>
              <w:top w:val="nil"/>
              <w:left w:val="nil"/>
              <w:bottom w:val="nil"/>
              <w:right w:val="nil"/>
            </w:tcBorders>
            <w:shd w:val="clear" w:color="000000" w:fill="FFFFFF"/>
            <w:noWrap/>
            <w:vAlign w:val="bottom"/>
            <w:hideMark/>
          </w:tcPr>
          <w:p w14:paraId="2CB36C34" w14:textId="77777777" w:rsidR="0062216C" w:rsidRPr="009F227C" w:rsidRDefault="0062216C" w:rsidP="004E4E2B">
            <w:pPr>
              <w:jc w:val="right"/>
              <w:rPr>
                <w:sz w:val="20"/>
                <w:szCs w:val="20"/>
              </w:rPr>
            </w:pPr>
            <w:r w:rsidRPr="009F227C">
              <w:rPr>
                <w:sz w:val="20"/>
                <w:szCs w:val="20"/>
              </w:rPr>
              <w:t>0</w:t>
            </w:r>
          </w:p>
        </w:tc>
        <w:tc>
          <w:tcPr>
            <w:tcW w:w="1220" w:type="dxa"/>
            <w:tcBorders>
              <w:top w:val="nil"/>
              <w:left w:val="nil"/>
              <w:bottom w:val="nil"/>
              <w:right w:val="nil"/>
            </w:tcBorders>
            <w:shd w:val="clear" w:color="000000" w:fill="FFFFFF"/>
            <w:noWrap/>
            <w:vAlign w:val="bottom"/>
            <w:hideMark/>
          </w:tcPr>
          <w:p w14:paraId="7A4ACF6B" w14:textId="77777777" w:rsidR="0062216C" w:rsidRPr="009F227C" w:rsidRDefault="0062216C" w:rsidP="004E4E2B">
            <w:pPr>
              <w:jc w:val="right"/>
              <w:rPr>
                <w:sz w:val="20"/>
                <w:szCs w:val="20"/>
              </w:rPr>
            </w:pPr>
            <w:r w:rsidRPr="009F227C">
              <w:rPr>
                <w:sz w:val="20"/>
                <w:szCs w:val="20"/>
              </w:rPr>
              <w:t>223,805</w:t>
            </w:r>
          </w:p>
        </w:tc>
        <w:tc>
          <w:tcPr>
            <w:tcW w:w="1220" w:type="dxa"/>
            <w:tcBorders>
              <w:top w:val="nil"/>
              <w:left w:val="nil"/>
              <w:bottom w:val="nil"/>
              <w:right w:val="nil"/>
            </w:tcBorders>
            <w:shd w:val="clear" w:color="000000" w:fill="FFFFFF"/>
            <w:noWrap/>
            <w:vAlign w:val="bottom"/>
            <w:hideMark/>
          </w:tcPr>
          <w:p w14:paraId="2304357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73848207" w14:textId="77777777" w:rsidR="0062216C" w:rsidRPr="009F227C" w:rsidRDefault="0062216C" w:rsidP="004E4E2B">
            <w:pPr>
              <w:jc w:val="right"/>
              <w:rPr>
                <w:sz w:val="20"/>
                <w:szCs w:val="20"/>
              </w:rPr>
            </w:pPr>
            <w:r w:rsidRPr="009F227C">
              <w:rPr>
                <w:sz w:val="20"/>
                <w:szCs w:val="20"/>
              </w:rPr>
              <w:t>223,805</w:t>
            </w:r>
          </w:p>
        </w:tc>
      </w:tr>
      <w:tr w:rsidR="0062216C" w:rsidRPr="009F227C" w14:paraId="3EAADB19"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7E5182C"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7ADD06A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C5631F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1C82BE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748D57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03332C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7305E6D"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5A35CC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272B2EB0" w14:textId="77777777" w:rsidR="0062216C" w:rsidRPr="009F227C" w:rsidRDefault="0062216C" w:rsidP="004E4E2B">
            <w:pPr>
              <w:rPr>
                <w:sz w:val="20"/>
                <w:szCs w:val="20"/>
              </w:rPr>
            </w:pPr>
            <w:r w:rsidRPr="009F227C">
              <w:rPr>
                <w:sz w:val="20"/>
                <w:szCs w:val="20"/>
              </w:rPr>
              <w:t> </w:t>
            </w:r>
          </w:p>
        </w:tc>
      </w:tr>
      <w:tr w:rsidR="0062216C" w:rsidRPr="009F227C" w14:paraId="2AE72197"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3BA41AA9" w14:textId="77777777" w:rsidR="0062216C" w:rsidRPr="009F227C" w:rsidRDefault="0062216C" w:rsidP="004E4E2B">
            <w:pPr>
              <w:jc w:val="center"/>
              <w:rPr>
                <w:sz w:val="20"/>
                <w:szCs w:val="20"/>
              </w:rPr>
            </w:pPr>
            <w:r w:rsidRPr="009F227C">
              <w:rPr>
                <w:sz w:val="20"/>
                <w:szCs w:val="20"/>
              </w:rPr>
              <w:t>5</w:t>
            </w:r>
          </w:p>
        </w:tc>
        <w:tc>
          <w:tcPr>
            <w:tcW w:w="2460" w:type="dxa"/>
            <w:tcBorders>
              <w:top w:val="nil"/>
              <w:left w:val="nil"/>
              <w:bottom w:val="nil"/>
              <w:right w:val="nil"/>
            </w:tcBorders>
            <w:shd w:val="clear" w:color="000000" w:fill="FFFFFF"/>
            <w:noWrap/>
            <w:vAlign w:val="bottom"/>
            <w:hideMark/>
          </w:tcPr>
          <w:p w14:paraId="219F914D" w14:textId="77777777" w:rsidR="0062216C" w:rsidRPr="009F227C" w:rsidRDefault="0062216C" w:rsidP="004E4E2B">
            <w:pPr>
              <w:rPr>
                <w:sz w:val="20"/>
                <w:szCs w:val="20"/>
              </w:rPr>
            </w:pPr>
            <w:r w:rsidRPr="009F227C">
              <w:rPr>
                <w:sz w:val="20"/>
                <w:szCs w:val="20"/>
              </w:rPr>
              <w:t xml:space="preserve">   TOTI</w:t>
            </w:r>
          </w:p>
        </w:tc>
        <w:tc>
          <w:tcPr>
            <w:tcW w:w="1220" w:type="dxa"/>
            <w:tcBorders>
              <w:top w:val="nil"/>
              <w:left w:val="nil"/>
              <w:bottom w:val="nil"/>
              <w:right w:val="nil"/>
            </w:tcBorders>
            <w:shd w:val="clear" w:color="000000" w:fill="FFFFFF"/>
            <w:noWrap/>
            <w:vAlign w:val="bottom"/>
            <w:hideMark/>
          </w:tcPr>
          <w:p w14:paraId="0195EA87" w14:textId="77777777" w:rsidR="0062216C" w:rsidRPr="009F227C" w:rsidRDefault="0062216C" w:rsidP="004E4E2B">
            <w:pPr>
              <w:jc w:val="right"/>
              <w:rPr>
                <w:sz w:val="20"/>
                <w:szCs w:val="20"/>
              </w:rPr>
            </w:pPr>
            <w:r w:rsidRPr="009F227C">
              <w:rPr>
                <w:sz w:val="20"/>
                <w:szCs w:val="20"/>
              </w:rPr>
              <w:t>2,218,669</w:t>
            </w:r>
          </w:p>
        </w:tc>
        <w:tc>
          <w:tcPr>
            <w:tcW w:w="1220" w:type="dxa"/>
            <w:tcBorders>
              <w:top w:val="nil"/>
              <w:left w:val="nil"/>
              <w:bottom w:val="nil"/>
              <w:right w:val="nil"/>
            </w:tcBorders>
            <w:shd w:val="clear" w:color="000000" w:fill="FFFFFF"/>
            <w:noWrap/>
            <w:vAlign w:val="bottom"/>
            <w:hideMark/>
          </w:tcPr>
          <w:p w14:paraId="6F52EF51" w14:textId="77777777" w:rsidR="0062216C" w:rsidRPr="009F227C" w:rsidRDefault="0062216C" w:rsidP="004E4E2B">
            <w:pPr>
              <w:jc w:val="right"/>
              <w:rPr>
                <w:sz w:val="20"/>
                <w:szCs w:val="20"/>
              </w:rPr>
            </w:pPr>
            <w:r w:rsidRPr="009F227C">
              <w:rPr>
                <w:sz w:val="20"/>
                <w:szCs w:val="20"/>
              </w:rPr>
              <w:t>511,247</w:t>
            </w:r>
          </w:p>
        </w:tc>
        <w:tc>
          <w:tcPr>
            <w:tcW w:w="1220" w:type="dxa"/>
            <w:tcBorders>
              <w:top w:val="nil"/>
              <w:left w:val="nil"/>
              <w:bottom w:val="nil"/>
              <w:right w:val="nil"/>
            </w:tcBorders>
            <w:shd w:val="clear" w:color="000000" w:fill="FFFFFF"/>
            <w:noWrap/>
            <w:vAlign w:val="bottom"/>
            <w:hideMark/>
          </w:tcPr>
          <w:p w14:paraId="5BB3F20F" w14:textId="77777777" w:rsidR="0062216C" w:rsidRPr="009F227C" w:rsidRDefault="0062216C" w:rsidP="004E4E2B">
            <w:pPr>
              <w:jc w:val="right"/>
              <w:rPr>
                <w:sz w:val="20"/>
                <w:szCs w:val="20"/>
              </w:rPr>
            </w:pPr>
            <w:r w:rsidRPr="009F227C">
              <w:rPr>
                <w:sz w:val="20"/>
                <w:szCs w:val="20"/>
              </w:rPr>
              <w:t>2,729,916</w:t>
            </w:r>
          </w:p>
        </w:tc>
        <w:tc>
          <w:tcPr>
            <w:tcW w:w="1220" w:type="dxa"/>
            <w:tcBorders>
              <w:top w:val="nil"/>
              <w:left w:val="nil"/>
              <w:bottom w:val="nil"/>
              <w:right w:val="nil"/>
            </w:tcBorders>
            <w:shd w:val="clear" w:color="000000" w:fill="FFFFFF"/>
            <w:noWrap/>
            <w:vAlign w:val="bottom"/>
            <w:hideMark/>
          </w:tcPr>
          <w:p w14:paraId="215A0397" w14:textId="77777777" w:rsidR="0062216C" w:rsidRPr="009F227C" w:rsidRDefault="0062216C" w:rsidP="004E4E2B">
            <w:pPr>
              <w:jc w:val="right"/>
              <w:rPr>
                <w:sz w:val="20"/>
                <w:szCs w:val="20"/>
              </w:rPr>
            </w:pPr>
            <w:r w:rsidRPr="009F227C">
              <w:rPr>
                <w:sz w:val="20"/>
                <w:szCs w:val="20"/>
              </w:rPr>
              <w:t>(193,229)</w:t>
            </w:r>
          </w:p>
        </w:tc>
        <w:tc>
          <w:tcPr>
            <w:tcW w:w="1220" w:type="dxa"/>
            <w:tcBorders>
              <w:top w:val="nil"/>
              <w:left w:val="nil"/>
              <w:bottom w:val="nil"/>
              <w:right w:val="nil"/>
            </w:tcBorders>
            <w:shd w:val="clear" w:color="000000" w:fill="FFFFFF"/>
            <w:noWrap/>
            <w:vAlign w:val="bottom"/>
            <w:hideMark/>
          </w:tcPr>
          <w:p w14:paraId="15487F0A" w14:textId="77777777" w:rsidR="0062216C" w:rsidRPr="009F227C" w:rsidRDefault="0062216C" w:rsidP="004E4E2B">
            <w:pPr>
              <w:jc w:val="right"/>
              <w:rPr>
                <w:sz w:val="20"/>
                <w:szCs w:val="20"/>
              </w:rPr>
            </w:pPr>
            <w:r w:rsidRPr="009F227C">
              <w:rPr>
                <w:sz w:val="20"/>
                <w:szCs w:val="20"/>
              </w:rPr>
              <w:t>2,536,687</w:t>
            </w:r>
          </w:p>
        </w:tc>
        <w:tc>
          <w:tcPr>
            <w:tcW w:w="1220" w:type="dxa"/>
            <w:tcBorders>
              <w:top w:val="nil"/>
              <w:left w:val="nil"/>
              <w:bottom w:val="nil"/>
              <w:right w:val="nil"/>
            </w:tcBorders>
            <w:shd w:val="clear" w:color="000000" w:fill="FFFFFF"/>
            <w:noWrap/>
            <w:vAlign w:val="bottom"/>
            <w:hideMark/>
          </w:tcPr>
          <w:p w14:paraId="193E6B8A" w14:textId="77777777" w:rsidR="0062216C" w:rsidRPr="009F227C" w:rsidRDefault="0062216C" w:rsidP="004E4E2B">
            <w:pPr>
              <w:jc w:val="right"/>
              <w:rPr>
                <w:sz w:val="20"/>
                <w:szCs w:val="20"/>
              </w:rPr>
            </w:pPr>
            <w:r w:rsidRPr="009F227C">
              <w:rPr>
                <w:sz w:val="20"/>
                <w:szCs w:val="20"/>
              </w:rPr>
              <w:t>211,654</w:t>
            </w:r>
          </w:p>
        </w:tc>
        <w:tc>
          <w:tcPr>
            <w:tcW w:w="1220" w:type="dxa"/>
            <w:tcBorders>
              <w:top w:val="nil"/>
              <w:left w:val="nil"/>
              <w:bottom w:val="nil"/>
              <w:right w:val="single" w:sz="4" w:space="0" w:color="auto"/>
            </w:tcBorders>
            <w:shd w:val="clear" w:color="000000" w:fill="FFFFFF"/>
            <w:noWrap/>
            <w:vAlign w:val="bottom"/>
            <w:hideMark/>
          </w:tcPr>
          <w:p w14:paraId="0AB05CDC" w14:textId="77777777" w:rsidR="0062216C" w:rsidRPr="009F227C" w:rsidRDefault="0062216C" w:rsidP="004E4E2B">
            <w:pPr>
              <w:jc w:val="right"/>
              <w:rPr>
                <w:sz w:val="20"/>
                <w:szCs w:val="20"/>
              </w:rPr>
            </w:pPr>
            <w:r w:rsidRPr="009F227C">
              <w:rPr>
                <w:sz w:val="20"/>
                <w:szCs w:val="20"/>
              </w:rPr>
              <w:t>2,748,341</w:t>
            </w:r>
          </w:p>
        </w:tc>
      </w:tr>
      <w:tr w:rsidR="0062216C" w:rsidRPr="009F227C" w14:paraId="6965FACC"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0006424"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2A0E7B1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894FC2C"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69AEAF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033F9E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507621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74B159F"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6896BFA"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310008FF" w14:textId="77777777" w:rsidR="0062216C" w:rsidRPr="009F227C" w:rsidRDefault="0062216C" w:rsidP="004E4E2B">
            <w:pPr>
              <w:rPr>
                <w:sz w:val="20"/>
                <w:szCs w:val="20"/>
              </w:rPr>
            </w:pPr>
            <w:r w:rsidRPr="009F227C">
              <w:rPr>
                <w:sz w:val="20"/>
                <w:szCs w:val="20"/>
              </w:rPr>
              <w:t> </w:t>
            </w:r>
          </w:p>
        </w:tc>
      </w:tr>
      <w:tr w:rsidR="0062216C" w:rsidRPr="009F227C" w14:paraId="1853D76D"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8534DFD" w14:textId="77777777" w:rsidR="0062216C" w:rsidRPr="009F227C" w:rsidRDefault="0062216C" w:rsidP="004E4E2B">
            <w:pPr>
              <w:jc w:val="center"/>
              <w:rPr>
                <w:sz w:val="20"/>
                <w:szCs w:val="20"/>
              </w:rPr>
            </w:pPr>
            <w:r w:rsidRPr="009F227C">
              <w:rPr>
                <w:sz w:val="20"/>
                <w:szCs w:val="20"/>
              </w:rPr>
              <w:t>6</w:t>
            </w:r>
          </w:p>
        </w:tc>
        <w:tc>
          <w:tcPr>
            <w:tcW w:w="2460" w:type="dxa"/>
            <w:tcBorders>
              <w:top w:val="nil"/>
              <w:left w:val="nil"/>
              <w:bottom w:val="nil"/>
              <w:right w:val="nil"/>
            </w:tcBorders>
            <w:shd w:val="clear" w:color="000000" w:fill="FFFFFF"/>
            <w:noWrap/>
            <w:vAlign w:val="bottom"/>
            <w:hideMark/>
          </w:tcPr>
          <w:p w14:paraId="7EE38945" w14:textId="77777777" w:rsidR="0062216C" w:rsidRPr="009F227C" w:rsidRDefault="0062216C" w:rsidP="004E4E2B">
            <w:pPr>
              <w:rPr>
                <w:sz w:val="20"/>
                <w:szCs w:val="20"/>
              </w:rPr>
            </w:pPr>
            <w:r w:rsidRPr="009F227C">
              <w:rPr>
                <w:sz w:val="20"/>
                <w:szCs w:val="20"/>
              </w:rPr>
              <w:t xml:space="preserve">    Income Taxes</w:t>
            </w:r>
          </w:p>
        </w:tc>
        <w:tc>
          <w:tcPr>
            <w:tcW w:w="1220" w:type="dxa"/>
            <w:tcBorders>
              <w:top w:val="nil"/>
              <w:left w:val="nil"/>
              <w:bottom w:val="nil"/>
              <w:right w:val="nil"/>
            </w:tcBorders>
            <w:shd w:val="clear" w:color="000000" w:fill="FFFFFF"/>
            <w:noWrap/>
            <w:vAlign w:val="bottom"/>
            <w:hideMark/>
          </w:tcPr>
          <w:p w14:paraId="7A161C44" w14:textId="77777777" w:rsidR="0062216C" w:rsidRPr="009F227C" w:rsidRDefault="0062216C" w:rsidP="004E4E2B">
            <w:pPr>
              <w:jc w:val="right"/>
              <w:rPr>
                <w:sz w:val="20"/>
                <w:szCs w:val="20"/>
                <w:u w:val="single"/>
              </w:rPr>
            </w:pPr>
            <w:r w:rsidRPr="009F227C">
              <w:rPr>
                <w:sz w:val="20"/>
                <w:szCs w:val="20"/>
                <w:u w:val="single"/>
              </w:rPr>
              <w:t>1,034,613</w:t>
            </w:r>
          </w:p>
        </w:tc>
        <w:tc>
          <w:tcPr>
            <w:tcW w:w="1220" w:type="dxa"/>
            <w:tcBorders>
              <w:top w:val="nil"/>
              <w:left w:val="nil"/>
              <w:bottom w:val="nil"/>
              <w:right w:val="nil"/>
            </w:tcBorders>
            <w:shd w:val="clear" w:color="000000" w:fill="FFFFFF"/>
            <w:noWrap/>
            <w:vAlign w:val="bottom"/>
            <w:hideMark/>
          </w:tcPr>
          <w:p w14:paraId="3D4754D0" w14:textId="77777777" w:rsidR="0062216C" w:rsidRPr="009F227C" w:rsidRDefault="0062216C" w:rsidP="004E4E2B">
            <w:pPr>
              <w:jc w:val="right"/>
              <w:rPr>
                <w:sz w:val="20"/>
                <w:szCs w:val="20"/>
                <w:u w:val="single"/>
              </w:rPr>
            </w:pPr>
            <w:r w:rsidRPr="009F227C">
              <w:rPr>
                <w:sz w:val="20"/>
                <w:szCs w:val="20"/>
                <w:u w:val="single"/>
              </w:rPr>
              <w:t>861,953</w:t>
            </w:r>
          </w:p>
        </w:tc>
        <w:tc>
          <w:tcPr>
            <w:tcW w:w="1220" w:type="dxa"/>
            <w:tcBorders>
              <w:top w:val="nil"/>
              <w:left w:val="nil"/>
              <w:bottom w:val="nil"/>
              <w:right w:val="nil"/>
            </w:tcBorders>
            <w:shd w:val="clear" w:color="000000" w:fill="FFFFFF"/>
            <w:noWrap/>
            <w:vAlign w:val="bottom"/>
            <w:hideMark/>
          </w:tcPr>
          <w:p w14:paraId="748D8FFE" w14:textId="77777777" w:rsidR="0062216C" w:rsidRPr="009F227C" w:rsidRDefault="0062216C" w:rsidP="004E4E2B">
            <w:pPr>
              <w:jc w:val="right"/>
              <w:rPr>
                <w:sz w:val="20"/>
                <w:szCs w:val="20"/>
                <w:u w:val="single"/>
              </w:rPr>
            </w:pPr>
            <w:r w:rsidRPr="009F227C">
              <w:rPr>
                <w:sz w:val="20"/>
                <w:szCs w:val="20"/>
                <w:u w:val="single"/>
              </w:rPr>
              <w:t>1,896,566</w:t>
            </w:r>
          </w:p>
        </w:tc>
        <w:tc>
          <w:tcPr>
            <w:tcW w:w="1220" w:type="dxa"/>
            <w:tcBorders>
              <w:top w:val="nil"/>
              <w:left w:val="nil"/>
              <w:bottom w:val="nil"/>
              <w:right w:val="nil"/>
            </w:tcBorders>
            <w:shd w:val="clear" w:color="000000" w:fill="FFFFFF"/>
            <w:noWrap/>
            <w:vAlign w:val="bottom"/>
            <w:hideMark/>
          </w:tcPr>
          <w:p w14:paraId="75D9FAB5" w14:textId="77777777" w:rsidR="0062216C" w:rsidRPr="009F227C" w:rsidRDefault="0062216C" w:rsidP="004E4E2B">
            <w:pPr>
              <w:jc w:val="right"/>
              <w:rPr>
                <w:sz w:val="20"/>
                <w:szCs w:val="20"/>
                <w:u w:val="single"/>
              </w:rPr>
            </w:pPr>
            <w:r w:rsidRPr="009F227C">
              <w:rPr>
                <w:sz w:val="20"/>
                <w:szCs w:val="20"/>
                <w:u w:val="single"/>
              </w:rPr>
              <w:t>(1,177,807)</w:t>
            </w:r>
          </w:p>
        </w:tc>
        <w:tc>
          <w:tcPr>
            <w:tcW w:w="1220" w:type="dxa"/>
            <w:tcBorders>
              <w:top w:val="nil"/>
              <w:left w:val="nil"/>
              <w:bottom w:val="nil"/>
              <w:right w:val="nil"/>
            </w:tcBorders>
            <w:shd w:val="clear" w:color="000000" w:fill="FFFFFF"/>
            <w:noWrap/>
            <w:vAlign w:val="bottom"/>
            <w:hideMark/>
          </w:tcPr>
          <w:p w14:paraId="4673E046" w14:textId="77777777" w:rsidR="0062216C" w:rsidRPr="009F227C" w:rsidRDefault="0062216C" w:rsidP="004E4E2B">
            <w:pPr>
              <w:jc w:val="right"/>
              <w:rPr>
                <w:sz w:val="20"/>
                <w:szCs w:val="20"/>
                <w:u w:val="single"/>
              </w:rPr>
            </w:pPr>
            <w:r w:rsidRPr="009F227C">
              <w:rPr>
                <w:sz w:val="20"/>
                <w:szCs w:val="20"/>
                <w:u w:val="single"/>
              </w:rPr>
              <w:t>718,759</w:t>
            </w:r>
          </w:p>
        </w:tc>
        <w:tc>
          <w:tcPr>
            <w:tcW w:w="1220" w:type="dxa"/>
            <w:tcBorders>
              <w:top w:val="nil"/>
              <w:left w:val="nil"/>
              <w:bottom w:val="nil"/>
              <w:right w:val="nil"/>
            </w:tcBorders>
            <w:shd w:val="clear" w:color="000000" w:fill="FFFFFF"/>
            <w:noWrap/>
            <w:vAlign w:val="bottom"/>
            <w:hideMark/>
          </w:tcPr>
          <w:p w14:paraId="666FB445" w14:textId="77777777" w:rsidR="0062216C" w:rsidRPr="009F227C" w:rsidRDefault="0062216C" w:rsidP="004E4E2B">
            <w:pPr>
              <w:jc w:val="right"/>
              <w:rPr>
                <w:sz w:val="20"/>
                <w:szCs w:val="20"/>
                <w:u w:val="single"/>
              </w:rPr>
            </w:pPr>
            <w:r w:rsidRPr="009F227C">
              <w:rPr>
                <w:sz w:val="20"/>
                <w:szCs w:val="20"/>
                <w:u w:val="single"/>
              </w:rPr>
              <w:t>1,138,438</w:t>
            </w:r>
          </w:p>
        </w:tc>
        <w:tc>
          <w:tcPr>
            <w:tcW w:w="1220" w:type="dxa"/>
            <w:tcBorders>
              <w:top w:val="nil"/>
              <w:left w:val="nil"/>
              <w:bottom w:val="nil"/>
              <w:right w:val="single" w:sz="4" w:space="0" w:color="auto"/>
            </w:tcBorders>
            <w:shd w:val="clear" w:color="000000" w:fill="FFFFFF"/>
            <w:noWrap/>
            <w:vAlign w:val="bottom"/>
            <w:hideMark/>
          </w:tcPr>
          <w:p w14:paraId="6663A8E9" w14:textId="77777777" w:rsidR="0062216C" w:rsidRPr="009F227C" w:rsidRDefault="0062216C" w:rsidP="004E4E2B">
            <w:pPr>
              <w:jc w:val="right"/>
              <w:rPr>
                <w:sz w:val="20"/>
                <w:szCs w:val="20"/>
                <w:u w:val="single"/>
              </w:rPr>
            </w:pPr>
            <w:r w:rsidRPr="009F227C">
              <w:rPr>
                <w:sz w:val="20"/>
                <w:szCs w:val="20"/>
                <w:u w:val="single"/>
              </w:rPr>
              <w:t>1,857,197</w:t>
            </w:r>
          </w:p>
        </w:tc>
      </w:tr>
      <w:tr w:rsidR="0062216C" w:rsidRPr="009F227C" w14:paraId="3DE6E6E0"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37C2FD6"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2E440A4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034AD7A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93EF7C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FB57C2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0686DE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14D4EA6"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DCF095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7AA598E1" w14:textId="77777777" w:rsidR="0062216C" w:rsidRPr="009F227C" w:rsidRDefault="0062216C" w:rsidP="004E4E2B">
            <w:pPr>
              <w:rPr>
                <w:sz w:val="20"/>
                <w:szCs w:val="20"/>
              </w:rPr>
            </w:pPr>
            <w:r w:rsidRPr="009F227C">
              <w:rPr>
                <w:sz w:val="20"/>
                <w:szCs w:val="20"/>
              </w:rPr>
              <w:t> </w:t>
            </w:r>
          </w:p>
        </w:tc>
      </w:tr>
      <w:tr w:rsidR="0062216C" w:rsidRPr="009F227C" w14:paraId="62EE68C8"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5E33F205" w14:textId="77777777" w:rsidR="0062216C" w:rsidRPr="009F227C" w:rsidRDefault="0062216C" w:rsidP="004E4E2B">
            <w:pPr>
              <w:jc w:val="center"/>
              <w:rPr>
                <w:sz w:val="20"/>
                <w:szCs w:val="20"/>
              </w:rPr>
            </w:pPr>
            <w:r w:rsidRPr="009F227C">
              <w:rPr>
                <w:sz w:val="20"/>
                <w:szCs w:val="20"/>
              </w:rPr>
              <w:t>7</w:t>
            </w:r>
          </w:p>
        </w:tc>
        <w:tc>
          <w:tcPr>
            <w:tcW w:w="2460" w:type="dxa"/>
            <w:tcBorders>
              <w:top w:val="nil"/>
              <w:left w:val="nil"/>
              <w:bottom w:val="nil"/>
              <w:right w:val="nil"/>
            </w:tcBorders>
            <w:shd w:val="clear" w:color="000000" w:fill="FFFFFF"/>
            <w:noWrap/>
            <w:vAlign w:val="bottom"/>
            <w:hideMark/>
          </w:tcPr>
          <w:p w14:paraId="09D89112" w14:textId="77777777" w:rsidR="0062216C" w:rsidRPr="009F227C" w:rsidRDefault="0062216C" w:rsidP="004E4E2B">
            <w:pPr>
              <w:rPr>
                <w:b/>
                <w:bCs/>
                <w:sz w:val="20"/>
                <w:szCs w:val="20"/>
              </w:rPr>
            </w:pPr>
            <w:r w:rsidRPr="009F227C">
              <w:rPr>
                <w:b/>
                <w:bCs/>
                <w:sz w:val="20"/>
                <w:szCs w:val="20"/>
              </w:rPr>
              <w:t>Total Operating Expense</w:t>
            </w:r>
          </w:p>
        </w:tc>
        <w:tc>
          <w:tcPr>
            <w:tcW w:w="1220" w:type="dxa"/>
            <w:tcBorders>
              <w:top w:val="nil"/>
              <w:left w:val="nil"/>
              <w:bottom w:val="nil"/>
              <w:right w:val="nil"/>
            </w:tcBorders>
            <w:shd w:val="clear" w:color="000000" w:fill="FFFFFF"/>
            <w:noWrap/>
            <w:vAlign w:val="bottom"/>
            <w:hideMark/>
          </w:tcPr>
          <w:p w14:paraId="54421E8E" w14:textId="77777777" w:rsidR="0062216C" w:rsidRPr="009F227C" w:rsidRDefault="0062216C" w:rsidP="004E4E2B">
            <w:pPr>
              <w:jc w:val="right"/>
              <w:rPr>
                <w:sz w:val="20"/>
                <w:szCs w:val="20"/>
                <w:u w:val="single"/>
              </w:rPr>
            </w:pPr>
            <w:r w:rsidRPr="009F227C">
              <w:rPr>
                <w:sz w:val="20"/>
                <w:szCs w:val="20"/>
                <w:u w:val="single"/>
              </w:rPr>
              <w:t>23,283,182</w:t>
            </w:r>
          </w:p>
        </w:tc>
        <w:tc>
          <w:tcPr>
            <w:tcW w:w="1220" w:type="dxa"/>
            <w:tcBorders>
              <w:top w:val="nil"/>
              <w:left w:val="nil"/>
              <w:bottom w:val="nil"/>
              <w:right w:val="nil"/>
            </w:tcBorders>
            <w:shd w:val="clear" w:color="000000" w:fill="FFFFFF"/>
            <w:noWrap/>
            <w:vAlign w:val="bottom"/>
            <w:hideMark/>
          </w:tcPr>
          <w:p w14:paraId="079AFE36" w14:textId="77777777" w:rsidR="0062216C" w:rsidRPr="009F227C" w:rsidRDefault="0062216C" w:rsidP="004E4E2B">
            <w:pPr>
              <w:jc w:val="right"/>
              <w:rPr>
                <w:sz w:val="20"/>
                <w:szCs w:val="20"/>
                <w:u w:val="single"/>
              </w:rPr>
            </w:pPr>
            <w:r w:rsidRPr="009F227C">
              <w:rPr>
                <w:sz w:val="20"/>
                <w:szCs w:val="20"/>
                <w:u w:val="single"/>
              </w:rPr>
              <w:t>3,441,636</w:t>
            </w:r>
          </w:p>
        </w:tc>
        <w:tc>
          <w:tcPr>
            <w:tcW w:w="1220" w:type="dxa"/>
            <w:tcBorders>
              <w:top w:val="nil"/>
              <w:left w:val="nil"/>
              <w:bottom w:val="nil"/>
              <w:right w:val="nil"/>
            </w:tcBorders>
            <w:shd w:val="clear" w:color="000000" w:fill="FFFFFF"/>
            <w:noWrap/>
            <w:vAlign w:val="bottom"/>
            <w:hideMark/>
          </w:tcPr>
          <w:p w14:paraId="6017222D" w14:textId="77777777" w:rsidR="0062216C" w:rsidRPr="009F227C" w:rsidRDefault="0062216C" w:rsidP="004E4E2B">
            <w:pPr>
              <w:jc w:val="right"/>
              <w:rPr>
                <w:sz w:val="20"/>
                <w:szCs w:val="20"/>
                <w:u w:val="single"/>
              </w:rPr>
            </w:pPr>
            <w:r w:rsidRPr="009F227C">
              <w:rPr>
                <w:sz w:val="20"/>
                <w:szCs w:val="20"/>
                <w:u w:val="single"/>
              </w:rPr>
              <w:t>26,724,818</w:t>
            </w:r>
          </w:p>
        </w:tc>
        <w:tc>
          <w:tcPr>
            <w:tcW w:w="1220" w:type="dxa"/>
            <w:tcBorders>
              <w:top w:val="nil"/>
              <w:left w:val="nil"/>
              <w:bottom w:val="nil"/>
              <w:right w:val="nil"/>
            </w:tcBorders>
            <w:shd w:val="clear" w:color="000000" w:fill="FFFFFF"/>
            <w:noWrap/>
            <w:vAlign w:val="bottom"/>
            <w:hideMark/>
          </w:tcPr>
          <w:p w14:paraId="7286F9E7" w14:textId="77777777" w:rsidR="0062216C" w:rsidRPr="009F227C" w:rsidRDefault="0062216C" w:rsidP="004E4E2B">
            <w:pPr>
              <w:jc w:val="right"/>
              <w:rPr>
                <w:sz w:val="20"/>
                <w:szCs w:val="20"/>
                <w:u w:val="single"/>
              </w:rPr>
            </w:pPr>
            <w:r w:rsidRPr="009F227C">
              <w:rPr>
                <w:sz w:val="20"/>
                <w:szCs w:val="20"/>
                <w:u w:val="single"/>
              </w:rPr>
              <w:t>(2,236,834)</w:t>
            </w:r>
          </w:p>
        </w:tc>
        <w:tc>
          <w:tcPr>
            <w:tcW w:w="1220" w:type="dxa"/>
            <w:tcBorders>
              <w:top w:val="nil"/>
              <w:left w:val="nil"/>
              <w:bottom w:val="nil"/>
              <w:right w:val="nil"/>
            </w:tcBorders>
            <w:shd w:val="clear" w:color="000000" w:fill="FFFFFF"/>
            <w:noWrap/>
            <w:vAlign w:val="bottom"/>
            <w:hideMark/>
          </w:tcPr>
          <w:p w14:paraId="3F2DFFCA" w14:textId="77777777" w:rsidR="0062216C" w:rsidRPr="009F227C" w:rsidRDefault="0062216C" w:rsidP="004E4E2B">
            <w:pPr>
              <w:jc w:val="right"/>
              <w:rPr>
                <w:sz w:val="20"/>
                <w:szCs w:val="20"/>
                <w:u w:val="single"/>
              </w:rPr>
            </w:pPr>
            <w:r w:rsidRPr="009F227C">
              <w:rPr>
                <w:sz w:val="20"/>
                <w:szCs w:val="20"/>
                <w:u w:val="single"/>
              </w:rPr>
              <w:t>24,487,984</w:t>
            </w:r>
          </w:p>
        </w:tc>
        <w:tc>
          <w:tcPr>
            <w:tcW w:w="1220" w:type="dxa"/>
            <w:tcBorders>
              <w:top w:val="nil"/>
              <w:left w:val="nil"/>
              <w:bottom w:val="nil"/>
              <w:right w:val="nil"/>
            </w:tcBorders>
            <w:shd w:val="clear" w:color="000000" w:fill="FFFFFF"/>
            <w:noWrap/>
            <w:vAlign w:val="bottom"/>
            <w:hideMark/>
          </w:tcPr>
          <w:p w14:paraId="62BABF5F" w14:textId="77777777" w:rsidR="0062216C" w:rsidRPr="009F227C" w:rsidRDefault="0062216C" w:rsidP="004E4E2B">
            <w:pPr>
              <w:jc w:val="right"/>
              <w:rPr>
                <w:sz w:val="20"/>
                <w:szCs w:val="20"/>
                <w:u w:val="single"/>
              </w:rPr>
            </w:pPr>
            <w:r w:rsidRPr="009F227C">
              <w:rPr>
                <w:sz w:val="20"/>
                <w:szCs w:val="20"/>
                <w:u w:val="single"/>
              </w:rPr>
              <w:t>1,350,092</w:t>
            </w:r>
          </w:p>
        </w:tc>
        <w:tc>
          <w:tcPr>
            <w:tcW w:w="1220" w:type="dxa"/>
            <w:tcBorders>
              <w:top w:val="nil"/>
              <w:left w:val="nil"/>
              <w:bottom w:val="nil"/>
              <w:right w:val="single" w:sz="4" w:space="0" w:color="auto"/>
            </w:tcBorders>
            <w:shd w:val="clear" w:color="000000" w:fill="FFFFFF"/>
            <w:noWrap/>
            <w:vAlign w:val="bottom"/>
            <w:hideMark/>
          </w:tcPr>
          <w:p w14:paraId="314C9B4B" w14:textId="77777777" w:rsidR="0062216C" w:rsidRPr="009F227C" w:rsidRDefault="0062216C" w:rsidP="004E4E2B">
            <w:pPr>
              <w:jc w:val="right"/>
              <w:rPr>
                <w:sz w:val="20"/>
                <w:szCs w:val="20"/>
                <w:u w:val="single"/>
              </w:rPr>
            </w:pPr>
            <w:r w:rsidRPr="009F227C">
              <w:rPr>
                <w:sz w:val="20"/>
                <w:szCs w:val="20"/>
                <w:u w:val="single"/>
              </w:rPr>
              <w:t>25,838,075</w:t>
            </w:r>
          </w:p>
        </w:tc>
      </w:tr>
      <w:tr w:rsidR="0062216C" w:rsidRPr="009F227C" w14:paraId="4EF0A6E5"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F36A701"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1EB1D63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773B16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C69A9D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CA471E6"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BB2362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ED47FD0"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9381BF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68959E8E" w14:textId="77777777" w:rsidR="0062216C" w:rsidRPr="009F227C" w:rsidRDefault="0062216C" w:rsidP="004E4E2B">
            <w:pPr>
              <w:rPr>
                <w:sz w:val="20"/>
                <w:szCs w:val="20"/>
              </w:rPr>
            </w:pPr>
            <w:r w:rsidRPr="009F227C">
              <w:rPr>
                <w:sz w:val="20"/>
                <w:szCs w:val="20"/>
              </w:rPr>
              <w:t> </w:t>
            </w:r>
          </w:p>
        </w:tc>
      </w:tr>
      <w:tr w:rsidR="0062216C" w:rsidRPr="009F227C" w14:paraId="04AF2ED2"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13F7BF5" w14:textId="77777777" w:rsidR="0062216C" w:rsidRPr="009F227C" w:rsidRDefault="0062216C" w:rsidP="004E4E2B">
            <w:pPr>
              <w:jc w:val="center"/>
              <w:rPr>
                <w:sz w:val="20"/>
                <w:szCs w:val="20"/>
              </w:rPr>
            </w:pPr>
            <w:r w:rsidRPr="009F227C">
              <w:rPr>
                <w:sz w:val="20"/>
                <w:szCs w:val="20"/>
              </w:rPr>
              <w:t>8</w:t>
            </w:r>
          </w:p>
        </w:tc>
        <w:tc>
          <w:tcPr>
            <w:tcW w:w="2460" w:type="dxa"/>
            <w:tcBorders>
              <w:top w:val="nil"/>
              <w:left w:val="nil"/>
              <w:bottom w:val="nil"/>
              <w:right w:val="nil"/>
            </w:tcBorders>
            <w:shd w:val="clear" w:color="000000" w:fill="FFFFFF"/>
            <w:noWrap/>
            <w:vAlign w:val="bottom"/>
            <w:hideMark/>
          </w:tcPr>
          <w:p w14:paraId="7B831488" w14:textId="77777777" w:rsidR="0062216C" w:rsidRPr="009F227C" w:rsidRDefault="0062216C" w:rsidP="004E4E2B">
            <w:pPr>
              <w:rPr>
                <w:b/>
                <w:bCs/>
                <w:sz w:val="20"/>
                <w:szCs w:val="20"/>
              </w:rPr>
            </w:pPr>
            <w:r w:rsidRPr="009F227C">
              <w:rPr>
                <w:b/>
                <w:bCs/>
                <w:sz w:val="20"/>
                <w:szCs w:val="20"/>
              </w:rPr>
              <w:t>Operating Income</w:t>
            </w:r>
          </w:p>
        </w:tc>
        <w:tc>
          <w:tcPr>
            <w:tcW w:w="1220" w:type="dxa"/>
            <w:tcBorders>
              <w:top w:val="nil"/>
              <w:left w:val="nil"/>
              <w:bottom w:val="nil"/>
              <w:right w:val="nil"/>
            </w:tcBorders>
            <w:shd w:val="clear" w:color="000000" w:fill="FFFFFF"/>
            <w:noWrap/>
            <w:vAlign w:val="bottom"/>
            <w:hideMark/>
          </w:tcPr>
          <w:p w14:paraId="6EB79DE4" w14:textId="77777777" w:rsidR="0062216C" w:rsidRPr="009F227C" w:rsidRDefault="0062216C" w:rsidP="004E4E2B">
            <w:pPr>
              <w:jc w:val="right"/>
              <w:rPr>
                <w:sz w:val="20"/>
                <w:szCs w:val="20"/>
                <w:u w:val="double"/>
              </w:rPr>
            </w:pPr>
            <w:r w:rsidRPr="009F227C">
              <w:rPr>
                <w:sz w:val="20"/>
                <w:szCs w:val="20"/>
                <w:u w:val="double"/>
              </w:rPr>
              <w:t>$4,993,408</w:t>
            </w:r>
          </w:p>
        </w:tc>
        <w:tc>
          <w:tcPr>
            <w:tcW w:w="1220" w:type="dxa"/>
            <w:tcBorders>
              <w:top w:val="nil"/>
              <w:left w:val="nil"/>
              <w:bottom w:val="nil"/>
              <w:right w:val="nil"/>
            </w:tcBorders>
            <w:shd w:val="clear" w:color="000000" w:fill="FFFFFF"/>
            <w:noWrap/>
            <w:vAlign w:val="bottom"/>
            <w:hideMark/>
          </w:tcPr>
          <w:p w14:paraId="15311C35" w14:textId="77777777" w:rsidR="0062216C" w:rsidRPr="009F227C" w:rsidRDefault="0062216C" w:rsidP="004E4E2B">
            <w:pPr>
              <w:jc w:val="right"/>
              <w:rPr>
                <w:sz w:val="20"/>
                <w:szCs w:val="20"/>
                <w:u w:val="double"/>
              </w:rPr>
            </w:pPr>
            <w:r w:rsidRPr="009F227C">
              <w:rPr>
                <w:sz w:val="20"/>
                <w:szCs w:val="20"/>
                <w:u w:val="double"/>
              </w:rPr>
              <w:t>$2,602,224</w:t>
            </w:r>
          </w:p>
        </w:tc>
        <w:tc>
          <w:tcPr>
            <w:tcW w:w="1220" w:type="dxa"/>
            <w:tcBorders>
              <w:top w:val="nil"/>
              <w:left w:val="nil"/>
              <w:bottom w:val="nil"/>
              <w:right w:val="nil"/>
            </w:tcBorders>
            <w:shd w:val="clear" w:color="000000" w:fill="FFFFFF"/>
            <w:noWrap/>
            <w:vAlign w:val="bottom"/>
            <w:hideMark/>
          </w:tcPr>
          <w:p w14:paraId="1813D1C8" w14:textId="77777777" w:rsidR="0062216C" w:rsidRPr="009F227C" w:rsidRDefault="0062216C" w:rsidP="004E4E2B">
            <w:pPr>
              <w:jc w:val="right"/>
              <w:rPr>
                <w:sz w:val="20"/>
                <w:szCs w:val="20"/>
                <w:u w:val="double"/>
              </w:rPr>
            </w:pPr>
            <w:r w:rsidRPr="009F227C">
              <w:rPr>
                <w:sz w:val="20"/>
                <w:szCs w:val="20"/>
                <w:u w:val="double"/>
              </w:rPr>
              <w:t>$7,595,632</w:t>
            </w:r>
          </w:p>
        </w:tc>
        <w:tc>
          <w:tcPr>
            <w:tcW w:w="1220" w:type="dxa"/>
            <w:tcBorders>
              <w:top w:val="nil"/>
              <w:left w:val="nil"/>
              <w:bottom w:val="nil"/>
              <w:right w:val="nil"/>
            </w:tcBorders>
            <w:shd w:val="clear" w:color="000000" w:fill="FFFFFF"/>
            <w:noWrap/>
            <w:vAlign w:val="bottom"/>
            <w:hideMark/>
          </w:tcPr>
          <w:p w14:paraId="4B63A5CB" w14:textId="77777777" w:rsidR="0062216C" w:rsidRPr="009F227C" w:rsidRDefault="0062216C" w:rsidP="004E4E2B">
            <w:pPr>
              <w:jc w:val="right"/>
              <w:rPr>
                <w:sz w:val="20"/>
                <w:szCs w:val="20"/>
                <w:u w:val="double"/>
              </w:rPr>
            </w:pPr>
            <w:r w:rsidRPr="009F227C">
              <w:rPr>
                <w:sz w:val="20"/>
                <w:szCs w:val="20"/>
                <w:u w:val="double"/>
              </w:rPr>
              <w:t>($2,466,585)</w:t>
            </w:r>
          </w:p>
        </w:tc>
        <w:tc>
          <w:tcPr>
            <w:tcW w:w="1220" w:type="dxa"/>
            <w:tcBorders>
              <w:top w:val="nil"/>
              <w:left w:val="nil"/>
              <w:bottom w:val="nil"/>
              <w:right w:val="nil"/>
            </w:tcBorders>
            <w:shd w:val="clear" w:color="000000" w:fill="FFFFFF"/>
            <w:noWrap/>
            <w:vAlign w:val="bottom"/>
            <w:hideMark/>
          </w:tcPr>
          <w:p w14:paraId="48DC492B" w14:textId="77777777" w:rsidR="0062216C" w:rsidRPr="009F227C" w:rsidRDefault="0062216C" w:rsidP="004E4E2B">
            <w:pPr>
              <w:jc w:val="right"/>
              <w:rPr>
                <w:sz w:val="20"/>
                <w:szCs w:val="20"/>
                <w:u w:val="double"/>
              </w:rPr>
            </w:pPr>
            <w:r w:rsidRPr="009F227C">
              <w:rPr>
                <w:sz w:val="20"/>
                <w:szCs w:val="20"/>
                <w:u w:val="double"/>
              </w:rPr>
              <w:t>$5,129,047</w:t>
            </w:r>
          </w:p>
        </w:tc>
        <w:tc>
          <w:tcPr>
            <w:tcW w:w="1220" w:type="dxa"/>
            <w:tcBorders>
              <w:top w:val="nil"/>
              <w:left w:val="nil"/>
              <w:bottom w:val="nil"/>
              <w:right w:val="nil"/>
            </w:tcBorders>
            <w:shd w:val="clear" w:color="000000" w:fill="FFFFFF"/>
            <w:noWrap/>
            <w:vAlign w:val="bottom"/>
            <w:hideMark/>
          </w:tcPr>
          <w:p w14:paraId="45EFCA17" w14:textId="77777777" w:rsidR="0062216C" w:rsidRPr="009F227C" w:rsidRDefault="0062216C" w:rsidP="004E4E2B">
            <w:pPr>
              <w:jc w:val="right"/>
              <w:rPr>
                <w:sz w:val="20"/>
                <w:szCs w:val="20"/>
                <w:u w:val="double"/>
              </w:rPr>
            </w:pPr>
            <w:r w:rsidRPr="009F227C">
              <w:rPr>
                <w:sz w:val="20"/>
                <w:szCs w:val="20"/>
                <w:u w:val="double"/>
              </w:rPr>
              <w:t>$3,353,327</w:t>
            </w:r>
          </w:p>
        </w:tc>
        <w:tc>
          <w:tcPr>
            <w:tcW w:w="1220" w:type="dxa"/>
            <w:tcBorders>
              <w:top w:val="nil"/>
              <w:left w:val="nil"/>
              <w:bottom w:val="nil"/>
              <w:right w:val="single" w:sz="4" w:space="0" w:color="auto"/>
            </w:tcBorders>
            <w:shd w:val="clear" w:color="000000" w:fill="FFFFFF"/>
            <w:noWrap/>
            <w:vAlign w:val="bottom"/>
            <w:hideMark/>
          </w:tcPr>
          <w:p w14:paraId="1B28BB89" w14:textId="77777777" w:rsidR="0062216C" w:rsidRPr="009F227C" w:rsidRDefault="0062216C" w:rsidP="004E4E2B">
            <w:pPr>
              <w:jc w:val="right"/>
              <w:rPr>
                <w:sz w:val="20"/>
                <w:szCs w:val="20"/>
                <w:u w:val="double"/>
              </w:rPr>
            </w:pPr>
            <w:r w:rsidRPr="009F227C">
              <w:rPr>
                <w:sz w:val="20"/>
                <w:szCs w:val="20"/>
                <w:u w:val="double"/>
              </w:rPr>
              <w:t>$8,482,375</w:t>
            </w:r>
          </w:p>
        </w:tc>
      </w:tr>
      <w:tr w:rsidR="0062216C" w:rsidRPr="009F227C" w14:paraId="71800AF0"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FA3DCAB"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5C5576AB"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5B6633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10876A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CBC469F"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DEE21D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639449E2"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AE33FCA"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0B12F650" w14:textId="77777777" w:rsidR="0062216C" w:rsidRPr="009F227C" w:rsidRDefault="0062216C" w:rsidP="004E4E2B">
            <w:pPr>
              <w:rPr>
                <w:sz w:val="20"/>
                <w:szCs w:val="20"/>
              </w:rPr>
            </w:pPr>
            <w:r w:rsidRPr="009F227C">
              <w:rPr>
                <w:sz w:val="20"/>
                <w:szCs w:val="20"/>
              </w:rPr>
              <w:t> </w:t>
            </w:r>
          </w:p>
        </w:tc>
      </w:tr>
      <w:tr w:rsidR="0062216C" w:rsidRPr="009F227C" w14:paraId="660954F5"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58309C03" w14:textId="77777777" w:rsidR="0062216C" w:rsidRPr="009F227C" w:rsidRDefault="0062216C" w:rsidP="004E4E2B">
            <w:pPr>
              <w:jc w:val="center"/>
              <w:rPr>
                <w:sz w:val="20"/>
                <w:szCs w:val="20"/>
              </w:rPr>
            </w:pPr>
            <w:r w:rsidRPr="009F227C">
              <w:rPr>
                <w:sz w:val="20"/>
                <w:szCs w:val="20"/>
              </w:rPr>
              <w:t>9</w:t>
            </w:r>
          </w:p>
        </w:tc>
        <w:tc>
          <w:tcPr>
            <w:tcW w:w="2460" w:type="dxa"/>
            <w:tcBorders>
              <w:top w:val="nil"/>
              <w:left w:val="nil"/>
              <w:bottom w:val="nil"/>
              <w:right w:val="nil"/>
            </w:tcBorders>
            <w:shd w:val="clear" w:color="000000" w:fill="FFFFFF"/>
            <w:noWrap/>
            <w:vAlign w:val="bottom"/>
            <w:hideMark/>
          </w:tcPr>
          <w:p w14:paraId="5BDDFE9F" w14:textId="77777777" w:rsidR="0062216C" w:rsidRPr="009F227C" w:rsidRDefault="0062216C" w:rsidP="004E4E2B">
            <w:pPr>
              <w:rPr>
                <w:b/>
                <w:bCs/>
                <w:sz w:val="20"/>
                <w:szCs w:val="20"/>
              </w:rPr>
            </w:pPr>
            <w:r w:rsidRPr="009F227C">
              <w:rPr>
                <w:b/>
                <w:bCs/>
                <w:sz w:val="20"/>
                <w:szCs w:val="20"/>
              </w:rPr>
              <w:t>Rate Base</w:t>
            </w:r>
          </w:p>
        </w:tc>
        <w:tc>
          <w:tcPr>
            <w:tcW w:w="1220" w:type="dxa"/>
            <w:tcBorders>
              <w:top w:val="nil"/>
              <w:left w:val="nil"/>
              <w:bottom w:val="nil"/>
              <w:right w:val="nil"/>
            </w:tcBorders>
            <w:shd w:val="clear" w:color="000000" w:fill="FFFFFF"/>
            <w:noWrap/>
            <w:vAlign w:val="bottom"/>
            <w:hideMark/>
          </w:tcPr>
          <w:p w14:paraId="6E7E0A4D" w14:textId="77777777" w:rsidR="0062216C" w:rsidRPr="009F227C" w:rsidRDefault="0062216C" w:rsidP="004E4E2B">
            <w:pPr>
              <w:jc w:val="right"/>
              <w:rPr>
                <w:sz w:val="20"/>
                <w:szCs w:val="20"/>
                <w:u w:val="double"/>
              </w:rPr>
            </w:pPr>
            <w:r w:rsidRPr="009F227C">
              <w:rPr>
                <w:sz w:val="20"/>
                <w:szCs w:val="20"/>
                <w:u w:val="double"/>
              </w:rPr>
              <w:t>$93,386,364</w:t>
            </w:r>
          </w:p>
        </w:tc>
        <w:tc>
          <w:tcPr>
            <w:tcW w:w="1220" w:type="dxa"/>
            <w:tcBorders>
              <w:top w:val="nil"/>
              <w:left w:val="nil"/>
              <w:bottom w:val="nil"/>
              <w:right w:val="nil"/>
            </w:tcBorders>
            <w:shd w:val="clear" w:color="000000" w:fill="FFFFFF"/>
            <w:noWrap/>
            <w:vAlign w:val="bottom"/>
            <w:hideMark/>
          </w:tcPr>
          <w:p w14:paraId="745E256E" w14:textId="77777777" w:rsidR="0062216C" w:rsidRPr="009F227C" w:rsidRDefault="0062216C" w:rsidP="004E4E2B">
            <w:pPr>
              <w:jc w:val="right"/>
              <w:rPr>
                <w:sz w:val="20"/>
                <w:szCs w:val="20"/>
                <w:u w:val="double"/>
              </w:rPr>
            </w:pPr>
            <w:r w:rsidRPr="009F227C">
              <w:rPr>
                <w:sz w:val="20"/>
                <w:szCs w:val="20"/>
                <w:u w:val="double"/>
              </w:rPr>
              <w:t>$8,186,677</w:t>
            </w:r>
          </w:p>
        </w:tc>
        <w:tc>
          <w:tcPr>
            <w:tcW w:w="1220" w:type="dxa"/>
            <w:tcBorders>
              <w:top w:val="nil"/>
              <w:left w:val="nil"/>
              <w:bottom w:val="nil"/>
              <w:right w:val="nil"/>
            </w:tcBorders>
            <w:shd w:val="clear" w:color="000000" w:fill="FFFFFF"/>
            <w:noWrap/>
            <w:vAlign w:val="bottom"/>
            <w:hideMark/>
          </w:tcPr>
          <w:p w14:paraId="5ACED7BC" w14:textId="77777777" w:rsidR="0062216C" w:rsidRPr="009F227C" w:rsidRDefault="0062216C" w:rsidP="004E4E2B">
            <w:pPr>
              <w:jc w:val="right"/>
              <w:rPr>
                <w:sz w:val="20"/>
                <w:szCs w:val="20"/>
                <w:u w:val="double"/>
              </w:rPr>
            </w:pPr>
            <w:r w:rsidRPr="009F227C">
              <w:rPr>
                <w:sz w:val="20"/>
                <w:szCs w:val="20"/>
                <w:u w:val="double"/>
              </w:rPr>
              <w:t>$101,573,041</w:t>
            </w:r>
          </w:p>
        </w:tc>
        <w:tc>
          <w:tcPr>
            <w:tcW w:w="1220" w:type="dxa"/>
            <w:tcBorders>
              <w:top w:val="nil"/>
              <w:left w:val="nil"/>
              <w:bottom w:val="nil"/>
              <w:right w:val="nil"/>
            </w:tcBorders>
            <w:shd w:val="clear" w:color="000000" w:fill="FFFFFF"/>
            <w:noWrap/>
            <w:vAlign w:val="bottom"/>
            <w:hideMark/>
          </w:tcPr>
          <w:p w14:paraId="4C371AF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791357FD" w14:textId="77777777" w:rsidR="0062216C" w:rsidRPr="009F227C" w:rsidRDefault="0062216C" w:rsidP="004E4E2B">
            <w:pPr>
              <w:jc w:val="right"/>
              <w:rPr>
                <w:sz w:val="20"/>
                <w:szCs w:val="20"/>
                <w:u w:val="double"/>
              </w:rPr>
            </w:pPr>
            <w:r w:rsidRPr="009F227C">
              <w:rPr>
                <w:sz w:val="20"/>
                <w:szCs w:val="20"/>
                <w:u w:val="double"/>
              </w:rPr>
              <w:t>$111,439,518</w:t>
            </w:r>
          </w:p>
        </w:tc>
        <w:tc>
          <w:tcPr>
            <w:tcW w:w="1220" w:type="dxa"/>
            <w:tcBorders>
              <w:top w:val="nil"/>
              <w:left w:val="nil"/>
              <w:bottom w:val="nil"/>
              <w:right w:val="nil"/>
            </w:tcBorders>
            <w:shd w:val="clear" w:color="000000" w:fill="FFFFFF"/>
            <w:noWrap/>
            <w:vAlign w:val="bottom"/>
            <w:hideMark/>
          </w:tcPr>
          <w:p w14:paraId="76237D51"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4A8B88BB" w14:textId="77777777" w:rsidR="0062216C" w:rsidRPr="009F227C" w:rsidRDefault="0062216C" w:rsidP="004E4E2B">
            <w:pPr>
              <w:jc w:val="right"/>
              <w:rPr>
                <w:sz w:val="20"/>
                <w:szCs w:val="20"/>
                <w:u w:val="double"/>
              </w:rPr>
            </w:pPr>
            <w:r w:rsidRPr="009F227C">
              <w:rPr>
                <w:sz w:val="20"/>
                <w:szCs w:val="20"/>
                <w:u w:val="double"/>
              </w:rPr>
              <w:t>$111,439,518</w:t>
            </w:r>
          </w:p>
        </w:tc>
      </w:tr>
      <w:tr w:rsidR="0062216C" w:rsidRPr="009F227C" w14:paraId="23BC2E55"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F0D31D8" w14:textId="77777777" w:rsidR="0062216C" w:rsidRPr="009F227C" w:rsidRDefault="0062216C" w:rsidP="004E4E2B">
            <w:pPr>
              <w:jc w:val="center"/>
              <w:rPr>
                <w:sz w:val="20"/>
                <w:szCs w:val="20"/>
              </w:rPr>
            </w:pPr>
            <w:r w:rsidRPr="009F227C">
              <w:rPr>
                <w:sz w:val="20"/>
                <w:szCs w:val="20"/>
              </w:rPr>
              <w:t> </w:t>
            </w:r>
          </w:p>
        </w:tc>
        <w:tc>
          <w:tcPr>
            <w:tcW w:w="2460" w:type="dxa"/>
            <w:tcBorders>
              <w:top w:val="nil"/>
              <w:left w:val="nil"/>
              <w:bottom w:val="nil"/>
              <w:right w:val="nil"/>
            </w:tcBorders>
            <w:shd w:val="clear" w:color="000000" w:fill="FFFFFF"/>
            <w:noWrap/>
            <w:vAlign w:val="bottom"/>
            <w:hideMark/>
          </w:tcPr>
          <w:p w14:paraId="083DE21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917762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241CA24B" w14:textId="77777777" w:rsidR="0062216C" w:rsidRPr="009F227C" w:rsidRDefault="0062216C" w:rsidP="004E4E2B">
            <w:pPr>
              <w:rPr>
                <w:sz w:val="20"/>
                <w:szCs w:val="20"/>
                <w:u w:val="double"/>
              </w:rPr>
            </w:pPr>
          </w:p>
        </w:tc>
        <w:tc>
          <w:tcPr>
            <w:tcW w:w="1220" w:type="dxa"/>
            <w:tcBorders>
              <w:top w:val="nil"/>
              <w:left w:val="nil"/>
              <w:bottom w:val="nil"/>
              <w:right w:val="nil"/>
            </w:tcBorders>
            <w:shd w:val="clear" w:color="000000" w:fill="FFFFFF"/>
            <w:noWrap/>
            <w:vAlign w:val="bottom"/>
            <w:hideMark/>
          </w:tcPr>
          <w:p w14:paraId="798ACED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5D2E05C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49A00D30"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C26D43D"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18A8EDEC" w14:textId="77777777" w:rsidR="0062216C" w:rsidRPr="009F227C" w:rsidRDefault="0062216C" w:rsidP="004E4E2B">
            <w:pPr>
              <w:rPr>
                <w:sz w:val="20"/>
                <w:szCs w:val="20"/>
              </w:rPr>
            </w:pPr>
            <w:r w:rsidRPr="009F227C">
              <w:rPr>
                <w:sz w:val="20"/>
                <w:szCs w:val="20"/>
              </w:rPr>
              <w:t> </w:t>
            </w:r>
          </w:p>
        </w:tc>
      </w:tr>
      <w:tr w:rsidR="0062216C" w:rsidRPr="009F227C" w14:paraId="25406637"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54A442E" w14:textId="77777777" w:rsidR="0062216C" w:rsidRPr="009F227C" w:rsidRDefault="0062216C" w:rsidP="004E4E2B">
            <w:pPr>
              <w:jc w:val="center"/>
              <w:rPr>
                <w:sz w:val="20"/>
                <w:szCs w:val="20"/>
              </w:rPr>
            </w:pPr>
            <w:r w:rsidRPr="009F227C">
              <w:rPr>
                <w:sz w:val="20"/>
                <w:szCs w:val="20"/>
              </w:rPr>
              <w:t>10</w:t>
            </w:r>
          </w:p>
        </w:tc>
        <w:tc>
          <w:tcPr>
            <w:tcW w:w="2460" w:type="dxa"/>
            <w:tcBorders>
              <w:top w:val="nil"/>
              <w:left w:val="nil"/>
              <w:bottom w:val="nil"/>
              <w:right w:val="nil"/>
            </w:tcBorders>
            <w:shd w:val="clear" w:color="000000" w:fill="FFFFFF"/>
            <w:noWrap/>
            <w:vAlign w:val="bottom"/>
            <w:hideMark/>
          </w:tcPr>
          <w:p w14:paraId="0D264F43" w14:textId="77777777" w:rsidR="0062216C" w:rsidRPr="009F227C" w:rsidRDefault="0062216C" w:rsidP="004E4E2B">
            <w:pPr>
              <w:rPr>
                <w:b/>
                <w:bCs/>
                <w:sz w:val="20"/>
                <w:szCs w:val="20"/>
              </w:rPr>
            </w:pPr>
            <w:r w:rsidRPr="009F227C">
              <w:rPr>
                <w:b/>
                <w:bCs/>
                <w:sz w:val="20"/>
                <w:szCs w:val="20"/>
              </w:rPr>
              <w:t>Rate of Return</w:t>
            </w:r>
          </w:p>
        </w:tc>
        <w:tc>
          <w:tcPr>
            <w:tcW w:w="1220" w:type="dxa"/>
            <w:tcBorders>
              <w:top w:val="nil"/>
              <w:left w:val="nil"/>
              <w:bottom w:val="nil"/>
              <w:right w:val="nil"/>
            </w:tcBorders>
            <w:shd w:val="clear" w:color="000000" w:fill="FFFFFF"/>
            <w:noWrap/>
            <w:vAlign w:val="bottom"/>
            <w:hideMark/>
          </w:tcPr>
          <w:p w14:paraId="11BB79CF" w14:textId="77777777" w:rsidR="0062216C" w:rsidRPr="009F227C" w:rsidRDefault="0062216C" w:rsidP="004E4E2B">
            <w:pPr>
              <w:jc w:val="right"/>
              <w:rPr>
                <w:sz w:val="20"/>
                <w:szCs w:val="20"/>
                <w:u w:val="double"/>
              </w:rPr>
            </w:pPr>
            <w:r w:rsidRPr="009F227C">
              <w:rPr>
                <w:sz w:val="20"/>
                <w:szCs w:val="20"/>
                <w:u w:val="double"/>
              </w:rPr>
              <w:t>5.35%</w:t>
            </w:r>
          </w:p>
        </w:tc>
        <w:tc>
          <w:tcPr>
            <w:tcW w:w="1220" w:type="dxa"/>
            <w:tcBorders>
              <w:top w:val="nil"/>
              <w:left w:val="nil"/>
              <w:bottom w:val="nil"/>
              <w:right w:val="nil"/>
            </w:tcBorders>
            <w:shd w:val="clear" w:color="000000" w:fill="FFFFFF"/>
            <w:noWrap/>
            <w:vAlign w:val="bottom"/>
            <w:hideMark/>
          </w:tcPr>
          <w:p w14:paraId="603CC41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163B10DB" w14:textId="77777777" w:rsidR="0062216C" w:rsidRPr="009F227C" w:rsidRDefault="0062216C" w:rsidP="004E4E2B">
            <w:pPr>
              <w:jc w:val="right"/>
              <w:rPr>
                <w:sz w:val="20"/>
                <w:szCs w:val="20"/>
                <w:u w:val="double"/>
              </w:rPr>
            </w:pPr>
            <w:r w:rsidRPr="009F227C">
              <w:rPr>
                <w:sz w:val="20"/>
                <w:szCs w:val="20"/>
                <w:u w:val="double"/>
              </w:rPr>
              <w:t>7.48%</w:t>
            </w:r>
          </w:p>
        </w:tc>
        <w:tc>
          <w:tcPr>
            <w:tcW w:w="1220" w:type="dxa"/>
            <w:tcBorders>
              <w:top w:val="nil"/>
              <w:left w:val="nil"/>
              <w:bottom w:val="nil"/>
              <w:right w:val="nil"/>
            </w:tcBorders>
            <w:shd w:val="clear" w:color="000000" w:fill="FFFFFF"/>
            <w:noWrap/>
            <w:vAlign w:val="bottom"/>
            <w:hideMark/>
          </w:tcPr>
          <w:p w14:paraId="7302500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nil"/>
            </w:tcBorders>
            <w:shd w:val="clear" w:color="000000" w:fill="FFFFFF"/>
            <w:noWrap/>
            <w:vAlign w:val="bottom"/>
            <w:hideMark/>
          </w:tcPr>
          <w:p w14:paraId="3AC4749B" w14:textId="77777777" w:rsidR="0062216C" w:rsidRPr="009F227C" w:rsidRDefault="0062216C" w:rsidP="004E4E2B">
            <w:pPr>
              <w:jc w:val="right"/>
              <w:rPr>
                <w:sz w:val="20"/>
                <w:szCs w:val="20"/>
                <w:u w:val="double"/>
              </w:rPr>
            </w:pPr>
            <w:r w:rsidRPr="009F227C">
              <w:rPr>
                <w:sz w:val="20"/>
                <w:szCs w:val="20"/>
                <w:u w:val="double"/>
              </w:rPr>
              <w:t>4.60%</w:t>
            </w:r>
          </w:p>
        </w:tc>
        <w:tc>
          <w:tcPr>
            <w:tcW w:w="1220" w:type="dxa"/>
            <w:tcBorders>
              <w:top w:val="nil"/>
              <w:left w:val="nil"/>
              <w:bottom w:val="nil"/>
              <w:right w:val="nil"/>
            </w:tcBorders>
            <w:shd w:val="clear" w:color="000000" w:fill="FFFFFF"/>
            <w:noWrap/>
            <w:vAlign w:val="bottom"/>
            <w:hideMark/>
          </w:tcPr>
          <w:p w14:paraId="1DBA3F5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nil"/>
              <w:right w:val="single" w:sz="4" w:space="0" w:color="auto"/>
            </w:tcBorders>
            <w:shd w:val="clear" w:color="000000" w:fill="FFFFFF"/>
            <w:noWrap/>
            <w:vAlign w:val="bottom"/>
            <w:hideMark/>
          </w:tcPr>
          <w:p w14:paraId="0D1CCF11" w14:textId="77777777" w:rsidR="0062216C" w:rsidRPr="009F227C" w:rsidRDefault="0062216C" w:rsidP="004E4E2B">
            <w:pPr>
              <w:jc w:val="right"/>
              <w:rPr>
                <w:sz w:val="20"/>
                <w:szCs w:val="20"/>
                <w:u w:val="double"/>
              </w:rPr>
            </w:pPr>
            <w:r w:rsidRPr="009F227C">
              <w:rPr>
                <w:sz w:val="20"/>
                <w:szCs w:val="20"/>
                <w:u w:val="double"/>
              </w:rPr>
              <w:t>7.61%</w:t>
            </w:r>
          </w:p>
        </w:tc>
      </w:tr>
      <w:tr w:rsidR="0062216C" w:rsidRPr="009F227C" w14:paraId="5D2E4E5C" w14:textId="77777777" w:rsidTr="004E4E2B">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329E17CF" w14:textId="77777777" w:rsidR="0062216C" w:rsidRPr="009F227C" w:rsidRDefault="0062216C" w:rsidP="004E4E2B">
            <w:pPr>
              <w:rPr>
                <w:sz w:val="20"/>
                <w:szCs w:val="20"/>
              </w:rPr>
            </w:pPr>
            <w:r w:rsidRPr="009F227C">
              <w:rPr>
                <w:sz w:val="20"/>
                <w:szCs w:val="20"/>
              </w:rPr>
              <w:t> </w:t>
            </w:r>
          </w:p>
        </w:tc>
        <w:tc>
          <w:tcPr>
            <w:tcW w:w="2460" w:type="dxa"/>
            <w:tcBorders>
              <w:top w:val="nil"/>
              <w:left w:val="nil"/>
              <w:bottom w:val="single" w:sz="4" w:space="0" w:color="auto"/>
              <w:right w:val="nil"/>
            </w:tcBorders>
            <w:shd w:val="clear" w:color="000000" w:fill="FFFFFF"/>
            <w:noWrap/>
            <w:vAlign w:val="bottom"/>
            <w:hideMark/>
          </w:tcPr>
          <w:p w14:paraId="7604332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1A2AEF35"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7C2772EE"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10711AE3"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5E2124D8"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388F5D04"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nil"/>
            </w:tcBorders>
            <w:shd w:val="clear" w:color="000000" w:fill="FFFFFF"/>
            <w:noWrap/>
            <w:vAlign w:val="bottom"/>
            <w:hideMark/>
          </w:tcPr>
          <w:p w14:paraId="6EF04787" w14:textId="77777777" w:rsidR="0062216C" w:rsidRPr="009F227C" w:rsidRDefault="0062216C" w:rsidP="004E4E2B">
            <w:pPr>
              <w:rPr>
                <w:sz w:val="20"/>
                <w:szCs w:val="20"/>
              </w:rPr>
            </w:pPr>
            <w:r w:rsidRPr="009F227C">
              <w:rPr>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14:paraId="12F50786" w14:textId="77777777" w:rsidR="0062216C" w:rsidRPr="009F227C" w:rsidRDefault="0062216C" w:rsidP="004E4E2B">
            <w:pPr>
              <w:rPr>
                <w:sz w:val="20"/>
                <w:szCs w:val="20"/>
              </w:rPr>
            </w:pPr>
            <w:r w:rsidRPr="009F227C">
              <w:rPr>
                <w:sz w:val="20"/>
                <w:szCs w:val="20"/>
              </w:rPr>
              <w:t> </w:t>
            </w:r>
          </w:p>
        </w:tc>
      </w:tr>
    </w:tbl>
    <w:p w14:paraId="5480FF7B" w14:textId="77777777" w:rsidR="0062216C" w:rsidRPr="009F227C" w:rsidRDefault="0062216C" w:rsidP="005F7ACC">
      <w:pPr>
        <w:pStyle w:val="OrderBody"/>
        <w:sectPr w:rsidR="0062216C" w:rsidRPr="009F227C" w:rsidSect="00AC30DF">
          <w:headerReference w:type="first" r:id="rId13"/>
          <w:pgSz w:w="15840" w:h="12240" w:orient="landscape" w:code="1"/>
          <w:pgMar w:top="1440" w:right="1440" w:bottom="1440" w:left="1440" w:header="720" w:footer="720" w:gutter="0"/>
          <w:cols w:space="720"/>
          <w:titlePg/>
          <w:docGrid w:linePitch="360"/>
        </w:sectPr>
      </w:pPr>
    </w:p>
    <w:tbl>
      <w:tblPr>
        <w:tblW w:w="9600" w:type="dxa"/>
        <w:jc w:val="center"/>
        <w:tblLook w:val="04A0" w:firstRow="1" w:lastRow="0" w:firstColumn="1" w:lastColumn="0" w:noHBand="0" w:noVBand="1"/>
      </w:tblPr>
      <w:tblGrid>
        <w:gridCol w:w="480"/>
        <w:gridCol w:w="5940"/>
        <w:gridCol w:w="1520"/>
        <w:gridCol w:w="1660"/>
      </w:tblGrid>
      <w:tr w:rsidR="00BD7444" w:rsidRPr="009F227C" w14:paraId="37847D23" w14:textId="77777777" w:rsidTr="00BD7444">
        <w:trPr>
          <w:trHeight w:val="143"/>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73D5E646" w14:textId="77777777" w:rsidR="00BD7444" w:rsidRPr="009F227C" w:rsidRDefault="00BD7444" w:rsidP="004E4E2B">
            <w:pPr>
              <w:rPr>
                <w:sz w:val="20"/>
                <w:szCs w:val="20"/>
              </w:rPr>
            </w:pPr>
            <w:bookmarkStart w:id="70" w:name="RANGE!B53:E99"/>
            <w:r w:rsidRPr="009F227C">
              <w:rPr>
                <w:sz w:val="20"/>
                <w:szCs w:val="20"/>
              </w:rPr>
              <w:lastRenderedPageBreak/>
              <w:t> </w:t>
            </w:r>
            <w:bookmarkEnd w:id="70"/>
          </w:p>
        </w:tc>
        <w:tc>
          <w:tcPr>
            <w:tcW w:w="5940" w:type="dxa"/>
            <w:tcBorders>
              <w:top w:val="single" w:sz="4" w:space="0" w:color="auto"/>
              <w:left w:val="nil"/>
              <w:bottom w:val="nil"/>
              <w:right w:val="nil"/>
            </w:tcBorders>
            <w:shd w:val="clear" w:color="000000" w:fill="FFFFFF"/>
            <w:noWrap/>
            <w:vAlign w:val="bottom"/>
            <w:hideMark/>
          </w:tcPr>
          <w:p w14:paraId="6FF00E67" w14:textId="77777777" w:rsidR="00BD7444" w:rsidRPr="009F227C" w:rsidRDefault="00BD7444" w:rsidP="004E4E2B">
            <w:pPr>
              <w:rPr>
                <w:sz w:val="20"/>
                <w:szCs w:val="20"/>
              </w:rPr>
            </w:pPr>
            <w:r w:rsidRPr="009F227C">
              <w:rPr>
                <w:sz w:val="20"/>
                <w:szCs w:val="20"/>
              </w:rPr>
              <w:t> </w:t>
            </w:r>
          </w:p>
        </w:tc>
        <w:tc>
          <w:tcPr>
            <w:tcW w:w="1520" w:type="dxa"/>
            <w:tcBorders>
              <w:top w:val="single" w:sz="4" w:space="0" w:color="auto"/>
              <w:left w:val="nil"/>
              <w:bottom w:val="nil"/>
              <w:right w:val="nil"/>
            </w:tcBorders>
            <w:shd w:val="clear" w:color="000000" w:fill="FFFFFF"/>
            <w:noWrap/>
            <w:vAlign w:val="bottom"/>
            <w:hideMark/>
          </w:tcPr>
          <w:p w14:paraId="676572BC" w14:textId="77777777" w:rsidR="00BD7444" w:rsidRPr="009F227C" w:rsidRDefault="00BD7444" w:rsidP="004E4E2B">
            <w:pPr>
              <w:rPr>
                <w:sz w:val="20"/>
                <w:szCs w:val="20"/>
              </w:rPr>
            </w:pPr>
            <w:r w:rsidRPr="009F227C">
              <w:rPr>
                <w:sz w:val="20"/>
                <w:szCs w:val="2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39EF9719" w14:textId="77777777" w:rsidR="00BD7444" w:rsidRPr="009F227C" w:rsidRDefault="00BD7444" w:rsidP="004E4E2B">
            <w:pPr>
              <w:rPr>
                <w:sz w:val="20"/>
                <w:szCs w:val="20"/>
              </w:rPr>
            </w:pPr>
            <w:r w:rsidRPr="009F227C">
              <w:rPr>
                <w:sz w:val="20"/>
                <w:szCs w:val="20"/>
              </w:rPr>
              <w:t> </w:t>
            </w:r>
          </w:p>
        </w:tc>
      </w:tr>
      <w:tr w:rsidR="00BD7444" w:rsidRPr="009F227C" w14:paraId="00E260C3" w14:textId="77777777" w:rsidTr="00BD7444">
        <w:trPr>
          <w:trHeight w:val="180"/>
          <w:jc w:val="center"/>
        </w:trPr>
        <w:tc>
          <w:tcPr>
            <w:tcW w:w="480" w:type="dxa"/>
            <w:tcBorders>
              <w:top w:val="nil"/>
              <w:left w:val="single" w:sz="4" w:space="0" w:color="auto"/>
              <w:bottom w:val="nil"/>
              <w:right w:val="nil"/>
            </w:tcBorders>
            <w:shd w:val="clear" w:color="000000" w:fill="FFFFFF"/>
            <w:noWrap/>
            <w:vAlign w:val="bottom"/>
            <w:hideMark/>
          </w:tcPr>
          <w:p w14:paraId="70C1867F" w14:textId="77777777" w:rsidR="00BD7444" w:rsidRPr="009F227C" w:rsidRDefault="00BD7444" w:rsidP="004E4E2B">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4B51ADB9" w14:textId="77777777" w:rsidR="00BD7444" w:rsidRPr="009F227C" w:rsidRDefault="00BD7444" w:rsidP="004E4E2B">
            <w:pPr>
              <w:rPr>
                <w:b/>
                <w:bCs/>
                <w:sz w:val="20"/>
                <w:szCs w:val="20"/>
              </w:rPr>
            </w:pPr>
            <w:r w:rsidRPr="009F227C">
              <w:rPr>
                <w:b/>
                <w:bCs/>
                <w:sz w:val="20"/>
                <w:szCs w:val="20"/>
              </w:rPr>
              <w:t>Sunshine Water Services Company</w:t>
            </w:r>
          </w:p>
        </w:tc>
        <w:tc>
          <w:tcPr>
            <w:tcW w:w="3180" w:type="dxa"/>
            <w:gridSpan w:val="2"/>
            <w:tcBorders>
              <w:top w:val="nil"/>
              <w:left w:val="nil"/>
              <w:bottom w:val="nil"/>
              <w:right w:val="single" w:sz="4" w:space="0" w:color="000000"/>
            </w:tcBorders>
            <w:shd w:val="clear" w:color="000000" w:fill="FFFFFF"/>
            <w:noWrap/>
            <w:vAlign w:val="bottom"/>
            <w:hideMark/>
          </w:tcPr>
          <w:p w14:paraId="17826827" w14:textId="77777777" w:rsidR="00BD7444" w:rsidRPr="009F227C" w:rsidRDefault="00BD7444" w:rsidP="004E4E2B">
            <w:pPr>
              <w:jc w:val="right"/>
              <w:rPr>
                <w:b/>
                <w:bCs/>
                <w:sz w:val="20"/>
                <w:szCs w:val="20"/>
              </w:rPr>
            </w:pPr>
            <w:r w:rsidRPr="009F227C">
              <w:rPr>
                <w:b/>
                <w:bCs/>
                <w:sz w:val="20"/>
                <w:szCs w:val="20"/>
              </w:rPr>
              <w:t>Schedule 3-C</w:t>
            </w:r>
          </w:p>
        </w:tc>
      </w:tr>
      <w:tr w:rsidR="00BD7444" w:rsidRPr="009F227C" w14:paraId="318E7121" w14:textId="77777777" w:rsidTr="00BD7444">
        <w:trPr>
          <w:trHeight w:val="216"/>
          <w:jc w:val="center"/>
        </w:trPr>
        <w:tc>
          <w:tcPr>
            <w:tcW w:w="480" w:type="dxa"/>
            <w:tcBorders>
              <w:top w:val="nil"/>
              <w:left w:val="single" w:sz="4" w:space="0" w:color="auto"/>
              <w:bottom w:val="nil"/>
              <w:right w:val="nil"/>
            </w:tcBorders>
            <w:shd w:val="clear" w:color="000000" w:fill="FFFFFF"/>
            <w:noWrap/>
            <w:vAlign w:val="bottom"/>
            <w:hideMark/>
          </w:tcPr>
          <w:p w14:paraId="07A6BBFC" w14:textId="77777777" w:rsidR="00BD7444" w:rsidRPr="009F227C" w:rsidRDefault="00BD7444" w:rsidP="004E4E2B">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22866D4B" w14:textId="77777777" w:rsidR="00BD7444" w:rsidRPr="009F227C" w:rsidRDefault="00BD7444" w:rsidP="004E4E2B">
            <w:pPr>
              <w:rPr>
                <w:b/>
                <w:bCs/>
                <w:sz w:val="20"/>
                <w:szCs w:val="20"/>
              </w:rPr>
            </w:pPr>
            <w:r w:rsidRPr="009F227C">
              <w:rPr>
                <w:b/>
                <w:bCs/>
                <w:sz w:val="20"/>
                <w:szCs w:val="20"/>
              </w:rPr>
              <w:t>Adjustment to Operating Income</w:t>
            </w:r>
          </w:p>
        </w:tc>
        <w:tc>
          <w:tcPr>
            <w:tcW w:w="3180" w:type="dxa"/>
            <w:gridSpan w:val="2"/>
            <w:tcBorders>
              <w:top w:val="nil"/>
              <w:left w:val="nil"/>
              <w:bottom w:val="nil"/>
              <w:right w:val="single" w:sz="4" w:space="0" w:color="000000"/>
            </w:tcBorders>
            <w:shd w:val="clear" w:color="000000" w:fill="FFFFFF"/>
            <w:noWrap/>
            <w:vAlign w:val="bottom"/>
            <w:hideMark/>
          </w:tcPr>
          <w:p w14:paraId="1A1BA4D0" w14:textId="77777777" w:rsidR="00BD7444" w:rsidRPr="009F227C" w:rsidRDefault="00BD7444" w:rsidP="004E4E2B">
            <w:pPr>
              <w:jc w:val="right"/>
              <w:rPr>
                <w:b/>
                <w:bCs/>
                <w:sz w:val="20"/>
                <w:szCs w:val="20"/>
              </w:rPr>
            </w:pPr>
            <w:r w:rsidRPr="009F227C">
              <w:rPr>
                <w:b/>
                <w:bCs/>
                <w:sz w:val="20"/>
                <w:szCs w:val="20"/>
              </w:rPr>
              <w:t>Docket No. 20240068-WS</w:t>
            </w:r>
          </w:p>
        </w:tc>
      </w:tr>
      <w:tr w:rsidR="00BD7444" w:rsidRPr="009F227C" w14:paraId="2830EE34" w14:textId="77777777" w:rsidTr="00BD7444">
        <w:trPr>
          <w:trHeight w:val="171"/>
          <w:jc w:val="center"/>
        </w:trPr>
        <w:tc>
          <w:tcPr>
            <w:tcW w:w="480" w:type="dxa"/>
            <w:tcBorders>
              <w:top w:val="nil"/>
              <w:left w:val="single" w:sz="4" w:space="0" w:color="auto"/>
              <w:bottom w:val="nil"/>
              <w:right w:val="nil"/>
            </w:tcBorders>
            <w:shd w:val="clear" w:color="000000" w:fill="FFFFFF"/>
            <w:noWrap/>
            <w:vAlign w:val="bottom"/>
            <w:hideMark/>
          </w:tcPr>
          <w:p w14:paraId="4096CB9A" w14:textId="77777777" w:rsidR="00BD7444" w:rsidRPr="009F227C" w:rsidRDefault="00BD7444" w:rsidP="004E4E2B">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740DB583" w14:textId="77777777" w:rsidR="00BD7444" w:rsidRPr="009F227C" w:rsidRDefault="00BD7444" w:rsidP="004E4E2B">
            <w:pPr>
              <w:rPr>
                <w:b/>
                <w:bCs/>
                <w:sz w:val="20"/>
                <w:szCs w:val="20"/>
              </w:rPr>
            </w:pPr>
            <w:r w:rsidRPr="009F227C">
              <w:rPr>
                <w:b/>
                <w:bCs/>
                <w:sz w:val="20"/>
                <w:szCs w:val="20"/>
              </w:rPr>
              <w:t>Test Year Ended 12/31/2023</w:t>
            </w:r>
          </w:p>
        </w:tc>
        <w:tc>
          <w:tcPr>
            <w:tcW w:w="1520" w:type="dxa"/>
            <w:tcBorders>
              <w:top w:val="nil"/>
              <w:left w:val="nil"/>
              <w:bottom w:val="nil"/>
              <w:right w:val="nil"/>
            </w:tcBorders>
            <w:shd w:val="clear" w:color="000000" w:fill="FFFFFF"/>
            <w:noWrap/>
            <w:vAlign w:val="bottom"/>
            <w:hideMark/>
          </w:tcPr>
          <w:p w14:paraId="4CF94D96" w14:textId="77777777" w:rsidR="00BD7444" w:rsidRPr="009F227C" w:rsidRDefault="00BD7444" w:rsidP="004E4E2B">
            <w:pPr>
              <w:rPr>
                <w:b/>
                <w:bCs/>
                <w:sz w:val="20"/>
                <w:szCs w:val="20"/>
              </w:rPr>
            </w:pPr>
            <w:r w:rsidRPr="009F227C">
              <w:rPr>
                <w:b/>
                <w:bCs/>
                <w:sz w:val="20"/>
                <w:szCs w:val="20"/>
              </w:rPr>
              <w:t> </w:t>
            </w:r>
          </w:p>
        </w:tc>
        <w:tc>
          <w:tcPr>
            <w:tcW w:w="1660" w:type="dxa"/>
            <w:tcBorders>
              <w:top w:val="nil"/>
              <w:left w:val="nil"/>
              <w:bottom w:val="nil"/>
              <w:right w:val="single" w:sz="4" w:space="0" w:color="auto"/>
            </w:tcBorders>
            <w:shd w:val="clear" w:color="000000" w:fill="FFFFFF"/>
            <w:noWrap/>
            <w:vAlign w:val="bottom"/>
            <w:hideMark/>
          </w:tcPr>
          <w:p w14:paraId="13225C05" w14:textId="77777777" w:rsidR="00BD7444" w:rsidRPr="009F227C" w:rsidRDefault="00BD7444" w:rsidP="004E4E2B">
            <w:pPr>
              <w:rPr>
                <w:b/>
                <w:bCs/>
                <w:sz w:val="20"/>
                <w:szCs w:val="20"/>
              </w:rPr>
            </w:pPr>
            <w:r w:rsidRPr="009F227C">
              <w:rPr>
                <w:b/>
                <w:bCs/>
                <w:sz w:val="20"/>
                <w:szCs w:val="20"/>
              </w:rPr>
              <w:t> </w:t>
            </w:r>
          </w:p>
        </w:tc>
      </w:tr>
      <w:tr w:rsidR="00BD7444" w:rsidRPr="009F227C" w14:paraId="0E0DC3F9" w14:textId="77777777" w:rsidTr="00BD7444">
        <w:trPr>
          <w:trHeight w:val="70"/>
          <w:jc w:val="center"/>
        </w:trPr>
        <w:tc>
          <w:tcPr>
            <w:tcW w:w="480" w:type="dxa"/>
            <w:tcBorders>
              <w:top w:val="nil"/>
              <w:left w:val="single" w:sz="4" w:space="0" w:color="auto"/>
              <w:bottom w:val="nil"/>
              <w:right w:val="nil"/>
            </w:tcBorders>
            <w:shd w:val="clear" w:color="000000" w:fill="FFFFFF"/>
            <w:noWrap/>
            <w:vAlign w:val="bottom"/>
            <w:hideMark/>
          </w:tcPr>
          <w:p w14:paraId="782F182E" w14:textId="77777777" w:rsidR="00BD7444" w:rsidRPr="009F227C" w:rsidRDefault="00BD7444" w:rsidP="004E4E2B">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41BF8E01" w14:textId="77777777" w:rsidR="00BD7444" w:rsidRPr="009F227C" w:rsidRDefault="00BD7444" w:rsidP="004E4E2B">
            <w:pPr>
              <w:rPr>
                <w:b/>
                <w:bCs/>
                <w:sz w:val="20"/>
                <w:szCs w:val="20"/>
              </w:rPr>
            </w:pPr>
            <w:r w:rsidRPr="009F227C">
              <w:rPr>
                <w:b/>
                <w:bCs/>
                <w:sz w:val="20"/>
                <w:szCs w:val="20"/>
              </w:rPr>
              <w:t> </w:t>
            </w:r>
          </w:p>
        </w:tc>
        <w:tc>
          <w:tcPr>
            <w:tcW w:w="1520" w:type="dxa"/>
            <w:tcBorders>
              <w:top w:val="nil"/>
              <w:left w:val="nil"/>
              <w:bottom w:val="nil"/>
              <w:right w:val="nil"/>
            </w:tcBorders>
            <w:shd w:val="clear" w:color="000000" w:fill="FFFFFF"/>
            <w:noWrap/>
            <w:vAlign w:val="bottom"/>
            <w:hideMark/>
          </w:tcPr>
          <w:p w14:paraId="6CB7886A" w14:textId="77777777" w:rsidR="00BD7444" w:rsidRPr="009F227C" w:rsidRDefault="00BD7444" w:rsidP="004E4E2B">
            <w:pPr>
              <w:rPr>
                <w:b/>
                <w:bCs/>
                <w:sz w:val="20"/>
                <w:szCs w:val="20"/>
              </w:rPr>
            </w:pPr>
            <w:r w:rsidRPr="009F227C">
              <w:rPr>
                <w:b/>
                <w:bCs/>
                <w:sz w:val="20"/>
                <w:szCs w:val="20"/>
              </w:rPr>
              <w:t> </w:t>
            </w:r>
          </w:p>
        </w:tc>
        <w:tc>
          <w:tcPr>
            <w:tcW w:w="1660" w:type="dxa"/>
            <w:tcBorders>
              <w:top w:val="nil"/>
              <w:left w:val="nil"/>
              <w:bottom w:val="nil"/>
              <w:right w:val="single" w:sz="4" w:space="0" w:color="auto"/>
            </w:tcBorders>
            <w:shd w:val="clear" w:color="000000" w:fill="FFFFFF"/>
            <w:noWrap/>
            <w:vAlign w:val="bottom"/>
            <w:hideMark/>
          </w:tcPr>
          <w:p w14:paraId="57F9325B" w14:textId="77777777" w:rsidR="00BD7444" w:rsidRPr="009F227C" w:rsidRDefault="00BD7444" w:rsidP="004E4E2B">
            <w:pPr>
              <w:rPr>
                <w:b/>
                <w:bCs/>
                <w:sz w:val="20"/>
                <w:szCs w:val="20"/>
              </w:rPr>
            </w:pPr>
            <w:r w:rsidRPr="009F227C">
              <w:rPr>
                <w:b/>
                <w:bCs/>
                <w:sz w:val="20"/>
                <w:szCs w:val="20"/>
              </w:rPr>
              <w:t> </w:t>
            </w:r>
          </w:p>
        </w:tc>
      </w:tr>
      <w:tr w:rsidR="00BD7444" w:rsidRPr="009F227C" w14:paraId="77E1C7A1" w14:textId="77777777" w:rsidTr="00BD7444">
        <w:trPr>
          <w:trHeight w:val="62"/>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4123E50C" w14:textId="77777777" w:rsidR="00BD7444" w:rsidRPr="009F227C" w:rsidRDefault="00BD7444" w:rsidP="004E4E2B">
            <w:pPr>
              <w:rPr>
                <w:sz w:val="20"/>
                <w:szCs w:val="20"/>
              </w:rPr>
            </w:pPr>
            <w:r w:rsidRPr="009F227C">
              <w:rPr>
                <w:sz w:val="20"/>
                <w:szCs w:val="20"/>
              </w:rPr>
              <w:t> </w:t>
            </w:r>
          </w:p>
        </w:tc>
        <w:tc>
          <w:tcPr>
            <w:tcW w:w="5940" w:type="dxa"/>
            <w:tcBorders>
              <w:top w:val="single" w:sz="4" w:space="0" w:color="000000"/>
              <w:left w:val="nil"/>
              <w:bottom w:val="nil"/>
              <w:right w:val="nil"/>
            </w:tcBorders>
            <w:shd w:val="clear" w:color="000000" w:fill="FFFFFF"/>
            <w:noWrap/>
            <w:vAlign w:val="bottom"/>
            <w:hideMark/>
          </w:tcPr>
          <w:p w14:paraId="1916E30A" w14:textId="77777777" w:rsidR="00BD7444" w:rsidRPr="009F227C" w:rsidRDefault="00BD7444" w:rsidP="004E4E2B">
            <w:pPr>
              <w:rPr>
                <w:sz w:val="20"/>
                <w:szCs w:val="20"/>
              </w:rPr>
            </w:pPr>
            <w:r w:rsidRPr="009F227C">
              <w:rPr>
                <w:sz w:val="20"/>
                <w:szCs w:val="20"/>
              </w:rPr>
              <w:t> </w:t>
            </w:r>
          </w:p>
        </w:tc>
        <w:tc>
          <w:tcPr>
            <w:tcW w:w="1520" w:type="dxa"/>
            <w:tcBorders>
              <w:top w:val="single" w:sz="4" w:space="0" w:color="000000"/>
              <w:left w:val="nil"/>
              <w:bottom w:val="nil"/>
              <w:right w:val="nil"/>
            </w:tcBorders>
            <w:shd w:val="clear" w:color="000000" w:fill="FFFFFF"/>
            <w:noWrap/>
            <w:vAlign w:val="bottom"/>
            <w:hideMark/>
          </w:tcPr>
          <w:p w14:paraId="1E10BCC5" w14:textId="77777777" w:rsidR="00BD7444" w:rsidRPr="009F227C" w:rsidRDefault="00BD7444" w:rsidP="004E4E2B">
            <w:pPr>
              <w:rPr>
                <w:sz w:val="20"/>
                <w:szCs w:val="20"/>
              </w:rPr>
            </w:pPr>
            <w:r w:rsidRPr="009F227C">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14:paraId="032685A5" w14:textId="77777777" w:rsidR="00BD7444" w:rsidRPr="009F227C" w:rsidRDefault="00BD7444" w:rsidP="004E4E2B">
            <w:pPr>
              <w:rPr>
                <w:sz w:val="20"/>
                <w:szCs w:val="20"/>
              </w:rPr>
            </w:pPr>
            <w:r w:rsidRPr="009F227C">
              <w:rPr>
                <w:sz w:val="20"/>
                <w:szCs w:val="20"/>
              </w:rPr>
              <w:t> </w:t>
            </w:r>
          </w:p>
        </w:tc>
      </w:tr>
      <w:tr w:rsidR="00BD7444" w:rsidRPr="009F227C" w14:paraId="769025CD" w14:textId="77777777" w:rsidTr="00BD7444">
        <w:trPr>
          <w:trHeight w:val="189"/>
          <w:jc w:val="center"/>
        </w:trPr>
        <w:tc>
          <w:tcPr>
            <w:tcW w:w="480" w:type="dxa"/>
            <w:tcBorders>
              <w:top w:val="nil"/>
              <w:left w:val="single" w:sz="4" w:space="0" w:color="auto"/>
              <w:bottom w:val="nil"/>
              <w:right w:val="nil"/>
            </w:tcBorders>
            <w:shd w:val="clear" w:color="000000" w:fill="FFFFFF"/>
            <w:noWrap/>
            <w:vAlign w:val="bottom"/>
            <w:hideMark/>
          </w:tcPr>
          <w:p w14:paraId="2BB470A4" w14:textId="77777777" w:rsidR="00BD7444" w:rsidRPr="009F227C" w:rsidRDefault="00BD7444" w:rsidP="004E4E2B">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44520571" w14:textId="77777777" w:rsidR="00BD7444" w:rsidRPr="009F227C" w:rsidRDefault="00BD7444" w:rsidP="004E4E2B">
            <w:pPr>
              <w:rPr>
                <w:b/>
                <w:bCs/>
                <w:sz w:val="20"/>
                <w:szCs w:val="20"/>
              </w:rPr>
            </w:pPr>
            <w:r w:rsidRPr="009F227C">
              <w:rPr>
                <w:b/>
                <w:bCs/>
                <w:sz w:val="20"/>
                <w:szCs w:val="20"/>
              </w:rPr>
              <w:t>Explanation</w:t>
            </w:r>
          </w:p>
        </w:tc>
        <w:tc>
          <w:tcPr>
            <w:tcW w:w="1520" w:type="dxa"/>
            <w:tcBorders>
              <w:top w:val="nil"/>
              <w:left w:val="nil"/>
              <w:bottom w:val="nil"/>
              <w:right w:val="nil"/>
            </w:tcBorders>
            <w:shd w:val="clear" w:color="000000" w:fill="FFFFFF"/>
            <w:noWrap/>
            <w:vAlign w:val="bottom"/>
            <w:hideMark/>
          </w:tcPr>
          <w:p w14:paraId="19A78CEE" w14:textId="77777777" w:rsidR="00BD7444" w:rsidRPr="009F227C" w:rsidRDefault="00BD7444" w:rsidP="004E4E2B">
            <w:pPr>
              <w:jc w:val="center"/>
              <w:rPr>
                <w:b/>
                <w:bCs/>
                <w:sz w:val="20"/>
                <w:szCs w:val="20"/>
              </w:rPr>
            </w:pPr>
            <w:r w:rsidRPr="009F227C">
              <w:rPr>
                <w:b/>
                <w:bCs/>
                <w:sz w:val="20"/>
                <w:szCs w:val="20"/>
              </w:rPr>
              <w:t>Water</w:t>
            </w:r>
          </w:p>
        </w:tc>
        <w:tc>
          <w:tcPr>
            <w:tcW w:w="1660" w:type="dxa"/>
            <w:tcBorders>
              <w:top w:val="nil"/>
              <w:left w:val="nil"/>
              <w:bottom w:val="nil"/>
              <w:right w:val="single" w:sz="4" w:space="0" w:color="auto"/>
            </w:tcBorders>
            <w:shd w:val="clear" w:color="000000" w:fill="FFFFFF"/>
            <w:noWrap/>
            <w:vAlign w:val="bottom"/>
            <w:hideMark/>
          </w:tcPr>
          <w:p w14:paraId="4BD647DF" w14:textId="77777777" w:rsidR="00BD7444" w:rsidRPr="009F227C" w:rsidRDefault="00BD7444" w:rsidP="004E4E2B">
            <w:pPr>
              <w:jc w:val="center"/>
              <w:rPr>
                <w:b/>
                <w:bCs/>
                <w:sz w:val="20"/>
                <w:szCs w:val="20"/>
              </w:rPr>
            </w:pPr>
            <w:r w:rsidRPr="009F227C">
              <w:rPr>
                <w:b/>
                <w:bCs/>
                <w:sz w:val="20"/>
                <w:szCs w:val="20"/>
              </w:rPr>
              <w:t>Wastewater</w:t>
            </w:r>
          </w:p>
        </w:tc>
      </w:tr>
      <w:tr w:rsidR="00BD7444" w:rsidRPr="009F227C" w14:paraId="6CE19D9D" w14:textId="77777777" w:rsidTr="00BD7444">
        <w:trPr>
          <w:trHeight w:val="108"/>
          <w:jc w:val="center"/>
        </w:trPr>
        <w:tc>
          <w:tcPr>
            <w:tcW w:w="480" w:type="dxa"/>
            <w:tcBorders>
              <w:top w:val="nil"/>
              <w:left w:val="single" w:sz="4" w:space="0" w:color="auto"/>
              <w:bottom w:val="nil"/>
              <w:right w:val="nil"/>
            </w:tcBorders>
            <w:shd w:val="clear" w:color="000000" w:fill="FFFFFF"/>
            <w:noWrap/>
            <w:vAlign w:val="bottom"/>
            <w:hideMark/>
          </w:tcPr>
          <w:p w14:paraId="130729FA" w14:textId="77777777" w:rsidR="00BD7444" w:rsidRPr="009F227C" w:rsidRDefault="00BD7444" w:rsidP="004E4E2B">
            <w:pP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14E22314" w14:textId="77777777" w:rsidR="00BD7444" w:rsidRPr="009F227C" w:rsidRDefault="00BD7444" w:rsidP="004E4E2B">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42688624"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3EEEDEAE" w14:textId="77777777" w:rsidR="00BD7444" w:rsidRPr="009F227C" w:rsidRDefault="00BD7444" w:rsidP="004E4E2B">
            <w:pPr>
              <w:rPr>
                <w:sz w:val="20"/>
                <w:szCs w:val="20"/>
              </w:rPr>
            </w:pPr>
            <w:r w:rsidRPr="009F227C">
              <w:rPr>
                <w:sz w:val="20"/>
                <w:szCs w:val="20"/>
              </w:rPr>
              <w:t> </w:t>
            </w:r>
          </w:p>
        </w:tc>
      </w:tr>
      <w:tr w:rsidR="00BD7444" w:rsidRPr="009F227C" w14:paraId="75A3CE0C" w14:textId="77777777" w:rsidTr="00BD7444">
        <w:trPr>
          <w:trHeight w:val="17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26687929" w14:textId="77777777" w:rsidR="00BD7444" w:rsidRPr="009F227C" w:rsidRDefault="00BD7444" w:rsidP="004E4E2B">
            <w:pPr>
              <w:jc w:val="center"/>
              <w:rPr>
                <w:sz w:val="20"/>
                <w:szCs w:val="20"/>
              </w:rPr>
            </w:pPr>
            <w:r w:rsidRPr="009F227C">
              <w:rPr>
                <w:sz w:val="20"/>
                <w:szCs w:val="20"/>
              </w:rPr>
              <w:t> </w:t>
            </w:r>
          </w:p>
        </w:tc>
        <w:tc>
          <w:tcPr>
            <w:tcW w:w="5940" w:type="dxa"/>
            <w:tcBorders>
              <w:top w:val="single" w:sz="4" w:space="0" w:color="000000"/>
              <w:left w:val="nil"/>
              <w:bottom w:val="nil"/>
              <w:right w:val="nil"/>
            </w:tcBorders>
            <w:shd w:val="clear" w:color="000000" w:fill="FFFFFF"/>
            <w:noWrap/>
            <w:vAlign w:val="bottom"/>
            <w:hideMark/>
          </w:tcPr>
          <w:p w14:paraId="10FCEDBE" w14:textId="77777777" w:rsidR="00BD7444" w:rsidRPr="009F227C" w:rsidRDefault="00BD7444" w:rsidP="004E4E2B">
            <w:pPr>
              <w:rPr>
                <w:sz w:val="20"/>
                <w:szCs w:val="20"/>
              </w:rPr>
            </w:pPr>
            <w:r w:rsidRPr="009F227C">
              <w:rPr>
                <w:sz w:val="20"/>
                <w:szCs w:val="20"/>
              </w:rPr>
              <w:t> </w:t>
            </w:r>
          </w:p>
        </w:tc>
        <w:tc>
          <w:tcPr>
            <w:tcW w:w="1520" w:type="dxa"/>
            <w:tcBorders>
              <w:top w:val="single" w:sz="4" w:space="0" w:color="000000"/>
              <w:left w:val="nil"/>
              <w:bottom w:val="nil"/>
              <w:right w:val="nil"/>
            </w:tcBorders>
            <w:shd w:val="clear" w:color="000000" w:fill="FFFFFF"/>
            <w:noWrap/>
            <w:vAlign w:val="bottom"/>
            <w:hideMark/>
          </w:tcPr>
          <w:p w14:paraId="52394F50" w14:textId="77777777" w:rsidR="00BD7444" w:rsidRPr="009F227C" w:rsidRDefault="00BD7444" w:rsidP="004E4E2B">
            <w:pPr>
              <w:rPr>
                <w:sz w:val="20"/>
                <w:szCs w:val="20"/>
              </w:rPr>
            </w:pPr>
            <w:r w:rsidRPr="009F227C">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14:paraId="7BA4A03A" w14:textId="77777777" w:rsidR="00BD7444" w:rsidRPr="009F227C" w:rsidRDefault="00BD7444" w:rsidP="004E4E2B">
            <w:pPr>
              <w:rPr>
                <w:sz w:val="20"/>
                <w:szCs w:val="20"/>
              </w:rPr>
            </w:pPr>
            <w:r w:rsidRPr="009F227C">
              <w:rPr>
                <w:sz w:val="20"/>
                <w:szCs w:val="20"/>
              </w:rPr>
              <w:t> </w:t>
            </w:r>
          </w:p>
        </w:tc>
      </w:tr>
      <w:tr w:rsidR="00BD7444" w:rsidRPr="009F227C" w14:paraId="71672E08" w14:textId="77777777" w:rsidTr="00BD7444">
        <w:trPr>
          <w:trHeight w:val="207"/>
          <w:jc w:val="center"/>
        </w:trPr>
        <w:tc>
          <w:tcPr>
            <w:tcW w:w="480" w:type="dxa"/>
            <w:tcBorders>
              <w:top w:val="nil"/>
              <w:left w:val="single" w:sz="4" w:space="0" w:color="auto"/>
              <w:bottom w:val="nil"/>
              <w:right w:val="nil"/>
            </w:tcBorders>
            <w:shd w:val="clear" w:color="000000" w:fill="FFFFFF"/>
            <w:noWrap/>
            <w:vAlign w:val="bottom"/>
            <w:hideMark/>
          </w:tcPr>
          <w:p w14:paraId="2824A1AA"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205AC19D" w14:textId="77777777" w:rsidR="00BD7444" w:rsidRPr="009F227C" w:rsidRDefault="00BD7444" w:rsidP="004E4E2B">
            <w:pPr>
              <w:rPr>
                <w:sz w:val="20"/>
                <w:szCs w:val="20"/>
                <w:u w:val="single"/>
              </w:rPr>
            </w:pPr>
            <w:r w:rsidRPr="009F227C">
              <w:rPr>
                <w:sz w:val="20"/>
                <w:szCs w:val="20"/>
                <w:u w:val="single"/>
              </w:rPr>
              <w:t>Operating Revenues</w:t>
            </w:r>
          </w:p>
        </w:tc>
        <w:tc>
          <w:tcPr>
            <w:tcW w:w="1520" w:type="dxa"/>
            <w:tcBorders>
              <w:top w:val="nil"/>
              <w:left w:val="nil"/>
              <w:bottom w:val="nil"/>
              <w:right w:val="nil"/>
            </w:tcBorders>
            <w:shd w:val="clear" w:color="000000" w:fill="FFFFFF"/>
            <w:noWrap/>
            <w:vAlign w:val="bottom"/>
            <w:hideMark/>
          </w:tcPr>
          <w:p w14:paraId="54C2691E"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41478FDF" w14:textId="77777777" w:rsidR="00BD7444" w:rsidRPr="009F227C" w:rsidRDefault="00BD7444" w:rsidP="004E4E2B">
            <w:pPr>
              <w:rPr>
                <w:sz w:val="20"/>
                <w:szCs w:val="20"/>
              </w:rPr>
            </w:pPr>
            <w:r w:rsidRPr="009F227C">
              <w:rPr>
                <w:sz w:val="20"/>
                <w:szCs w:val="20"/>
              </w:rPr>
              <w:t> </w:t>
            </w:r>
          </w:p>
        </w:tc>
      </w:tr>
      <w:tr w:rsidR="00BD7444" w:rsidRPr="009F227C" w14:paraId="6E12D548"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1E5DE8D0" w14:textId="77777777" w:rsidR="00BD7444" w:rsidRPr="009F227C" w:rsidRDefault="00BD7444" w:rsidP="004E4E2B">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13B92970" w14:textId="77777777" w:rsidR="00BD7444" w:rsidRPr="009F227C" w:rsidRDefault="00BD7444" w:rsidP="004E4E2B">
            <w:pPr>
              <w:rPr>
                <w:sz w:val="20"/>
                <w:szCs w:val="20"/>
              </w:rPr>
            </w:pPr>
            <w:r w:rsidRPr="009F227C">
              <w:rPr>
                <w:sz w:val="20"/>
                <w:szCs w:val="20"/>
              </w:rPr>
              <w:t>To remove requested final revenue increase.</w:t>
            </w:r>
          </w:p>
        </w:tc>
        <w:tc>
          <w:tcPr>
            <w:tcW w:w="1520" w:type="dxa"/>
            <w:tcBorders>
              <w:top w:val="nil"/>
              <w:left w:val="nil"/>
              <w:bottom w:val="nil"/>
              <w:right w:val="nil"/>
            </w:tcBorders>
            <w:shd w:val="clear" w:color="000000" w:fill="FFFFFF"/>
            <w:noWrap/>
            <w:vAlign w:val="bottom"/>
            <w:hideMark/>
          </w:tcPr>
          <w:p w14:paraId="4177782B" w14:textId="77777777" w:rsidR="00BD7444" w:rsidRPr="009F227C" w:rsidRDefault="00BD7444" w:rsidP="004E4E2B">
            <w:pPr>
              <w:jc w:val="right"/>
              <w:rPr>
                <w:sz w:val="20"/>
                <w:szCs w:val="20"/>
              </w:rPr>
            </w:pPr>
            <w:r w:rsidRPr="009F227C">
              <w:rPr>
                <w:sz w:val="20"/>
                <w:szCs w:val="20"/>
              </w:rPr>
              <w:t>($5,175,376)</w:t>
            </w:r>
          </w:p>
        </w:tc>
        <w:tc>
          <w:tcPr>
            <w:tcW w:w="1660" w:type="dxa"/>
            <w:tcBorders>
              <w:top w:val="nil"/>
              <w:left w:val="nil"/>
              <w:bottom w:val="nil"/>
              <w:right w:val="single" w:sz="4" w:space="0" w:color="auto"/>
            </w:tcBorders>
            <w:shd w:val="clear" w:color="000000" w:fill="FFFFFF"/>
            <w:noWrap/>
            <w:vAlign w:val="bottom"/>
            <w:hideMark/>
          </w:tcPr>
          <w:p w14:paraId="1F49D23B" w14:textId="77777777" w:rsidR="00BD7444" w:rsidRPr="009F227C" w:rsidRDefault="00BD7444" w:rsidP="004E4E2B">
            <w:pPr>
              <w:jc w:val="right"/>
              <w:rPr>
                <w:sz w:val="20"/>
                <w:szCs w:val="20"/>
              </w:rPr>
            </w:pPr>
            <w:r w:rsidRPr="009F227C">
              <w:rPr>
                <w:sz w:val="20"/>
                <w:szCs w:val="20"/>
              </w:rPr>
              <w:t>($4,701,373)</w:t>
            </w:r>
          </w:p>
        </w:tc>
      </w:tr>
      <w:tr w:rsidR="00BD7444" w:rsidRPr="009F227C" w14:paraId="65CFCB72"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38D1FAB" w14:textId="77777777" w:rsidR="00BD7444" w:rsidRPr="009F227C" w:rsidRDefault="00BD7444" w:rsidP="004E4E2B">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3804CE58" w14:textId="77777777" w:rsidR="00BD7444" w:rsidRPr="009F227C" w:rsidRDefault="00BD7444" w:rsidP="004E4E2B">
            <w:pPr>
              <w:rPr>
                <w:sz w:val="20"/>
                <w:szCs w:val="20"/>
              </w:rPr>
            </w:pPr>
            <w:r w:rsidRPr="009F227C">
              <w:rPr>
                <w:sz w:val="20"/>
                <w:szCs w:val="20"/>
              </w:rPr>
              <w:t>To reflect the appropriate annualized service revenues.</w:t>
            </w:r>
          </w:p>
        </w:tc>
        <w:tc>
          <w:tcPr>
            <w:tcW w:w="1520" w:type="dxa"/>
            <w:tcBorders>
              <w:top w:val="nil"/>
              <w:left w:val="nil"/>
              <w:bottom w:val="nil"/>
              <w:right w:val="nil"/>
            </w:tcBorders>
            <w:shd w:val="clear" w:color="000000" w:fill="FFFFFF"/>
            <w:noWrap/>
            <w:vAlign w:val="bottom"/>
            <w:hideMark/>
          </w:tcPr>
          <w:p w14:paraId="2B6CDD09" w14:textId="77777777" w:rsidR="00BD7444" w:rsidRPr="009F227C" w:rsidRDefault="00BD7444" w:rsidP="004E4E2B">
            <w:pPr>
              <w:jc w:val="right"/>
              <w:rPr>
                <w:sz w:val="20"/>
                <w:szCs w:val="20"/>
              </w:rPr>
            </w:pPr>
            <w:r w:rsidRPr="009F227C">
              <w:rPr>
                <w:sz w:val="20"/>
                <w:szCs w:val="20"/>
              </w:rPr>
              <w:t>0</w:t>
            </w:r>
          </w:p>
        </w:tc>
        <w:tc>
          <w:tcPr>
            <w:tcW w:w="1660" w:type="dxa"/>
            <w:tcBorders>
              <w:top w:val="nil"/>
              <w:left w:val="nil"/>
              <w:bottom w:val="nil"/>
              <w:right w:val="single" w:sz="4" w:space="0" w:color="auto"/>
            </w:tcBorders>
            <w:shd w:val="clear" w:color="000000" w:fill="FFFFFF"/>
            <w:noWrap/>
            <w:vAlign w:val="bottom"/>
            <w:hideMark/>
          </w:tcPr>
          <w:p w14:paraId="0A687EA9" w14:textId="77777777" w:rsidR="00BD7444" w:rsidRPr="009F227C" w:rsidRDefault="00BD7444" w:rsidP="004E4E2B">
            <w:pPr>
              <w:jc w:val="right"/>
              <w:rPr>
                <w:sz w:val="20"/>
                <w:szCs w:val="20"/>
              </w:rPr>
            </w:pPr>
            <w:r w:rsidRPr="009F227C">
              <w:rPr>
                <w:sz w:val="20"/>
                <w:szCs w:val="20"/>
              </w:rPr>
              <w:t>32</w:t>
            </w:r>
          </w:p>
        </w:tc>
      </w:tr>
      <w:tr w:rsidR="00BD7444" w:rsidRPr="009F227C" w14:paraId="14B84004"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tcPr>
          <w:p w14:paraId="6FBCBB23" w14:textId="77777777" w:rsidR="00BD7444" w:rsidRPr="009F227C" w:rsidRDefault="00BD7444" w:rsidP="004E4E2B">
            <w:pPr>
              <w:jc w:val="center"/>
              <w:rPr>
                <w:sz w:val="20"/>
                <w:szCs w:val="20"/>
              </w:rPr>
            </w:pPr>
            <w:r w:rsidRPr="009F227C">
              <w:rPr>
                <w:sz w:val="20"/>
                <w:szCs w:val="20"/>
              </w:rPr>
              <w:t>3</w:t>
            </w:r>
          </w:p>
        </w:tc>
        <w:tc>
          <w:tcPr>
            <w:tcW w:w="5940" w:type="dxa"/>
            <w:tcBorders>
              <w:top w:val="nil"/>
              <w:left w:val="nil"/>
              <w:bottom w:val="nil"/>
              <w:right w:val="nil"/>
            </w:tcBorders>
            <w:shd w:val="clear" w:color="000000" w:fill="FFFFFF"/>
            <w:noWrap/>
            <w:vAlign w:val="bottom"/>
          </w:tcPr>
          <w:p w14:paraId="36642F0B" w14:textId="77777777" w:rsidR="00BD7444" w:rsidRPr="009F227C" w:rsidRDefault="00BD7444" w:rsidP="004E4E2B">
            <w:pPr>
              <w:rPr>
                <w:sz w:val="20"/>
                <w:szCs w:val="20"/>
              </w:rPr>
            </w:pPr>
            <w:r w:rsidRPr="009F227C">
              <w:rPr>
                <w:sz w:val="20"/>
                <w:szCs w:val="20"/>
              </w:rPr>
              <w:t>To reflect the appropriate annualized miscellaneous revenues.</w:t>
            </w:r>
          </w:p>
        </w:tc>
        <w:tc>
          <w:tcPr>
            <w:tcW w:w="1520" w:type="dxa"/>
            <w:tcBorders>
              <w:top w:val="nil"/>
              <w:left w:val="nil"/>
              <w:bottom w:val="nil"/>
              <w:right w:val="nil"/>
            </w:tcBorders>
            <w:shd w:val="clear" w:color="000000" w:fill="FFFFFF"/>
            <w:noWrap/>
            <w:vAlign w:val="bottom"/>
          </w:tcPr>
          <w:p w14:paraId="3C6D8041" w14:textId="77777777" w:rsidR="00BD7444" w:rsidRPr="009F227C" w:rsidRDefault="00BD7444" w:rsidP="004E4E2B">
            <w:pPr>
              <w:jc w:val="right"/>
              <w:rPr>
                <w:sz w:val="20"/>
                <w:szCs w:val="20"/>
              </w:rPr>
            </w:pPr>
            <w:r w:rsidRPr="009F227C">
              <w:rPr>
                <w:sz w:val="20"/>
                <w:szCs w:val="20"/>
              </w:rPr>
              <w:t>7,817</w:t>
            </w:r>
          </w:p>
        </w:tc>
        <w:tc>
          <w:tcPr>
            <w:tcW w:w="1660" w:type="dxa"/>
            <w:tcBorders>
              <w:top w:val="nil"/>
              <w:left w:val="nil"/>
              <w:bottom w:val="nil"/>
              <w:right w:val="single" w:sz="4" w:space="0" w:color="auto"/>
            </w:tcBorders>
            <w:shd w:val="clear" w:color="000000" w:fill="FFFFFF"/>
            <w:noWrap/>
            <w:vAlign w:val="bottom"/>
          </w:tcPr>
          <w:p w14:paraId="4FDE0D7C" w14:textId="77777777" w:rsidR="00BD7444" w:rsidRPr="009F227C" w:rsidRDefault="00BD7444" w:rsidP="004E4E2B">
            <w:pPr>
              <w:jc w:val="right"/>
              <w:rPr>
                <w:sz w:val="20"/>
                <w:szCs w:val="20"/>
              </w:rPr>
            </w:pPr>
            <w:r w:rsidRPr="009F227C">
              <w:rPr>
                <w:sz w:val="20"/>
                <w:szCs w:val="20"/>
              </w:rPr>
              <w:t>7,268</w:t>
            </w:r>
          </w:p>
        </w:tc>
      </w:tr>
      <w:tr w:rsidR="00BD7444" w:rsidRPr="009F227C" w14:paraId="075707CC"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tcPr>
          <w:p w14:paraId="7B7C977E" w14:textId="77777777" w:rsidR="00BD7444" w:rsidRPr="009F227C" w:rsidRDefault="00BD7444" w:rsidP="004E4E2B">
            <w:pPr>
              <w:jc w:val="center"/>
              <w:rPr>
                <w:sz w:val="20"/>
                <w:szCs w:val="20"/>
              </w:rPr>
            </w:pPr>
            <w:r w:rsidRPr="009F227C">
              <w:rPr>
                <w:sz w:val="20"/>
                <w:szCs w:val="20"/>
              </w:rPr>
              <w:t>4</w:t>
            </w:r>
          </w:p>
        </w:tc>
        <w:tc>
          <w:tcPr>
            <w:tcW w:w="5940" w:type="dxa"/>
            <w:tcBorders>
              <w:top w:val="nil"/>
              <w:left w:val="nil"/>
              <w:bottom w:val="nil"/>
              <w:right w:val="nil"/>
            </w:tcBorders>
            <w:shd w:val="clear" w:color="000000" w:fill="FFFFFF"/>
            <w:noWrap/>
            <w:vAlign w:val="bottom"/>
          </w:tcPr>
          <w:p w14:paraId="75CCA5E5" w14:textId="77777777" w:rsidR="00BD7444" w:rsidRPr="009F227C" w:rsidRDefault="00BD7444" w:rsidP="004E4E2B">
            <w:pPr>
              <w:rPr>
                <w:sz w:val="20"/>
                <w:szCs w:val="20"/>
              </w:rPr>
            </w:pPr>
            <w:r w:rsidRPr="009F227C">
              <w:rPr>
                <w:sz w:val="20"/>
                <w:szCs w:val="20"/>
              </w:rPr>
              <w:t>To reflect Audit Finding No. 4.</w:t>
            </w:r>
          </w:p>
        </w:tc>
        <w:tc>
          <w:tcPr>
            <w:tcW w:w="1520" w:type="dxa"/>
            <w:tcBorders>
              <w:top w:val="nil"/>
              <w:left w:val="nil"/>
              <w:bottom w:val="nil"/>
              <w:right w:val="nil"/>
            </w:tcBorders>
            <w:shd w:val="clear" w:color="000000" w:fill="FFFFFF"/>
            <w:noWrap/>
            <w:vAlign w:val="bottom"/>
          </w:tcPr>
          <w:p w14:paraId="47053C66" w14:textId="77777777" w:rsidR="00BD7444" w:rsidRPr="009F227C" w:rsidRDefault="00BD7444" w:rsidP="004E4E2B">
            <w:pPr>
              <w:jc w:val="right"/>
              <w:rPr>
                <w:sz w:val="20"/>
                <w:szCs w:val="20"/>
                <w:u w:val="single"/>
              </w:rPr>
            </w:pPr>
            <w:r w:rsidRPr="009F227C">
              <w:rPr>
                <w:sz w:val="20"/>
                <w:szCs w:val="20"/>
                <w:u w:val="single"/>
              </w:rPr>
              <w:t>(10,050)</w:t>
            </w:r>
          </w:p>
        </w:tc>
        <w:tc>
          <w:tcPr>
            <w:tcW w:w="1660" w:type="dxa"/>
            <w:tcBorders>
              <w:top w:val="nil"/>
              <w:left w:val="nil"/>
              <w:bottom w:val="nil"/>
              <w:right w:val="single" w:sz="4" w:space="0" w:color="auto"/>
            </w:tcBorders>
            <w:shd w:val="clear" w:color="000000" w:fill="FFFFFF"/>
            <w:noWrap/>
            <w:vAlign w:val="bottom"/>
          </w:tcPr>
          <w:p w14:paraId="2EEAF8C9" w14:textId="77777777" w:rsidR="00BD7444" w:rsidRPr="009F227C" w:rsidRDefault="00BD7444" w:rsidP="004E4E2B">
            <w:pPr>
              <w:jc w:val="right"/>
              <w:rPr>
                <w:sz w:val="20"/>
                <w:szCs w:val="20"/>
                <w:u w:val="single"/>
              </w:rPr>
            </w:pPr>
            <w:r w:rsidRPr="009F227C">
              <w:rPr>
                <w:sz w:val="20"/>
                <w:szCs w:val="20"/>
                <w:u w:val="single"/>
              </w:rPr>
              <w:t>(9,345)</w:t>
            </w:r>
          </w:p>
        </w:tc>
      </w:tr>
      <w:tr w:rsidR="00BD7444" w:rsidRPr="009F227C" w14:paraId="328A8100"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30D2C93E"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217F28D7" w14:textId="77777777" w:rsidR="00BD7444" w:rsidRPr="009F227C" w:rsidRDefault="00BD7444" w:rsidP="004E4E2B">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264E875D" w14:textId="77777777" w:rsidR="00BD7444" w:rsidRPr="009F227C" w:rsidRDefault="00BD7444" w:rsidP="004E4E2B">
            <w:pPr>
              <w:jc w:val="right"/>
              <w:rPr>
                <w:sz w:val="20"/>
                <w:szCs w:val="20"/>
                <w:u w:val="double"/>
              </w:rPr>
            </w:pPr>
            <w:r w:rsidRPr="009F227C">
              <w:rPr>
                <w:sz w:val="20"/>
                <w:szCs w:val="20"/>
                <w:u w:val="double"/>
              </w:rPr>
              <w:t>($5,177,609)</w:t>
            </w:r>
          </w:p>
        </w:tc>
        <w:tc>
          <w:tcPr>
            <w:tcW w:w="1660" w:type="dxa"/>
            <w:tcBorders>
              <w:top w:val="nil"/>
              <w:left w:val="nil"/>
              <w:bottom w:val="nil"/>
              <w:right w:val="single" w:sz="4" w:space="0" w:color="auto"/>
            </w:tcBorders>
            <w:shd w:val="clear" w:color="000000" w:fill="FFFFFF"/>
            <w:noWrap/>
            <w:vAlign w:val="bottom"/>
            <w:hideMark/>
          </w:tcPr>
          <w:p w14:paraId="2DABCAA9" w14:textId="77777777" w:rsidR="00BD7444" w:rsidRPr="009F227C" w:rsidRDefault="00BD7444" w:rsidP="004E4E2B">
            <w:pPr>
              <w:jc w:val="right"/>
              <w:rPr>
                <w:sz w:val="20"/>
                <w:szCs w:val="20"/>
                <w:u w:val="double"/>
              </w:rPr>
            </w:pPr>
            <w:r w:rsidRPr="009F227C">
              <w:rPr>
                <w:sz w:val="20"/>
                <w:szCs w:val="20"/>
                <w:u w:val="double"/>
              </w:rPr>
              <w:t>($4,703,419)</w:t>
            </w:r>
          </w:p>
        </w:tc>
      </w:tr>
      <w:tr w:rsidR="00BD7444" w:rsidRPr="009F227C" w14:paraId="43B50E55" w14:textId="77777777" w:rsidTr="00BD7444">
        <w:trPr>
          <w:trHeight w:val="153"/>
          <w:jc w:val="center"/>
        </w:trPr>
        <w:tc>
          <w:tcPr>
            <w:tcW w:w="480" w:type="dxa"/>
            <w:tcBorders>
              <w:top w:val="nil"/>
              <w:left w:val="single" w:sz="4" w:space="0" w:color="auto"/>
              <w:bottom w:val="nil"/>
              <w:right w:val="nil"/>
            </w:tcBorders>
            <w:shd w:val="clear" w:color="000000" w:fill="FFFFFF"/>
            <w:noWrap/>
            <w:vAlign w:val="bottom"/>
            <w:hideMark/>
          </w:tcPr>
          <w:p w14:paraId="06839B0B"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01DFB7C3" w14:textId="77777777" w:rsidR="00BD7444" w:rsidRPr="009F227C" w:rsidRDefault="00BD7444" w:rsidP="004E4E2B">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7E99613E"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5D348A93" w14:textId="77777777" w:rsidR="00BD7444" w:rsidRPr="009F227C" w:rsidRDefault="00BD7444" w:rsidP="004E4E2B">
            <w:pPr>
              <w:rPr>
                <w:sz w:val="20"/>
                <w:szCs w:val="20"/>
              </w:rPr>
            </w:pPr>
            <w:r w:rsidRPr="009F227C">
              <w:rPr>
                <w:sz w:val="20"/>
                <w:szCs w:val="20"/>
              </w:rPr>
              <w:t> </w:t>
            </w:r>
          </w:p>
        </w:tc>
      </w:tr>
      <w:tr w:rsidR="00BD7444" w:rsidRPr="009F227C" w14:paraId="47942B8E" w14:textId="77777777" w:rsidTr="00BD7444">
        <w:trPr>
          <w:trHeight w:val="162"/>
          <w:jc w:val="center"/>
        </w:trPr>
        <w:tc>
          <w:tcPr>
            <w:tcW w:w="480" w:type="dxa"/>
            <w:tcBorders>
              <w:top w:val="nil"/>
              <w:left w:val="single" w:sz="4" w:space="0" w:color="auto"/>
              <w:bottom w:val="nil"/>
              <w:right w:val="nil"/>
            </w:tcBorders>
            <w:shd w:val="clear" w:color="000000" w:fill="FFFFFF"/>
            <w:noWrap/>
            <w:vAlign w:val="bottom"/>
            <w:hideMark/>
          </w:tcPr>
          <w:p w14:paraId="13F3A00F"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04501660" w14:textId="77777777" w:rsidR="00BD7444" w:rsidRPr="009F227C" w:rsidRDefault="00BD7444" w:rsidP="004E4E2B">
            <w:pPr>
              <w:rPr>
                <w:sz w:val="20"/>
                <w:szCs w:val="20"/>
                <w:u w:val="single"/>
              </w:rPr>
            </w:pPr>
            <w:r w:rsidRPr="009F227C">
              <w:rPr>
                <w:sz w:val="20"/>
                <w:szCs w:val="20"/>
                <w:u w:val="single"/>
              </w:rPr>
              <w:t>Operation and Maintenance Expense</w:t>
            </w:r>
          </w:p>
        </w:tc>
        <w:tc>
          <w:tcPr>
            <w:tcW w:w="1520" w:type="dxa"/>
            <w:tcBorders>
              <w:top w:val="nil"/>
              <w:left w:val="nil"/>
              <w:bottom w:val="nil"/>
              <w:right w:val="nil"/>
            </w:tcBorders>
            <w:shd w:val="clear" w:color="000000" w:fill="FFFFFF"/>
            <w:noWrap/>
            <w:vAlign w:val="bottom"/>
            <w:hideMark/>
          </w:tcPr>
          <w:p w14:paraId="0F7719D3"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672668ED" w14:textId="77777777" w:rsidR="00BD7444" w:rsidRPr="009F227C" w:rsidRDefault="00BD7444" w:rsidP="004E4E2B">
            <w:pPr>
              <w:rPr>
                <w:sz w:val="20"/>
                <w:szCs w:val="20"/>
              </w:rPr>
            </w:pPr>
            <w:r w:rsidRPr="009F227C">
              <w:rPr>
                <w:sz w:val="20"/>
                <w:szCs w:val="20"/>
              </w:rPr>
              <w:t> </w:t>
            </w:r>
          </w:p>
        </w:tc>
      </w:tr>
      <w:tr w:rsidR="00BD7444" w:rsidRPr="009F227C" w14:paraId="5C74EE53"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1A57D02A" w14:textId="77777777" w:rsidR="00BD7444" w:rsidRPr="009F227C" w:rsidRDefault="00BD7444" w:rsidP="004E4E2B">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35D98C1D" w14:textId="77777777" w:rsidR="00BD7444" w:rsidRPr="009F227C" w:rsidRDefault="00BD7444" w:rsidP="004E4E2B">
            <w:pPr>
              <w:rPr>
                <w:sz w:val="20"/>
                <w:szCs w:val="20"/>
              </w:rPr>
            </w:pPr>
            <w:r w:rsidRPr="009F227C">
              <w:rPr>
                <w:sz w:val="20"/>
                <w:szCs w:val="20"/>
              </w:rPr>
              <w:t>To reflect Audit Finding No. 9 modified via Rebuttal. (I-28)</w:t>
            </w:r>
          </w:p>
        </w:tc>
        <w:tc>
          <w:tcPr>
            <w:tcW w:w="1520" w:type="dxa"/>
            <w:tcBorders>
              <w:top w:val="nil"/>
              <w:left w:val="nil"/>
              <w:bottom w:val="nil"/>
              <w:right w:val="nil"/>
            </w:tcBorders>
            <w:shd w:val="clear" w:color="000000" w:fill="FFFFFF"/>
            <w:noWrap/>
            <w:vAlign w:val="bottom"/>
            <w:hideMark/>
          </w:tcPr>
          <w:p w14:paraId="75E0F87E" w14:textId="77777777" w:rsidR="00BD7444" w:rsidRPr="009F227C" w:rsidRDefault="00BD7444" w:rsidP="004E4E2B">
            <w:pPr>
              <w:jc w:val="right"/>
              <w:rPr>
                <w:sz w:val="20"/>
                <w:szCs w:val="20"/>
              </w:rPr>
            </w:pPr>
            <w:r w:rsidRPr="009F227C">
              <w:rPr>
                <w:sz w:val="20"/>
                <w:szCs w:val="20"/>
              </w:rPr>
              <w:t xml:space="preserve">$43,442 </w:t>
            </w:r>
          </w:p>
        </w:tc>
        <w:tc>
          <w:tcPr>
            <w:tcW w:w="1660" w:type="dxa"/>
            <w:tcBorders>
              <w:top w:val="nil"/>
              <w:left w:val="nil"/>
              <w:bottom w:val="nil"/>
              <w:right w:val="single" w:sz="4" w:space="0" w:color="auto"/>
            </w:tcBorders>
            <w:shd w:val="clear" w:color="000000" w:fill="FFFFFF"/>
            <w:noWrap/>
            <w:vAlign w:val="bottom"/>
            <w:hideMark/>
          </w:tcPr>
          <w:p w14:paraId="52A9F04F" w14:textId="77777777" w:rsidR="00BD7444" w:rsidRPr="009F227C" w:rsidRDefault="00BD7444" w:rsidP="004E4E2B">
            <w:pPr>
              <w:jc w:val="right"/>
              <w:rPr>
                <w:sz w:val="20"/>
                <w:szCs w:val="20"/>
              </w:rPr>
            </w:pPr>
            <w:r w:rsidRPr="009F227C">
              <w:rPr>
                <w:sz w:val="20"/>
                <w:szCs w:val="20"/>
              </w:rPr>
              <w:t xml:space="preserve">$42,383 </w:t>
            </w:r>
          </w:p>
        </w:tc>
      </w:tr>
      <w:tr w:rsidR="00BD7444" w:rsidRPr="009F227C" w14:paraId="7BC1438B"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CE7C803" w14:textId="77777777" w:rsidR="00BD7444" w:rsidRPr="009F227C" w:rsidRDefault="00BD7444" w:rsidP="004E4E2B">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32F0D71C" w14:textId="77777777" w:rsidR="00BD7444" w:rsidRPr="009F227C" w:rsidRDefault="00BD7444" w:rsidP="004E4E2B">
            <w:pPr>
              <w:rPr>
                <w:sz w:val="20"/>
                <w:szCs w:val="20"/>
              </w:rPr>
            </w:pPr>
            <w:r w:rsidRPr="009F227C">
              <w:rPr>
                <w:sz w:val="20"/>
                <w:szCs w:val="20"/>
              </w:rPr>
              <w:t>To remove expense associated with DEP penalty. (I-28)</w:t>
            </w:r>
          </w:p>
        </w:tc>
        <w:tc>
          <w:tcPr>
            <w:tcW w:w="1520" w:type="dxa"/>
            <w:tcBorders>
              <w:top w:val="nil"/>
              <w:left w:val="nil"/>
              <w:bottom w:val="nil"/>
              <w:right w:val="nil"/>
            </w:tcBorders>
            <w:shd w:val="clear" w:color="000000" w:fill="FFFFFF"/>
            <w:noWrap/>
            <w:vAlign w:val="bottom"/>
            <w:hideMark/>
          </w:tcPr>
          <w:p w14:paraId="5C79139A" w14:textId="77777777" w:rsidR="00BD7444" w:rsidRPr="009F227C" w:rsidRDefault="00BD7444" w:rsidP="004E4E2B">
            <w:pPr>
              <w:jc w:val="right"/>
              <w:rPr>
                <w:sz w:val="20"/>
                <w:szCs w:val="20"/>
              </w:rPr>
            </w:pPr>
            <w:r w:rsidRPr="009F227C">
              <w:rPr>
                <w:sz w:val="20"/>
                <w:szCs w:val="20"/>
              </w:rPr>
              <w:t>(165,188)</w:t>
            </w:r>
          </w:p>
        </w:tc>
        <w:tc>
          <w:tcPr>
            <w:tcW w:w="1660" w:type="dxa"/>
            <w:tcBorders>
              <w:top w:val="nil"/>
              <w:left w:val="nil"/>
              <w:bottom w:val="nil"/>
              <w:right w:val="single" w:sz="4" w:space="0" w:color="auto"/>
            </w:tcBorders>
            <w:shd w:val="clear" w:color="000000" w:fill="FFFFFF"/>
            <w:noWrap/>
            <w:vAlign w:val="bottom"/>
            <w:hideMark/>
          </w:tcPr>
          <w:p w14:paraId="2BF1F142" w14:textId="77777777" w:rsidR="00BD7444" w:rsidRPr="009F227C" w:rsidRDefault="00BD7444" w:rsidP="004E4E2B">
            <w:pPr>
              <w:jc w:val="right"/>
              <w:rPr>
                <w:sz w:val="20"/>
                <w:szCs w:val="20"/>
              </w:rPr>
            </w:pPr>
            <w:r w:rsidRPr="009F227C">
              <w:rPr>
                <w:sz w:val="20"/>
                <w:szCs w:val="20"/>
              </w:rPr>
              <w:t>(153,584)</w:t>
            </w:r>
          </w:p>
        </w:tc>
      </w:tr>
      <w:tr w:rsidR="00BD7444" w:rsidRPr="009F227C" w14:paraId="61DAAAD8"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0493224" w14:textId="77777777" w:rsidR="00BD7444" w:rsidRPr="009F227C" w:rsidRDefault="00BD7444" w:rsidP="004E4E2B">
            <w:pPr>
              <w:jc w:val="center"/>
              <w:rPr>
                <w:sz w:val="20"/>
                <w:szCs w:val="20"/>
              </w:rPr>
            </w:pPr>
            <w:r w:rsidRPr="009F227C">
              <w:rPr>
                <w:sz w:val="20"/>
                <w:szCs w:val="20"/>
              </w:rPr>
              <w:t>3</w:t>
            </w:r>
          </w:p>
        </w:tc>
        <w:tc>
          <w:tcPr>
            <w:tcW w:w="5940" w:type="dxa"/>
            <w:tcBorders>
              <w:top w:val="nil"/>
              <w:left w:val="nil"/>
              <w:bottom w:val="nil"/>
              <w:right w:val="nil"/>
            </w:tcBorders>
            <w:shd w:val="clear" w:color="000000" w:fill="FFFFFF"/>
            <w:noWrap/>
            <w:vAlign w:val="bottom"/>
            <w:hideMark/>
          </w:tcPr>
          <w:p w14:paraId="531578A7" w14:textId="77777777" w:rsidR="00BD7444" w:rsidRPr="009F227C" w:rsidRDefault="00BD7444" w:rsidP="004E4E2B">
            <w:pPr>
              <w:rPr>
                <w:sz w:val="20"/>
                <w:szCs w:val="20"/>
              </w:rPr>
            </w:pPr>
            <w:r w:rsidRPr="009F227C">
              <w:rPr>
                <w:sz w:val="20"/>
                <w:szCs w:val="20"/>
              </w:rPr>
              <w:t>To remove charitable contributions. (I-28)</w:t>
            </w:r>
          </w:p>
        </w:tc>
        <w:tc>
          <w:tcPr>
            <w:tcW w:w="1520" w:type="dxa"/>
            <w:tcBorders>
              <w:top w:val="nil"/>
              <w:left w:val="nil"/>
              <w:bottom w:val="nil"/>
              <w:right w:val="nil"/>
            </w:tcBorders>
            <w:shd w:val="clear" w:color="000000" w:fill="FFFFFF"/>
            <w:noWrap/>
            <w:vAlign w:val="bottom"/>
            <w:hideMark/>
          </w:tcPr>
          <w:p w14:paraId="79C275E2" w14:textId="77777777" w:rsidR="00BD7444" w:rsidRPr="009F227C" w:rsidRDefault="00BD7444" w:rsidP="004E4E2B">
            <w:pPr>
              <w:jc w:val="right"/>
              <w:rPr>
                <w:sz w:val="20"/>
                <w:szCs w:val="20"/>
              </w:rPr>
            </w:pPr>
            <w:r w:rsidRPr="009F227C">
              <w:rPr>
                <w:sz w:val="20"/>
                <w:szCs w:val="20"/>
              </w:rPr>
              <w:t>(10,490)</w:t>
            </w:r>
          </w:p>
        </w:tc>
        <w:tc>
          <w:tcPr>
            <w:tcW w:w="1660" w:type="dxa"/>
            <w:tcBorders>
              <w:top w:val="nil"/>
              <w:left w:val="nil"/>
              <w:bottom w:val="nil"/>
              <w:right w:val="single" w:sz="4" w:space="0" w:color="auto"/>
            </w:tcBorders>
            <w:shd w:val="clear" w:color="000000" w:fill="FFFFFF"/>
            <w:noWrap/>
            <w:vAlign w:val="bottom"/>
            <w:hideMark/>
          </w:tcPr>
          <w:p w14:paraId="3431496D" w14:textId="77777777" w:rsidR="00BD7444" w:rsidRPr="009F227C" w:rsidRDefault="00BD7444" w:rsidP="004E4E2B">
            <w:pPr>
              <w:jc w:val="right"/>
              <w:rPr>
                <w:sz w:val="20"/>
                <w:szCs w:val="20"/>
              </w:rPr>
            </w:pPr>
            <w:r w:rsidRPr="009F227C">
              <w:rPr>
                <w:sz w:val="20"/>
                <w:szCs w:val="20"/>
              </w:rPr>
              <w:t>(9,754)</w:t>
            </w:r>
          </w:p>
        </w:tc>
      </w:tr>
      <w:tr w:rsidR="00BD7444" w:rsidRPr="009F227C" w14:paraId="7255CCBD"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1CD90EEA" w14:textId="77777777" w:rsidR="00BD7444" w:rsidRPr="009F227C" w:rsidRDefault="00BD7444" w:rsidP="004E4E2B">
            <w:pPr>
              <w:jc w:val="center"/>
              <w:rPr>
                <w:sz w:val="20"/>
                <w:szCs w:val="20"/>
              </w:rPr>
            </w:pPr>
            <w:r w:rsidRPr="009F227C">
              <w:rPr>
                <w:sz w:val="20"/>
                <w:szCs w:val="20"/>
              </w:rPr>
              <w:t>4</w:t>
            </w:r>
          </w:p>
        </w:tc>
        <w:tc>
          <w:tcPr>
            <w:tcW w:w="5940" w:type="dxa"/>
            <w:tcBorders>
              <w:top w:val="nil"/>
              <w:left w:val="nil"/>
              <w:bottom w:val="nil"/>
              <w:right w:val="nil"/>
            </w:tcBorders>
            <w:shd w:val="clear" w:color="000000" w:fill="FFFFFF"/>
            <w:noWrap/>
            <w:vAlign w:val="bottom"/>
            <w:hideMark/>
          </w:tcPr>
          <w:p w14:paraId="4E1DF6CE" w14:textId="77777777" w:rsidR="00BD7444" w:rsidRPr="009F227C" w:rsidRDefault="00BD7444" w:rsidP="004E4E2B">
            <w:pPr>
              <w:rPr>
                <w:sz w:val="20"/>
                <w:szCs w:val="20"/>
              </w:rPr>
            </w:pPr>
            <w:r w:rsidRPr="009F227C">
              <w:rPr>
                <w:sz w:val="20"/>
                <w:szCs w:val="20"/>
              </w:rPr>
              <w:t>To remove expenses associated Wekiva WWTP litigation. (I-28)</w:t>
            </w:r>
          </w:p>
        </w:tc>
        <w:tc>
          <w:tcPr>
            <w:tcW w:w="1520" w:type="dxa"/>
            <w:tcBorders>
              <w:top w:val="nil"/>
              <w:left w:val="nil"/>
              <w:bottom w:val="nil"/>
              <w:right w:val="nil"/>
            </w:tcBorders>
            <w:shd w:val="clear" w:color="000000" w:fill="FFFFFF"/>
            <w:noWrap/>
            <w:vAlign w:val="bottom"/>
            <w:hideMark/>
          </w:tcPr>
          <w:p w14:paraId="6E9227D5" w14:textId="77777777" w:rsidR="00BD7444" w:rsidRPr="009F227C" w:rsidRDefault="00BD7444" w:rsidP="004E4E2B">
            <w:pPr>
              <w:jc w:val="right"/>
              <w:rPr>
                <w:sz w:val="20"/>
                <w:szCs w:val="20"/>
              </w:rPr>
            </w:pPr>
            <w:r w:rsidRPr="009F227C">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14:paraId="780EFEE7" w14:textId="77777777" w:rsidR="00BD7444" w:rsidRPr="009F227C" w:rsidRDefault="00BD7444" w:rsidP="004E4E2B">
            <w:pPr>
              <w:jc w:val="right"/>
              <w:rPr>
                <w:sz w:val="20"/>
                <w:szCs w:val="20"/>
              </w:rPr>
            </w:pPr>
            <w:r w:rsidRPr="009F227C">
              <w:rPr>
                <w:sz w:val="20"/>
                <w:szCs w:val="20"/>
              </w:rPr>
              <w:t>(347,991)</w:t>
            </w:r>
          </w:p>
        </w:tc>
      </w:tr>
      <w:tr w:rsidR="00BD7444" w:rsidRPr="009F227C" w14:paraId="03CA4636"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09C735B" w14:textId="77777777" w:rsidR="00BD7444" w:rsidRPr="009F227C" w:rsidRDefault="00BD7444" w:rsidP="004E4E2B">
            <w:pPr>
              <w:jc w:val="center"/>
              <w:rPr>
                <w:sz w:val="20"/>
                <w:szCs w:val="20"/>
              </w:rPr>
            </w:pPr>
            <w:r w:rsidRPr="009F227C">
              <w:rPr>
                <w:sz w:val="20"/>
                <w:szCs w:val="20"/>
              </w:rPr>
              <w:t>5</w:t>
            </w:r>
          </w:p>
        </w:tc>
        <w:tc>
          <w:tcPr>
            <w:tcW w:w="5940" w:type="dxa"/>
            <w:tcBorders>
              <w:top w:val="nil"/>
              <w:left w:val="nil"/>
              <w:bottom w:val="nil"/>
              <w:right w:val="nil"/>
            </w:tcBorders>
            <w:shd w:val="clear" w:color="000000" w:fill="FFFFFF"/>
            <w:noWrap/>
            <w:vAlign w:val="bottom"/>
            <w:hideMark/>
          </w:tcPr>
          <w:p w14:paraId="6D025E45" w14:textId="77777777" w:rsidR="00BD7444" w:rsidRPr="009F227C" w:rsidRDefault="00BD7444" w:rsidP="004E4E2B">
            <w:pPr>
              <w:rPr>
                <w:sz w:val="20"/>
                <w:szCs w:val="20"/>
              </w:rPr>
            </w:pPr>
            <w:r w:rsidRPr="009F227C">
              <w:rPr>
                <w:sz w:val="20"/>
                <w:szCs w:val="20"/>
              </w:rPr>
              <w:t>To reflect disallowances in management fees. (I-27)</w:t>
            </w:r>
          </w:p>
        </w:tc>
        <w:tc>
          <w:tcPr>
            <w:tcW w:w="1520" w:type="dxa"/>
            <w:tcBorders>
              <w:top w:val="nil"/>
              <w:left w:val="nil"/>
              <w:bottom w:val="nil"/>
              <w:right w:val="nil"/>
            </w:tcBorders>
            <w:shd w:val="clear" w:color="000000" w:fill="FFFFFF"/>
            <w:noWrap/>
            <w:vAlign w:val="bottom"/>
            <w:hideMark/>
          </w:tcPr>
          <w:p w14:paraId="0EE772B5" w14:textId="77777777" w:rsidR="00BD7444" w:rsidRPr="009F227C" w:rsidRDefault="00BD7444" w:rsidP="004E4E2B">
            <w:pPr>
              <w:jc w:val="right"/>
              <w:rPr>
                <w:sz w:val="20"/>
                <w:szCs w:val="20"/>
              </w:rPr>
            </w:pPr>
            <w:r w:rsidRPr="009F227C">
              <w:rPr>
                <w:sz w:val="20"/>
                <w:szCs w:val="20"/>
              </w:rPr>
              <w:t>(33,768)</w:t>
            </w:r>
          </w:p>
        </w:tc>
        <w:tc>
          <w:tcPr>
            <w:tcW w:w="1660" w:type="dxa"/>
            <w:tcBorders>
              <w:top w:val="nil"/>
              <w:left w:val="nil"/>
              <w:bottom w:val="nil"/>
              <w:right w:val="single" w:sz="4" w:space="0" w:color="auto"/>
            </w:tcBorders>
            <w:shd w:val="clear" w:color="000000" w:fill="FFFFFF"/>
            <w:noWrap/>
            <w:vAlign w:val="bottom"/>
            <w:hideMark/>
          </w:tcPr>
          <w:p w14:paraId="6028441F" w14:textId="77777777" w:rsidR="00BD7444" w:rsidRPr="009F227C" w:rsidRDefault="00BD7444" w:rsidP="004E4E2B">
            <w:pPr>
              <w:jc w:val="right"/>
              <w:rPr>
                <w:sz w:val="20"/>
                <w:szCs w:val="20"/>
              </w:rPr>
            </w:pPr>
            <w:r w:rsidRPr="009F227C">
              <w:rPr>
                <w:sz w:val="20"/>
                <w:szCs w:val="20"/>
              </w:rPr>
              <w:t>(31,393)</w:t>
            </w:r>
          </w:p>
        </w:tc>
      </w:tr>
      <w:tr w:rsidR="00BD7444" w:rsidRPr="009F227C" w14:paraId="540F7984"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1F43D25" w14:textId="77777777" w:rsidR="00BD7444" w:rsidRPr="009F227C" w:rsidRDefault="00BD7444" w:rsidP="004E4E2B">
            <w:pPr>
              <w:jc w:val="center"/>
              <w:rPr>
                <w:sz w:val="20"/>
                <w:szCs w:val="20"/>
              </w:rPr>
            </w:pPr>
            <w:r w:rsidRPr="009F227C">
              <w:rPr>
                <w:sz w:val="20"/>
                <w:szCs w:val="20"/>
              </w:rPr>
              <w:t>6</w:t>
            </w:r>
          </w:p>
        </w:tc>
        <w:tc>
          <w:tcPr>
            <w:tcW w:w="5940" w:type="dxa"/>
            <w:tcBorders>
              <w:top w:val="nil"/>
              <w:left w:val="nil"/>
              <w:bottom w:val="nil"/>
              <w:right w:val="nil"/>
            </w:tcBorders>
            <w:shd w:val="clear" w:color="000000" w:fill="FFFFFF"/>
            <w:noWrap/>
            <w:vAlign w:val="bottom"/>
            <w:hideMark/>
          </w:tcPr>
          <w:p w14:paraId="11DA5869" w14:textId="77777777" w:rsidR="00BD7444" w:rsidRPr="009F227C" w:rsidRDefault="00BD7444" w:rsidP="004E4E2B">
            <w:pPr>
              <w:rPr>
                <w:sz w:val="20"/>
                <w:szCs w:val="20"/>
              </w:rPr>
            </w:pPr>
            <w:r w:rsidRPr="009F227C">
              <w:rPr>
                <w:sz w:val="20"/>
                <w:szCs w:val="20"/>
              </w:rPr>
              <w:t>To remove payment processing expense. (I-26)</w:t>
            </w:r>
          </w:p>
        </w:tc>
        <w:tc>
          <w:tcPr>
            <w:tcW w:w="1520" w:type="dxa"/>
            <w:tcBorders>
              <w:top w:val="nil"/>
              <w:left w:val="nil"/>
              <w:bottom w:val="nil"/>
              <w:right w:val="nil"/>
            </w:tcBorders>
            <w:shd w:val="clear" w:color="000000" w:fill="FFFFFF"/>
            <w:noWrap/>
            <w:vAlign w:val="bottom"/>
            <w:hideMark/>
          </w:tcPr>
          <w:p w14:paraId="007E6ED2" w14:textId="77777777" w:rsidR="00BD7444" w:rsidRPr="009F227C" w:rsidRDefault="00BD7444" w:rsidP="004E4E2B">
            <w:pPr>
              <w:jc w:val="right"/>
              <w:rPr>
                <w:sz w:val="20"/>
                <w:szCs w:val="20"/>
              </w:rPr>
            </w:pPr>
            <w:r w:rsidRPr="009F227C">
              <w:rPr>
                <w:sz w:val="20"/>
                <w:szCs w:val="20"/>
              </w:rPr>
              <w:t>(200,501)</w:t>
            </w:r>
          </w:p>
        </w:tc>
        <w:tc>
          <w:tcPr>
            <w:tcW w:w="1660" w:type="dxa"/>
            <w:tcBorders>
              <w:top w:val="nil"/>
              <w:left w:val="nil"/>
              <w:bottom w:val="nil"/>
              <w:right w:val="single" w:sz="4" w:space="0" w:color="auto"/>
            </w:tcBorders>
            <w:shd w:val="clear" w:color="000000" w:fill="FFFFFF"/>
            <w:noWrap/>
            <w:vAlign w:val="bottom"/>
            <w:hideMark/>
          </w:tcPr>
          <w:p w14:paraId="0D6E1B06" w14:textId="77777777" w:rsidR="00BD7444" w:rsidRPr="009F227C" w:rsidRDefault="00BD7444" w:rsidP="004E4E2B">
            <w:pPr>
              <w:jc w:val="right"/>
              <w:rPr>
                <w:sz w:val="20"/>
                <w:szCs w:val="20"/>
              </w:rPr>
            </w:pPr>
            <w:r w:rsidRPr="009F227C">
              <w:rPr>
                <w:sz w:val="20"/>
                <w:szCs w:val="20"/>
              </w:rPr>
              <w:t>(186,418)</w:t>
            </w:r>
          </w:p>
        </w:tc>
      </w:tr>
      <w:tr w:rsidR="00BD7444" w:rsidRPr="009F227C" w14:paraId="04303104"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70B5951B" w14:textId="77777777" w:rsidR="00BD7444" w:rsidRPr="009F227C" w:rsidRDefault="00BD7444" w:rsidP="004E4E2B">
            <w:pPr>
              <w:jc w:val="center"/>
              <w:rPr>
                <w:sz w:val="20"/>
                <w:szCs w:val="20"/>
              </w:rPr>
            </w:pPr>
            <w:r w:rsidRPr="009F227C">
              <w:rPr>
                <w:sz w:val="20"/>
                <w:szCs w:val="20"/>
              </w:rPr>
              <w:t>7</w:t>
            </w:r>
          </w:p>
        </w:tc>
        <w:tc>
          <w:tcPr>
            <w:tcW w:w="5940" w:type="dxa"/>
            <w:tcBorders>
              <w:top w:val="nil"/>
              <w:left w:val="nil"/>
              <w:bottom w:val="nil"/>
              <w:right w:val="nil"/>
            </w:tcBorders>
            <w:shd w:val="clear" w:color="000000" w:fill="FFFFFF"/>
            <w:noWrap/>
            <w:vAlign w:val="bottom"/>
            <w:hideMark/>
          </w:tcPr>
          <w:p w14:paraId="01260E5F" w14:textId="77777777" w:rsidR="00BD7444" w:rsidRPr="009F227C" w:rsidRDefault="00BD7444" w:rsidP="004E4E2B">
            <w:pPr>
              <w:rPr>
                <w:sz w:val="20"/>
                <w:szCs w:val="20"/>
              </w:rPr>
            </w:pPr>
            <w:r w:rsidRPr="009F227C">
              <w:rPr>
                <w:sz w:val="20"/>
                <w:szCs w:val="20"/>
              </w:rPr>
              <w:t>To remove Chamber of Commerce dues. (I-28)</w:t>
            </w:r>
          </w:p>
        </w:tc>
        <w:tc>
          <w:tcPr>
            <w:tcW w:w="1520" w:type="dxa"/>
            <w:tcBorders>
              <w:top w:val="nil"/>
              <w:left w:val="nil"/>
              <w:bottom w:val="nil"/>
              <w:right w:val="nil"/>
            </w:tcBorders>
            <w:shd w:val="clear" w:color="000000" w:fill="FFFFFF"/>
            <w:noWrap/>
            <w:vAlign w:val="bottom"/>
            <w:hideMark/>
          </w:tcPr>
          <w:p w14:paraId="2C01F2CF" w14:textId="77777777" w:rsidR="00BD7444" w:rsidRPr="009F227C" w:rsidRDefault="00BD7444" w:rsidP="004E4E2B">
            <w:pPr>
              <w:jc w:val="right"/>
              <w:rPr>
                <w:sz w:val="20"/>
                <w:szCs w:val="20"/>
              </w:rPr>
            </w:pPr>
            <w:r w:rsidRPr="009F227C">
              <w:rPr>
                <w:sz w:val="20"/>
                <w:szCs w:val="20"/>
              </w:rPr>
              <w:t>(7,612)</w:t>
            </w:r>
          </w:p>
        </w:tc>
        <w:tc>
          <w:tcPr>
            <w:tcW w:w="1660" w:type="dxa"/>
            <w:tcBorders>
              <w:top w:val="nil"/>
              <w:left w:val="nil"/>
              <w:bottom w:val="nil"/>
              <w:right w:val="single" w:sz="4" w:space="0" w:color="auto"/>
            </w:tcBorders>
            <w:shd w:val="clear" w:color="000000" w:fill="FFFFFF"/>
            <w:noWrap/>
            <w:vAlign w:val="bottom"/>
            <w:hideMark/>
          </w:tcPr>
          <w:p w14:paraId="61CCADB0" w14:textId="77777777" w:rsidR="00BD7444" w:rsidRPr="009F227C" w:rsidRDefault="00BD7444" w:rsidP="004E4E2B">
            <w:pPr>
              <w:jc w:val="right"/>
              <w:rPr>
                <w:sz w:val="20"/>
                <w:szCs w:val="20"/>
              </w:rPr>
            </w:pPr>
            <w:r w:rsidRPr="009F227C">
              <w:rPr>
                <w:sz w:val="20"/>
                <w:szCs w:val="20"/>
              </w:rPr>
              <w:t>(7,077)</w:t>
            </w:r>
          </w:p>
        </w:tc>
      </w:tr>
      <w:tr w:rsidR="00BD7444" w:rsidRPr="009F227C" w14:paraId="76685BBE"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7D509D2" w14:textId="77777777" w:rsidR="00BD7444" w:rsidRPr="009F227C" w:rsidRDefault="00BD7444" w:rsidP="004E4E2B">
            <w:pPr>
              <w:jc w:val="center"/>
              <w:rPr>
                <w:sz w:val="20"/>
                <w:szCs w:val="20"/>
              </w:rPr>
            </w:pPr>
            <w:r w:rsidRPr="009F227C">
              <w:rPr>
                <w:sz w:val="20"/>
                <w:szCs w:val="20"/>
              </w:rPr>
              <w:t>8</w:t>
            </w:r>
          </w:p>
        </w:tc>
        <w:tc>
          <w:tcPr>
            <w:tcW w:w="5940" w:type="dxa"/>
            <w:tcBorders>
              <w:top w:val="nil"/>
              <w:left w:val="nil"/>
              <w:bottom w:val="nil"/>
              <w:right w:val="nil"/>
            </w:tcBorders>
            <w:shd w:val="clear" w:color="000000" w:fill="FFFFFF"/>
            <w:noWrap/>
            <w:vAlign w:val="bottom"/>
            <w:hideMark/>
          </w:tcPr>
          <w:p w14:paraId="52E68CF0" w14:textId="77777777" w:rsidR="00BD7444" w:rsidRPr="009F227C" w:rsidRDefault="00BD7444" w:rsidP="004E4E2B">
            <w:pPr>
              <w:rPr>
                <w:sz w:val="20"/>
                <w:szCs w:val="20"/>
              </w:rPr>
            </w:pPr>
            <w:r w:rsidRPr="009F227C">
              <w:rPr>
                <w:sz w:val="20"/>
                <w:szCs w:val="20"/>
              </w:rPr>
              <w:t>To remove sewer maintenance expense. (I-28)</w:t>
            </w:r>
          </w:p>
        </w:tc>
        <w:tc>
          <w:tcPr>
            <w:tcW w:w="1520" w:type="dxa"/>
            <w:tcBorders>
              <w:top w:val="nil"/>
              <w:left w:val="nil"/>
              <w:bottom w:val="nil"/>
              <w:right w:val="nil"/>
            </w:tcBorders>
            <w:shd w:val="clear" w:color="000000" w:fill="FFFFFF"/>
            <w:noWrap/>
            <w:vAlign w:val="bottom"/>
            <w:hideMark/>
          </w:tcPr>
          <w:p w14:paraId="71B9B03F" w14:textId="77777777" w:rsidR="00BD7444" w:rsidRPr="009F227C" w:rsidRDefault="00BD7444" w:rsidP="004E4E2B">
            <w:pPr>
              <w:jc w:val="right"/>
              <w:rPr>
                <w:sz w:val="20"/>
                <w:szCs w:val="20"/>
              </w:rPr>
            </w:pPr>
            <w:r w:rsidRPr="009F227C">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14:paraId="7BAB51A7" w14:textId="77777777" w:rsidR="00BD7444" w:rsidRPr="009F227C" w:rsidRDefault="00BD7444" w:rsidP="004E4E2B">
            <w:pPr>
              <w:jc w:val="right"/>
              <w:rPr>
                <w:sz w:val="20"/>
                <w:szCs w:val="20"/>
              </w:rPr>
            </w:pPr>
            <w:r w:rsidRPr="009F227C">
              <w:rPr>
                <w:sz w:val="20"/>
                <w:szCs w:val="20"/>
              </w:rPr>
              <w:t>(29,879)</w:t>
            </w:r>
          </w:p>
        </w:tc>
      </w:tr>
      <w:tr w:rsidR="00BD7444" w:rsidRPr="009F227C" w14:paraId="0B05FE3B"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1C946D67" w14:textId="77777777" w:rsidR="00BD7444" w:rsidRPr="009F227C" w:rsidRDefault="00BD7444" w:rsidP="004E4E2B">
            <w:pPr>
              <w:jc w:val="center"/>
              <w:rPr>
                <w:sz w:val="20"/>
                <w:szCs w:val="20"/>
              </w:rPr>
            </w:pPr>
            <w:r w:rsidRPr="009F227C">
              <w:rPr>
                <w:sz w:val="20"/>
                <w:szCs w:val="20"/>
              </w:rPr>
              <w:t>9</w:t>
            </w:r>
          </w:p>
        </w:tc>
        <w:tc>
          <w:tcPr>
            <w:tcW w:w="5940" w:type="dxa"/>
            <w:tcBorders>
              <w:top w:val="nil"/>
              <w:left w:val="nil"/>
              <w:bottom w:val="nil"/>
              <w:right w:val="nil"/>
            </w:tcBorders>
            <w:shd w:val="clear" w:color="000000" w:fill="FFFFFF"/>
            <w:noWrap/>
            <w:vAlign w:val="bottom"/>
            <w:hideMark/>
          </w:tcPr>
          <w:p w14:paraId="0535D91F" w14:textId="77777777" w:rsidR="00BD7444" w:rsidRPr="009F227C" w:rsidRDefault="00BD7444" w:rsidP="004E4E2B">
            <w:pPr>
              <w:rPr>
                <w:sz w:val="20"/>
                <w:szCs w:val="20"/>
              </w:rPr>
            </w:pPr>
            <w:r w:rsidRPr="009F227C">
              <w:rPr>
                <w:sz w:val="20"/>
                <w:szCs w:val="20"/>
              </w:rPr>
              <w:t>To reflect Pro Forma Capitalized Labor. (I-26)</w:t>
            </w:r>
          </w:p>
        </w:tc>
        <w:tc>
          <w:tcPr>
            <w:tcW w:w="1520" w:type="dxa"/>
            <w:tcBorders>
              <w:top w:val="nil"/>
              <w:left w:val="nil"/>
              <w:bottom w:val="nil"/>
              <w:right w:val="nil"/>
            </w:tcBorders>
            <w:shd w:val="clear" w:color="000000" w:fill="FFFFFF"/>
            <w:noWrap/>
            <w:vAlign w:val="bottom"/>
            <w:hideMark/>
          </w:tcPr>
          <w:p w14:paraId="7DD71F6C" w14:textId="77777777" w:rsidR="00BD7444" w:rsidRPr="009F227C" w:rsidRDefault="00BD7444" w:rsidP="004E4E2B">
            <w:pPr>
              <w:jc w:val="right"/>
              <w:rPr>
                <w:sz w:val="20"/>
                <w:szCs w:val="20"/>
              </w:rPr>
            </w:pPr>
            <w:r w:rsidRPr="009F227C">
              <w:rPr>
                <w:sz w:val="20"/>
                <w:szCs w:val="20"/>
              </w:rPr>
              <w:t xml:space="preserve">14,014 </w:t>
            </w:r>
          </w:p>
        </w:tc>
        <w:tc>
          <w:tcPr>
            <w:tcW w:w="1660" w:type="dxa"/>
            <w:tcBorders>
              <w:top w:val="nil"/>
              <w:left w:val="nil"/>
              <w:bottom w:val="nil"/>
              <w:right w:val="single" w:sz="4" w:space="0" w:color="auto"/>
            </w:tcBorders>
            <w:shd w:val="clear" w:color="000000" w:fill="FFFFFF"/>
            <w:noWrap/>
            <w:vAlign w:val="bottom"/>
            <w:hideMark/>
          </w:tcPr>
          <w:p w14:paraId="40DD7609" w14:textId="77777777" w:rsidR="00BD7444" w:rsidRPr="009F227C" w:rsidRDefault="00BD7444" w:rsidP="004E4E2B">
            <w:pPr>
              <w:jc w:val="right"/>
              <w:rPr>
                <w:sz w:val="20"/>
                <w:szCs w:val="20"/>
              </w:rPr>
            </w:pPr>
            <w:r w:rsidRPr="009F227C">
              <w:rPr>
                <w:sz w:val="20"/>
                <w:szCs w:val="20"/>
              </w:rPr>
              <w:t>(17,106)</w:t>
            </w:r>
          </w:p>
        </w:tc>
      </w:tr>
      <w:tr w:rsidR="00BD7444" w:rsidRPr="009F227C" w14:paraId="6D2EE964"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7FF6D16E" w14:textId="77777777" w:rsidR="00BD7444" w:rsidRPr="009F227C" w:rsidRDefault="00BD7444" w:rsidP="004E4E2B">
            <w:pPr>
              <w:jc w:val="center"/>
              <w:rPr>
                <w:sz w:val="20"/>
                <w:szCs w:val="20"/>
              </w:rPr>
            </w:pPr>
            <w:r w:rsidRPr="009F227C">
              <w:rPr>
                <w:sz w:val="20"/>
                <w:szCs w:val="20"/>
              </w:rPr>
              <w:t>10</w:t>
            </w:r>
          </w:p>
        </w:tc>
        <w:tc>
          <w:tcPr>
            <w:tcW w:w="5940" w:type="dxa"/>
            <w:tcBorders>
              <w:top w:val="nil"/>
              <w:left w:val="nil"/>
              <w:bottom w:val="nil"/>
              <w:right w:val="nil"/>
            </w:tcBorders>
            <w:shd w:val="clear" w:color="000000" w:fill="FFFFFF"/>
            <w:noWrap/>
            <w:vAlign w:val="bottom"/>
            <w:hideMark/>
          </w:tcPr>
          <w:p w14:paraId="3ACD6B69" w14:textId="77777777" w:rsidR="00BD7444" w:rsidRPr="009F227C" w:rsidRDefault="00BD7444" w:rsidP="004E4E2B">
            <w:pPr>
              <w:rPr>
                <w:sz w:val="20"/>
                <w:szCs w:val="20"/>
              </w:rPr>
            </w:pPr>
            <w:r w:rsidRPr="009F227C">
              <w:rPr>
                <w:sz w:val="20"/>
                <w:szCs w:val="20"/>
              </w:rPr>
              <w:t>To reflect O&amp;M associated with Pro Forma meter replacements. (I-26)</w:t>
            </w:r>
          </w:p>
        </w:tc>
        <w:tc>
          <w:tcPr>
            <w:tcW w:w="1520" w:type="dxa"/>
            <w:tcBorders>
              <w:top w:val="nil"/>
              <w:left w:val="nil"/>
              <w:bottom w:val="nil"/>
              <w:right w:val="nil"/>
            </w:tcBorders>
            <w:shd w:val="clear" w:color="000000" w:fill="FFFFFF"/>
            <w:noWrap/>
            <w:vAlign w:val="bottom"/>
            <w:hideMark/>
          </w:tcPr>
          <w:p w14:paraId="759E7E1F" w14:textId="77777777" w:rsidR="00BD7444" w:rsidRPr="009F227C" w:rsidRDefault="00BD7444" w:rsidP="004E4E2B">
            <w:pPr>
              <w:jc w:val="right"/>
              <w:rPr>
                <w:sz w:val="20"/>
                <w:szCs w:val="20"/>
              </w:rPr>
            </w:pPr>
            <w:r w:rsidRPr="009F227C">
              <w:rPr>
                <w:sz w:val="20"/>
                <w:szCs w:val="20"/>
              </w:rPr>
              <w:t>(280,662)</w:t>
            </w:r>
          </w:p>
        </w:tc>
        <w:tc>
          <w:tcPr>
            <w:tcW w:w="1660" w:type="dxa"/>
            <w:tcBorders>
              <w:top w:val="nil"/>
              <w:left w:val="nil"/>
              <w:bottom w:val="nil"/>
              <w:right w:val="single" w:sz="4" w:space="0" w:color="auto"/>
            </w:tcBorders>
            <w:shd w:val="clear" w:color="000000" w:fill="FFFFFF"/>
            <w:noWrap/>
            <w:vAlign w:val="bottom"/>
            <w:hideMark/>
          </w:tcPr>
          <w:p w14:paraId="5C596971" w14:textId="77777777" w:rsidR="00BD7444" w:rsidRPr="009F227C" w:rsidRDefault="00BD7444" w:rsidP="004E4E2B">
            <w:pPr>
              <w:jc w:val="right"/>
              <w:rPr>
                <w:sz w:val="20"/>
                <w:szCs w:val="20"/>
              </w:rPr>
            </w:pPr>
            <w:r w:rsidRPr="009F227C">
              <w:rPr>
                <w:sz w:val="20"/>
                <w:szCs w:val="20"/>
              </w:rPr>
              <w:t xml:space="preserve">0 </w:t>
            </w:r>
          </w:p>
        </w:tc>
      </w:tr>
      <w:tr w:rsidR="00BD7444" w:rsidRPr="009F227C" w14:paraId="0C1A931B"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3BBC9D43" w14:textId="77777777" w:rsidR="00BD7444" w:rsidRPr="009F227C" w:rsidRDefault="00BD7444" w:rsidP="004E4E2B">
            <w:pPr>
              <w:jc w:val="center"/>
              <w:rPr>
                <w:sz w:val="20"/>
                <w:szCs w:val="20"/>
              </w:rPr>
            </w:pPr>
            <w:r w:rsidRPr="009F227C">
              <w:rPr>
                <w:sz w:val="20"/>
                <w:szCs w:val="20"/>
              </w:rPr>
              <w:t>11</w:t>
            </w:r>
          </w:p>
        </w:tc>
        <w:tc>
          <w:tcPr>
            <w:tcW w:w="5940" w:type="dxa"/>
            <w:tcBorders>
              <w:top w:val="nil"/>
              <w:left w:val="nil"/>
              <w:bottom w:val="nil"/>
              <w:right w:val="nil"/>
            </w:tcBorders>
            <w:shd w:val="clear" w:color="000000" w:fill="FFFFFF"/>
            <w:noWrap/>
            <w:vAlign w:val="bottom"/>
            <w:hideMark/>
          </w:tcPr>
          <w:p w14:paraId="4DE9D799" w14:textId="77777777" w:rsidR="00BD7444" w:rsidRPr="009F227C" w:rsidRDefault="00BD7444" w:rsidP="004E4E2B">
            <w:pPr>
              <w:rPr>
                <w:sz w:val="20"/>
                <w:szCs w:val="20"/>
              </w:rPr>
            </w:pPr>
            <w:r w:rsidRPr="009F227C">
              <w:rPr>
                <w:sz w:val="20"/>
                <w:szCs w:val="20"/>
              </w:rPr>
              <w:t>To reflect updated rate case expense. (I-25)</w:t>
            </w:r>
          </w:p>
        </w:tc>
        <w:tc>
          <w:tcPr>
            <w:tcW w:w="1520" w:type="dxa"/>
            <w:tcBorders>
              <w:top w:val="nil"/>
              <w:left w:val="nil"/>
              <w:bottom w:val="nil"/>
              <w:right w:val="nil"/>
            </w:tcBorders>
            <w:shd w:val="clear" w:color="000000" w:fill="FFFFFF"/>
            <w:noWrap/>
            <w:vAlign w:val="bottom"/>
            <w:hideMark/>
          </w:tcPr>
          <w:p w14:paraId="1F00F4A2" w14:textId="77777777" w:rsidR="00BD7444" w:rsidRPr="009F227C" w:rsidRDefault="00BD7444" w:rsidP="004E4E2B">
            <w:pPr>
              <w:jc w:val="right"/>
              <w:rPr>
                <w:sz w:val="20"/>
                <w:szCs w:val="20"/>
              </w:rPr>
            </w:pPr>
            <w:r w:rsidRPr="009F227C">
              <w:rPr>
                <w:sz w:val="20"/>
                <w:szCs w:val="20"/>
              </w:rPr>
              <w:t>(13,622)</w:t>
            </w:r>
          </w:p>
        </w:tc>
        <w:tc>
          <w:tcPr>
            <w:tcW w:w="1660" w:type="dxa"/>
            <w:tcBorders>
              <w:top w:val="nil"/>
              <w:left w:val="nil"/>
              <w:bottom w:val="nil"/>
              <w:right w:val="single" w:sz="4" w:space="0" w:color="auto"/>
            </w:tcBorders>
            <w:shd w:val="clear" w:color="000000" w:fill="FFFFFF"/>
            <w:noWrap/>
            <w:vAlign w:val="bottom"/>
            <w:hideMark/>
          </w:tcPr>
          <w:p w14:paraId="02B59B7C" w14:textId="77777777" w:rsidR="00BD7444" w:rsidRPr="009F227C" w:rsidRDefault="00BD7444" w:rsidP="004E4E2B">
            <w:pPr>
              <w:jc w:val="right"/>
              <w:rPr>
                <w:sz w:val="20"/>
                <w:szCs w:val="20"/>
              </w:rPr>
            </w:pPr>
            <w:r w:rsidRPr="009F227C">
              <w:rPr>
                <w:sz w:val="20"/>
                <w:szCs w:val="20"/>
              </w:rPr>
              <w:t>(12,667)</w:t>
            </w:r>
          </w:p>
        </w:tc>
      </w:tr>
      <w:tr w:rsidR="00BD7444" w:rsidRPr="009F227C" w14:paraId="55C9DEFC"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728A28FB" w14:textId="77777777" w:rsidR="00BD7444" w:rsidRPr="009F227C" w:rsidRDefault="00BD7444" w:rsidP="004E4E2B">
            <w:pPr>
              <w:jc w:val="center"/>
              <w:rPr>
                <w:sz w:val="20"/>
                <w:szCs w:val="20"/>
              </w:rPr>
            </w:pPr>
            <w:r w:rsidRPr="009F227C">
              <w:rPr>
                <w:sz w:val="20"/>
                <w:szCs w:val="20"/>
              </w:rPr>
              <w:t>13</w:t>
            </w:r>
          </w:p>
        </w:tc>
        <w:tc>
          <w:tcPr>
            <w:tcW w:w="5940" w:type="dxa"/>
            <w:tcBorders>
              <w:top w:val="nil"/>
              <w:left w:val="nil"/>
              <w:bottom w:val="nil"/>
              <w:right w:val="nil"/>
            </w:tcBorders>
            <w:shd w:val="clear" w:color="000000" w:fill="FFFFFF"/>
            <w:noWrap/>
            <w:vAlign w:val="bottom"/>
            <w:hideMark/>
          </w:tcPr>
          <w:p w14:paraId="39532288" w14:textId="77777777" w:rsidR="00BD7444" w:rsidRPr="009F227C" w:rsidRDefault="00BD7444" w:rsidP="004E4E2B">
            <w:pPr>
              <w:rPr>
                <w:sz w:val="20"/>
                <w:szCs w:val="20"/>
              </w:rPr>
            </w:pPr>
            <w:r w:rsidRPr="009F227C">
              <w:rPr>
                <w:sz w:val="20"/>
                <w:szCs w:val="20"/>
              </w:rPr>
              <w:t>To remove expiring RCE amortization. (I-28)</w:t>
            </w:r>
          </w:p>
        </w:tc>
        <w:tc>
          <w:tcPr>
            <w:tcW w:w="1520" w:type="dxa"/>
            <w:tcBorders>
              <w:top w:val="nil"/>
              <w:left w:val="nil"/>
              <w:bottom w:val="nil"/>
              <w:right w:val="nil"/>
            </w:tcBorders>
            <w:shd w:val="clear" w:color="000000" w:fill="FFFFFF"/>
            <w:noWrap/>
            <w:vAlign w:val="bottom"/>
            <w:hideMark/>
          </w:tcPr>
          <w:p w14:paraId="4560819D" w14:textId="77777777" w:rsidR="00BD7444" w:rsidRPr="009F227C" w:rsidRDefault="00BD7444" w:rsidP="004E4E2B">
            <w:pPr>
              <w:jc w:val="right"/>
              <w:rPr>
                <w:sz w:val="20"/>
                <w:szCs w:val="20"/>
              </w:rPr>
            </w:pPr>
            <w:r w:rsidRPr="009F227C">
              <w:rPr>
                <w:sz w:val="20"/>
                <w:szCs w:val="20"/>
              </w:rPr>
              <w:t>(96,267)</w:t>
            </w:r>
          </w:p>
        </w:tc>
        <w:tc>
          <w:tcPr>
            <w:tcW w:w="1660" w:type="dxa"/>
            <w:tcBorders>
              <w:top w:val="nil"/>
              <w:left w:val="nil"/>
              <w:bottom w:val="nil"/>
              <w:right w:val="single" w:sz="4" w:space="0" w:color="auto"/>
            </w:tcBorders>
            <w:shd w:val="clear" w:color="000000" w:fill="FFFFFF"/>
            <w:noWrap/>
            <w:vAlign w:val="bottom"/>
            <w:hideMark/>
          </w:tcPr>
          <w:p w14:paraId="22594572" w14:textId="77777777" w:rsidR="00BD7444" w:rsidRPr="009F227C" w:rsidRDefault="00BD7444" w:rsidP="004E4E2B">
            <w:pPr>
              <w:jc w:val="right"/>
              <w:rPr>
                <w:sz w:val="20"/>
                <w:szCs w:val="20"/>
              </w:rPr>
            </w:pPr>
            <w:r w:rsidRPr="009F227C">
              <w:rPr>
                <w:sz w:val="20"/>
                <w:szCs w:val="20"/>
              </w:rPr>
              <w:t>(89,504)</w:t>
            </w:r>
          </w:p>
        </w:tc>
      </w:tr>
      <w:tr w:rsidR="008750AD" w:rsidRPr="009F227C" w14:paraId="539C58CD"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tcPr>
          <w:p w14:paraId="4D2DA756" w14:textId="6672BC91" w:rsidR="008750AD" w:rsidRPr="009F227C" w:rsidRDefault="008750AD" w:rsidP="008750AD">
            <w:pPr>
              <w:jc w:val="center"/>
              <w:rPr>
                <w:sz w:val="20"/>
                <w:szCs w:val="20"/>
              </w:rPr>
            </w:pPr>
            <w:r>
              <w:rPr>
                <w:sz w:val="20"/>
                <w:szCs w:val="20"/>
              </w:rPr>
              <w:t>14</w:t>
            </w:r>
          </w:p>
        </w:tc>
        <w:tc>
          <w:tcPr>
            <w:tcW w:w="5940" w:type="dxa"/>
            <w:tcBorders>
              <w:top w:val="nil"/>
              <w:left w:val="nil"/>
              <w:bottom w:val="nil"/>
              <w:right w:val="nil"/>
            </w:tcBorders>
            <w:shd w:val="clear" w:color="000000" w:fill="FFFFFF"/>
            <w:noWrap/>
            <w:vAlign w:val="bottom"/>
          </w:tcPr>
          <w:p w14:paraId="6B795B1E" w14:textId="3D91A769" w:rsidR="008750AD" w:rsidRPr="009F227C" w:rsidRDefault="008750AD" w:rsidP="008750AD">
            <w:pPr>
              <w:rPr>
                <w:sz w:val="20"/>
                <w:szCs w:val="20"/>
              </w:rPr>
            </w:pPr>
            <w:r>
              <w:rPr>
                <w:sz w:val="20"/>
                <w:szCs w:val="20"/>
              </w:rPr>
              <w:t>To reflect appropriate repression adju</w:t>
            </w:r>
            <w:r w:rsidR="001A5B62">
              <w:rPr>
                <w:sz w:val="20"/>
                <w:szCs w:val="20"/>
              </w:rPr>
              <w:t>stment. (I-26</w:t>
            </w:r>
            <w:r>
              <w:rPr>
                <w:sz w:val="20"/>
                <w:szCs w:val="20"/>
              </w:rPr>
              <w:t>)</w:t>
            </w:r>
          </w:p>
        </w:tc>
        <w:tc>
          <w:tcPr>
            <w:tcW w:w="1520" w:type="dxa"/>
            <w:tcBorders>
              <w:top w:val="nil"/>
              <w:left w:val="nil"/>
              <w:bottom w:val="nil"/>
              <w:right w:val="nil"/>
            </w:tcBorders>
            <w:shd w:val="clear" w:color="000000" w:fill="FFFFFF"/>
            <w:noWrap/>
            <w:vAlign w:val="bottom"/>
          </w:tcPr>
          <w:p w14:paraId="29A975AD" w14:textId="0258F051" w:rsidR="008750AD" w:rsidRPr="009F227C" w:rsidRDefault="008750AD" w:rsidP="008750AD">
            <w:pPr>
              <w:jc w:val="right"/>
              <w:rPr>
                <w:sz w:val="20"/>
                <w:szCs w:val="20"/>
              </w:rPr>
            </w:pPr>
            <w:r>
              <w:rPr>
                <w:sz w:val="20"/>
                <w:szCs w:val="20"/>
                <w:u w:val="single"/>
              </w:rPr>
              <w:t>7,467</w:t>
            </w:r>
          </w:p>
        </w:tc>
        <w:tc>
          <w:tcPr>
            <w:tcW w:w="1660" w:type="dxa"/>
            <w:tcBorders>
              <w:top w:val="nil"/>
              <w:left w:val="nil"/>
              <w:bottom w:val="nil"/>
              <w:right w:val="single" w:sz="4" w:space="0" w:color="auto"/>
            </w:tcBorders>
            <w:shd w:val="clear" w:color="000000" w:fill="FFFFFF"/>
            <w:noWrap/>
            <w:vAlign w:val="bottom"/>
          </w:tcPr>
          <w:p w14:paraId="6514375A" w14:textId="290810A5" w:rsidR="008750AD" w:rsidRPr="009F227C" w:rsidRDefault="008750AD" w:rsidP="008750AD">
            <w:pPr>
              <w:jc w:val="right"/>
              <w:rPr>
                <w:sz w:val="20"/>
                <w:szCs w:val="20"/>
              </w:rPr>
            </w:pPr>
            <w:r>
              <w:rPr>
                <w:sz w:val="20"/>
                <w:szCs w:val="20"/>
                <w:u w:val="single"/>
              </w:rPr>
              <w:t>0</w:t>
            </w:r>
          </w:p>
        </w:tc>
      </w:tr>
      <w:tr w:rsidR="00BD7444" w:rsidRPr="009F227C" w14:paraId="3D5FE2B9"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3C7C48B5" w14:textId="10DF1332" w:rsidR="00BD7444" w:rsidRPr="009F227C" w:rsidRDefault="00BD7444" w:rsidP="004E4E2B">
            <w:pPr>
              <w:jc w:val="center"/>
              <w:rPr>
                <w:sz w:val="20"/>
                <w:szCs w:val="20"/>
              </w:rPr>
            </w:pPr>
            <w:r w:rsidRPr="009F227C">
              <w:rPr>
                <w:sz w:val="20"/>
                <w:szCs w:val="20"/>
              </w:rPr>
              <w:t>1</w:t>
            </w:r>
            <w:r w:rsidR="008750AD">
              <w:rPr>
                <w:sz w:val="20"/>
                <w:szCs w:val="20"/>
              </w:rPr>
              <w:t>5</w:t>
            </w:r>
          </w:p>
        </w:tc>
        <w:tc>
          <w:tcPr>
            <w:tcW w:w="5940" w:type="dxa"/>
            <w:tcBorders>
              <w:top w:val="nil"/>
              <w:left w:val="nil"/>
              <w:bottom w:val="nil"/>
              <w:right w:val="nil"/>
            </w:tcBorders>
            <w:shd w:val="clear" w:color="000000" w:fill="FFFFFF"/>
            <w:noWrap/>
            <w:vAlign w:val="bottom"/>
            <w:hideMark/>
          </w:tcPr>
          <w:p w14:paraId="06FE1575" w14:textId="5429297D" w:rsidR="00BD7444" w:rsidRPr="009F227C" w:rsidRDefault="00BD7444" w:rsidP="003C2A99">
            <w:pPr>
              <w:rPr>
                <w:sz w:val="20"/>
                <w:szCs w:val="20"/>
              </w:rPr>
            </w:pPr>
            <w:r w:rsidRPr="009F227C">
              <w:rPr>
                <w:sz w:val="20"/>
                <w:szCs w:val="20"/>
              </w:rPr>
              <w:t>To remove half of DO</w:t>
            </w:r>
            <w:r w:rsidR="00A14051">
              <w:rPr>
                <w:sz w:val="20"/>
                <w:szCs w:val="20"/>
              </w:rPr>
              <w:t>L</w:t>
            </w:r>
            <w:r w:rsidRPr="009F227C">
              <w:rPr>
                <w:sz w:val="20"/>
                <w:szCs w:val="20"/>
              </w:rPr>
              <w:t xml:space="preserve"> Liability Insurance expense. (I-28)</w:t>
            </w:r>
          </w:p>
        </w:tc>
        <w:tc>
          <w:tcPr>
            <w:tcW w:w="1520" w:type="dxa"/>
            <w:tcBorders>
              <w:top w:val="nil"/>
              <w:left w:val="nil"/>
              <w:bottom w:val="nil"/>
              <w:right w:val="nil"/>
            </w:tcBorders>
            <w:shd w:val="clear" w:color="000000" w:fill="FFFFFF"/>
            <w:noWrap/>
            <w:vAlign w:val="bottom"/>
            <w:hideMark/>
          </w:tcPr>
          <w:p w14:paraId="5C89EAD7" w14:textId="77777777" w:rsidR="00BD7444" w:rsidRPr="009F227C" w:rsidRDefault="00BD7444" w:rsidP="004E4E2B">
            <w:pPr>
              <w:jc w:val="right"/>
              <w:rPr>
                <w:sz w:val="20"/>
                <w:szCs w:val="20"/>
                <w:u w:val="single"/>
              </w:rPr>
            </w:pPr>
            <w:r w:rsidRPr="009F227C">
              <w:rPr>
                <w:sz w:val="20"/>
                <w:szCs w:val="20"/>
                <w:u w:val="single"/>
              </w:rPr>
              <w:t>(11,637)</w:t>
            </w:r>
          </w:p>
        </w:tc>
        <w:tc>
          <w:tcPr>
            <w:tcW w:w="1660" w:type="dxa"/>
            <w:tcBorders>
              <w:top w:val="nil"/>
              <w:left w:val="nil"/>
              <w:bottom w:val="nil"/>
              <w:right w:val="single" w:sz="4" w:space="0" w:color="auto"/>
            </w:tcBorders>
            <w:shd w:val="clear" w:color="000000" w:fill="FFFFFF"/>
            <w:noWrap/>
            <w:vAlign w:val="bottom"/>
            <w:hideMark/>
          </w:tcPr>
          <w:p w14:paraId="320322EE" w14:textId="77777777" w:rsidR="00BD7444" w:rsidRPr="009F227C" w:rsidRDefault="00BD7444" w:rsidP="004E4E2B">
            <w:pPr>
              <w:jc w:val="right"/>
              <w:rPr>
                <w:sz w:val="20"/>
                <w:szCs w:val="20"/>
                <w:u w:val="single"/>
              </w:rPr>
            </w:pPr>
            <w:r w:rsidRPr="009F227C">
              <w:rPr>
                <w:sz w:val="20"/>
                <w:szCs w:val="20"/>
                <w:u w:val="single"/>
              </w:rPr>
              <w:t>(10,790)</w:t>
            </w:r>
          </w:p>
        </w:tc>
      </w:tr>
      <w:tr w:rsidR="00172BA1" w:rsidRPr="009F227C" w14:paraId="6B44B9C4"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22899A04" w14:textId="77777777" w:rsidR="00172BA1" w:rsidRPr="009F227C" w:rsidRDefault="00172BA1" w:rsidP="00172BA1">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13E657E2" w14:textId="77777777" w:rsidR="00172BA1" w:rsidRPr="009F227C" w:rsidRDefault="00172BA1" w:rsidP="00172BA1">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06C63712" w14:textId="464FA135" w:rsidR="00172BA1" w:rsidRPr="009F227C" w:rsidRDefault="00172BA1" w:rsidP="00172BA1">
            <w:pPr>
              <w:jc w:val="right"/>
              <w:rPr>
                <w:sz w:val="20"/>
                <w:szCs w:val="20"/>
                <w:u w:val="double"/>
              </w:rPr>
            </w:pPr>
            <w:r w:rsidRPr="009F227C">
              <w:rPr>
                <w:sz w:val="20"/>
                <w:szCs w:val="20"/>
                <w:u w:val="double"/>
              </w:rPr>
              <w:t>($7</w:t>
            </w:r>
            <w:r>
              <w:rPr>
                <w:sz w:val="20"/>
                <w:szCs w:val="20"/>
                <w:u w:val="double"/>
              </w:rPr>
              <w:t>54,824</w:t>
            </w:r>
            <w:r w:rsidRPr="009F227C">
              <w:rPr>
                <w:sz w:val="20"/>
                <w:szCs w:val="20"/>
                <w:u w:val="double"/>
              </w:rPr>
              <w:t>)</w:t>
            </w:r>
          </w:p>
        </w:tc>
        <w:tc>
          <w:tcPr>
            <w:tcW w:w="1660" w:type="dxa"/>
            <w:tcBorders>
              <w:top w:val="nil"/>
              <w:left w:val="nil"/>
              <w:bottom w:val="nil"/>
              <w:right w:val="single" w:sz="4" w:space="0" w:color="auto"/>
            </w:tcBorders>
            <w:shd w:val="clear" w:color="000000" w:fill="FFFFFF"/>
            <w:noWrap/>
            <w:vAlign w:val="bottom"/>
            <w:hideMark/>
          </w:tcPr>
          <w:p w14:paraId="7D3B6954" w14:textId="77777777" w:rsidR="00172BA1" w:rsidRPr="009F227C" w:rsidRDefault="00172BA1" w:rsidP="00172BA1">
            <w:pPr>
              <w:jc w:val="right"/>
              <w:rPr>
                <w:sz w:val="20"/>
                <w:szCs w:val="20"/>
                <w:u w:val="double"/>
              </w:rPr>
            </w:pPr>
            <w:r w:rsidRPr="009F227C">
              <w:rPr>
                <w:sz w:val="20"/>
                <w:szCs w:val="20"/>
                <w:u w:val="double"/>
              </w:rPr>
              <w:t>($853,779)</w:t>
            </w:r>
          </w:p>
        </w:tc>
      </w:tr>
      <w:tr w:rsidR="00BD7444" w:rsidRPr="009F227C" w14:paraId="24733A5B" w14:textId="77777777" w:rsidTr="00BD7444">
        <w:trPr>
          <w:trHeight w:val="70"/>
          <w:jc w:val="center"/>
        </w:trPr>
        <w:tc>
          <w:tcPr>
            <w:tcW w:w="480" w:type="dxa"/>
            <w:tcBorders>
              <w:top w:val="nil"/>
              <w:left w:val="single" w:sz="4" w:space="0" w:color="auto"/>
              <w:bottom w:val="nil"/>
              <w:right w:val="nil"/>
            </w:tcBorders>
            <w:shd w:val="clear" w:color="000000" w:fill="FFFFFF"/>
            <w:noWrap/>
            <w:vAlign w:val="bottom"/>
            <w:hideMark/>
          </w:tcPr>
          <w:p w14:paraId="469796F4"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4086E722" w14:textId="77777777" w:rsidR="00BD7444" w:rsidRPr="009F227C" w:rsidRDefault="00BD7444" w:rsidP="004E4E2B">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125DCAB0"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3335726B" w14:textId="77777777" w:rsidR="00BD7444" w:rsidRPr="009F227C" w:rsidRDefault="00BD7444" w:rsidP="004E4E2B">
            <w:pPr>
              <w:rPr>
                <w:sz w:val="20"/>
                <w:szCs w:val="20"/>
              </w:rPr>
            </w:pPr>
            <w:r w:rsidRPr="009F227C">
              <w:rPr>
                <w:sz w:val="20"/>
                <w:szCs w:val="20"/>
              </w:rPr>
              <w:t> </w:t>
            </w:r>
          </w:p>
        </w:tc>
      </w:tr>
      <w:tr w:rsidR="00BD7444" w:rsidRPr="009F227C" w14:paraId="5845996B" w14:textId="77777777" w:rsidTr="00BD7444">
        <w:trPr>
          <w:trHeight w:val="70"/>
          <w:jc w:val="center"/>
        </w:trPr>
        <w:tc>
          <w:tcPr>
            <w:tcW w:w="480" w:type="dxa"/>
            <w:tcBorders>
              <w:top w:val="nil"/>
              <w:left w:val="single" w:sz="4" w:space="0" w:color="auto"/>
              <w:bottom w:val="nil"/>
              <w:right w:val="nil"/>
            </w:tcBorders>
            <w:shd w:val="clear" w:color="000000" w:fill="FFFFFF"/>
            <w:noWrap/>
            <w:vAlign w:val="bottom"/>
            <w:hideMark/>
          </w:tcPr>
          <w:p w14:paraId="73927379"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5464CE8F" w14:textId="77777777" w:rsidR="00BD7444" w:rsidRPr="009F227C" w:rsidRDefault="00BD7444" w:rsidP="004E4E2B">
            <w:pPr>
              <w:rPr>
                <w:sz w:val="20"/>
                <w:szCs w:val="20"/>
                <w:u w:val="single"/>
              </w:rPr>
            </w:pPr>
            <w:r w:rsidRPr="009F227C">
              <w:rPr>
                <w:sz w:val="20"/>
                <w:szCs w:val="20"/>
                <w:u w:val="single"/>
              </w:rPr>
              <w:t>Depreciation Expense - Net</w:t>
            </w:r>
          </w:p>
        </w:tc>
        <w:tc>
          <w:tcPr>
            <w:tcW w:w="1520" w:type="dxa"/>
            <w:tcBorders>
              <w:top w:val="nil"/>
              <w:left w:val="nil"/>
              <w:bottom w:val="nil"/>
              <w:right w:val="nil"/>
            </w:tcBorders>
            <w:shd w:val="clear" w:color="000000" w:fill="FFFFFF"/>
            <w:noWrap/>
            <w:vAlign w:val="bottom"/>
            <w:hideMark/>
          </w:tcPr>
          <w:p w14:paraId="3A55297A"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70250BE1" w14:textId="77777777" w:rsidR="00BD7444" w:rsidRPr="009F227C" w:rsidRDefault="00BD7444" w:rsidP="004E4E2B">
            <w:pPr>
              <w:rPr>
                <w:sz w:val="20"/>
                <w:szCs w:val="20"/>
              </w:rPr>
            </w:pPr>
            <w:r w:rsidRPr="009F227C">
              <w:rPr>
                <w:sz w:val="20"/>
                <w:szCs w:val="20"/>
              </w:rPr>
              <w:t> </w:t>
            </w:r>
          </w:p>
        </w:tc>
      </w:tr>
      <w:tr w:rsidR="00BD7444" w:rsidRPr="009F227C" w14:paraId="6C046888"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11B8042" w14:textId="77777777" w:rsidR="00BD7444" w:rsidRPr="009F227C" w:rsidRDefault="00BD7444" w:rsidP="004E4E2B">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1714040C" w14:textId="77777777" w:rsidR="00BD7444" w:rsidRPr="009F227C" w:rsidRDefault="00BD7444" w:rsidP="004E4E2B">
            <w:pPr>
              <w:rPr>
                <w:sz w:val="20"/>
                <w:szCs w:val="20"/>
              </w:rPr>
            </w:pPr>
            <w:r w:rsidRPr="009F227C">
              <w:rPr>
                <w:sz w:val="20"/>
                <w:szCs w:val="20"/>
              </w:rPr>
              <w:t>To reflect net salvage value. (I-30)</w:t>
            </w:r>
          </w:p>
        </w:tc>
        <w:tc>
          <w:tcPr>
            <w:tcW w:w="1520" w:type="dxa"/>
            <w:tcBorders>
              <w:top w:val="nil"/>
              <w:left w:val="nil"/>
              <w:bottom w:val="nil"/>
              <w:right w:val="nil"/>
            </w:tcBorders>
            <w:shd w:val="clear" w:color="000000" w:fill="FFFFFF"/>
            <w:noWrap/>
            <w:vAlign w:val="bottom"/>
            <w:hideMark/>
          </w:tcPr>
          <w:p w14:paraId="75EC104E" w14:textId="77777777" w:rsidR="00BD7444" w:rsidRPr="009F227C" w:rsidRDefault="00BD7444" w:rsidP="004E4E2B">
            <w:pPr>
              <w:jc w:val="right"/>
              <w:rPr>
                <w:sz w:val="20"/>
                <w:szCs w:val="20"/>
              </w:rPr>
            </w:pPr>
            <w:r w:rsidRPr="009F227C">
              <w:rPr>
                <w:sz w:val="20"/>
                <w:szCs w:val="20"/>
              </w:rPr>
              <w:t>($35,830)</w:t>
            </w:r>
          </w:p>
        </w:tc>
        <w:tc>
          <w:tcPr>
            <w:tcW w:w="1660" w:type="dxa"/>
            <w:tcBorders>
              <w:top w:val="nil"/>
              <w:left w:val="nil"/>
              <w:bottom w:val="nil"/>
              <w:right w:val="single" w:sz="4" w:space="0" w:color="auto"/>
            </w:tcBorders>
            <w:shd w:val="clear" w:color="000000" w:fill="FFFFFF"/>
            <w:noWrap/>
            <w:vAlign w:val="bottom"/>
            <w:hideMark/>
          </w:tcPr>
          <w:p w14:paraId="7C3A84C5" w14:textId="77777777" w:rsidR="00BD7444" w:rsidRPr="009F227C" w:rsidRDefault="00BD7444" w:rsidP="004E4E2B">
            <w:pPr>
              <w:jc w:val="right"/>
              <w:rPr>
                <w:sz w:val="20"/>
                <w:szCs w:val="20"/>
              </w:rPr>
            </w:pPr>
            <w:r w:rsidRPr="009F227C">
              <w:rPr>
                <w:sz w:val="20"/>
                <w:szCs w:val="20"/>
              </w:rPr>
              <w:t>($37,410)</w:t>
            </w:r>
          </w:p>
        </w:tc>
      </w:tr>
      <w:tr w:rsidR="00BD7444" w:rsidRPr="009F227C" w14:paraId="700796AD"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02B2A10" w14:textId="77777777" w:rsidR="00BD7444" w:rsidRPr="009F227C" w:rsidRDefault="00BD7444" w:rsidP="004E4E2B">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12F956A5" w14:textId="34B0F602" w:rsidR="00BD7444" w:rsidRPr="009F227C" w:rsidRDefault="00BD7444">
            <w:pPr>
              <w:rPr>
                <w:sz w:val="20"/>
                <w:szCs w:val="20"/>
              </w:rPr>
            </w:pPr>
            <w:r w:rsidRPr="009F227C">
              <w:rPr>
                <w:sz w:val="20"/>
                <w:szCs w:val="20"/>
              </w:rPr>
              <w:t xml:space="preserve">To reflect </w:t>
            </w:r>
            <w:r w:rsidR="00000B44">
              <w:rPr>
                <w:sz w:val="20"/>
                <w:szCs w:val="20"/>
              </w:rPr>
              <w:t>approved</w:t>
            </w:r>
            <w:r w:rsidRPr="009F227C">
              <w:rPr>
                <w:sz w:val="20"/>
                <w:szCs w:val="20"/>
              </w:rPr>
              <w:t xml:space="preserve"> pro forma plant. (I-4)</w:t>
            </w:r>
          </w:p>
        </w:tc>
        <w:tc>
          <w:tcPr>
            <w:tcW w:w="1520" w:type="dxa"/>
            <w:tcBorders>
              <w:top w:val="nil"/>
              <w:left w:val="nil"/>
              <w:bottom w:val="nil"/>
              <w:right w:val="nil"/>
            </w:tcBorders>
            <w:shd w:val="clear" w:color="000000" w:fill="FFFFFF"/>
            <w:noWrap/>
            <w:vAlign w:val="bottom"/>
            <w:hideMark/>
          </w:tcPr>
          <w:p w14:paraId="027DBF94" w14:textId="77777777" w:rsidR="00BD7444" w:rsidRPr="009F227C" w:rsidRDefault="00BD7444" w:rsidP="004E4E2B">
            <w:pPr>
              <w:jc w:val="right"/>
              <w:rPr>
                <w:sz w:val="20"/>
                <w:szCs w:val="20"/>
              </w:rPr>
            </w:pPr>
            <w:r w:rsidRPr="009F227C">
              <w:rPr>
                <w:sz w:val="20"/>
                <w:szCs w:val="20"/>
              </w:rPr>
              <w:t>(116,370)</w:t>
            </w:r>
          </w:p>
        </w:tc>
        <w:tc>
          <w:tcPr>
            <w:tcW w:w="1660" w:type="dxa"/>
            <w:tcBorders>
              <w:top w:val="nil"/>
              <w:left w:val="nil"/>
              <w:bottom w:val="nil"/>
              <w:right w:val="single" w:sz="4" w:space="0" w:color="auto"/>
            </w:tcBorders>
            <w:shd w:val="clear" w:color="000000" w:fill="FFFFFF"/>
            <w:noWrap/>
            <w:vAlign w:val="bottom"/>
            <w:hideMark/>
          </w:tcPr>
          <w:p w14:paraId="2D2B4520" w14:textId="77777777" w:rsidR="00BD7444" w:rsidRPr="009F227C" w:rsidRDefault="00BD7444" w:rsidP="004E4E2B">
            <w:pPr>
              <w:jc w:val="right"/>
              <w:rPr>
                <w:sz w:val="20"/>
                <w:szCs w:val="20"/>
              </w:rPr>
            </w:pPr>
            <w:r w:rsidRPr="009F227C">
              <w:rPr>
                <w:sz w:val="20"/>
                <w:szCs w:val="20"/>
              </w:rPr>
              <w:t xml:space="preserve">42,319 </w:t>
            </w:r>
          </w:p>
        </w:tc>
      </w:tr>
      <w:tr w:rsidR="00BD7444" w:rsidRPr="009F227C" w14:paraId="200F868D"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E2C5AC0" w14:textId="77777777" w:rsidR="00BD7444" w:rsidRPr="009F227C" w:rsidRDefault="00BD7444" w:rsidP="004E4E2B">
            <w:pPr>
              <w:jc w:val="center"/>
              <w:rPr>
                <w:sz w:val="20"/>
                <w:szCs w:val="20"/>
              </w:rPr>
            </w:pPr>
            <w:r w:rsidRPr="009F227C">
              <w:rPr>
                <w:sz w:val="20"/>
                <w:szCs w:val="20"/>
              </w:rPr>
              <w:t>3</w:t>
            </w:r>
          </w:p>
        </w:tc>
        <w:tc>
          <w:tcPr>
            <w:tcW w:w="5940" w:type="dxa"/>
            <w:tcBorders>
              <w:top w:val="nil"/>
              <w:left w:val="nil"/>
              <w:bottom w:val="nil"/>
              <w:right w:val="nil"/>
            </w:tcBorders>
            <w:shd w:val="clear" w:color="000000" w:fill="FFFFFF"/>
            <w:noWrap/>
            <w:vAlign w:val="bottom"/>
            <w:hideMark/>
          </w:tcPr>
          <w:p w14:paraId="36A26F90" w14:textId="77777777" w:rsidR="00BD7444" w:rsidRPr="009F227C" w:rsidRDefault="00BD7444" w:rsidP="004E4E2B">
            <w:pPr>
              <w:rPr>
                <w:sz w:val="20"/>
                <w:szCs w:val="20"/>
              </w:rPr>
            </w:pPr>
            <w:r w:rsidRPr="009F227C">
              <w:rPr>
                <w:sz w:val="20"/>
                <w:szCs w:val="20"/>
              </w:rPr>
              <w:t>To reflect Audit Finding No. 4. (I-31)</w:t>
            </w:r>
          </w:p>
        </w:tc>
        <w:tc>
          <w:tcPr>
            <w:tcW w:w="1520" w:type="dxa"/>
            <w:tcBorders>
              <w:top w:val="nil"/>
              <w:left w:val="nil"/>
              <w:bottom w:val="nil"/>
              <w:right w:val="nil"/>
            </w:tcBorders>
            <w:shd w:val="clear" w:color="000000" w:fill="FFFFFF"/>
            <w:noWrap/>
            <w:vAlign w:val="bottom"/>
            <w:hideMark/>
          </w:tcPr>
          <w:p w14:paraId="109EABE0" w14:textId="77777777" w:rsidR="00BD7444" w:rsidRPr="009F227C" w:rsidRDefault="00BD7444" w:rsidP="004E4E2B">
            <w:pPr>
              <w:jc w:val="right"/>
              <w:rPr>
                <w:sz w:val="20"/>
                <w:szCs w:val="20"/>
              </w:rPr>
            </w:pPr>
            <w:r w:rsidRPr="009F227C">
              <w:rPr>
                <w:sz w:val="20"/>
                <w:szCs w:val="20"/>
              </w:rPr>
              <w:t>(251)</w:t>
            </w:r>
          </w:p>
        </w:tc>
        <w:tc>
          <w:tcPr>
            <w:tcW w:w="1660" w:type="dxa"/>
            <w:tcBorders>
              <w:top w:val="nil"/>
              <w:left w:val="nil"/>
              <w:bottom w:val="nil"/>
              <w:right w:val="single" w:sz="4" w:space="0" w:color="auto"/>
            </w:tcBorders>
            <w:shd w:val="clear" w:color="000000" w:fill="FFFFFF"/>
            <w:noWrap/>
            <w:vAlign w:val="bottom"/>
            <w:hideMark/>
          </w:tcPr>
          <w:p w14:paraId="32346B92" w14:textId="77777777" w:rsidR="00BD7444" w:rsidRPr="009F227C" w:rsidRDefault="00BD7444" w:rsidP="004E4E2B">
            <w:pPr>
              <w:jc w:val="right"/>
              <w:rPr>
                <w:sz w:val="20"/>
                <w:szCs w:val="20"/>
              </w:rPr>
            </w:pPr>
            <w:r w:rsidRPr="009F227C">
              <w:rPr>
                <w:sz w:val="20"/>
                <w:szCs w:val="20"/>
              </w:rPr>
              <w:t>(234)</w:t>
            </w:r>
          </w:p>
        </w:tc>
      </w:tr>
      <w:tr w:rsidR="00BD7444" w:rsidRPr="009F227C" w14:paraId="41AD3872"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0EA97FC8" w14:textId="77777777" w:rsidR="00BD7444" w:rsidRPr="009F227C" w:rsidRDefault="00BD7444" w:rsidP="004E4E2B">
            <w:pPr>
              <w:jc w:val="center"/>
              <w:rPr>
                <w:sz w:val="20"/>
                <w:szCs w:val="20"/>
              </w:rPr>
            </w:pPr>
            <w:r w:rsidRPr="009F227C">
              <w:rPr>
                <w:sz w:val="20"/>
                <w:szCs w:val="20"/>
              </w:rPr>
              <w:t>4</w:t>
            </w:r>
          </w:p>
        </w:tc>
        <w:tc>
          <w:tcPr>
            <w:tcW w:w="5940" w:type="dxa"/>
            <w:tcBorders>
              <w:top w:val="nil"/>
              <w:left w:val="nil"/>
              <w:bottom w:val="nil"/>
              <w:right w:val="nil"/>
            </w:tcBorders>
            <w:shd w:val="clear" w:color="000000" w:fill="FFFFFF"/>
            <w:noWrap/>
            <w:vAlign w:val="bottom"/>
            <w:hideMark/>
          </w:tcPr>
          <w:p w14:paraId="1797C3BF" w14:textId="77777777" w:rsidR="00BD7444" w:rsidRPr="009F227C" w:rsidRDefault="00BD7444" w:rsidP="004E4E2B">
            <w:pPr>
              <w:rPr>
                <w:sz w:val="20"/>
                <w:szCs w:val="20"/>
              </w:rPr>
            </w:pPr>
            <w:r w:rsidRPr="009F227C">
              <w:rPr>
                <w:sz w:val="20"/>
                <w:szCs w:val="20"/>
              </w:rPr>
              <w:t>To reflect Audit Finding No. 6. (I-30)</w:t>
            </w:r>
          </w:p>
        </w:tc>
        <w:tc>
          <w:tcPr>
            <w:tcW w:w="1520" w:type="dxa"/>
            <w:tcBorders>
              <w:top w:val="nil"/>
              <w:left w:val="nil"/>
              <w:bottom w:val="nil"/>
              <w:right w:val="nil"/>
            </w:tcBorders>
            <w:shd w:val="clear" w:color="000000" w:fill="FFFFFF"/>
            <w:noWrap/>
            <w:vAlign w:val="bottom"/>
            <w:hideMark/>
          </w:tcPr>
          <w:p w14:paraId="343D30AF" w14:textId="77777777" w:rsidR="00BD7444" w:rsidRPr="009F227C" w:rsidRDefault="00BD7444" w:rsidP="004E4E2B">
            <w:pPr>
              <w:jc w:val="right"/>
              <w:rPr>
                <w:sz w:val="20"/>
                <w:szCs w:val="20"/>
              </w:rPr>
            </w:pPr>
            <w:r w:rsidRPr="009F227C">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14:paraId="2A816931" w14:textId="77777777" w:rsidR="00BD7444" w:rsidRPr="009F227C" w:rsidRDefault="00BD7444" w:rsidP="004E4E2B">
            <w:pPr>
              <w:jc w:val="right"/>
              <w:rPr>
                <w:sz w:val="20"/>
                <w:szCs w:val="20"/>
              </w:rPr>
            </w:pPr>
            <w:r w:rsidRPr="009F227C">
              <w:rPr>
                <w:sz w:val="20"/>
                <w:szCs w:val="20"/>
              </w:rPr>
              <w:t>(7,048)</w:t>
            </w:r>
          </w:p>
        </w:tc>
      </w:tr>
      <w:tr w:rsidR="00BD7444" w:rsidRPr="009F227C" w14:paraId="04F2478B"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2D5B375F" w14:textId="77777777" w:rsidR="00BD7444" w:rsidRPr="009F227C" w:rsidRDefault="00BD7444" w:rsidP="004E4E2B">
            <w:pPr>
              <w:jc w:val="center"/>
              <w:rPr>
                <w:sz w:val="20"/>
                <w:szCs w:val="20"/>
              </w:rPr>
            </w:pPr>
            <w:r w:rsidRPr="009F227C">
              <w:rPr>
                <w:sz w:val="20"/>
                <w:szCs w:val="20"/>
              </w:rPr>
              <w:t>5</w:t>
            </w:r>
          </w:p>
        </w:tc>
        <w:tc>
          <w:tcPr>
            <w:tcW w:w="5940" w:type="dxa"/>
            <w:tcBorders>
              <w:top w:val="nil"/>
              <w:left w:val="nil"/>
              <w:bottom w:val="nil"/>
              <w:right w:val="nil"/>
            </w:tcBorders>
            <w:shd w:val="clear" w:color="000000" w:fill="FFFFFF"/>
            <w:noWrap/>
            <w:vAlign w:val="bottom"/>
            <w:hideMark/>
          </w:tcPr>
          <w:p w14:paraId="1F67F5B4" w14:textId="77777777" w:rsidR="00BD7444" w:rsidRPr="009F227C" w:rsidRDefault="00BD7444" w:rsidP="004E4E2B">
            <w:pPr>
              <w:rPr>
                <w:sz w:val="20"/>
                <w:szCs w:val="20"/>
              </w:rPr>
            </w:pPr>
            <w:r w:rsidRPr="009F227C">
              <w:rPr>
                <w:sz w:val="20"/>
                <w:szCs w:val="20"/>
              </w:rPr>
              <w:t>To reflect updated pro forma retirements - depreciation expense. (I-5)</w:t>
            </w:r>
          </w:p>
        </w:tc>
        <w:tc>
          <w:tcPr>
            <w:tcW w:w="1520" w:type="dxa"/>
            <w:tcBorders>
              <w:top w:val="nil"/>
              <w:left w:val="nil"/>
              <w:bottom w:val="nil"/>
              <w:right w:val="nil"/>
            </w:tcBorders>
            <w:shd w:val="clear" w:color="000000" w:fill="FFFFFF"/>
            <w:noWrap/>
            <w:vAlign w:val="bottom"/>
            <w:hideMark/>
          </w:tcPr>
          <w:p w14:paraId="7249CB16" w14:textId="77777777" w:rsidR="00BD7444" w:rsidRPr="009F227C" w:rsidRDefault="00BD7444" w:rsidP="004E4E2B">
            <w:pPr>
              <w:jc w:val="right"/>
              <w:rPr>
                <w:sz w:val="20"/>
                <w:szCs w:val="20"/>
              </w:rPr>
            </w:pPr>
            <w:r w:rsidRPr="009F227C">
              <w:rPr>
                <w:sz w:val="20"/>
                <w:szCs w:val="20"/>
              </w:rPr>
              <w:t>(14,496)</w:t>
            </w:r>
          </w:p>
        </w:tc>
        <w:tc>
          <w:tcPr>
            <w:tcW w:w="1660" w:type="dxa"/>
            <w:tcBorders>
              <w:top w:val="nil"/>
              <w:left w:val="nil"/>
              <w:bottom w:val="nil"/>
              <w:right w:val="single" w:sz="4" w:space="0" w:color="auto"/>
            </w:tcBorders>
            <w:shd w:val="clear" w:color="000000" w:fill="FFFFFF"/>
            <w:noWrap/>
            <w:vAlign w:val="bottom"/>
            <w:hideMark/>
          </w:tcPr>
          <w:p w14:paraId="1400FCE3" w14:textId="77777777" w:rsidR="00BD7444" w:rsidRPr="009F227C" w:rsidRDefault="00BD7444" w:rsidP="004E4E2B">
            <w:pPr>
              <w:jc w:val="right"/>
              <w:rPr>
                <w:sz w:val="20"/>
                <w:szCs w:val="20"/>
              </w:rPr>
            </w:pPr>
            <w:r w:rsidRPr="009F227C">
              <w:rPr>
                <w:sz w:val="20"/>
                <w:szCs w:val="20"/>
              </w:rPr>
              <w:t>(10,613)</w:t>
            </w:r>
          </w:p>
        </w:tc>
      </w:tr>
      <w:tr w:rsidR="00BD7444" w:rsidRPr="009F227C" w14:paraId="4D8462A0"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5DAF4003" w14:textId="77777777" w:rsidR="00BD7444" w:rsidRPr="009F227C" w:rsidRDefault="00BD7444" w:rsidP="004E4E2B">
            <w:pPr>
              <w:jc w:val="center"/>
              <w:rPr>
                <w:sz w:val="20"/>
                <w:szCs w:val="20"/>
              </w:rPr>
            </w:pPr>
            <w:r w:rsidRPr="009F227C">
              <w:rPr>
                <w:sz w:val="20"/>
                <w:szCs w:val="20"/>
              </w:rPr>
              <w:t>6</w:t>
            </w:r>
          </w:p>
        </w:tc>
        <w:tc>
          <w:tcPr>
            <w:tcW w:w="5940" w:type="dxa"/>
            <w:tcBorders>
              <w:top w:val="nil"/>
              <w:left w:val="nil"/>
              <w:bottom w:val="nil"/>
              <w:right w:val="nil"/>
            </w:tcBorders>
            <w:shd w:val="clear" w:color="000000" w:fill="FFFFFF"/>
            <w:noWrap/>
            <w:vAlign w:val="bottom"/>
            <w:hideMark/>
          </w:tcPr>
          <w:p w14:paraId="2737ACDA" w14:textId="77777777" w:rsidR="00BD7444" w:rsidRPr="009F227C" w:rsidRDefault="00BD7444" w:rsidP="004E4E2B">
            <w:pPr>
              <w:rPr>
                <w:sz w:val="20"/>
                <w:szCs w:val="20"/>
              </w:rPr>
            </w:pPr>
            <w:r w:rsidRPr="009F227C">
              <w:rPr>
                <w:sz w:val="20"/>
                <w:szCs w:val="20"/>
              </w:rPr>
              <w:t>To reflect updated pro forma retirements - CIAC amortization. (I-5)</w:t>
            </w:r>
          </w:p>
        </w:tc>
        <w:tc>
          <w:tcPr>
            <w:tcW w:w="1520" w:type="dxa"/>
            <w:tcBorders>
              <w:top w:val="nil"/>
              <w:left w:val="nil"/>
              <w:bottom w:val="nil"/>
              <w:right w:val="nil"/>
            </w:tcBorders>
            <w:shd w:val="clear" w:color="000000" w:fill="FFFFFF"/>
            <w:noWrap/>
            <w:vAlign w:val="bottom"/>
            <w:hideMark/>
          </w:tcPr>
          <w:p w14:paraId="1DEEE10B" w14:textId="77777777" w:rsidR="00BD7444" w:rsidRPr="009F227C" w:rsidRDefault="00BD7444" w:rsidP="004E4E2B">
            <w:pPr>
              <w:jc w:val="right"/>
              <w:rPr>
                <w:sz w:val="20"/>
                <w:szCs w:val="20"/>
                <w:u w:val="single"/>
              </w:rPr>
            </w:pPr>
            <w:r w:rsidRPr="009F227C">
              <w:rPr>
                <w:sz w:val="20"/>
                <w:szCs w:val="20"/>
                <w:u w:val="single"/>
              </w:rPr>
              <w:t xml:space="preserve">5,390 </w:t>
            </w:r>
          </w:p>
        </w:tc>
        <w:tc>
          <w:tcPr>
            <w:tcW w:w="1660" w:type="dxa"/>
            <w:tcBorders>
              <w:top w:val="nil"/>
              <w:left w:val="nil"/>
              <w:bottom w:val="nil"/>
              <w:right w:val="single" w:sz="4" w:space="0" w:color="auto"/>
            </w:tcBorders>
            <w:shd w:val="clear" w:color="000000" w:fill="FFFFFF"/>
            <w:noWrap/>
            <w:vAlign w:val="bottom"/>
            <w:hideMark/>
          </w:tcPr>
          <w:p w14:paraId="703C1F29" w14:textId="77777777" w:rsidR="00BD7444" w:rsidRPr="009F227C" w:rsidRDefault="00BD7444" w:rsidP="004E4E2B">
            <w:pPr>
              <w:jc w:val="right"/>
              <w:rPr>
                <w:sz w:val="20"/>
                <w:szCs w:val="20"/>
                <w:u w:val="single"/>
              </w:rPr>
            </w:pPr>
            <w:r w:rsidRPr="009F227C">
              <w:rPr>
                <w:sz w:val="20"/>
                <w:szCs w:val="20"/>
                <w:u w:val="single"/>
              </w:rPr>
              <w:t xml:space="preserve">966 </w:t>
            </w:r>
          </w:p>
        </w:tc>
      </w:tr>
      <w:tr w:rsidR="00BD7444" w:rsidRPr="009F227C" w14:paraId="3C061E80"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AC88258"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293D4B3A" w14:textId="77777777" w:rsidR="00BD7444" w:rsidRPr="009F227C" w:rsidRDefault="00BD7444" w:rsidP="004E4E2B">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2F7BC138" w14:textId="77777777" w:rsidR="00BD7444" w:rsidRPr="009F227C" w:rsidRDefault="00BD7444" w:rsidP="004E4E2B">
            <w:pPr>
              <w:jc w:val="right"/>
              <w:rPr>
                <w:sz w:val="20"/>
                <w:szCs w:val="20"/>
                <w:u w:val="double"/>
              </w:rPr>
            </w:pPr>
            <w:r w:rsidRPr="009F227C">
              <w:rPr>
                <w:sz w:val="20"/>
                <w:szCs w:val="20"/>
                <w:u w:val="double"/>
              </w:rPr>
              <w:t>($161,558)</w:t>
            </w:r>
          </w:p>
        </w:tc>
        <w:tc>
          <w:tcPr>
            <w:tcW w:w="1660" w:type="dxa"/>
            <w:tcBorders>
              <w:top w:val="nil"/>
              <w:left w:val="nil"/>
              <w:bottom w:val="nil"/>
              <w:right w:val="single" w:sz="4" w:space="0" w:color="auto"/>
            </w:tcBorders>
            <w:shd w:val="clear" w:color="000000" w:fill="FFFFFF"/>
            <w:noWrap/>
            <w:vAlign w:val="bottom"/>
            <w:hideMark/>
          </w:tcPr>
          <w:p w14:paraId="39B05052" w14:textId="77777777" w:rsidR="00BD7444" w:rsidRPr="009F227C" w:rsidRDefault="00BD7444" w:rsidP="004E4E2B">
            <w:pPr>
              <w:jc w:val="right"/>
              <w:rPr>
                <w:sz w:val="20"/>
                <w:szCs w:val="20"/>
                <w:u w:val="double"/>
              </w:rPr>
            </w:pPr>
            <w:r w:rsidRPr="009F227C">
              <w:rPr>
                <w:sz w:val="20"/>
                <w:szCs w:val="20"/>
                <w:u w:val="double"/>
              </w:rPr>
              <w:t>($12,020)</w:t>
            </w:r>
          </w:p>
        </w:tc>
      </w:tr>
      <w:tr w:rsidR="00BD7444" w:rsidRPr="009F227C" w14:paraId="34CC4971" w14:textId="77777777" w:rsidTr="00BD7444">
        <w:trPr>
          <w:trHeight w:val="70"/>
          <w:jc w:val="center"/>
        </w:trPr>
        <w:tc>
          <w:tcPr>
            <w:tcW w:w="480" w:type="dxa"/>
            <w:tcBorders>
              <w:top w:val="nil"/>
              <w:left w:val="single" w:sz="4" w:space="0" w:color="auto"/>
              <w:bottom w:val="nil"/>
              <w:right w:val="nil"/>
            </w:tcBorders>
            <w:shd w:val="clear" w:color="000000" w:fill="FFFFFF"/>
            <w:noWrap/>
            <w:vAlign w:val="bottom"/>
            <w:hideMark/>
          </w:tcPr>
          <w:p w14:paraId="51CCDDA1"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3B5F4E1E" w14:textId="77777777" w:rsidR="00BD7444" w:rsidRPr="009F227C" w:rsidRDefault="00BD7444" w:rsidP="004E4E2B">
            <w:pPr>
              <w:rPr>
                <w:sz w:val="20"/>
                <w:szCs w:val="20"/>
              </w:rPr>
            </w:pPr>
            <w:r w:rsidRPr="009F227C">
              <w:rPr>
                <w:sz w:val="20"/>
                <w:szCs w:val="20"/>
              </w:rPr>
              <w:t> </w:t>
            </w:r>
          </w:p>
        </w:tc>
        <w:tc>
          <w:tcPr>
            <w:tcW w:w="1520" w:type="dxa"/>
            <w:tcBorders>
              <w:top w:val="nil"/>
              <w:left w:val="nil"/>
              <w:bottom w:val="nil"/>
              <w:right w:val="nil"/>
            </w:tcBorders>
            <w:shd w:val="clear" w:color="000000" w:fill="FFFFFF"/>
            <w:noWrap/>
            <w:vAlign w:val="bottom"/>
            <w:hideMark/>
          </w:tcPr>
          <w:p w14:paraId="5244AC90"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2F9CFE15" w14:textId="77777777" w:rsidR="00BD7444" w:rsidRPr="009F227C" w:rsidRDefault="00BD7444" w:rsidP="004E4E2B">
            <w:pPr>
              <w:rPr>
                <w:sz w:val="20"/>
                <w:szCs w:val="20"/>
              </w:rPr>
            </w:pPr>
            <w:r w:rsidRPr="009F227C">
              <w:rPr>
                <w:sz w:val="20"/>
                <w:szCs w:val="20"/>
              </w:rPr>
              <w:t> </w:t>
            </w:r>
          </w:p>
        </w:tc>
      </w:tr>
      <w:tr w:rsidR="00BD7444" w:rsidRPr="009F227C" w14:paraId="6E383F23" w14:textId="77777777" w:rsidTr="00BD7444">
        <w:trPr>
          <w:trHeight w:val="171"/>
          <w:jc w:val="center"/>
        </w:trPr>
        <w:tc>
          <w:tcPr>
            <w:tcW w:w="480" w:type="dxa"/>
            <w:tcBorders>
              <w:top w:val="nil"/>
              <w:left w:val="single" w:sz="4" w:space="0" w:color="auto"/>
              <w:bottom w:val="nil"/>
              <w:right w:val="nil"/>
            </w:tcBorders>
            <w:shd w:val="clear" w:color="000000" w:fill="FFFFFF"/>
            <w:noWrap/>
            <w:vAlign w:val="bottom"/>
            <w:hideMark/>
          </w:tcPr>
          <w:p w14:paraId="1C2A376A"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1A9C9C4D" w14:textId="77777777" w:rsidR="00BD7444" w:rsidRPr="009F227C" w:rsidRDefault="00BD7444" w:rsidP="004E4E2B">
            <w:pPr>
              <w:rPr>
                <w:sz w:val="20"/>
                <w:szCs w:val="20"/>
                <w:u w:val="single"/>
              </w:rPr>
            </w:pPr>
            <w:r w:rsidRPr="009F227C">
              <w:rPr>
                <w:sz w:val="20"/>
                <w:szCs w:val="20"/>
                <w:u w:val="single"/>
              </w:rPr>
              <w:t>Taxes Other Than Income (I-29)</w:t>
            </w:r>
          </w:p>
        </w:tc>
        <w:tc>
          <w:tcPr>
            <w:tcW w:w="1520" w:type="dxa"/>
            <w:tcBorders>
              <w:top w:val="nil"/>
              <w:left w:val="nil"/>
              <w:bottom w:val="nil"/>
              <w:right w:val="nil"/>
            </w:tcBorders>
            <w:shd w:val="clear" w:color="000000" w:fill="FFFFFF"/>
            <w:noWrap/>
            <w:vAlign w:val="bottom"/>
            <w:hideMark/>
          </w:tcPr>
          <w:p w14:paraId="0524F1B2"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nil"/>
              <w:right w:val="single" w:sz="4" w:space="0" w:color="auto"/>
            </w:tcBorders>
            <w:shd w:val="clear" w:color="000000" w:fill="FFFFFF"/>
            <w:noWrap/>
            <w:vAlign w:val="bottom"/>
            <w:hideMark/>
          </w:tcPr>
          <w:p w14:paraId="7558E438" w14:textId="77777777" w:rsidR="00BD7444" w:rsidRPr="009F227C" w:rsidRDefault="00BD7444" w:rsidP="004E4E2B">
            <w:pPr>
              <w:rPr>
                <w:sz w:val="20"/>
                <w:szCs w:val="20"/>
              </w:rPr>
            </w:pPr>
            <w:r w:rsidRPr="009F227C">
              <w:rPr>
                <w:sz w:val="20"/>
                <w:szCs w:val="20"/>
              </w:rPr>
              <w:t> </w:t>
            </w:r>
          </w:p>
        </w:tc>
      </w:tr>
      <w:tr w:rsidR="00BD7444" w:rsidRPr="009F227C" w14:paraId="0771AFD9"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7EDB1939" w14:textId="77777777" w:rsidR="00BD7444" w:rsidRPr="009F227C" w:rsidRDefault="00BD7444" w:rsidP="004E4E2B">
            <w:pPr>
              <w:jc w:val="center"/>
              <w:rPr>
                <w:sz w:val="20"/>
                <w:szCs w:val="20"/>
              </w:rPr>
            </w:pPr>
            <w:r w:rsidRPr="009F227C">
              <w:rPr>
                <w:sz w:val="20"/>
                <w:szCs w:val="20"/>
              </w:rPr>
              <w:t>1</w:t>
            </w:r>
          </w:p>
        </w:tc>
        <w:tc>
          <w:tcPr>
            <w:tcW w:w="5940" w:type="dxa"/>
            <w:tcBorders>
              <w:top w:val="nil"/>
              <w:left w:val="nil"/>
              <w:bottom w:val="nil"/>
              <w:right w:val="nil"/>
            </w:tcBorders>
            <w:shd w:val="clear" w:color="000000" w:fill="FFFFFF"/>
            <w:noWrap/>
            <w:vAlign w:val="bottom"/>
            <w:hideMark/>
          </w:tcPr>
          <w:p w14:paraId="3663951F" w14:textId="77777777" w:rsidR="00BD7444" w:rsidRPr="009F227C" w:rsidRDefault="00BD7444" w:rsidP="004E4E2B">
            <w:pPr>
              <w:rPr>
                <w:sz w:val="20"/>
                <w:szCs w:val="20"/>
              </w:rPr>
            </w:pPr>
            <w:r w:rsidRPr="009F227C">
              <w:rPr>
                <w:sz w:val="20"/>
                <w:szCs w:val="20"/>
              </w:rPr>
              <w:t xml:space="preserve">RAFs on revenue adjustments above. </w:t>
            </w:r>
          </w:p>
        </w:tc>
        <w:tc>
          <w:tcPr>
            <w:tcW w:w="1520" w:type="dxa"/>
            <w:tcBorders>
              <w:top w:val="nil"/>
              <w:left w:val="nil"/>
              <w:bottom w:val="nil"/>
              <w:right w:val="nil"/>
            </w:tcBorders>
            <w:shd w:val="clear" w:color="000000" w:fill="FFFFFF"/>
            <w:noWrap/>
            <w:vAlign w:val="bottom"/>
            <w:hideMark/>
          </w:tcPr>
          <w:p w14:paraId="255C9204" w14:textId="77777777" w:rsidR="00BD7444" w:rsidRPr="009F227C" w:rsidRDefault="00BD7444" w:rsidP="004E4E2B">
            <w:pPr>
              <w:jc w:val="right"/>
              <w:rPr>
                <w:sz w:val="20"/>
                <w:szCs w:val="20"/>
              </w:rPr>
            </w:pPr>
            <w:r w:rsidRPr="009F227C">
              <w:rPr>
                <w:sz w:val="20"/>
                <w:szCs w:val="20"/>
              </w:rPr>
              <w:t>($232,992)</w:t>
            </w:r>
          </w:p>
        </w:tc>
        <w:tc>
          <w:tcPr>
            <w:tcW w:w="1660" w:type="dxa"/>
            <w:tcBorders>
              <w:top w:val="nil"/>
              <w:left w:val="nil"/>
              <w:bottom w:val="nil"/>
              <w:right w:val="single" w:sz="4" w:space="0" w:color="auto"/>
            </w:tcBorders>
            <w:shd w:val="clear" w:color="000000" w:fill="FFFFFF"/>
            <w:noWrap/>
            <w:vAlign w:val="bottom"/>
            <w:hideMark/>
          </w:tcPr>
          <w:p w14:paraId="6B5A6F6E" w14:textId="77777777" w:rsidR="00BD7444" w:rsidRPr="009F227C" w:rsidRDefault="00BD7444" w:rsidP="004E4E2B">
            <w:pPr>
              <w:jc w:val="right"/>
              <w:rPr>
                <w:sz w:val="20"/>
                <w:szCs w:val="20"/>
              </w:rPr>
            </w:pPr>
            <w:r w:rsidRPr="009F227C">
              <w:rPr>
                <w:sz w:val="20"/>
                <w:szCs w:val="20"/>
              </w:rPr>
              <w:t>($211,654)</w:t>
            </w:r>
          </w:p>
        </w:tc>
      </w:tr>
      <w:tr w:rsidR="00BD7444" w:rsidRPr="009F227C" w14:paraId="1E0F2F5E"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2F73C610" w14:textId="77777777" w:rsidR="00BD7444" w:rsidRPr="009F227C" w:rsidRDefault="00BD7444" w:rsidP="004E4E2B">
            <w:pPr>
              <w:jc w:val="center"/>
              <w:rPr>
                <w:sz w:val="20"/>
                <w:szCs w:val="20"/>
              </w:rPr>
            </w:pPr>
            <w:r w:rsidRPr="009F227C">
              <w:rPr>
                <w:sz w:val="20"/>
                <w:szCs w:val="20"/>
              </w:rPr>
              <w:t>2</w:t>
            </w:r>
          </w:p>
        </w:tc>
        <w:tc>
          <w:tcPr>
            <w:tcW w:w="5940" w:type="dxa"/>
            <w:tcBorders>
              <w:top w:val="nil"/>
              <w:left w:val="nil"/>
              <w:bottom w:val="nil"/>
              <w:right w:val="nil"/>
            </w:tcBorders>
            <w:shd w:val="clear" w:color="000000" w:fill="FFFFFF"/>
            <w:noWrap/>
            <w:vAlign w:val="bottom"/>
            <w:hideMark/>
          </w:tcPr>
          <w:p w14:paraId="0782306D" w14:textId="77777777" w:rsidR="00BD7444" w:rsidRPr="009F227C" w:rsidRDefault="00BD7444" w:rsidP="004E4E2B">
            <w:pPr>
              <w:rPr>
                <w:sz w:val="20"/>
                <w:szCs w:val="20"/>
              </w:rPr>
            </w:pPr>
            <w:r w:rsidRPr="009F227C">
              <w:rPr>
                <w:sz w:val="20"/>
                <w:szCs w:val="20"/>
              </w:rPr>
              <w:t>To reflect Pro Forma Capitalized Labor.</w:t>
            </w:r>
          </w:p>
        </w:tc>
        <w:tc>
          <w:tcPr>
            <w:tcW w:w="1520" w:type="dxa"/>
            <w:tcBorders>
              <w:top w:val="nil"/>
              <w:left w:val="nil"/>
              <w:bottom w:val="nil"/>
              <w:right w:val="nil"/>
            </w:tcBorders>
            <w:shd w:val="clear" w:color="000000" w:fill="FFFFFF"/>
            <w:noWrap/>
            <w:vAlign w:val="bottom"/>
            <w:hideMark/>
          </w:tcPr>
          <w:p w14:paraId="28888C8E" w14:textId="77777777" w:rsidR="00BD7444" w:rsidRPr="009F227C" w:rsidRDefault="00BD7444" w:rsidP="004E4E2B">
            <w:pPr>
              <w:jc w:val="right"/>
              <w:rPr>
                <w:sz w:val="20"/>
                <w:szCs w:val="20"/>
              </w:rPr>
            </w:pPr>
            <w:r w:rsidRPr="009F227C">
              <w:rPr>
                <w:sz w:val="20"/>
                <w:szCs w:val="20"/>
              </w:rPr>
              <w:t xml:space="preserve">1,072 </w:t>
            </w:r>
          </w:p>
        </w:tc>
        <w:tc>
          <w:tcPr>
            <w:tcW w:w="1660" w:type="dxa"/>
            <w:tcBorders>
              <w:top w:val="nil"/>
              <w:left w:val="nil"/>
              <w:bottom w:val="nil"/>
              <w:right w:val="single" w:sz="4" w:space="0" w:color="auto"/>
            </w:tcBorders>
            <w:shd w:val="clear" w:color="000000" w:fill="FFFFFF"/>
            <w:noWrap/>
            <w:vAlign w:val="bottom"/>
            <w:hideMark/>
          </w:tcPr>
          <w:p w14:paraId="1984FDF4" w14:textId="77777777" w:rsidR="00BD7444" w:rsidRPr="009F227C" w:rsidRDefault="00BD7444" w:rsidP="004E4E2B">
            <w:pPr>
              <w:jc w:val="right"/>
              <w:rPr>
                <w:sz w:val="20"/>
                <w:szCs w:val="20"/>
              </w:rPr>
            </w:pPr>
            <w:r w:rsidRPr="009F227C">
              <w:rPr>
                <w:sz w:val="20"/>
                <w:szCs w:val="20"/>
              </w:rPr>
              <w:t>(1,309)</w:t>
            </w:r>
          </w:p>
        </w:tc>
      </w:tr>
      <w:tr w:rsidR="00BD7444" w:rsidRPr="009F227C" w14:paraId="1AEA98F9"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4798E5B1" w14:textId="77777777" w:rsidR="00BD7444" w:rsidRPr="009F227C" w:rsidRDefault="00BD7444" w:rsidP="004E4E2B">
            <w:pPr>
              <w:jc w:val="center"/>
              <w:rPr>
                <w:sz w:val="20"/>
                <w:szCs w:val="20"/>
              </w:rPr>
            </w:pPr>
            <w:r w:rsidRPr="009F227C">
              <w:rPr>
                <w:sz w:val="20"/>
                <w:szCs w:val="20"/>
              </w:rPr>
              <w:t>3</w:t>
            </w:r>
          </w:p>
        </w:tc>
        <w:tc>
          <w:tcPr>
            <w:tcW w:w="5940" w:type="dxa"/>
            <w:tcBorders>
              <w:top w:val="nil"/>
              <w:left w:val="nil"/>
              <w:bottom w:val="nil"/>
              <w:right w:val="nil"/>
            </w:tcBorders>
            <w:shd w:val="clear" w:color="000000" w:fill="FFFFFF"/>
            <w:noWrap/>
            <w:vAlign w:val="bottom"/>
            <w:hideMark/>
          </w:tcPr>
          <w:p w14:paraId="4FB08826" w14:textId="77777777" w:rsidR="00BD7444" w:rsidRPr="009F227C" w:rsidRDefault="00BD7444" w:rsidP="004E4E2B">
            <w:pPr>
              <w:rPr>
                <w:sz w:val="20"/>
                <w:szCs w:val="20"/>
              </w:rPr>
            </w:pPr>
            <w:r w:rsidRPr="009F227C">
              <w:rPr>
                <w:sz w:val="20"/>
                <w:szCs w:val="20"/>
              </w:rPr>
              <w:t>To remove property tax expense on non-U&amp;U adjustment above.</w:t>
            </w:r>
          </w:p>
        </w:tc>
        <w:tc>
          <w:tcPr>
            <w:tcW w:w="1520" w:type="dxa"/>
            <w:tcBorders>
              <w:top w:val="nil"/>
              <w:left w:val="nil"/>
              <w:bottom w:val="nil"/>
              <w:right w:val="nil"/>
            </w:tcBorders>
            <w:shd w:val="clear" w:color="000000" w:fill="FFFFFF"/>
            <w:noWrap/>
            <w:vAlign w:val="bottom"/>
            <w:hideMark/>
          </w:tcPr>
          <w:p w14:paraId="4263F345" w14:textId="77777777" w:rsidR="00BD7444" w:rsidRPr="009F227C" w:rsidRDefault="00BD7444" w:rsidP="004E4E2B">
            <w:pPr>
              <w:jc w:val="right"/>
              <w:rPr>
                <w:sz w:val="20"/>
                <w:szCs w:val="20"/>
              </w:rPr>
            </w:pPr>
            <w:r w:rsidRPr="009F227C">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14:paraId="0F787343" w14:textId="77777777" w:rsidR="00BD7444" w:rsidRPr="009F227C" w:rsidRDefault="00BD7444" w:rsidP="004E4E2B">
            <w:pPr>
              <w:jc w:val="right"/>
              <w:rPr>
                <w:sz w:val="20"/>
                <w:szCs w:val="20"/>
              </w:rPr>
            </w:pPr>
            <w:r w:rsidRPr="009F227C">
              <w:rPr>
                <w:sz w:val="20"/>
                <w:szCs w:val="20"/>
              </w:rPr>
              <w:t>(1,273)</w:t>
            </w:r>
          </w:p>
        </w:tc>
      </w:tr>
      <w:tr w:rsidR="00BD7444" w:rsidRPr="009F227C" w14:paraId="6C84B453"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34FB54CF" w14:textId="77777777" w:rsidR="00BD7444" w:rsidRPr="009F227C" w:rsidRDefault="00BD7444" w:rsidP="004E4E2B">
            <w:pPr>
              <w:jc w:val="center"/>
              <w:rPr>
                <w:sz w:val="20"/>
                <w:szCs w:val="20"/>
              </w:rPr>
            </w:pPr>
            <w:r w:rsidRPr="009F227C">
              <w:rPr>
                <w:sz w:val="20"/>
                <w:szCs w:val="20"/>
              </w:rPr>
              <w:t>4</w:t>
            </w:r>
          </w:p>
        </w:tc>
        <w:tc>
          <w:tcPr>
            <w:tcW w:w="5940" w:type="dxa"/>
            <w:tcBorders>
              <w:top w:val="nil"/>
              <w:left w:val="nil"/>
              <w:bottom w:val="nil"/>
              <w:right w:val="nil"/>
            </w:tcBorders>
            <w:shd w:val="clear" w:color="000000" w:fill="FFFFFF"/>
            <w:noWrap/>
            <w:vAlign w:val="bottom"/>
            <w:hideMark/>
          </w:tcPr>
          <w:p w14:paraId="28F16690" w14:textId="77777777" w:rsidR="00BD7444" w:rsidRPr="009F227C" w:rsidRDefault="00BD7444" w:rsidP="004E4E2B">
            <w:pPr>
              <w:rPr>
                <w:sz w:val="20"/>
                <w:szCs w:val="20"/>
              </w:rPr>
            </w:pPr>
            <w:r w:rsidRPr="009F227C">
              <w:rPr>
                <w:sz w:val="20"/>
                <w:szCs w:val="20"/>
              </w:rPr>
              <w:t>To reflect Pro Forma Plant Additions.</w:t>
            </w:r>
          </w:p>
        </w:tc>
        <w:tc>
          <w:tcPr>
            <w:tcW w:w="1520" w:type="dxa"/>
            <w:tcBorders>
              <w:top w:val="nil"/>
              <w:left w:val="nil"/>
              <w:bottom w:val="nil"/>
              <w:right w:val="nil"/>
            </w:tcBorders>
            <w:shd w:val="clear" w:color="000000" w:fill="FFFFFF"/>
            <w:noWrap/>
            <w:vAlign w:val="bottom"/>
            <w:hideMark/>
          </w:tcPr>
          <w:p w14:paraId="4FF8623A" w14:textId="77777777" w:rsidR="00BD7444" w:rsidRPr="009F227C" w:rsidRDefault="00BD7444" w:rsidP="004E4E2B">
            <w:pPr>
              <w:jc w:val="right"/>
              <w:rPr>
                <w:sz w:val="20"/>
                <w:szCs w:val="20"/>
              </w:rPr>
            </w:pPr>
            <w:r w:rsidRPr="009F227C">
              <w:rPr>
                <w:sz w:val="20"/>
                <w:szCs w:val="20"/>
              </w:rPr>
              <w:t xml:space="preserve">18,567 </w:t>
            </w:r>
          </w:p>
        </w:tc>
        <w:tc>
          <w:tcPr>
            <w:tcW w:w="1660" w:type="dxa"/>
            <w:tcBorders>
              <w:top w:val="nil"/>
              <w:left w:val="nil"/>
              <w:bottom w:val="nil"/>
              <w:right w:val="single" w:sz="4" w:space="0" w:color="auto"/>
            </w:tcBorders>
            <w:shd w:val="clear" w:color="000000" w:fill="FFFFFF"/>
            <w:noWrap/>
            <w:vAlign w:val="bottom"/>
            <w:hideMark/>
          </w:tcPr>
          <w:p w14:paraId="06DD2297" w14:textId="77777777" w:rsidR="00BD7444" w:rsidRPr="009F227C" w:rsidRDefault="00BD7444" w:rsidP="004E4E2B">
            <w:pPr>
              <w:jc w:val="right"/>
              <w:rPr>
                <w:sz w:val="20"/>
                <w:szCs w:val="20"/>
              </w:rPr>
            </w:pPr>
            <w:r w:rsidRPr="009F227C">
              <w:rPr>
                <w:sz w:val="20"/>
                <w:szCs w:val="20"/>
              </w:rPr>
              <w:t xml:space="preserve">21,007 </w:t>
            </w:r>
          </w:p>
        </w:tc>
      </w:tr>
      <w:tr w:rsidR="00BD7444" w:rsidRPr="009F227C" w14:paraId="7D8B4E9D"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3A06BA35" w14:textId="77777777" w:rsidR="00BD7444" w:rsidRPr="009F227C" w:rsidRDefault="00BD7444" w:rsidP="004E4E2B">
            <w:pPr>
              <w:jc w:val="center"/>
              <w:rPr>
                <w:sz w:val="20"/>
                <w:szCs w:val="20"/>
              </w:rPr>
            </w:pPr>
            <w:r w:rsidRPr="009F227C">
              <w:rPr>
                <w:sz w:val="20"/>
                <w:szCs w:val="20"/>
              </w:rPr>
              <w:t>5</w:t>
            </w:r>
          </w:p>
        </w:tc>
        <w:tc>
          <w:tcPr>
            <w:tcW w:w="5940" w:type="dxa"/>
            <w:tcBorders>
              <w:top w:val="nil"/>
              <w:left w:val="nil"/>
              <w:bottom w:val="nil"/>
              <w:right w:val="nil"/>
            </w:tcBorders>
            <w:shd w:val="clear" w:color="000000" w:fill="FFFFFF"/>
            <w:noWrap/>
            <w:vAlign w:val="bottom"/>
            <w:hideMark/>
          </w:tcPr>
          <w:p w14:paraId="2F224604" w14:textId="77777777" w:rsidR="00BD7444" w:rsidRPr="009F227C" w:rsidRDefault="00BD7444" w:rsidP="004E4E2B">
            <w:pPr>
              <w:rPr>
                <w:sz w:val="20"/>
                <w:szCs w:val="20"/>
              </w:rPr>
            </w:pPr>
            <w:r w:rsidRPr="009F227C">
              <w:rPr>
                <w:sz w:val="20"/>
                <w:szCs w:val="20"/>
              </w:rPr>
              <w:t>To remove payroll tax corresponding to meter replacements.</w:t>
            </w:r>
          </w:p>
        </w:tc>
        <w:tc>
          <w:tcPr>
            <w:tcW w:w="1520" w:type="dxa"/>
            <w:tcBorders>
              <w:top w:val="nil"/>
              <w:left w:val="nil"/>
              <w:bottom w:val="nil"/>
              <w:right w:val="nil"/>
            </w:tcBorders>
            <w:shd w:val="clear" w:color="000000" w:fill="FFFFFF"/>
            <w:noWrap/>
            <w:vAlign w:val="bottom"/>
            <w:hideMark/>
          </w:tcPr>
          <w:p w14:paraId="50E4DB39" w14:textId="77777777" w:rsidR="00BD7444" w:rsidRPr="009F227C" w:rsidRDefault="00BD7444" w:rsidP="004E4E2B">
            <w:pPr>
              <w:jc w:val="right"/>
              <w:rPr>
                <w:sz w:val="20"/>
                <w:szCs w:val="20"/>
                <w:u w:val="single"/>
              </w:rPr>
            </w:pPr>
            <w:r w:rsidRPr="009F227C">
              <w:rPr>
                <w:sz w:val="20"/>
                <w:szCs w:val="20"/>
                <w:u w:val="single"/>
              </w:rPr>
              <w:t>(13,221)</w:t>
            </w:r>
          </w:p>
        </w:tc>
        <w:tc>
          <w:tcPr>
            <w:tcW w:w="1660" w:type="dxa"/>
            <w:tcBorders>
              <w:top w:val="nil"/>
              <w:left w:val="nil"/>
              <w:bottom w:val="nil"/>
              <w:right w:val="single" w:sz="4" w:space="0" w:color="auto"/>
            </w:tcBorders>
            <w:shd w:val="clear" w:color="000000" w:fill="FFFFFF"/>
            <w:noWrap/>
            <w:vAlign w:val="bottom"/>
            <w:hideMark/>
          </w:tcPr>
          <w:p w14:paraId="76BAF664" w14:textId="77777777" w:rsidR="00BD7444" w:rsidRPr="009F227C" w:rsidRDefault="00BD7444" w:rsidP="004E4E2B">
            <w:pPr>
              <w:jc w:val="right"/>
              <w:rPr>
                <w:sz w:val="20"/>
                <w:szCs w:val="20"/>
                <w:u w:val="single"/>
              </w:rPr>
            </w:pPr>
            <w:r w:rsidRPr="009F227C">
              <w:rPr>
                <w:sz w:val="20"/>
                <w:szCs w:val="20"/>
                <w:u w:val="single"/>
              </w:rPr>
              <w:t xml:space="preserve">0 </w:t>
            </w:r>
          </w:p>
        </w:tc>
      </w:tr>
      <w:tr w:rsidR="00BD7444" w:rsidRPr="009F227C" w14:paraId="0A1926BC" w14:textId="77777777" w:rsidTr="004E4E2B">
        <w:trPr>
          <w:trHeight w:val="260"/>
          <w:jc w:val="center"/>
        </w:trPr>
        <w:tc>
          <w:tcPr>
            <w:tcW w:w="480" w:type="dxa"/>
            <w:tcBorders>
              <w:top w:val="nil"/>
              <w:left w:val="single" w:sz="4" w:space="0" w:color="auto"/>
              <w:bottom w:val="nil"/>
              <w:right w:val="nil"/>
            </w:tcBorders>
            <w:shd w:val="clear" w:color="000000" w:fill="FFFFFF"/>
            <w:noWrap/>
            <w:vAlign w:val="bottom"/>
            <w:hideMark/>
          </w:tcPr>
          <w:p w14:paraId="6453D9A4"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nil"/>
              <w:right w:val="nil"/>
            </w:tcBorders>
            <w:shd w:val="clear" w:color="000000" w:fill="FFFFFF"/>
            <w:noWrap/>
            <w:vAlign w:val="bottom"/>
            <w:hideMark/>
          </w:tcPr>
          <w:p w14:paraId="7FD1451C" w14:textId="77777777" w:rsidR="00BD7444" w:rsidRPr="009F227C" w:rsidRDefault="00BD7444" w:rsidP="004E4E2B">
            <w:pPr>
              <w:rPr>
                <w:sz w:val="20"/>
                <w:szCs w:val="20"/>
              </w:rPr>
            </w:pPr>
            <w:r w:rsidRPr="009F227C">
              <w:rPr>
                <w:sz w:val="20"/>
                <w:szCs w:val="20"/>
              </w:rPr>
              <w:t xml:space="preserve">    Total</w:t>
            </w:r>
          </w:p>
        </w:tc>
        <w:tc>
          <w:tcPr>
            <w:tcW w:w="1520" w:type="dxa"/>
            <w:tcBorders>
              <w:top w:val="nil"/>
              <w:left w:val="nil"/>
              <w:bottom w:val="nil"/>
              <w:right w:val="nil"/>
            </w:tcBorders>
            <w:shd w:val="clear" w:color="000000" w:fill="FFFFFF"/>
            <w:noWrap/>
            <w:vAlign w:val="bottom"/>
            <w:hideMark/>
          </w:tcPr>
          <w:p w14:paraId="1A554FE4" w14:textId="77777777" w:rsidR="00BD7444" w:rsidRPr="009F227C" w:rsidRDefault="00BD7444" w:rsidP="004E4E2B">
            <w:pPr>
              <w:jc w:val="right"/>
              <w:rPr>
                <w:sz w:val="20"/>
                <w:szCs w:val="20"/>
                <w:u w:val="double"/>
              </w:rPr>
            </w:pPr>
            <w:r w:rsidRPr="009F227C">
              <w:rPr>
                <w:sz w:val="20"/>
                <w:szCs w:val="20"/>
                <w:u w:val="double"/>
              </w:rPr>
              <w:t>($226,575)</w:t>
            </w:r>
          </w:p>
        </w:tc>
        <w:tc>
          <w:tcPr>
            <w:tcW w:w="1660" w:type="dxa"/>
            <w:tcBorders>
              <w:top w:val="nil"/>
              <w:left w:val="nil"/>
              <w:bottom w:val="nil"/>
              <w:right w:val="single" w:sz="4" w:space="0" w:color="auto"/>
            </w:tcBorders>
            <w:shd w:val="clear" w:color="000000" w:fill="FFFFFF"/>
            <w:noWrap/>
            <w:vAlign w:val="bottom"/>
            <w:hideMark/>
          </w:tcPr>
          <w:p w14:paraId="55E69619" w14:textId="77777777" w:rsidR="00BD7444" w:rsidRPr="009F227C" w:rsidRDefault="00BD7444" w:rsidP="004E4E2B">
            <w:pPr>
              <w:jc w:val="right"/>
              <w:rPr>
                <w:sz w:val="20"/>
                <w:szCs w:val="20"/>
                <w:u w:val="double"/>
              </w:rPr>
            </w:pPr>
            <w:r w:rsidRPr="009F227C">
              <w:rPr>
                <w:sz w:val="20"/>
                <w:szCs w:val="20"/>
                <w:u w:val="double"/>
              </w:rPr>
              <w:t>($193,229)</w:t>
            </w:r>
          </w:p>
        </w:tc>
      </w:tr>
      <w:tr w:rsidR="00BD7444" w:rsidRPr="009F227C" w14:paraId="538F1B0B" w14:textId="77777777" w:rsidTr="00BD7444">
        <w:trPr>
          <w:trHeight w:val="7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01EFB21F" w14:textId="77777777" w:rsidR="00BD7444" w:rsidRPr="009F227C" w:rsidRDefault="00BD7444" w:rsidP="004E4E2B">
            <w:pPr>
              <w:jc w:val="center"/>
              <w:rPr>
                <w:sz w:val="20"/>
                <w:szCs w:val="20"/>
              </w:rPr>
            </w:pPr>
            <w:r w:rsidRPr="009F227C">
              <w:rPr>
                <w:sz w:val="20"/>
                <w:szCs w:val="20"/>
              </w:rPr>
              <w:t> </w:t>
            </w:r>
          </w:p>
        </w:tc>
        <w:tc>
          <w:tcPr>
            <w:tcW w:w="5940" w:type="dxa"/>
            <w:tcBorders>
              <w:top w:val="nil"/>
              <w:left w:val="nil"/>
              <w:bottom w:val="single" w:sz="4" w:space="0" w:color="auto"/>
              <w:right w:val="nil"/>
            </w:tcBorders>
            <w:shd w:val="clear" w:color="000000" w:fill="FFFFFF"/>
            <w:noWrap/>
            <w:vAlign w:val="bottom"/>
            <w:hideMark/>
          </w:tcPr>
          <w:p w14:paraId="63910F19" w14:textId="77777777" w:rsidR="00BD7444" w:rsidRPr="009F227C" w:rsidRDefault="00BD7444" w:rsidP="004E4E2B">
            <w:pPr>
              <w:rPr>
                <w:sz w:val="20"/>
                <w:szCs w:val="20"/>
              </w:rPr>
            </w:pPr>
            <w:r w:rsidRPr="009F227C">
              <w:rPr>
                <w:sz w:val="20"/>
                <w:szCs w:val="20"/>
              </w:rPr>
              <w:t> </w:t>
            </w:r>
          </w:p>
        </w:tc>
        <w:tc>
          <w:tcPr>
            <w:tcW w:w="1520" w:type="dxa"/>
            <w:tcBorders>
              <w:top w:val="nil"/>
              <w:left w:val="nil"/>
              <w:bottom w:val="single" w:sz="4" w:space="0" w:color="auto"/>
              <w:right w:val="nil"/>
            </w:tcBorders>
            <w:shd w:val="clear" w:color="000000" w:fill="FFFFFF"/>
            <w:noWrap/>
            <w:vAlign w:val="bottom"/>
            <w:hideMark/>
          </w:tcPr>
          <w:p w14:paraId="4EFD28FF" w14:textId="77777777" w:rsidR="00BD7444" w:rsidRPr="009F227C" w:rsidRDefault="00BD7444" w:rsidP="004E4E2B">
            <w:pPr>
              <w:rPr>
                <w:sz w:val="20"/>
                <w:szCs w:val="20"/>
              </w:rPr>
            </w:pPr>
            <w:r w:rsidRPr="009F227C">
              <w:rPr>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11A933B" w14:textId="77777777" w:rsidR="00BD7444" w:rsidRPr="009F227C" w:rsidRDefault="00BD7444" w:rsidP="004E4E2B">
            <w:pPr>
              <w:rPr>
                <w:sz w:val="20"/>
                <w:szCs w:val="20"/>
              </w:rPr>
            </w:pPr>
            <w:r w:rsidRPr="009F227C">
              <w:rPr>
                <w:sz w:val="20"/>
                <w:szCs w:val="20"/>
              </w:rPr>
              <w:t> </w:t>
            </w:r>
          </w:p>
        </w:tc>
      </w:tr>
    </w:tbl>
    <w:p w14:paraId="340D6251" w14:textId="77777777" w:rsidR="00106415" w:rsidRPr="009F227C" w:rsidRDefault="00106415" w:rsidP="005F7ACC">
      <w:pPr>
        <w:pStyle w:val="OrderBody"/>
        <w:sectPr w:rsidR="00106415" w:rsidRPr="009F227C" w:rsidSect="00BD7444">
          <w:headerReference w:type="first" r:id="rId14"/>
          <w:pgSz w:w="12240" w:h="15840" w:code="1"/>
          <w:pgMar w:top="1440" w:right="1440" w:bottom="1440" w:left="1440" w:header="720" w:footer="720" w:gutter="0"/>
          <w:cols w:space="720"/>
          <w:titlePg/>
          <w:docGrid w:linePitch="360"/>
        </w:sectPr>
      </w:pPr>
    </w:p>
    <w:p w14:paraId="008197CB" w14:textId="77777777" w:rsidR="00AC30DF" w:rsidRPr="009F227C" w:rsidRDefault="00546BBD" w:rsidP="00546BBD">
      <w:pPr>
        <w:pStyle w:val="OrderBody"/>
        <w:jc w:val="center"/>
      </w:pPr>
      <w:r w:rsidRPr="00546BBD">
        <w:rPr>
          <w:noProof/>
        </w:rPr>
        <w:lastRenderedPageBreak/>
        <w:drawing>
          <wp:inline distT="0" distB="0" distL="0" distR="0" wp14:anchorId="0B048CD9" wp14:editId="489C1AF0">
            <wp:extent cx="5943600" cy="5887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887224"/>
                    </a:xfrm>
                    <a:prstGeom prst="rect">
                      <a:avLst/>
                    </a:prstGeom>
                    <a:noFill/>
                    <a:ln>
                      <a:noFill/>
                    </a:ln>
                  </pic:spPr>
                </pic:pic>
              </a:graphicData>
            </a:graphic>
          </wp:inline>
        </w:drawing>
      </w:r>
    </w:p>
    <w:p w14:paraId="06A8FC79" w14:textId="77777777" w:rsidR="00106415" w:rsidRPr="009F227C" w:rsidRDefault="00106415" w:rsidP="005F7ACC">
      <w:pPr>
        <w:pStyle w:val="OrderBody"/>
        <w:sectPr w:rsidR="00106415" w:rsidRPr="009F227C" w:rsidSect="00BD7444">
          <w:headerReference w:type="first" r:id="rId16"/>
          <w:pgSz w:w="12240" w:h="15840" w:code="1"/>
          <w:pgMar w:top="1440" w:right="1440" w:bottom="1440" w:left="1440" w:header="720" w:footer="720" w:gutter="0"/>
          <w:cols w:space="720"/>
          <w:titlePg/>
          <w:docGrid w:linePitch="360"/>
        </w:sectPr>
      </w:pPr>
    </w:p>
    <w:p w14:paraId="1BEA6A81" w14:textId="77777777" w:rsidR="00106415" w:rsidRDefault="008E6C74" w:rsidP="008A1A23">
      <w:pPr>
        <w:pStyle w:val="OrderBody"/>
        <w:jc w:val="center"/>
      </w:pPr>
      <w:r w:rsidRPr="008A2867">
        <w:rPr>
          <w:noProof/>
        </w:rPr>
        <w:lastRenderedPageBreak/>
        <w:drawing>
          <wp:inline distT="0" distB="0" distL="0" distR="0" wp14:anchorId="27C250ED" wp14:editId="4903BD61">
            <wp:extent cx="5029200" cy="8586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8586216"/>
                    </a:xfrm>
                    <a:prstGeom prst="rect">
                      <a:avLst/>
                    </a:prstGeom>
                    <a:noFill/>
                    <a:ln>
                      <a:noFill/>
                    </a:ln>
                  </pic:spPr>
                </pic:pic>
              </a:graphicData>
            </a:graphic>
          </wp:inline>
        </w:drawing>
      </w:r>
    </w:p>
    <w:sectPr w:rsidR="00106415" w:rsidSect="00BD7444">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B5296" w14:textId="77777777" w:rsidR="000E1783" w:rsidRDefault="000E1783">
      <w:r>
        <w:separator/>
      </w:r>
    </w:p>
  </w:endnote>
  <w:endnote w:type="continuationSeparator" w:id="0">
    <w:p w14:paraId="4F104B0E" w14:textId="77777777" w:rsidR="000E1783" w:rsidRDefault="000E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A209" w14:textId="77777777" w:rsidR="000E1783" w:rsidRDefault="000E1783">
      <w:r>
        <w:separator/>
      </w:r>
    </w:p>
  </w:footnote>
  <w:footnote w:type="continuationSeparator" w:id="0">
    <w:p w14:paraId="0B0C2DCA" w14:textId="77777777" w:rsidR="000E1783" w:rsidRDefault="000E1783">
      <w:r>
        <w:continuationSeparator/>
      </w:r>
    </w:p>
  </w:footnote>
  <w:footnote w:id="1">
    <w:p w14:paraId="3F3BB09E" w14:textId="77777777" w:rsidR="000E1783" w:rsidRPr="008E5D62" w:rsidRDefault="000E1783" w:rsidP="003B33F0">
      <w:pPr>
        <w:pStyle w:val="FootnoteText"/>
        <w:rPr>
          <w:i/>
        </w:rPr>
      </w:pPr>
      <w:r>
        <w:rPr>
          <w:rStyle w:val="FootnoteReference"/>
        </w:rPr>
        <w:footnoteRef/>
      </w:r>
      <w:r>
        <w:t xml:space="preserve">Order No. PSC-2021-0206-FOF-WS, issued June 4, 2021, in Docket No. 20200139-WS, </w:t>
      </w:r>
      <w:r>
        <w:rPr>
          <w:i/>
        </w:rPr>
        <w:t>In re: Application for increase in water and wastewater rates in Charlotte, Highlands, Lake, Lee, Marion, Orange, Pasco, Pinellas, Polk, and Seminole Counties, by Utilities, Inc. of Florida.</w:t>
      </w:r>
    </w:p>
  </w:footnote>
  <w:footnote w:id="2">
    <w:p w14:paraId="6FF37E81" w14:textId="77777777" w:rsidR="000E1783" w:rsidRPr="00B969A4" w:rsidRDefault="000E1783" w:rsidP="003B33F0">
      <w:pPr>
        <w:pStyle w:val="FootnoteText"/>
        <w:rPr>
          <w:i/>
        </w:rPr>
      </w:pPr>
      <w:r>
        <w:rPr>
          <w:rStyle w:val="FootnoteReference"/>
        </w:rPr>
        <w:footnoteRef/>
      </w:r>
      <w:r>
        <w:t xml:space="preserve">Order No. PSC-2024-0378-PCO-WS, issued August 28, 2024, in Docket No. 20240068-WS, </w:t>
      </w:r>
      <w:r>
        <w:rPr>
          <w:i/>
        </w:rPr>
        <w:t>In re: Application for increase in water and wastewater rates in Charlotte, Highlands, Lake, Lee, Marion, Orange, Pasco, Pinellas, Polk, and Seminole Counties, by Sunshine Water Services Company.</w:t>
      </w:r>
    </w:p>
  </w:footnote>
  <w:footnote w:id="3">
    <w:p w14:paraId="6B490449" w14:textId="77777777" w:rsidR="000E1783" w:rsidRDefault="000E1783" w:rsidP="003B33F0">
      <w:pPr>
        <w:pStyle w:val="FootnoteText"/>
      </w:pPr>
      <w:r>
        <w:rPr>
          <w:rStyle w:val="FootnoteReference"/>
        </w:rPr>
        <w:footnoteRef/>
      </w:r>
      <w:r>
        <w:t>Document No. 02277-2024.</w:t>
      </w:r>
    </w:p>
  </w:footnote>
  <w:footnote w:id="4">
    <w:p w14:paraId="6B36543C" w14:textId="77777777" w:rsidR="000E1783" w:rsidRDefault="000E1783" w:rsidP="003B33F0">
      <w:pPr>
        <w:pStyle w:val="FootnoteText"/>
      </w:pPr>
      <w:r>
        <w:rPr>
          <w:rStyle w:val="FootnoteReference"/>
        </w:rPr>
        <w:footnoteRef/>
      </w:r>
      <w:r>
        <w:t>Document No. 02835-2024.</w:t>
      </w:r>
    </w:p>
  </w:footnote>
  <w:footnote w:id="5">
    <w:p w14:paraId="1E4A7B68" w14:textId="77777777" w:rsidR="000E1783" w:rsidRDefault="000E1783" w:rsidP="003B33F0">
      <w:pPr>
        <w:pStyle w:val="FootnoteText"/>
      </w:pPr>
      <w:r>
        <w:rPr>
          <w:rStyle w:val="FootnoteReference"/>
        </w:rPr>
        <w:footnoteRef/>
      </w:r>
      <w:r>
        <w:t>Document No. 09087-2024.</w:t>
      </w:r>
    </w:p>
  </w:footnote>
  <w:footnote w:id="6">
    <w:p w14:paraId="2A6D1721" w14:textId="77777777" w:rsidR="000E1783" w:rsidRDefault="000E1783" w:rsidP="003B33F0">
      <w:pPr>
        <w:pStyle w:val="FootnoteText"/>
      </w:pPr>
      <w:r>
        <w:rPr>
          <w:rStyle w:val="FootnoteReference"/>
        </w:rPr>
        <w:footnoteRef/>
      </w:r>
      <w:r>
        <w:t xml:space="preserve">Order No. PSC-2024-0435-PCO-WS, issued September 25, 2024, in Docket No. 20240068-WS, </w:t>
      </w:r>
      <w:r>
        <w:rPr>
          <w:i/>
        </w:rPr>
        <w:t xml:space="preserve">In re: Application for increase in water and wastewater rates in Charlotte, Highlands, Lake, Lee, Marion, Orange, Pasco, Pinellas, Polk, and Seminole Counties, by Sunshine Water Services Company. </w:t>
      </w:r>
    </w:p>
  </w:footnote>
  <w:footnote w:id="7">
    <w:p w14:paraId="361D185E" w14:textId="77777777" w:rsidR="000E1783" w:rsidRDefault="000E1783" w:rsidP="001B4C2F">
      <w:pPr>
        <w:pStyle w:val="FootnoteText"/>
      </w:pPr>
      <w:r>
        <w:rPr>
          <w:rStyle w:val="FootnoteReference"/>
        </w:rPr>
        <w:footnoteRef/>
      </w:r>
      <w:r>
        <w:t>A Type 1 stipulation occurs on an issue where the utility and intervenors agree on the resolution of the issue.</w:t>
      </w:r>
    </w:p>
  </w:footnote>
  <w:footnote w:id="8">
    <w:p w14:paraId="153C9DA6" w14:textId="77777777" w:rsidR="000E1783" w:rsidRDefault="000E1783" w:rsidP="001B4C2F">
      <w:pPr>
        <w:pStyle w:val="FootnoteText"/>
      </w:pPr>
      <w:r>
        <w:rPr>
          <w:rStyle w:val="FootnoteReference"/>
        </w:rPr>
        <w:footnoteRef/>
      </w:r>
      <w:r>
        <w:t>A Type 2 stipulation occurs when the utility and our staff, or the utility and at least one party adversarial to the utility, agree on the resolution of the issue and the remaining parties (including our staff if they do not join in the agreement) do not object to us relying on the agreed language to resolve that issue in a final order.</w:t>
      </w:r>
    </w:p>
  </w:footnote>
  <w:footnote w:id="9">
    <w:p w14:paraId="5178B86E" w14:textId="77777777" w:rsidR="000E1783" w:rsidRDefault="000E1783" w:rsidP="001B4C2F">
      <w:pPr>
        <w:pStyle w:val="FootnoteText"/>
      </w:pPr>
      <w:r>
        <w:rPr>
          <w:rStyle w:val="FootnoteReference"/>
        </w:rPr>
        <w:footnoteRef/>
      </w:r>
      <w:r>
        <w:t>OPC’s position on each Type 2 stipulation is as follows:</w:t>
      </w:r>
    </w:p>
    <w:p w14:paraId="1F48269C" w14:textId="77777777" w:rsidR="000E1783" w:rsidRDefault="000E1783" w:rsidP="001B4C2F">
      <w:pPr>
        <w:pStyle w:val="FootnoteText"/>
        <w:ind w:left="720" w:right="720"/>
      </w:pPr>
      <w: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p>
  </w:footnote>
  <w:footnote w:id="10">
    <w:p w14:paraId="2DFDEF90" w14:textId="77777777" w:rsidR="000E1783" w:rsidRDefault="000E1783" w:rsidP="003B33F0">
      <w:pPr>
        <w:pStyle w:val="FootnoteText"/>
      </w:pPr>
      <w:r>
        <w:rPr>
          <w:rStyle w:val="FootnoteReference"/>
        </w:rPr>
        <w:footnoteRef/>
      </w:r>
      <w:r>
        <w:t xml:space="preserve">Order No. PSC-2021-0206-FOF-WS, dated June 4, 2021, in Docket No. 20200139-WS, </w:t>
      </w:r>
      <w:r w:rsidRPr="009162FB">
        <w:rPr>
          <w:i/>
        </w:rPr>
        <w:t>In re: Application for increase in water and wastewater rates in Charlotte, Highlands, Lake, Lee, Marion, Orange, Pasco, Pinellas, Polk, and Seminole Counties, by Utilities, Inc. of Florida.</w:t>
      </w:r>
    </w:p>
  </w:footnote>
  <w:footnote w:id="11">
    <w:p w14:paraId="01DC2655" w14:textId="77777777" w:rsidR="000E1783" w:rsidRDefault="000E1783" w:rsidP="003B33F0">
      <w:pPr>
        <w:pStyle w:val="FootnoteText"/>
      </w:pPr>
      <w:r>
        <w:rPr>
          <w:rStyle w:val="FootnoteReference"/>
        </w:rPr>
        <w:footnoteRef/>
      </w:r>
      <w:r>
        <w:t xml:space="preserve">Order No. PSC-2021-0206-FOF-WS, dated June 4, 2021, in Docket No. 20200139-WS, </w:t>
      </w:r>
      <w:r w:rsidRPr="009162FB">
        <w:rPr>
          <w:i/>
        </w:rPr>
        <w:t>In re: Application for increase in water and wastewater rates in Charlotte, Highlands, Lake, Lee, Marion, Orange, Pasco, Pinellas, Polk, and Seminole Counties, by Utilities, Inc. of Florida.</w:t>
      </w:r>
    </w:p>
  </w:footnote>
  <w:footnote w:id="12">
    <w:p w14:paraId="75B73523" w14:textId="77777777" w:rsidR="000E1783" w:rsidRDefault="000E1783" w:rsidP="003B33F0">
      <w:pPr>
        <w:pStyle w:val="FootnoteText"/>
      </w:pPr>
      <w:r>
        <w:rPr>
          <w:rStyle w:val="FootnoteReference"/>
        </w:rPr>
        <w:footnoteRef/>
      </w:r>
      <w:r w:rsidRPr="00955BE0">
        <w:t>Order No. PSC-2017-0361-FOF-WS</w:t>
      </w:r>
      <w:r>
        <w:t>.</w:t>
      </w:r>
    </w:p>
  </w:footnote>
  <w:footnote w:id="13">
    <w:p w14:paraId="107E6AA5" w14:textId="77777777" w:rsidR="000E1783" w:rsidRDefault="000E1783" w:rsidP="003B33F0">
      <w:pPr>
        <w:pStyle w:val="FootnoteText"/>
      </w:pPr>
      <w:r>
        <w:rPr>
          <w:rStyle w:val="FootnoteReference"/>
        </w:rPr>
        <w:footnoteRef/>
      </w:r>
      <w:r w:rsidRPr="00955BE0">
        <w:t>Order No. PSC-2021-0206-FOF-WS, dated June 4, 2021, in Docket No. 20200139-WS,</w:t>
      </w:r>
      <w:r w:rsidRPr="00955BE0">
        <w:rPr>
          <w:i/>
        </w:rPr>
        <w:t xml:space="preserve"> In re: Application for increase in water and wastewater rates in Charlotte, Highlands, Lake, Lee, Marion, Orange, Pasco, Pinellas, Polk, and Seminole Counties, by Utilities, Inc. of Florida</w:t>
      </w:r>
      <w:r>
        <w:rPr>
          <w:i/>
        </w:rPr>
        <w:t>.</w:t>
      </w:r>
    </w:p>
  </w:footnote>
  <w:footnote w:id="14">
    <w:p w14:paraId="5CCDE7C6" w14:textId="77777777" w:rsidR="000E1783" w:rsidRDefault="000E1783" w:rsidP="003B33F0">
      <w:pPr>
        <w:pStyle w:val="FootnoteText"/>
      </w:pPr>
      <w:r>
        <w:rPr>
          <w:rStyle w:val="FootnoteReference"/>
        </w:rPr>
        <w:footnoteRef/>
      </w:r>
      <w:r>
        <w:t xml:space="preserve">Order No. PSC-2021-0206-FOF-WS, dated June 4, 2021, in Docket No. 20200139-WS, </w:t>
      </w:r>
      <w:r w:rsidRPr="009162FB">
        <w:rPr>
          <w:i/>
        </w:rPr>
        <w:t>In re: Application for increase in water and wastewater rates in Charlotte, Highlands, Lake, Lee, Marion, Orange, Pasco, Pinellas, Polk, and Seminole Counties, by Utilities, Inc. of Florida.</w:t>
      </w:r>
    </w:p>
  </w:footnote>
  <w:footnote w:id="15">
    <w:p w14:paraId="62417ABB" w14:textId="77777777" w:rsidR="000E1783" w:rsidRDefault="000E1783" w:rsidP="003B33F0">
      <w:pPr>
        <w:pStyle w:val="FootnoteText"/>
      </w:pPr>
      <w:r>
        <w:rPr>
          <w:rStyle w:val="FootnoteReference"/>
        </w:rPr>
        <w:footnoteRef/>
      </w:r>
      <w:r w:rsidRPr="001570C8">
        <w:t>Order No. PSC-2021-0206-FOF-WS</w:t>
      </w:r>
      <w:r>
        <w:t>.</w:t>
      </w:r>
    </w:p>
  </w:footnote>
  <w:footnote w:id="16">
    <w:p w14:paraId="12078C03" w14:textId="77777777" w:rsidR="000E1783" w:rsidRDefault="000E1783" w:rsidP="003B33F0">
      <w:pPr>
        <w:pStyle w:val="FootnoteText"/>
      </w:pPr>
      <w:r>
        <w:rPr>
          <w:rStyle w:val="FootnoteReference"/>
        </w:rPr>
        <w:footnoteRef/>
      </w:r>
      <w:r w:rsidRPr="00496CD7">
        <w:rPr>
          <w:i/>
        </w:rPr>
        <w:t>Keystone Water Co. v. Bevis</w:t>
      </w:r>
      <w:r>
        <w:t>, 278 So. 2d 606 (Fla. 1973).</w:t>
      </w:r>
    </w:p>
  </w:footnote>
  <w:footnote w:id="17">
    <w:p w14:paraId="4693026A" w14:textId="77777777" w:rsidR="000E1783" w:rsidRDefault="000E1783" w:rsidP="003B33F0">
      <w:pPr>
        <w:pStyle w:val="FootnoteText"/>
      </w:pPr>
      <w:r>
        <w:rPr>
          <w:rStyle w:val="FootnoteReference"/>
        </w:rPr>
        <w:footnoteRef/>
      </w:r>
      <w:r>
        <w:t>The Supreme C</w:t>
      </w:r>
      <w:r w:rsidRPr="001B5408">
        <w:t xml:space="preserve">ourt concluded that </w:t>
      </w:r>
      <w:r>
        <w:t>we</w:t>
      </w:r>
      <w:r w:rsidRPr="001B5408">
        <w:t xml:space="preserve"> erred in </w:t>
      </w:r>
      <w:r>
        <w:t xml:space="preserve">applying Section </w:t>
      </w:r>
      <w:r w:rsidRPr="001B5408">
        <w:t xml:space="preserve">367.081, F.S., when </w:t>
      </w:r>
      <w:r w:rsidRPr="001B5408">
        <w:rPr>
          <w:i/>
        </w:rPr>
        <w:t xml:space="preserve">Keystone’s </w:t>
      </w:r>
      <w:r w:rsidRPr="001B5408">
        <w:t xml:space="preserve">application for a rate increase was filed while </w:t>
      </w:r>
      <w:r>
        <w:t>S</w:t>
      </w:r>
      <w:r w:rsidRPr="001B5408">
        <w:t xml:space="preserve">ection </w:t>
      </w:r>
      <w:r>
        <w:t>367.12(2</w:t>
      </w:r>
      <w:r w:rsidRPr="001B5408">
        <w:t>)</w:t>
      </w:r>
      <w:r>
        <w:t>(a)</w:t>
      </w:r>
      <w:r w:rsidRPr="001B5408">
        <w:t>, F.S.</w:t>
      </w:r>
      <w:r>
        <w:t xml:space="preserve"> (1969)</w:t>
      </w:r>
      <w:r w:rsidRPr="001B5408">
        <w:t>, was still in effect.</w:t>
      </w:r>
    </w:p>
  </w:footnote>
  <w:footnote w:id="18">
    <w:p w14:paraId="10D0869C" w14:textId="77777777" w:rsidR="000E1783" w:rsidRPr="007901FE" w:rsidRDefault="000E1783" w:rsidP="003B33F0">
      <w:pPr>
        <w:pStyle w:val="FootnoteText"/>
        <w:rPr>
          <w:i/>
        </w:rPr>
      </w:pPr>
      <w:r>
        <w:rPr>
          <w:rStyle w:val="FootnoteReference"/>
        </w:rPr>
        <w:footnoteRef/>
      </w:r>
      <w:r>
        <w:t>278 So. 2d at 611 (internal citations omitted).</w:t>
      </w:r>
    </w:p>
  </w:footnote>
  <w:footnote w:id="19">
    <w:p w14:paraId="2AC8C9F1" w14:textId="77777777" w:rsidR="000E1783" w:rsidRDefault="000E1783" w:rsidP="003B33F0">
      <w:pPr>
        <w:pStyle w:val="FootnoteText"/>
      </w:pPr>
      <w:r>
        <w:rPr>
          <w:rStyle w:val="FootnoteReference"/>
        </w:rPr>
        <w:footnoteRef/>
      </w:r>
      <w:r>
        <w:t>This is addressed in Issue 28.</w:t>
      </w:r>
    </w:p>
  </w:footnote>
  <w:footnote w:id="20">
    <w:p w14:paraId="73F7F006" w14:textId="4FA1E58C" w:rsidR="000E1783" w:rsidRDefault="000E1783" w:rsidP="00532378">
      <w:pPr>
        <w:pStyle w:val="FootnoteText"/>
      </w:pPr>
      <w:r>
        <w:rPr>
          <w:rStyle w:val="FootnoteReference"/>
        </w:rPr>
        <w:footnoteRef/>
      </w:r>
      <w:r>
        <w:t xml:space="preserve">ST-20 is addressed in our analysis of Advanced Meter Infrastructure (Issue 4A). </w:t>
      </w:r>
    </w:p>
  </w:footnote>
  <w:footnote w:id="21">
    <w:p w14:paraId="09C00F58" w14:textId="4040D4F8" w:rsidR="000E1783" w:rsidRDefault="000E1783" w:rsidP="00532378">
      <w:pPr>
        <w:pStyle w:val="FootnoteText"/>
      </w:pPr>
      <w:r>
        <w:rPr>
          <w:rStyle w:val="FootnoteReference"/>
        </w:rPr>
        <w:footnoteRef/>
      </w:r>
      <w:r>
        <w:t>We</w:t>
      </w:r>
      <w:r w:rsidRPr="000B1D3F">
        <w:t xml:space="preserve"> note that Sunshine’s brief indicated that the Utility subsequently updated its total pro forma request to $61,856,225. However, </w:t>
      </w:r>
      <w:r>
        <w:t>we</w:t>
      </w:r>
      <w:r w:rsidRPr="000B1D3F">
        <w:t xml:space="preserve"> utilized the total amount, as stated, of $61,018,405 based on the rebuttal testimony of witness Twomey</w:t>
      </w:r>
      <w:r>
        <w:t>.</w:t>
      </w:r>
    </w:p>
  </w:footnote>
  <w:footnote w:id="22">
    <w:p w14:paraId="28194B82" w14:textId="77777777" w:rsidR="000E1783" w:rsidRDefault="000E1783" w:rsidP="00532378">
      <w:pPr>
        <w:pStyle w:val="FootnoteText"/>
      </w:pPr>
      <w:r>
        <w:rPr>
          <w:rStyle w:val="FootnoteReference"/>
        </w:rPr>
        <w:footnoteRef/>
      </w:r>
      <w:r w:rsidRPr="00311F92">
        <w:t xml:space="preserve">See </w:t>
      </w:r>
      <w:r>
        <w:t xml:space="preserve">Order No. PSC-2021-0206-FOF-WS, issued June 4, 2021, in Docket No. 20200139-WS, </w:t>
      </w:r>
      <w:r w:rsidRPr="00B516D6">
        <w:rPr>
          <w:i/>
        </w:rPr>
        <w:t>In re: Application for increase in water and wastewater rates in Charlotte, Highlands, Lake, Lee, Marion, Orange, Pasco, Pinellas, Polk, and Seminole Counties, by Utilities, Inc. of Florida.</w:t>
      </w:r>
    </w:p>
  </w:footnote>
  <w:footnote w:id="23">
    <w:p w14:paraId="6D7277F7" w14:textId="77777777" w:rsidR="000E1783" w:rsidRDefault="000E1783" w:rsidP="00532378">
      <w:pPr>
        <w:pStyle w:val="FootnoteText"/>
      </w:pPr>
      <w:r>
        <w:rPr>
          <w:rStyle w:val="FootnoteReference"/>
        </w:rPr>
        <w:footnoteRef/>
      </w:r>
      <w:r w:rsidRPr="00C504BC">
        <w:rPr>
          <w:i/>
        </w:rPr>
        <w:t>See</w:t>
      </w:r>
      <w:r>
        <w:t xml:space="preserve"> Order No. PSC-2021-0206-FOF-WS, issued June 4, 2021, in Docket no. 20200139-WS, </w:t>
      </w:r>
      <w:r w:rsidRPr="00B516D6">
        <w:rPr>
          <w:i/>
        </w:rPr>
        <w:t>In re: Application for increase in water and wastewater rates in Charlotte, Highlands, Lake, Lee, Marion, Orange, Pasco, Pinellas, Polk, and Seminole Counties, by Utilities, Inc. of Florida.</w:t>
      </w:r>
    </w:p>
  </w:footnote>
  <w:footnote w:id="24">
    <w:p w14:paraId="5B713258" w14:textId="77777777" w:rsidR="000E1783" w:rsidRPr="00D05B44" w:rsidRDefault="000E1783" w:rsidP="00361C00">
      <w:pPr>
        <w:pStyle w:val="FootnoteText"/>
        <w:rPr>
          <w:i/>
        </w:rPr>
      </w:pPr>
      <w:r>
        <w:rPr>
          <w:rStyle w:val="FootnoteReference"/>
        </w:rPr>
        <w:footnoteRef/>
      </w:r>
      <w:r>
        <w:t xml:space="preserve">Order. No. PSC-2024-0118-PAA-WS, issued on April 23, 2024, in Docket No. 20230083-WS, </w:t>
      </w:r>
      <w:r w:rsidRPr="00D05B44">
        <w:rPr>
          <w:i/>
        </w:rPr>
        <w:t xml:space="preserve">In re: Application for increase in water and wastewater rates in Orange County by Pluris Wedgefield, LLC. </w:t>
      </w:r>
    </w:p>
  </w:footnote>
  <w:footnote w:id="25">
    <w:p w14:paraId="20A53E4D" w14:textId="77777777" w:rsidR="000E1783" w:rsidRDefault="000E1783" w:rsidP="00847B3F">
      <w:pPr>
        <w:autoSpaceDE w:val="0"/>
        <w:autoSpaceDN w:val="0"/>
        <w:adjustRightInd w:val="0"/>
        <w:jc w:val="both"/>
      </w:pPr>
      <w:r>
        <w:rPr>
          <w:rStyle w:val="FootnoteReference"/>
        </w:rPr>
        <w:footnoteRef/>
      </w:r>
      <w:r>
        <w:rPr>
          <w:rFonts w:ascii="TimesNewRomanPSMT" w:hAnsi="TimesNewRomanPSMT" w:cs="TimesNewRomanPSMT"/>
          <w:sz w:val="20"/>
          <w:szCs w:val="20"/>
        </w:rPr>
        <w:t xml:space="preserve">Order No. PSC-2009-0537-PCO-WU, issued August 4, 2009, in Docket No. 20080695-WU, </w:t>
      </w:r>
      <w:r w:rsidRPr="00D04476">
        <w:rPr>
          <w:rFonts w:ascii="TimesNewRomanPSMT" w:hAnsi="TimesNewRomanPSMT" w:cs="TimesNewRomanPSMT"/>
          <w:i/>
          <w:sz w:val="20"/>
          <w:szCs w:val="20"/>
        </w:rPr>
        <w:t>In re: Application for general rate increase by Peoples Water Service Company of Florida Inc.</w:t>
      </w:r>
      <w:r>
        <w:rPr>
          <w:rFonts w:ascii="TimesNewRomanPSMT" w:hAnsi="TimesNewRomanPSMT" w:cs="TimesNewRomanPSMT"/>
          <w:i/>
          <w:sz w:val="20"/>
          <w:szCs w:val="20"/>
        </w:rPr>
        <w:t xml:space="preserve">, </w:t>
      </w:r>
      <w:r w:rsidRPr="00DB362C">
        <w:rPr>
          <w:rFonts w:ascii="TimesNewRomanPSMT" w:hAnsi="TimesNewRomanPSMT" w:cs="TimesNewRomanPSMT"/>
          <w:sz w:val="20"/>
          <w:szCs w:val="20"/>
        </w:rPr>
        <w:t xml:space="preserve">p. 3 </w:t>
      </w:r>
      <w:r>
        <w:rPr>
          <w:rFonts w:ascii="TimesNewRomanPSMT" w:hAnsi="TimesNewRomanPSMT" w:cs="TimesNewRomanPSMT"/>
          <w:sz w:val="20"/>
          <w:szCs w:val="20"/>
        </w:rPr>
        <w:t>(“Plant-in-service, accumulated depreciation, contributions in aid of construction (CIAC), and accumulated amortization of CIAC should reflect 13- month average balances.”)</w:t>
      </w:r>
    </w:p>
  </w:footnote>
  <w:footnote w:id="26">
    <w:p w14:paraId="7E53CBC3" w14:textId="77777777" w:rsidR="000E1783" w:rsidRDefault="000E1783" w:rsidP="000B5BC5">
      <w:pPr>
        <w:pStyle w:val="FootnoteText"/>
      </w:pPr>
      <w:r>
        <w:rPr>
          <w:rStyle w:val="FootnoteReference"/>
        </w:rPr>
        <w:footnoteRef/>
      </w:r>
      <w:r w:rsidRPr="00452143">
        <w:rPr>
          <w:rFonts w:ascii="TimesNewRomanPSMT" w:hAnsi="TimesNewRomanPSMT" w:cs="TimesNewRomanPSMT"/>
        </w:rPr>
        <w:t>Order No. PSC-2017-0361-FOF-WS, issued September 25, 2017, in Docket No. 20160101-WS,</w:t>
      </w:r>
      <w:r>
        <w:rPr>
          <w:rFonts w:ascii="TimesNewRomanPSMT" w:hAnsi="TimesNewRomanPSMT" w:cs="TimesNewRomanPSMT"/>
          <w:szCs w:val="24"/>
        </w:rPr>
        <w:t xml:space="preserve"> </w:t>
      </w:r>
      <w:r w:rsidRPr="00452143">
        <w:rPr>
          <w:rFonts w:ascii="TimesNewRomanPSMT" w:hAnsi="TimesNewRomanPSMT" w:cs="TimesNewRomanPSMT"/>
          <w:i/>
        </w:rPr>
        <w:t>In re: Application for increase in water and wastewater rates in Charlotte, Highland</w:t>
      </w:r>
      <w:r>
        <w:rPr>
          <w:rFonts w:ascii="TimesNewRomanPSMT" w:hAnsi="TimesNewRomanPSMT" w:cs="TimesNewRomanPSMT"/>
          <w:i/>
        </w:rPr>
        <w:t>s, Lake, Lee, Marion, Orange Pas</w:t>
      </w:r>
      <w:r w:rsidRPr="00452143">
        <w:rPr>
          <w:rFonts w:ascii="TimesNewRomanPSMT" w:hAnsi="TimesNewRomanPSMT" w:cs="TimesNewRomanPSMT"/>
          <w:i/>
        </w:rPr>
        <w:t>co, Pinellas, Polk, and Seminole Counties by Utilities, Inc. of Florida</w:t>
      </w:r>
      <w:r>
        <w:rPr>
          <w:rFonts w:ascii="TimesNewRomanPSMT" w:hAnsi="TimesNewRomanPSMT" w:cs="TimesNewRomanPSMT"/>
          <w:i/>
        </w:rPr>
        <w:t>.</w:t>
      </w:r>
    </w:p>
  </w:footnote>
  <w:footnote w:id="27">
    <w:p w14:paraId="6FBCF617" w14:textId="77777777" w:rsidR="000E1783" w:rsidRDefault="000E1783" w:rsidP="000B5BC5">
      <w:pPr>
        <w:pStyle w:val="FootnoteText"/>
      </w:pPr>
      <w:r>
        <w:rPr>
          <w:rStyle w:val="FootnoteReference"/>
        </w:rPr>
        <w:footnoteRef/>
      </w:r>
      <w:r>
        <w:t>Order No. PSC-2021-0206-FOF-WS.</w:t>
      </w:r>
    </w:p>
  </w:footnote>
  <w:footnote w:id="28">
    <w:p w14:paraId="3F39D31B" w14:textId="77777777" w:rsidR="000E1783" w:rsidRDefault="000E1783" w:rsidP="000B5BC5">
      <w:pPr>
        <w:pStyle w:val="FootnoteText"/>
      </w:pPr>
      <w:r>
        <w:rPr>
          <w:rStyle w:val="FootnoteReference"/>
        </w:rPr>
        <w:footnoteRef/>
      </w:r>
      <w:r>
        <w:t>Order No. PSC-2017-0361-FOF-WS.</w:t>
      </w:r>
    </w:p>
  </w:footnote>
  <w:footnote w:id="29">
    <w:p w14:paraId="28648B4D" w14:textId="77777777" w:rsidR="000E1783" w:rsidRDefault="000E1783" w:rsidP="000B5BC5">
      <w:pPr>
        <w:pStyle w:val="FootnoteText"/>
      </w:pPr>
      <w:r>
        <w:rPr>
          <w:rStyle w:val="FootnoteReference"/>
        </w:rPr>
        <w:footnoteRef/>
      </w:r>
      <w:r>
        <w:t>The ROE reflects the Utility’s initial filing, not the stipulated ROE reflected in Issue 22.</w:t>
      </w:r>
    </w:p>
  </w:footnote>
  <w:footnote w:id="30">
    <w:p w14:paraId="3440D04E" w14:textId="77777777" w:rsidR="000E1783" w:rsidRDefault="000E1783" w:rsidP="000B5BC5">
      <w:pPr>
        <w:pStyle w:val="FootnoteText"/>
      </w:pPr>
      <w:r>
        <w:rPr>
          <w:rStyle w:val="FootnoteReference"/>
        </w:rPr>
        <w:footnoteRef/>
      </w:r>
      <w:r>
        <w:t xml:space="preserve">Order No. PSC-2025-0035-PAA-GU, issued January 30, 2025, in Docket No. 20240046-GU, </w:t>
      </w:r>
      <w:r>
        <w:rPr>
          <w:i/>
        </w:rPr>
        <w:t>In re: Petition for rate increase by St. Joe Natural Gas Company, Inc.</w:t>
      </w:r>
      <w:r>
        <w:t xml:space="preserve">; Order No. PSC-2024-0046-PAA-WS, issued February 22, 2024, in Docket No. 20230081-WS, </w:t>
      </w:r>
      <w:r>
        <w:rPr>
          <w:i/>
        </w:rPr>
        <w:t>In re: Application for increase in water and wastewater rates in Broward County by Royal Waterworks, Inc.</w:t>
      </w:r>
      <w:r>
        <w:t xml:space="preserve"> </w:t>
      </w:r>
    </w:p>
  </w:footnote>
  <w:footnote w:id="31">
    <w:p w14:paraId="3584172E" w14:textId="77777777" w:rsidR="000E1783" w:rsidRPr="008302CF" w:rsidRDefault="000E1783" w:rsidP="00F36ABC">
      <w:pPr>
        <w:pStyle w:val="FootnoteText"/>
        <w:rPr>
          <w:i/>
        </w:rPr>
      </w:pPr>
      <w:r>
        <w:rPr>
          <w:rStyle w:val="FootnoteReference"/>
        </w:rPr>
        <w:footnoteRef/>
      </w:r>
      <w:r>
        <w:t xml:space="preserve">See Order No. PSC-2024-0118-PAA-WS, issued April 23, 2024, in Docket No. 20230083-WS, </w:t>
      </w:r>
      <w:r>
        <w:rPr>
          <w:i/>
        </w:rPr>
        <w:t>In re: Application for increase in water and wastewater rates in Orange County by Pluris Wedgefield, LLC.</w:t>
      </w:r>
    </w:p>
  </w:footnote>
  <w:footnote w:id="32">
    <w:p w14:paraId="277A0732" w14:textId="123710C7" w:rsidR="000E1783" w:rsidRPr="00E226C1" w:rsidRDefault="000E1783" w:rsidP="00F36ABC">
      <w:pPr>
        <w:pStyle w:val="FootnoteText"/>
        <w:rPr>
          <w:i/>
        </w:rPr>
      </w:pPr>
      <w:r>
        <w:rPr>
          <w:rStyle w:val="FootnoteReference"/>
        </w:rPr>
        <w:footnoteRef/>
      </w:r>
      <w:r>
        <w:t xml:space="preserve"> </w:t>
      </w:r>
      <w:r w:rsidRPr="00C504BC">
        <w:rPr>
          <w:i/>
        </w:rPr>
        <w:t>See</w:t>
      </w:r>
      <w:r>
        <w:t xml:space="preserve"> Order Nos. PSC-2012-0179-FOF-EI, issued April 3, 2012, in Docket No. 20110138-EI, </w:t>
      </w:r>
      <w:r w:rsidRPr="00A840DE">
        <w:rPr>
          <w:i/>
        </w:rPr>
        <w:t>In re: Petition for</w:t>
      </w:r>
      <w:r>
        <w:rPr>
          <w:i/>
        </w:rPr>
        <w:t xml:space="preserve"> </w:t>
      </w:r>
      <w:r w:rsidRPr="00A840DE">
        <w:rPr>
          <w:i/>
        </w:rPr>
        <w:t>increase in rates by Gulf Power Company</w:t>
      </w:r>
      <w:r>
        <w:rPr>
          <w:i/>
        </w:rPr>
        <w:t xml:space="preserve">, </w:t>
      </w:r>
      <w:r>
        <w:t>p. 101; PSC-2010-0131-FOF-EI, issued March 5, 2010, in Docket No. 20090079-EI,</w:t>
      </w:r>
      <w:r w:rsidRPr="00A840DE">
        <w:rPr>
          <w:i/>
        </w:rPr>
        <w:t xml:space="preserve"> In re: Petition for increase in rates by Progress Energy Florida, Inc.</w:t>
      </w:r>
      <w:r>
        <w:rPr>
          <w:i/>
        </w:rPr>
        <w:t xml:space="preserve">, </w:t>
      </w:r>
      <w:r>
        <w:t>p. 99.</w:t>
      </w:r>
    </w:p>
  </w:footnote>
  <w:footnote w:id="33">
    <w:p w14:paraId="415F5E5E" w14:textId="15918D29" w:rsidR="000E1783" w:rsidRPr="008E53F3" w:rsidRDefault="000E1783" w:rsidP="00F36ABC">
      <w:pPr>
        <w:pStyle w:val="FootnoteText"/>
        <w:rPr>
          <w:i/>
        </w:rPr>
      </w:pPr>
      <w:r>
        <w:rPr>
          <w:rStyle w:val="FootnoteReference"/>
        </w:rPr>
        <w:footnoteRef/>
      </w:r>
      <w:r w:rsidRPr="00C504BC">
        <w:t>Order Nos. PSC-2017-0361-FOF-WS, issued September 25, 2017, in Docket No. 20160101-WS,</w:t>
      </w:r>
      <w:r>
        <w:rPr>
          <w:i/>
        </w:rPr>
        <w:t xml:space="preserve"> In re: </w:t>
      </w:r>
      <w:r w:rsidRPr="00293DA9">
        <w:rPr>
          <w:i/>
        </w:rPr>
        <w:t>Application for increase in water and wastewater rates in Charlotte, Highlands, Lake,</w:t>
      </w:r>
      <w:r>
        <w:rPr>
          <w:i/>
        </w:rPr>
        <w:t xml:space="preserve"> Lee, Marion, Orange, Pasco, </w:t>
      </w:r>
      <w:r w:rsidRPr="00293DA9">
        <w:rPr>
          <w:i/>
        </w:rPr>
        <w:t xml:space="preserve">Pinellas, Polk, and Seminole Counties by Utilities, Inc. of Florida; </w:t>
      </w:r>
      <w:r w:rsidRPr="00C504BC">
        <w:t>and PSC-2021-0206-FOF-WS, issued June 4,2021, in Docket No. 20200139-WS</w:t>
      </w:r>
      <w:r>
        <w:rPr>
          <w:i/>
        </w:rPr>
        <w:t xml:space="preserve">, In re: </w:t>
      </w:r>
      <w:r w:rsidRPr="00293DA9">
        <w:rPr>
          <w:i/>
        </w:rPr>
        <w:t>Application for increase in water and wastewater rates in Charlotte, Highlands, La</w:t>
      </w:r>
      <w:r>
        <w:rPr>
          <w:i/>
        </w:rPr>
        <w:t xml:space="preserve">ke, Lee, Marion, Orange, Pasco, </w:t>
      </w:r>
      <w:r w:rsidRPr="00293DA9">
        <w:rPr>
          <w:i/>
        </w:rPr>
        <w:t>Pinellas, Polk, and Seminole Counties by Utilities, Inc. of Florida</w:t>
      </w:r>
      <w:r>
        <w:rPr>
          <w:i/>
        </w:rPr>
        <w:t>.</w:t>
      </w:r>
    </w:p>
  </w:footnote>
  <w:footnote w:id="34">
    <w:p w14:paraId="282EC2FA" w14:textId="624DA928" w:rsidR="000E1783" w:rsidRDefault="000E1783" w:rsidP="008750AD">
      <w:pPr>
        <w:pStyle w:val="FootnoteText"/>
      </w:pPr>
      <w:r>
        <w:rPr>
          <w:rStyle w:val="FootnoteReference"/>
        </w:rPr>
        <w:footnoteRef/>
      </w:r>
      <w:r>
        <w:t xml:space="preserve"> Order Nos. PSC-13-0673-FOF-WS, issued December 19, 2013, in Docket No. 130212-WS, </w:t>
      </w:r>
      <w:r w:rsidRPr="006F3D32">
        <w:rPr>
          <w:i/>
        </w:rPr>
        <w:t>In re: Application for increase in water/wastewater rates in Polk County by Cypress Lakes Utilities, Inc</w:t>
      </w:r>
      <w:r>
        <w:t xml:space="preserve">.; PSC-08-0761-PCO-SU, issued November 17, 2008, in Docket No. 080247-SU, </w:t>
      </w:r>
      <w:r w:rsidRPr="006F3D32">
        <w:rPr>
          <w:i/>
        </w:rPr>
        <w:t>In re: Application for Wastewater Rate Increase by Utilities, Inc. of Eagle Ridge</w:t>
      </w:r>
      <w:r>
        <w:t xml:space="preserve">, PSC-06-0675-PCO-SU, issued August 7, 2006, in Docket No. 060255-SU, </w:t>
      </w:r>
      <w:r w:rsidRPr="006F3D32">
        <w:rPr>
          <w:i/>
        </w:rPr>
        <w:t>In re: Application for increase in wastewater rates in Pinellas County by Tierra Verde Utilities, Inc.</w:t>
      </w:r>
      <w:r>
        <w:t xml:space="preserve">; and PSC-05-0287-PAA-SU, issued March 17, 2005, and in Docket No. 040972-SU, </w:t>
      </w:r>
      <w:r w:rsidRPr="006F3D32">
        <w:rPr>
          <w:i/>
        </w:rPr>
        <w:t>In re: Application for rate increase in Pinellas County by Ranch Mobile WWTP, Inc.</w:t>
      </w:r>
    </w:p>
  </w:footnote>
  <w:footnote w:id="35">
    <w:p w14:paraId="537CC868" w14:textId="77777777" w:rsidR="000E1783" w:rsidRDefault="000E1783" w:rsidP="00F36ABC">
      <w:pPr>
        <w:pStyle w:val="FootnoteText"/>
      </w:pPr>
      <w:r>
        <w:rPr>
          <w:rStyle w:val="FootnoteReference"/>
        </w:rPr>
        <w:footnoteRef/>
      </w:r>
      <w:r w:rsidRPr="00067A73">
        <w:t xml:space="preserve">Order No. PSC-2017-0361-FOF-WS, issued September 25, 2017, in Docket No. 20160101-WS, </w:t>
      </w:r>
      <w:r w:rsidRPr="00067A73">
        <w:rPr>
          <w:i/>
        </w:rPr>
        <w:t>In re: Application for increase in water and wastewater rates in Charlotte, Highland</w:t>
      </w:r>
      <w:r>
        <w:rPr>
          <w:i/>
        </w:rPr>
        <w:t>s, Lake, Lee, Marion, Orange Pas</w:t>
      </w:r>
      <w:r w:rsidRPr="00067A73">
        <w:rPr>
          <w:i/>
        </w:rPr>
        <w:t>co, Pinellas, Polk, and Seminole Counties by Utilities, Inc. of Florida</w:t>
      </w:r>
      <w:r>
        <w:t>.</w:t>
      </w:r>
    </w:p>
  </w:footnote>
  <w:footnote w:id="36">
    <w:p w14:paraId="75212076" w14:textId="77777777" w:rsidR="000E1783" w:rsidRPr="00B02E25" w:rsidRDefault="000E1783" w:rsidP="00F36ABC">
      <w:pPr>
        <w:pStyle w:val="FootnoteText"/>
        <w:rPr>
          <w:i/>
        </w:rPr>
      </w:pPr>
      <w:r>
        <w:rPr>
          <w:rStyle w:val="FootnoteReference"/>
        </w:rPr>
        <w:footnoteRef/>
      </w:r>
      <w:r w:rsidRPr="00B02E25">
        <w:t>Order No. PSC-2017-0361-FOF-WS, issued September 25, 2017, in Docket No. 20160101-WS,</w:t>
      </w:r>
      <w:r w:rsidRPr="00B02E25">
        <w:rPr>
          <w:i/>
        </w:rPr>
        <w:t xml:space="preserve"> In re: Application for increase in water and wastewater rates in Charlotte, Highlands, Lake, Lee, Marion, Orange, Pasco, Pinellas, Polk, and Seminole Counties by Utilities, Inc. of Florida.</w:t>
      </w:r>
    </w:p>
  </w:footnote>
  <w:footnote w:id="37">
    <w:p w14:paraId="12E7482E" w14:textId="77777777" w:rsidR="000E1783" w:rsidRPr="00B02E25" w:rsidRDefault="000E1783" w:rsidP="00F36ABC">
      <w:pPr>
        <w:pStyle w:val="FootnoteText"/>
        <w:rPr>
          <w:i/>
        </w:rPr>
      </w:pPr>
      <w:r>
        <w:rPr>
          <w:rStyle w:val="FootnoteReference"/>
        </w:rPr>
        <w:footnoteRef/>
      </w:r>
      <w:r w:rsidRPr="00B02E25">
        <w:t xml:space="preserve">Order No. PSC-2018-0595-TRF-SU, issued December 20, 2018, in Docket No. 20180219-SU, </w:t>
      </w:r>
      <w:r w:rsidRPr="00B02E25">
        <w:rPr>
          <w:i/>
        </w:rPr>
        <w:t>In re: Request for approval of amendment to tariff to charge a standby charge to customers significantly impacted by Hurricane Michael in Gulf County, by ESAD Enterprises, Inc. d/b/a Beaches Sewer System.</w:t>
      </w:r>
    </w:p>
  </w:footnote>
  <w:footnote w:id="38">
    <w:p w14:paraId="4DC8C32F" w14:textId="77777777" w:rsidR="000E1783" w:rsidRDefault="000E1783" w:rsidP="00F36ABC">
      <w:pPr>
        <w:pStyle w:val="FootnoteText"/>
      </w:pPr>
      <w:r>
        <w:rPr>
          <w:rStyle w:val="FootnoteReference"/>
        </w:rPr>
        <w:footnoteRef/>
      </w:r>
      <w:r w:rsidRPr="00924090">
        <w:t>Order No. PSC-2024-0118-PAA-WS, issued April 23, 2024, in Docket No. 20230083-WS,</w:t>
      </w:r>
      <w:r w:rsidRPr="00924090">
        <w:rPr>
          <w:i/>
        </w:rPr>
        <w:t xml:space="preserve"> In re: Application for increase in water and wastewater rates in Orange County by Pluris Wedgefield, LLC</w:t>
      </w:r>
      <w:r>
        <w:t>.</w:t>
      </w:r>
    </w:p>
  </w:footnote>
  <w:footnote w:id="39">
    <w:p w14:paraId="29F4BDF0" w14:textId="6B07CED2" w:rsidR="000E1783" w:rsidRDefault="000E1783" w:rsidP="00F36ABC">
      <w:pPr>
        <w:pStyle w:val="FootnoteText"/>
      </w:pPr>
      <w:r>
        <w:rPr>
          <w:rStyle w:val="FootnoteReference"/>
        </w:rPr>
        <w:footnoteRef/>
      </w:r>
      <w:r>
        <w:t xml:space="preserve"> We have only previously considered “affordability” in the limited context of a rate structure issue when determining the appropriate levels of subsidization when consolidating water and wastewater rates. </w:t>
      </w:r>
      <w:r>
        <w:rPr>
          <w:i/>
        </w:rPr>
        <w:t>See</w:t>
      </w:r>
      <w:r>
        <w:t xml:space="preserve"> Order No. PSC-09-0385-FOF-WS, issued May 29, 2009, in Docket No. 080121-WS, </w:t>
      </w:r>
      <w:r>
        <w:rPr>
          <w:i/>
        </w:rPr>
        <w:t>In re: Application for increase in water and wastewater rates in Alachua, Brevard, DeSoto, Highlands, Lake, Lee, Marion, Orange, Palm Beach, Pasco, Polk, Putnam, Seminole, Sumter, Volusia, and Washington Counties by Aqua Utilities Florida, Inc.</w:t>
      </w:r>
      <w:r>
        <w:t xml:space="preserve">, p. 123 </w:t>
      </w:r>
      <w:r>
        <w:rPr>
          <w:i/>
        </w:rPr>
        <w:t>et seq.</w:t>
      </w:r>
      <w:r>
        <w:t xml:space="preserve"> We also held that, “Based on all the above, first, we note there is no “affordability” test for setting a utility’s revenue requirement under Chapter 367, F.S. … [T]his is a rate structure issue, and we believe it is not appropriate to use this issue to justify any decrease in the revenue requirement.” </w:t>
      </w:r>
      <w:r>
        <w:rPr>
          <w:i/>
        </w:rPr>
        <w:t xml:space="preserve">Id. </w:t>
      </w:r>
      <w:r>
        <w:t>at 159.</w:t>
      </w:r>
    </w:p>
  </w:footnote>
  <w:footnote w:id="40">
    <w:p w14:paraId="2D276E30" w14:textId="77777777" w:rsidR="000E1783" w:rsidRDefault="000E1783" w:rsidP="00F36ABC">
      <w:pPr>
        <w:pStyle w:val="FootnoteText"/>
      </w:pPr>
      <w:r>
        <w:rPr>
          <w:rStyle w:val="FootnoteReference"/>
        </w:rPr>
        <w:footnoteRef/>
      </w:r>
      <w:r>
        <w:t xml:space="preserve"> Section 367.081(2)(a)1., F.S.</w:t>
      </w:r>
    </w:p>
  </w:footnote>
  <w:footnote w:id="41">
    <w:p w14:paraId="5CBB04A6" w14:textId="77777777" w:rsidR="000E1783" w:rsidRDefault="000E1783" w:rsidP="00F36ABC">
      <w:pPr>
        <w:pStyle w:val="FootnoteText"/>
      </w:pPr>
      <w:r>
        <w:rPr>
          <w:rStyle w:val="FootnoteReference"/>
        </w:rPr>
        <w:footnoteRef/>
      </w:r>
      <w:r>
        <w:t xml:space="preserve"> </w:t>
      </w:r>
      <w:r>
        <w:rPr>
          <w:i/>
        </w:rPr>
        <w:t>Id</w:t>
      </w:r>
      <w:r>
        <w:t xml:space="preserve">. </w:t>
      </w:r>
    </w:p>
  </w:footnote>
  <w:footnote w:id="42">
    <w:p w14:paraId="0DAE2CA6" w14:textId="77777777" w:rsidR="000E1783" w:rsidRDefault="000E1783" w:rsidP="00F36ABC">
      <w:pPr>
        <w:pStyle w:val="FootnoteText"/>
      </w:pPr>
      <w:r>
        <w:rPr>
          <w:rStyle w:val="FootnoteReference"/>
        </w:rPr>
        <w:footnoteRef/>
      </w:r>
      <w:r>
        <w:t xml:space="preserve"> Witness Twomey stated that Sunshine “strives to provide safe and reliable service at affordable rates….”  When later asked during cross examination whether affordability should be a legitimate issue in setting rates, witness Twomey responded, “No.” </w:t>
      </w:r>
    </w:p>
  </w:footnote>
  <w:footnote w:id="43">
    <w:p w14:paraId="6DF395B3" w14:textId="77777777" w:rsidR="000E1783" w:rsidRDefault="000E1783" w:rsidP="00F36ABC">
      <w:pPr>
        <w:pStyle w:val="FootnoteText"/>
      </w:pPr>
      <w:r>
        <w:rPr>
          <w:rStyle w:val="FootnoteReference"/>
        </w:rPr>
        <w:footnoteRef/>
      </w:r>
      <w:r>
        <w:t xml:space="preserve"> Order No. PSC-2025-0038-FOF-EI, issued February 3, 2025, in Docket Nos. 20240026-EI, </w:t>
      </w:r>
      <w:r>
        <w:rPr>
          <w:i/>
        </w:rPr>
        <w:t>In re: Petition for rate increase by Tampa Electric Company</w:t>
      </w:r>
      <w:r>
        <w:t xml:space="preserve">; 20230139-EI, </w:t>
      </w:r>
      <w:r>
        <w:rPr>
          <w:i/>
        </w:rPr>
        <w:t>In re: Petition for approval of 2023 depreciation and dismantlement study, by Tampa Electric Company</w:t>
      </w:r>
      <w:r>
        <w:t xml:space="preserve">; and 20230090-EI, </w:t>
      </w:r>
      <w:r>
        <w:rPr>
          <w:i/>
        </w:rPr>
        <w:t>In re: Petition to implement 2024 generation base rate adjustment provisions in paragraph 4 of the 2021 stipulation and settlement agreement, by Tampa Electric Company.</w:t>
      </w:r>
    </w:p>
  </w:footnote>
  <w:footnote w:id="44">
    <w:p w14:paraId="34C2D31D" w14:textId="77777777" w:rsidR="000E1783" w:rsidRDefault="000E1783" w:rsidP="00F36ABC">
      <w:pPr>
        <w:pStyle w:val="FootnoteText"/>
      </w:pPr>
      <w:r>
        <w:rPr>
          <w:rStyle w:val="FootnoteReference"/>
        </w:rPr>
        <w:footnoteRef/>
      </w:r>
      <w:r>
        <w:t xml:space="preserve"> </w:t>
      </w:r>
      <w:r>
        <w:rPr>
          <w:i/>
        </w:rPr>
        <w:t xml:space="preserve">Id. </w:t>
      </w:r>
      <w:r>
        <w:t>at 185.</w:t>
      </w:r>
    </w:p>
  </w:footnote>
  <w:footnote w:id="45">
    <w:p w14:paraId="60E112DD" w14:textId="77777777" w:rsidR="000E1783" w:rsidRDefault="000E1783" w:rsidP="008750AD">
      <w:pPr>
        <w:pStyle w:val="FootnoteText"/>
      </w:pPr>
      <w:r>
        <w:rPr>
          <w:rStyle w:val="FootnoteReference"/>
        </w:rPr>
        <w:footnoteRef/>
      </w:r>
      <w:r>
        <w:t xml:space="preserve">The ROE reflected in Schedule 2 is the Utility’s initial request, not the stipulated ROE reflected in Issue 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B7FB" w14:textId="1BC973CF" w:rsidR="000E1783" w:rsidRDefault="00157E6F">
    <w:pPr>
      <w:pStyle w:val="OrderHeader"/>
    </w:pPr>
    <w:r>
      <w:t>ORDER NO. PSC-2025-0196-FOF-WS</w:t>
    </w:r>
  </w:p>
  <w:p w14:paraId="6F8AE2E2" w14:textId="77777777" w:rsidR="000E1783" w:rsidRDefault="000E1783">
    <w:pPr>
      <w:pStyle w:val="OrderHeader"/>
    </w:pPr>
    <w:bookmarkStart w:id="65" w:name="HeaderDocketNo"/>
    <w:bookmarkEnd w:id="65"/>
    <w:r>
      <w:t>DOCKET NO. 20240068-WS</w:t>
    </w:r>
  </w:p>
  <w:p w14:paraId="3E2EFBFA" w14:textId="73E77A01" w:rsidR="000E1783" w:rsidRDefault="000E178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84</w:t>
    </w:r>
    <w:r>
      <w:rPr>
        <w:rStyle w:val="PageNumber"/>
      </w:rPr>
      <w:fldChar w:fldCharType="end"/>
    </w:r>
  </w:p>
  <w:p w14:paraId="2B8573AC" w14:textId="77777777" w:rsidR="000E1783" w:rsidRDefault="000E178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A770" w14:textId="4B3F19AE" w:rsidR="000E1783" w:rsidRDefault="000E1783" w:rsidP="00AC30DF">
    <w:pPr>
      <w:pStyle w:val="OrderHeader"/>
    </w:pPr>
    <w:r>
      <w:t xml:space="preserve">ORDER NO. </w:t>
    </w:r>
    <w:fldSimple w:instr=" REF OrderNo0196 ">
      <w:r w:rsidR="00157E6F">
        <w:t>PSC-2025-0196-FOF-WS</w:t>
      </w:r>
    </w:fldSimple>
    <w:r>
      <w:tab/>
    </w:r>
    <w:r>
      <w:tab/>
      <w:t>Schedule No. 4-B</w:t>
    </w:r>
  </w:p>
  <w:p w14:paraId="351B3806" w14:textId="7BD3BC3C" w:rsidR="000E1783" w:rsidRDefault="000E1783" w:rsidP="00AC30DF">
    <w:pPr>
      <w:pStyle w:val="OrderHeader"/>
    </w:pPr>
    <w:r>
      <w:t>DOCKET NO. 20240068-WS</w:t>
    </w:r>
    <w:r w:rsidR="00430C35">
      <w:tab/>
    </w:r>
    <w:r w:rsidR="00430C35">
      <w:tab/>
      <w:t xml:space="preserve">Page </w:t>
    </w:r>
    <w:r w:rsidR="00430C35">
      <w:fldChar w:fldCharType="begin"/>
    </w:r>
    <w:r w:rsidR="00430C35">
      <w:instrText xml:space="preserve"> = </w:instrText>
    </w:r>
    <w:r w:rsidR="00430C35">
      <w:fldChar w:fldCharType="begin"/>
    </w:r>
    <w:r w:rsidR="00430C35">
      <w:instrText xml:space="preserve"> PAGE </w:instrText>
    </w:r>
    <w:r w:rsidR="00430C35">
      <w:fldChar w:fldCharType="separate"/>
    </w:r>
    <w:r w:rsidR="00157E6F">
      <w:rPr>
        <w:noProof/>
      </w:rPr>
      <w:instrText>94</w:instrText>
    </w:r>
    <w:r w:rsidR="00430C35">
      <w:fldChar w:fldCharType="end"/>
    </w:r>
    <w:r w:rsidR="00430C35">
      <w:instrText xml:space="preserve"> - 93 </w:instrText>
    </w:r>
    <w:r w:rsidR="00430C35">
      <w:fldChar w:fldCharType="separate"/>
    </w:r>
    <w:r w:rsidR="00157E6F">
      <w:rPr>
        <w:noProof/>
      </w:rPr>
      <w:t>1</w:t>
    </w:r>
    <w:r w:rsidR="00430C35">
      <w:fldChar w:fldCharType="end"/>
    </w:r>
    <w:r w:rsidR="00430C35">
      <w:t xml:space="preserve"> of 1</w:t>
    </w:r>
  </w:p>
  <w:p w14:paraId="70410AD4" w14:textId="068BFF5F"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94</w:t>
    </w:r>
    <w:r>
      <w:rPr>
        <w:rStyle w:val="PageNumber"/>
      </w:rPr>
      <w:fldChar w:fldCharType="end"/>
    </w:r>
  </w:p>
  <w:p w14:paraId="0A496041" w14:textId="77777777" w:rsidR="000E1783" w:rsidRDefault="000E1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5F0F" w14:textId="5D4AED1A" w:rsidR="000E1783" w:rsidRDefault="000E1783" w:rsidP="00AC30DF">
    <w:pPr>
      <w:pStyle w:val="OrderHeader"/>
    </w:pPr>
    <w:r>
      <w:t xml:space="preserve">ORDER NO. </w:t>
    </w:r>
    <w:r w:rsidR="00157E6F">
      <w:t>PSC-2025-0196-FOF-WS</w:t>
    </w:r>
    <w:r>
      <w:tab/>
    </w:r>
    <w:r>
      <w:tab/>
      <w:t>Schedule No. 1-A</w:t>
    </w:r>
  </w:p>
  <w:p w14:paraId="101DA176" w14:textId="1F24229F" w:rsidR="000E1783" w:rsidRDefault="000E1783" w:rsidP="00AC30DF">
    <w:pPr>
      <w:pStyle w:val="OrderHeader"/>
    </w:pPr>
    <w:r>
      <w:t>DOCKET NO. 20240068-WS</w:t>
    </w:r>
    <w:r w:rsidR="00E7289B">
      <w:tab/>
    </w:r>
    <w:r w:rsidR="00E7289B">
      <w:tab/>
      <w:t xml:space="preserve">Page </w:t>
    </w:r>
    <w:r w:rsidR="00E7289B">
      <w:fldChar w:fldCharType="begin"/>
    </w:r>
    <w:r w:rsidR="00E7289B">
      <w:instrText xml:space="preserve"> = </w:instrText>
    </w:r>
    <w:r w:rsidR="00E7289B">
      <w:fldChar w:fldCharType="begin"/>
    </w:r>
    <w:r w:rsidR="00E7289B">
      <w:instrText xml:space="preserve"> PAGE </w:instrText>
    </w:r>
    <w:r w:rsidR="00E7289B">
      <w:fldChar w:fldCharType="separate"/>
    </w:r>
    <w:r w:rsidR="00157E6F">
      <w:rPr>
        <w:noProof/>
      </w:rPr>
      <w:instrText>86</w:instrText>
    </w:r>
    <w:r w:rsidR="00E7289B">
      <w:fldChar w:fldCharType="end"/>
    </w:r>
    <w:r w:rsidR="00E7289B">
      <w:instrText xml:space="preserve"> - 85 </w:instrText>
    </w:r>
    <w:r w:rsidR="00E7289B">
      <w:fldChar w:fldCharType="separate"/>
    </w:r>
    <w:r w:rsidR="00157E6F">
      <w:rPr>
        <w:noProof/>
      </w:rPr>
      <w:t>1</w:t>
    </w:r>
    <w:r w:rsidR="00E7289B">
      <w:fldChar w:fldCharType="end"/>
    </w:r>
    <w:r w:rsidR="00E7289B">
      <w:t xml:space="preserve"> of 1</w:t>
    </w:r>
  </w:p>
  <w:p w14:paraId="5BC7EBA1" w14:textId="644D76C4"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86</w:t>
    </w:r>
    <w:r>
      <w:rPr>
        <w:rStyle w:val="PageNumber"/>
      </w:rPr>
      <w:fldChar w:fldCharType="end"/>
    </w:r>
  </w:p>
  <w:p w14:paraId="1FA76F6F" w14:textId="77777777" w:rsidR="000E1783" w:rsidRDefault="000E1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B993" w14:textId="22BF2542" w:rsidR="000E1783" w:rsidRDefault="000E1783" w:rsidP="00AC30DF">
    <w:pPr>
      <w:pStyle w:val="OrderHeader"/>
    </w:pPr>
    <w:r>
      <w:t xml:space="preserve">ORDER NO. </w:t>
    </w:r>
    <w:r w:rsidR="00157E6F">
      <w:t>PSC-2025-0196-FOF-WS</w:t>
    </w:r>
    <w:r>
      <w:tab/>
    </w:r>
    <w:r>
      <w:tab/>
      <w:t>Schedule No. 1-B</w:t>
    </w:r>
  </w:p>
  <w:p w14:paraId="0F68060F" w14:textId="080C25E4" w:rsidR="000E1783" w:rsidRDefault="000E1783" w:rsidP="00AC30DF">
    <w:pPr>
      <w:pStyle w:val="OrderHeader"/>
    </w:pPr>
    <w:r>
      <w:t>DOCKET NO. 20240068-WS</w:t>
    </w:r>
    <w:r w:rsidR="00F82DA3">
      <w:tab/>
    </w:r>
    <w:r w:rsidR="00F82DA3">
      <w:tab/>
      <w:t xml:space="preserve">Page </w:t>
    </w:r>
    <w:r w:rsidR="00F82DA3">
      <w:fldChar w:fldCharType="begin"/>
    </w:r>
    <w:r w:rsidR="00F82DA3">
      <w:instrText xml:space="preserve"> = </w:instrText>
    </w:r>
    <w:r w:rsidR="00F82DA3">
      <w:fldChar w:fldCharType="begin"/>
    </w:r>
    <w:r w:rsidR="00F82DA3">
      <w:instrText xml:space="preserve"> PAGE </w:instrText>
    </w:r>
    <w:r w:rsidR="00F82DA3">
      <w:fldChar w:fldCharType="separate"/>
    </w:r>
    <w:r w:rsidR="00157E6F">
      <w:rPr>
        <w:noProof/>
      </w:rPr>
      <w:instrText>87</w:instrText>
    </w:r>
    <w:r w:rsidR="00F82DA3">
      <w:fldChar w:fldCharType="end"/>
    </w:r>
    <w:r w:rsidR="00F82DA3">
      <w:instrText xml:space="preserve"> - 86 </w:instrText>
    </w:r>
    <w:r w:rsidR="00F82DA3">
      <w:fldChar w:fldCharType="separate"/>
    </w:r>
    <w:r w:rsidR="00157E6F">
      <w:rPr>
        <w:noProof/>
      </w:rPr>
      <w:t>1</w:t>
    </w:r>
    <w:r w:rsidR="00F82DA3">
      <w:fldChar w:fldCharType="end"/>
    </w:r>
    <w:r w:rsidR="00F82DA3">
      <w:t xml:space="preserve"> of 1</w:t>
    </w:r>
  </w:p>
  <w:p w14:paraId="24BD3622" w14:textId="5163923C"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87</w:t>
    </w:r>
    <w:r>
      <w:rPr>
        <w:rStyle w:val="PageNumber"/>
      </w:rPr>
      <w:fldChar w:fldCharType="end"/>
    </w:r>
  </w:p>
  <w:p w14:paraId="09D2712D" w14:textId="77777777" w:rsidR="000E1783" w:rsidRDefault="000E1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B19D" w14:textId="69CA6F1E" w:rsidR="000E1783" w:rsidRDefault="000E1783" w:rsidP="00AC30DF">
    <w:pPr>
      <w:pStyle w:val="OrderHeader"/>
    </w:pPr>
    <w:r>
      <w:t xml:space="preserve">ORDER NO. </w:t>
    </w:r>
    <w:r w:rsidR="00157E6F">
      <w:t>PSC-2025-0196-FOF-WS</w:t>
    </w:r>
    <w:r>
      <w:tab/>
    </w:r>
    <w:r>
      <w:tab/>
      <w:t>Schedule No. 1-C</w:t>
    </w:r>
  </w:p>
  <w:p w14:paraId="56E9A09C" w14:textId="616343C4" w:rsidR="000E1783" w:rsidRDefault="000E1783" w:rsidP="00AC30DF">
    <w:pPr>
      <w:pStyle w:val="OrderHeader"/>
    </w:pPr>
    <w:r>
      <w:t>DOCKET NO. 20240068-WS</w:t>
    </w:r>
    <w:r w:rsidR="00F82DA3">
      <w:tab/>
    </w:r>
    <w:r w:rsidR="00F82DA3">
      <w:tab/>
      <w:t xml:space="preserve">Page </w:t>
    </w:r>
    <w:r w:rsidR="00F82DA3">
      <w:fldChar w:fldCharType="begin"/>
    </w:r>
    <w:r w:rsidR="00F82DA3">
      <w:instrText xml:space="preserve"> = </w:instrText>
    </w:r>
    <w:r w:rsidR="00F82DA3">
      <w:fldChar w:fldCharType="begin"/>
    </w:r>
    <w:r w:rsidR="00F82DA3">
      <w:instrText xml:space="preserve"> PAGE </w:instrText>
    </w:r>
    <w:r w:rsidR="00F82DA3">
      <w:fldChar w:fldCharType="separate"/>
    </w:r>
    <w:r w:rsidR="00157E6F">
      <w:rPr>
        <w:noProof/>
      </w:rPr>
      <w:instrText>88</w:instrText>
    </w:r>
    <w:r w:rsidR="00F82DA3">
      <w:fldChar w:fldCharType="end"/>
    </w:r>
    <w:r w:rsidR="00F82DA3">
      <w:instrText xml:space="preserve"> - 87 </w:instrText>
    </w:r>
    <w:r w:rsidR="00F82DA3">
      <w:fldChar w:fldCharType="separate"/>
    </w:r>
    <w:r w:rsidR="00157E6F">
      <w:rPr>
        <w:noProof/>
      </w:rPr>
      <w:t>1</w:t>
    </w:r>
    <w:r w:rsidR="00F82DA3">
      <w:fldChar w:fldCharType="end"/>
    </w:r>
    <w:r w:rsidR="00F82DA3">
      <w:t xml:space="preserve"> of 1</w:t>
    </w:r>
  </w:p>
  <w:p w14:paraId="5BC372F0" w14:textId="7D442501"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88</w:t>
    </w:r>
    <w:r>
      <w:rPr>
        <w:rStyle w:val="PageNumber"/>
      </w:rPr>
      <w:fldChar w:fldCharType="end"/>
    </w:r>
  </w:p>
  <w:p w14:paraId="741D3B19" w14:textId="77777777" w:rsidR="000E1783" w:rsidRDefault="000E17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7A56" w14:textId="0A929140" w:rsidR="000E1783" w:rsidRDefault="000E1783" w:rsidP="00AC30DF">
    <w:pPr>
      <w:pStyle w:val="OrderHeader"/>
    </w:pPr>
    <w:r>
      <w:t xml:space="preserve">ORDER NO. </w:t>
    </w:r>
    <w:r w:rsidR="00157E6F">
      <w:t>PSC-2025-0196-FOF-WS</w:t>
    </w:r>
    <w:r>
      <w:tab/>
    </w:r>
    <w:r>
      <w:tab/>
    </w:r>
    <w:r>
      <w:tab/>
    </w:r>
    <w:r w:rsidR="00430C35">
      <w:tab/>
    </w:r>
    <w:r>
      <w:tab/>
      <w:t>Schedule No. 2</w:t>
    </w:r>
  </w:p>
  <w:p w14:paraId="6EF10ACF" w14:textId="6D50130C" w:rsidR="000E1783" w:rsidRDefault="000E1783" w:rsidP="00AC30DF">
    <w:pPr>
      <w:pStyle w:val="OrderHeader"/>
    </w:pPr>
    <w:r>
      <w:t>DOCKET NO. 20240068-WS</w:t>
    </w:r>
    <w:r w:rsidR="00653E5F">
      <w:tab/>
    </w:r>
    <w:r w:rsidR="00653E5F">
      <w:tab/>
    </w:r>
    <w:r w:rsidR="00653E5F">
      <w:tab/>
    </w:r>
    <w:r w:rsidR="00430C35">
      <w:tab/>
    </w:r>
    <w:r w:rsidR="00653E5F">
      <w:tab/>
    </w:r>
    <w:r w:rsidR="00430C35">
      <w:t xml:space="preserve">      </w:t>
    </w:r>
    <w:r w:rsidR="00653E5F">
      <w:t xml:space="preserve">Page </w:t>
    </w:r>
    <w:r w:rsidR="00653E5F">
      <w:fldChar w:fldCharType="begin"/>
    </w:r>
    <w:r w:rsidR="00653E5F">
      <w:instrText xml:space="preserve"> = </w:instrText>
    </w:r>
    <w:r w:rsidR="00653E5F">
      <w:fldChar w:fldCharType="begin"/>
    </w:r>
    <w:r w:rsidR="00653E5F">
      <w:instrText xml:space="preserve"> PAGE </w:instrText>
    </w:r>
    <w:r w:rsidR="00653E5F">
      <w:fldChar w:fldCharType="separate"/>
    </w:r>
    <w:r w:rsidR="00157E6F">
      <w:rPr>
        <w:noProof/>
      </w:rPr>
      <w:instrText>89</w:instrText>
    </w:r>
    <w:r w:rsidR="00653E5F">
      <w:fldChar w:fldCharType="end"/>
    </w:r>
    <w:r w:rsidR="00653E5F">
      <w:instrText xml:space="preserve"> - 88 </w:instrText>
    </w:r>
    <w:r w:rsidR="00653E5F">
      <w:fldChar w:fldCharType="separate"/>
    </w:r>
    <w:r w:rsidR="00157E6F">
      <w:rPr>
        <w:noProof/>
      </w:rPr>
      <w:t>1</w:t>
    </w:r>
    <w:r w:rsidR="00653E5F">
      <w:fldChar w:fldCharType="end"/>
    </w:r>
    <w:r w:rsidR="00653E5F">
      <w:t xml:space="preserve"> of 1</w:t>
    </w:r>
  </w:p>
  <w:p w14:paraId="303891AC" w14:textId="3C831D2B"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89</w:t>
    </w:r>
    <w:r>
      <w:rPr>
        <w:rStyle w:val="PageNumber"/>
      </w:rPr>
      <w:fldChar w:fldCharType="end"/>
    </w:r>
  </w:p>
  <w:p w14:paraId="053951AC" w14:textId="77777777" w:rsidR="000E1783" w:rsidRDefault="000E17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87B4" w14:textId="16FD2CE0" w:rsidR="000E1783" w:rsidRDefault="000E1783" w:rsidP="00AC30DF">
    <w:pPr>
      <w:pStyle w:val="OrderHeader"/>
    </w:pPr>
    <w:r>
      <w:t xml:space="preserve">ORDER NO. </w:t>
    </w:r>
    <w:r w:rsidR="00157E6F">
      <w:t>PSC-2025-0196-FOF-WS</w:t>
    </w:r>
    <w:r>
      <w:tab/>
    </w:r>
    <w:r>
      <w:tab/>
    </w:r>
    <w:r>
      <w:tab/>
    </w:r>
    <w:r>
      <w:tab/>
    </w:r>
    <w:r w:rsidR="00BA77FB">
      <w:t xml:space="preserve"> </w:t>
    </w:r>
    <w:r>
      <w:t>Schedule No. 3-A</w:t>
    </w:r>
  </w:p>
  <w:p w14:paraId="1367C1FD" w14:textId="5C0AF659" w:rsidR="000E1783" w:rsidRDefault="000E1783" w:rsidP="00AC30DF">
    <w:pPr>
      <w:pStyle w:val="OrderHeader"/>
    </w:pPr>
    <w:r>
      <w:t>DOCKET NO. 20240068-WS</w:t>
    </w:r>
    <w:r w:rsidR="00430C35">
      <w:tab/>
    </w:r>
    <w:r w:rsidR="00430C35">
      <w:tab/>
    </w:r>
    <w:r w:rsidR="00430C35">
      <w:tab/>
    </w:r>
    <w:r w:rsidR="00430C35">
      <w:tab/>
    </w:r>
    <w:r w:rsidR="00BA77FB">
      <w:tab/>
    </w:r>
    <w:r w:rsidR="00430C35">
      <w:t xml:space="preserve">Page </w:t>
    </w:r>
    <w:r w:rsidR="00430C35">
      <w:fldChar w:fldCharType="begin"/>
    </w:r>
    <w:r w:rsidR="00430C35">
      <w:instrText xml:space="preserve"> = </w:instrText>
    </w:r>
    <w:r w:rsidR="00430C35">
      <w:fldChar w:fldCharType="begin"/>
    </w:r>
    <w:r w:rsidR="00430C35">
      <w:instrText xml:space="preserve"> PAGE </w:instrText>
    </w:r>
    <w:r w:rsidR="00430C35">
      <w:fldChar w:fldCharType="separate"/>
    </w:r>
    <w:r w:rsidR="00157E6F">
      <w:rPr>
        <w:noProof/>
      </w:rPr>
      <w:instrText>90</w:instrText>
    </w:r>
    <w:r w:rsidR="00430C35">
      <w:fldChar w:fldCharType="end"/>
    </w:r>
    <w:r w:rsidR="00430C35">
      <w:instrText xml:space="preserve"> - 89 </w:instrText>
    </w:r>
    <w:r w:rsidR="00430C35">
      <w:fldChar w:fldCharType="separate"/>
    </w:r>
    <w:r w:rsidR="00157E6F">
      <w:rPr>
        <w:noProof/>
      </w:rPr>
      <w:t>1</w:t>
    </w:r>
    <w:r w:rsidR="00430C35">
      <w:fldChar w:fldCharType="end"/>
    </w:r>
    <w:r w:rsidR="00430C35">
      <w:t xml:space="preserve"> of 1</w:t>
    </w:r>
  </w:p>
  <w:p w14:paraId="0E89B6DC" w14:textId="3DD5F550"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90</w:t>
    </w:r>
    <w:r>
      <w:rPr>
        <w:rStyle w:val="PageNumber"/>
      </w:rPr>
      <w:fldChar w:fldCharType="end"/>
    </w:r>
  </w:p>
  <w:p w14:paraId="5438C3BD" w14:textId="77777777" w:rsidR="000E1783" w:rsidRDefault="000E17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C141" w14:textId="6B40DBB8" w:rsidR="000E1783" w:rsidRDefault="000E1783" w:rsidP="00AC30DF">
    <w:pPr>
      <w:pStyle w:val="OrderHeader"/>
    </w:pPr>
    <w:r>
      <w:t xml:space="preserve">ORDER NO. </w:t>
    </w:r>
    <w:r w:rsidR="00157E6F">
      <w:t>PSC-2025-0196-FOF-WS</w:t>
    </w:r>
    <w:r>
      <w:tab/>
    </w:r>
    <w:r>
      <w:tab/>
    </w:r>
    <w:r w:rsidR="00430C35">
      <w:tab/>
    </w:r>
    <w:r w:rsidR="00430C35">
      <w:tab/>
    </w:r>
    <w:r w:rsidR="00BA77FB">
      <w:t xml:space="preserve"> </w:t>
    </w:r>
    <w:r>
      <w:t>Schedule No. 3-B</w:t>
    </w:r>
  </w:p>
  <w:p w14:paraId="66B2A337" w14:textId="0982BBFD" w:rsidR="000E1783" w:rsidRDefault="000E1783" w:rsidP="00AC30DF">
    <w:pPr>
      <w:pStyle w:val="OrderHeader"/>
    </w:pPr>
    <w:r>
      <w:t>DOCKET NO. 20240068-WS</w:t>
    </w:r>
    <w:r w:rsidR="00430C35">
      <w:tab/>
    </w:r>
    <w:r w:rsidR="00430C35">
      <w:tab/>
    </w:r>
    <w:r w:rsidR="00430C35">
      <w:tab/>
    </w:r>
    <w:r w:rsidR="00BA77FB">
      <w:tab/>
    </w:r>
    <w:r w:rsidR="00430C35">
      <w:tab/>
      <w:t xml:space="preserve">Page </w:t>
    </w:r>
    <w:r w:rsidR="00430C35">
      <w:fldChar w:fldCharType="begin"/>
    </w:r>
    <w:r w:rsidR="00430C35">
      <w:instrText xml:space="preserve"> = </w:instrText>
    </w:r>
    <w:r w:rsidR="00430C35">
      <w:fldChar w:fldCharType="begin"/>
    </w:r>
    <w:r w:rsidR="00430C35">
      <w:instrText xml:space="preserve"> PAGE </w:instrText>
    </w:r>
    <w:r w:rsidR="00430C35">
      <w:fldChar w:fldCharType="separate"/>
    </w:r>
    <w:r w:rsidR="00157E6F">
      <w:rPr>
        <w:noProof/>
      </w:rPr>
      <w:instrText>91</w:instrText>
    </w:r>
    <w:r w:rsidR="00430C35">
      <w:fldChar w:fldCharType="end"/>
    </w:r>
    <w:r w:rsidR="00430C35">
      <w:instrText xml:space="preserve"> - 90 </w:instrText>
    </w:r>
    <w:r w:rsidR="00430C35">
      <w:fldChar w:fldCharType="separate"/>
    </w:r>
    <w:r w:rsidR="00157E6F">
      <w:rPr>
        <w:noProof/>
      </w:rPr>
      <w:t>1</w:t>
    </w:r>
    <w:r w:rsidR="00430C35">
      <w:fldChar w:fldCharType="end"/>
    </w:r>
    <w:r w:rsidR="00430C35">
      <w:t xml:space="preserve"> of 1</w:t>
    </w:r>
  </w:p>
  <w:p w14:paraId="6E2C758E" w14:textId="7FEB0A5C"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91</w:t>
    </w:r>
    <w:r>
      <w:rPr>
        <w:rStyle w:val="PageNumber"/>
      </w:rPr>
      <w:fldChar w:fldCharType="end"/>
    </w:r>
  </w:p>
  <w:p w14:paraId="3AA6BD1A" w14:textId="77777777" w:rsidR="000E1783" w:rsidRDefault="000E17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AE68" w14:textId="763007F2" w:rsidR="000E1783" w:rsidRDefault="000E1783" w:rsidP="00AC30DF">
    <w:pPr>
      <w:pStyle w:val="OrderHeader"/>
    </w:pPr>
    <w:r>
      <w:t xml:space="preserve">ORDER NO. </w:t>
    </w:r>
    <w:r w:rsidR="00157E6F">
      <w:t>PSC-2025-0196-FOF-WS</w:t>
    </w:r>
    <w:r>
      <w:tab/>
    </w:r>
    <w:r>
      <w:tab/>
      <w:t>Schedule No. 3-C</w:t>
    </w:r>
  </w:p>
  <w:p w14:paraId="2A9081CE" w14:textId="77A6EDE8" w:rsidR="000E1783" w:rsidRDefault="000E1783" w:rsidP="00AC30DF">
    <w:pPr>
      <w:pStyle w:val="OrderHeader"/>
    </w:pPr>
    <w:r>
      <w:t>DOCKET NO. 20240068-WS</w:t>
    </w:r>
    <w:r w:rsidR="00430C35">
      <w:tab/>
    </w:r>
    <w:r w:rsidR="00430C35">
      <w:tab/>
      <w:t xml:space="preserve">Page </w:t>
    </w:r>
    <w:r w:rsidR="00430C35">
      <w:fldChar w:fldCharType="begin"/>
    </w:r>
    <w:r w:rsidR="00430C35">
      <w:instrText xml:space="preserve"> = </w:instrText>
    </w:r>
    <w:r w:rsidR="00430C35">
      <w:fldChar w:fldCharType="begin"/>
    </w:r>
    <w:r w:rsidR="00430C35">
      <w:instrText xml:space="preserve"> PAGE </w:instrText>
    </w:r>
    <w:r w:rsidR="00430C35">
      <w:fldChar w:fldCharType="separate"/>
    </w:r>
    <w:r w:rsidR="00157E6F">
      <w:rPr>
        <w:noProof/>
      </w:rPr>
      <w:instrText>92</w:instrText>
    </w:r>
    <w:r w:rsidR="00430C35">
      <w:fldChar w:fldCharType="end"/>
    </w:r>
    <w:r w:rsidR="00430C35">
      <w:instrText xml:space="preserve"> - 91 </w:instrText>
    </w:r>
    <w:r w:rsidR="00430C35">
      <w:fldChar w:fldCharType="separate"/>
    </w:r>
    <w:r w:rsidR="00157E6F">
      <w:rPr>
        <w:noProof/>
      </w:rPr>
      <w:t>1</w:t>
    </w:r>
    <w:r w:rsidR="00430C35">
      <w:fldChar w:fldCharType="end"/>
    </w:r>
    <w:r w:rsidR="00430C35">
      <w:t xml:space="preserve"> of 1</w:t>
    </w:r>
  </w:p>
  <w:p w14:paraId="04D09441" w14:textId="116D3452"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92</w:t>
    </w:r>
    <w:r>
      <w:rPr>
        <w:rStyle w:val="PageNumber"/>
      </w:rPr>
      <w:fldChar w:fldCharType="end"/>
    </w:r>
  </w:p>
  <w:p w14:paraId="50D441FA" w14:textId="77777777" w:rsidR="000E1783" w:rsidRDefault="000E17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5C21" w14:textId="3F4CF2A7" w:rsidR="000E1783" w:rsidRDefault="000E1783" w:rsidP="00AC30DF">
    <w:pPr>
      <w:pStyle w:val="OrderHeader"/>
    </w:pPr>
    <w:r>
      <w:t xml:space="preserve">ORDER NO. </w:t>
    </w:r>
    <w:r w:rsidR="00157E6F">
      <w:t>PSC-2025-0196-FOF-WS</w:t>
    </w:r>
    <w:r>
      <w:tab/>
    </w:r>
    <w:r>
      <w:tab/>
      <w:t>Schedule No. 4-A</w:t>
    </w:r>
  </w:p>
  <w:p w14:paraId="41072000" w14:textId="46A0A57C" w:rsidR="000E1783" w:rsidRDefault="000E1783" w:rsidP="00AC30DF">
    <w:pPr>
      <w:pStyle w:val="OrderHeader"/>
    </w:pPr>
    <w:r>
      <w:t>DOCKET NO. 20240068-WS</w:t>
    </w:r>
    <w:r w:rsidR="00430C35">
      <w:tab/>
    </w:r>
    <w:r w:rsidR="00430C35">
      <w:tab/>
      <w:t xml:space="preserve">Page </w:t>
    </w:r>
    <w:r w:rsidR="00430C35">
      <w:fldChar w:fldCharType="begin"/>
    </w:r>
    <w:r w:rsidR="00430C35">
      <w:instrText xml:space="preserve"> = </w:instrText>
    </w:r>
    <w:r w:rsidR="00430C35">
      <w:fldChar w:fldCharType="begin"/>
    </w:r>
    <w:r w:rsidR="00430C35">
      <w:instrText xml:space="preserve"> PAGE </w:instrText>
    </w:r>
    <w:r w:rsidR="00430C35">
      <w:fldChar w:fldCharType="separate"/>
    </w:r>
    <w:r w:rsidR="00157E6F">
      <w:rPr>
        <w:noProof/>
      </w:rPr>
      <w:instrText>93</w:instrText>
    </w:r>
    <w:r w:rsidR="00430C35">
      <w:fldChar w:fldCharType="end"/>
    </w:r>
    <w:r w:rsidR="00430C35">
      <w:instrText xml:space="preserve"> - 92 </w:instrText>
    </w:r>
    <w:r w:rsidR="00430C35">
      <w:fldChar w:fldCharType="separate"/>
    </w:r>
    <w:r w:rsidR="00157E6F">
      <w:rPr>
        <w:noProof/>
      </w:rPr>
      <w:t>1</w:t>
    </w:r>
    <w:r w:rsidR="00430C35">
      <w:fldChar w:fldCharType="end"/>
    </w:r>
    <w:r w:rsidR="00430C35">
      <w:t xml:space="preserve"> of 1</w:t>
    </w:r>
  </w:p>
  <w:p w14:paraId="49637AD0" w14:textId="4AAF2451" w:rsidR="000E1783" w:rsidRDefault="000E1783" w:rsidP="00AC30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6F">
      <w:rPr>
        <w:rStyle w:val="PageNumber"/>
        <w:noProof/>
      </w:rPr>
      <w:t>93</w:t>
    </w:r>
    <w:r>
      <w:rPr>
        <w:rStyle w:val="PageNumber"/>
      </w:rPr>
      <w:fldChar w:fldCharType="end"/>
    </w:r>
  </w:p>
  <w:p w14:paraId="086B5D1A" w14:textId="77777777" w:rsidR="000E1783" w:rsidRDefault="000E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957"/>
    <w:multiLevelType w:val="hybridMultilevel"/>
    <w:tmpl w:val="94E80682"/>
    <w:lvl w:ilvl="0" w:tplc="04090017">
      <w:start w:val="1"/>
      <w:numFmt w:val="lowerLetter"/>
      <w:lvlText w:val="%1)"/>
      <w:lvlJc w:val="left"/>
      <w:pPr>
        <w:ind w:left="1440" w:hanging="360"/>
      </w:pPr>
    </w:lvl>
    <w:lvl w:ilvl="1" w:tplc="6FE88A68">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962A6"/>
    <w:multiLevelType w:val="hybridMultilevel"/>
    <w:tmpl w:val="0C34ACEA"/>
    <w:lvl w:ilvl="0" w:tplc="3878D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933A0"/>
    <w:multiLevelType w:val="hybridMultilevel"/>
    <w:tmpl w:val="EA6CD6F0"/>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04FDA"/>
    <w:multiLevelType w:val="hybridMultilevel"/>
    <w:tmpl w:val="7192835A"/>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75B89"/>
    <w:multiLevelType w:val="hybridMultilevel"/>
    <w:tmpl w:val="2CB68E28"/>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27849"/>
    <w:multiLevelType w:val="hybridMultilevel"/>
    <w:tmpl w:val="B9F69C04"/>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4408F"/>
    <w:multiLevelType w:val="hybridMultilevel"/>
    <w:tmpl w:val="C4383E34"/>
    <w:lvl w:ilvl="0" w:tplc="A3A0BBEE">
      <w:start w:val="2"/>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A79"/>
    <w:multiLevelType w:val="hybridMultilevel"/>
    <w:tmpl w:val="087E1000"/>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0188C"/>
    <w:multiLevelType w:val="hybridMultilevel"/>
    <w:tmpl w:val="17100346"/>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F30BE"/>
    <w:multiLevelType w:val="hybridMultilevel"/>
    <w:tmpl w:val="578AE48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F4E7E"/>
    <w:multiLevelType w:val="hybridMultilevel"/>
    <w:tmpl w:val="B9F69C04"/>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E5B12"/>
    <w:multiLevelType w:val="hybridMultilevel"/>
    <w:tmpl w:val="0A1AD182"/>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435F9"/>
    <w:multiLevelType w:val="hybridMultilevel"/>
    <w:tmpl w:val="524A712E"/>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B7107"/>
    <w:multiLevelType w:val="hybridMultilevel"/>
    <w:tmpl w:val="DCD67CF2"/>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313BB"/>
    <w:multiLevelType w:val="hybridMultilevel"/>
    <w:tmpl w:val="7DB4E1EC"/>
    <w:lvl w:ilvl="0" w:tplc="CF14D338">
      <w:start w:val="3"/>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418F2"/>
    <w:multiLevelType w:val="hybridMultilevel"/>
    <w:tmpl w:val="B9F69C04"/>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66D1F"/>
    <w:multiLevelType w:val="hybridMultilevel"/>
    <w:tmpl w:val="B9F69C04"/>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C31B3"/>
    <w:multiLevelType w:val="hybridMultilevel"/>
    <w:tmpl w:val="E2AEB158"/>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F4908"/>
    <w:multiLevelType w:val="hybridMultilevel"/>
    <w:tmpl w:val="17B4A80E"/>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B3076"/>
    <w:multiLevelType w:val="hybridMultilevel"/>
    <w:tmpl w:val="E548B820"/>
    <w:lvl w:ilvl="0" w:tplc="4418D836">
      <w:start w:val="5"/>
      <w:numFmt w:val="upp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81182"/>
    <w:multiLevelType w:val="hybridMultilevel"/>
    <w:tmpl w:val="D80E1A3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56BCE"/>
    <w:multiLevelType w:val="hybridMultilevel"/>
    <w:tmpl w:val="5D04BE26"/>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E7E68"/>
    <w:multiLevelType w:val="hybridMultilevel"/>
    <w:tmpl w:val="5DBA3808"/>
    <w:lvl w:ilvl="0" w:tplc="A97A4C82">
      <w:start w:val="2"/>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92744"/>
    <w:multiLevelType w:val="hybridMultilevel"/>
    <w:tmpl w:val="991EBD04"/>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81104"/>
    <w:multiLevelType w:val="hybridMultilevel"/>
    <w:tmpl w:val="D4E0412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00D23"/>
    <w:multiLevelType w:val="hybridMultilevel"/>
    <w:tmpl w:val="B09E4742"/>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A18B8"/>
    <w:multiLevelType w:val="hybridMultilevel"/>
    <w:tmpl w:val="B9F69C04"/>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E4BA1"/>
    <w:multiLevelType w:val="hybridMultilevel"/>
    <w:tmpl w:val="7AE07496"/>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37AE2"/>
    <w:multiLevelType w:val="hybridMultilevel"/>
    <w:tmpl w:val="27264380"/>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476DC"/>
    <w:multiLevelType w:val="hybridMultilevel"/>
    <w:tmpl w:val="A15CEF5C"/>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90C9C"/>
    <w:multiLevelType w:val="hybridMultilevel"/>
    <w:tmpl w:val="0A1AD182"/>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417AC"/>
    <w:multiLevelType w:val="hybridMultilevel"/>
    <w:tmpl w:val="3FE807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96E2C"/>
    <w:multiLevelType w:val="hybridMultilevel"/>
    <w:tmpl w:val="B8FC3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41BAE"/>
    <w:multiLevelType w:val="hybridMultilevel"/>
    <w:tmpl w:val="778A8142"/>
    <w:lvl w:ilvl="0" w:tplc="04090017">
      <w:start w:val="1"/>
      <w:numFmt w:val="lowerLetter"/>
      <w:lvlText w:val="%1)"/>
      <w:lvlJc w:val="left"/>
      <w:pPr>
        <w:ind w:left="1440" w:hanging="360"/>
      </w:pPr>
    </w:lvl>
    <w:lvl w:ilvl="1" w:tplc="6FE88A68">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515897"/>
    <w:multiLevelType w:val="hybridMultilevel"/>
    <w:tmpl w:val="7E5ADB30"/>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A7F49"/>
    <w:multiLevelType w:val="hybridMultilevel"/>
    <w:tmpl w:val="CD282B78"/>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91706"/>
    <w:multiLevelType w:val="hybridMultilevel"/>
    <w:tmpl w:val="385A5CA2"/>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32EB2"/>
    <w:multiLevelType w:val="hybridMultilevel"/>
    <w:tmpl w:val="BC4063D4"/>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F2F69"/>
    <w:multiLevelType w:val="hybridMultilevel"/>
    <w:tmpl w:val="F0FA2CE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D6F6B"/>
    <w:multiLevelType w:val="hybridMultilevel"/>
    <w:tmpl w:val="90E41284"/>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908B0"/>
    <w:multiLevelType w:val="hybridMultilevel"/>
    <w:tmpl w:val="B4A218AE"/>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5343B"/>
    <w:multiLevelType w:val="hybridMultilevel"/>
    <w:tmpl w:val="B9F69C04"/>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7C59B5"/>
    <w:multiLevelType w:val="hybridMultilevel"/>
    <w:tmpl w:val="3AECD06E"/>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71628"/>
    <w:multiLevelType w:val="hybridMultilevel"/>
    <w:tmpl w:val="B9F69C04"/>
    <w:lvl w:ilvl="0" w:tplc="04090015">
      <w:start w:val="1"/>
      <w:numFmt w:val="upperLetter"/>
      <w:lvlText w:val="%1."/>
      <w:lvlJc w:val="left"/>
      <w:pPr>
        <w:ind w:left="1080" w:hanging="720"/>
      </w:pPr>
      <w:rPr>
        <w:rFonts w:hint="default"/>
        <w:u w:val="none"/>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5C3B2F"/>
    <w:multiLevelType w:val="hybridMultilevel"/>
    <w:tmpl w:val="436625BA"/>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9F4228"/>
    <w:multiLevelType w:val="hybridMultilevel"/>
    <w:tmpl w:val="76A6228C"/>
    <w:lvl w:ilvl="0" w:tplc="3216F54C">
      <w:start w:val="3"/>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2C37AD8"/>
    <w:multiLevelType w:val="hybridMultilevel"/>
    <w:tmpl w:val="CC9AEA4A"/>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BF6E5CD4">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722F69"/>
    <w:multiLevelType w:val="hybridMultilevel"/>
    <w:tmpl w:val="7D7ECBC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46C4E"/>
    <w:multiLevelType w:val="hybridMultilevel"/>
    <w:tmpl w:val="AA8E7DA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215C61"/>
    <w:multiLevelType w:val="hybridMultilevel"/>
    <w:tmpl w:val="43C42E1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E17F0D"/>
    <w:multiLevelType w:val="hybridMultilevel"/>
    <w:tmpl w:val="90827582"/>
    <w:lvl w:ilvl="0" w:tplc="04090017">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5"/>
  </w:num>
  <w:num w:numId="3">
    <w:abstractNumId w:val="0"/>
  </w:num>
  <w:num w:numId="4">
    <w:abstractNumId w:val="33"/>
  </w:num>
  <w:num w:numId="5">
    <w:abstractNumId w:val="23"/>
  </w:num>
  <w:num w:numId="6">
    <w:abstractNumId w:val="50"/>
  </w:num>
  <w:num w:numId="7">
    <w:abstractNumId w:val="49"/>
  </w:num>
  <w:num w:numId="8">
    <w:abstractNumId w:val="47"/>
  </w:num>
  <w:num w:numId="9">
    <w:abstractNumId w:val="9"/>
  </w:num>
  <w:num w:numId="10">
    <w:abstractNumId w:val="38"/>
  </w:num>
  <w:num w:numId="11">
    <w:abstractNumId w:val="24"/>
  </w:num>
  <w:num w:numId="12">
    <w:abstractNumId w:val="31"/>
  </w:num>
  <w:num w:numId="13">
    <w:abstractNumId w:val="48"/>
  </w:num>
  <w:num w:numId="14">
    <w:abstractNumId w:val="20"/>
  </w:num>
  <w:num w:numId="15">
    <w:abstractNumId w:val="21"/>
  </w:num>
  <w:num w:numId="16">
    <w:abstractNumId w:val="37"/>
  </w:num>
  <w:num w:numId="17">
    <w:abstractNumId w:val="13"/>
  </w:num>
  <w:num w:numId="18">
    <w:abstractNumId w:val="28"/>
  </w:num>
  <w:num w:numId="19">
    <w:abstractNumId w:val="39"/>
  </w:num>
  <w:num w:numId="20">
    <w:abstractNumId w:val="34"/>
  </w:num>
  <w:num w:numId="21">
    <w:abstractNumId w:val="27"/>
  </w:num>
  <w:num w:numId="22">
    <w:abstractNumId w:val="42"/>
  </w:num>
  <w:num w:numId="23">
    <w:abstractNumId w:val="25"/>
  </w:num>
  <w:num w:numId="24">
    <w:abstractNumId w:val="4"/>
  </w:num>
  <w:num w:numId="25">
    <w:abstractNumId w:val="30"/>
  </w:num>
  <w:num w:numId="26">
    <w:abstractNumId w:val="3"/>
  </w:num>
  <w:num w:numId="27">
    <w:abstractNumId w:val="17"/>
  </w:num>
  <w:num w:numId="28">
    <w:abstractNumId w:val="35"/>
  </w:num>
  <w:num w:numId="29">
    <w:abstractNumId w:val="2"/>
  </w:num>
  <w:num w:numId="30">
    <w:abstractNumId w:val="18"/>
  </w:num>
  <w:num w:numId="31">
    <w:abstractNumId w:val="46"/>
  </w:num>
  <w:num w:numId="32">
    <w:abstractNumId w:val="44"/>
  </w:num>
  <w:num w:numId="33">
    <w:abstractNumId w:val="7"/>
  </w:num>
  <w:num w:numId="34">
    <w:abstractNumId w:val="8"/>
  </w:num>
  <w:num w:numId="35">
    <w:abstractNumId w:val="12"/>
  </w:num>
  <w:num w:numId="36">
    <w:abstractNumId w:val="40"/>
  </w:num>
  <w:num w:numId="37">
    <w:abstractNumId w:val="1"/>
  </w:num>
  <w:num w:numId="38">
    <w:abstractNumId w:val="6"/>
  </w:num>
  <w:num w:numId="39">
    <w:abstractNumId w:val="16"/>
  </w:num>
  <w:num w:numId="40">
    <w:abstractNumId w:val="14"/>
  </w:num>
  <w:num w:numId="41">
    <w:abstractNumId w:val="10"/>
  </w:num>
  <w:num w:numId="42">
    <w:abstractNumId w:val="26"/>
  </w:num>
  <w:num w:numId="43">
    <w:abstractNumId w:val="41"/>
  </w:num>
  <w:num w:numId="44">
    <w:abstractNumId w:val="19"/>
  </w:num>
  <w:num w:numId="45">
    <w:abstractNumId w:val="43"/>
  </w:num>
  <w:num w:numId="46">
    <w:abstractNumId w:val="5"/>
  </w:num>
  <w:num w:numId="47">
    <w:abstractNumId w:val="36"/>
  </w:num>
  <w:num w:numId="48">
    <w:abstractNumId w:val="11"/>
  </w:num>
  <w:num w:numId="49">
    <w:abstractNumId w:val="45"/>
  </w:num>
  <w:num w:numId="50">
    <w:abstractNumId w:val="22"/>
  </w:num>
  <w:num w:numId="51">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D323BF"/>
    <w:rsid w:val="00000B44"/>
    <w:rsid w:val="000022B8"/>
    <w:rsid w:val="00002A3B"/>
    <w:rsid w:val="00003883"/>
    <w:rsid w:val="00003A21"/>
    <w:rsid w:val="000105CD"/>
    <w:rsid w:val="00011251"/>
    <w:rsid w:val="0002105C"/>
    <w:rsid w:val="00024466"/>
    <w:rsid w:val="00025C2A"/>
    <w:rsid w:val="00025C9D"/>
    <w:rsid w:val="0003418E"/>
    <w:rsid w:val="0003433F"/>
    <w:rsid w:val="00035A8C"/>
    <w:rsid w:val="00036BDD"/>
    <w:rsid w:val="000376A1"/>
    <w:rsid w:val="00041FFD"/>
    <w:rsid w:val="0004237D"/>
    <w:rsid w:val="00042C99"/>
    <w:rsid w:val="00044C97"/>
    <w:rsid w:val="00045C3E"/>
    <w:rsid w:val="00046D01"/>
    <w:rsid w:val="000522CF"/>
    <w:rsid w:val="00052768"/>
    <w:rsid w:val="00053AB9"/>
    <w:rsid w:val="00053EFC"/>
    <w:rsid w:val="00056229"/>
    <w:rsid w:val="00057AF1"/>
    <w:rsid w:val="00065FC2"/>
    <w:rsid w:val="00067685"/>
    <w:rsid w:val="00067B07"/>
    <w:rsid w:val="000730D7"/>
    <w:rsid w:val="00074F40"/>
    <w:rsid w:val="0007569A"/>
    <w:rsid w:val="00076E6B"/>
    <w:rsid w:val="00081AE4"/>
    <w:rsid w:val="000820F4"/>
    <w:rsid w:val="0008247D"/>
    <w:rsid w:val="00085722"/>
    <w:rsid w:val="00090AFC"/>
    <w:rsid w:val="0009249B"/>
    <w:rsid w:val="00096507"/>
    <w:rsid w:val="00097E27"/>
    <w:rsid w:val="000A0AC0"/>
    <w:rsid w:val="000A51E3"/>
    <w:rsid w:val="000A6A26"/>
    <w:rsid w:val="000A774F"/>
    <w:rsid w:val="000A785F"/>
    <w:rsid w:val="000B1603"/>
    <w:rsid w:val="000B1F77"/>
    <w:rsid w:val="000B4710"/>
    <w:rsid w:val="000B5BC5"/>
    <w:rsid w:val="000B783E"/>
    <w:rsid w:val="000B7AD2"/>
    <w:rsid w:val="000B7D81"/>
    <w:rsid w:val="000C03CF"/>
    <w:rsid w:val="000C1994"/>
    <w:rsid w:val="000C3822"/>
    <w:rsid w:val="000C6659"/>
    <w:rsid w:val="000C6926"/>
    <w:rsid w:val="000D02B8"/>
    <w:rsid w:val="000D06E8"/>
    <w:rsid w:val="000D52C1"/>
    <w:rsid w:val="000D5DBD"/>
    <w:rsid w:val="000D6E65"/>
    <w:rsid w:val="000D78FB"/>
    <w:rsid w:val="000E050C"/>
    <w:rsid w:val="000E1783"/>
    <w:rsid w:val="000E20F0"/>
    <w:rsid w:val="000E2593"/>
    <w:rsid w:val="000E344D"/>
    <w:rsid w:val="000E3F6D"/>
    <w:rsid w:val="000F11F1"/>
    <w:rsid w:val="000F359F"/>
    <w:rsid w:val="000F3B2C"/>
    <w:rsid w:val="000F3F6C"/>
    <w:rsid w:val="000F537A"/>
    <w:rsid w:val="000F63EB"/>
    <w:rsid w:val="000F648A"/>
    <w:rsid w:val="000F6C05"/>
    <w:rsid w:val="000F7BE3"/>
    <w:rsid w:val="00100804"/>
    <w:rsid w:val="00103190"/>
    <w:rsid w:val="00104333"/>
    <w:rsid w:val="001052BA"/>
    <w:rsid w:val="00106415"/>
    <w:rsid w:val="001107B3"/>
    <w:rsid w:val="001114B1"/>
    <w:rsid w:val="001138CF"/>
    <w:rsid w:val="001139D8"/>
    <w:rsid w:val="00114A6C"/>
    <w:rsid w:val="00116AD3"/>
    <w:rsid w:val="00120D28"/>
    <w:rsid w:val="00121957"/>
    <w:rsid w:val="0012387E"/>
    <w:rsid w:val="00123EB1"/>
    <w:rsid w:val="001259EC"/>
    <w:rsid w:val="00125ECD"/>
    <w:rsid w:val="001262D8"/>
    <w:rsid w:val="00126593"/>
    <w:rsid w:val="00130B04"/>
    <w:rsid w:val="00134177"/>
    <w:rsid w:val="00136087"/>
    <w:rsid w:val="00136C8A"/>
    <w:rsid w:val="00136FA3"/>
    <w:rsid w:val="00140C31"/>
    <w:rsid w:val="00142A96"/>
    <w:rsid w:val="00147E52"/>
    <w:rsid w:val="001513DE"/>
    <w:rsid w:val="00154A71"/>
    <w:rsid w:val="00156FAD"/>
    <w:rsid w:val="00157E6F"/>
    <w:rsid w:val="001655D4"/>
    <w:rsid w:val="00165803"/>
    <w:rsid w:val="00170633"/>
    <w:rsid w:val="00172BA1"/>
    <w:rsid w:val="00181915"/>
    <w:rsid w:val="00185810"/>
    <w:rsid w:val="00187E32"/>
    <w:rsid w:val="001918FF"/>
    <w:rsid w:val="00194A97"/>
    <w:rsid w:val="00194E81"/>
    <w:rsid w:val="001A0819"/>
    <w:rsid w:val="001A15E7"/>
    <w:rsid w:val="001A33C9"/>
    <w:rsid w:val="001A58F3"/>
    <w:rsid w:val="001A5B62"/>
    <w:rsid w:val="001A6D3F"/>
    <w:rsid w:val="001B034E"/>
    <w:rsid w:val="001B4C2F"/>
    <w:rsid w:val="001C2847"/>
    <w:rsid w:val="001C2B16"/>
    <w:rsid w:val="001C3BB5"/>
    <w:rsid w:val="001C3F8C"/>
    <w:rsid w:val="001C445C"/>
    <w:rsid w:val="001C6097"/>
    <w:rsid w:val="001C7126"/>
    <w:rsid w:val="001D008A"/>
    <w:rsid w:val="001D3577"/>
    <w:rsid w:val="001E0152"/>
    <w:rsid w:val="001E0FF5"/>
    <w:rsid w:val="001E6F00"/>
    <w:rsid w:val="001F0095"/>
    <w:rsid w:val="001F3448"/>
    <w:rsid w:val="001F36B0"/>
    <w:rsid w:val="001F36E8"/>
    <w:rsid w:val="001F4CA3"/>
    <w:rsid w:val="001F59E0"/>
    <w:rsid w:val="001F6617"/>
    <w:rsid w:val="002002ED"/>
    <w:rsid w:val="002044DD"/>
    <w:rsid w:val="0020674B"/>
    <w:rsid w:val="00207D4F"/>
    <w:rsid w:val="00210DA4"/>
    <w:rsid w:val="002170E5"/>
    <w:rsid w:val="002179AC"/>
    <w:rsid w:val="002205C5"/>
    <w:rsid w:val="00220D57"/>
    <w:rsid w:val="002236D3"/>
    <w:rsid w:val="00223B99"/>
    <w:rsid w:val="0022721A"/>
    <w:rsid w:val="00230BB9"/>
    <w:rsid w:val="002354FB"/>
    <w:rsid w:val="00240DCF"/>
    <w:rsid w:val="00241CEF"/>
    <w:rsid w:val="0024730A"/>
    <w:rsid w:val="00247BA2"/>
    <w:rsid w:val="0025124E"/>
    <w:rsid w:val="00252B30"/>
    <w:rsid w:val="002534B6"/>
    <w:rsid w:val="00255291"/>
    <w:rsid w:val="00257143"/>
    <w:rsid w:val="00260C77"/>
    <w:rsid w:val="002613E4"/>
    <w:rsid w:val="00262C43"/>
    <w:rsid w:val="0026399C"/>
    <w:rsid w:val="00263C3B"/>
    <w:rsid w:val="0026544B"/>
    <w:rsid w:val="00270F89"/>
    <w:rsid w:val="002758F7"/>
    <w:rsid w:val="00275D4A"/>
    <w:rsid w:val="00276CDC"/>
    <w:rsid w:val="00277655"/>
    <w:rsid w:val="002824B7"/>
    <w:rsid w:val="00282AC4"/>
    <w:rsid w:val="00282B42"/>
    <w:rsid w:val="00293DC9"/>
    <w:rsid w:val="00294875"/>
    <w:rsid w:val="00297716"/>
    <w:rsid w:val="00297C37"/>
    <w:rsid w:val="002A11AC"/>
    <w:rsid w:val="002A1B95"/>
    <w:rsid w:val="002A3B81"/>
    <w:rsid w:val="002A420A"/>
    <w:rsid w:val="002A6F30"/>
    <w:rsid w:val="002A7884"/>
    <w:rsid w:val="002B3111"/>
    <w:rsid w:val="002B7751"/>
    <w:rsid w:val="002C09F5"/>
    <w:rsid w:val="002C0A45"/>
    <w:rsid w:val="002C1168"/>
    <w:rsid w:val="002C118E"/>
    <w:rsid w:val="002C1384"/>
    <w:rsid w:val="002C2096"/>
    <w:rsid w:val="002C3AD3"/>
    <w:rsid w:val="002C41EC"/>
    <w:rsid w:val="002C5B43"/>
    <w:rsid w:val="002C7908"/>
    <w:rsid w:val="002D178D"/>
    <w:rsid w:val="002D391B"/>
    <w:rsid w:val="002D4B1F"/>
    <w:rsid w:val="002D7D15"/>
    <w:rsid w:val="002E1B2E"/>
    <w:rsid w:val="002E27EB"/>
    <w:rsid w:val="002E4EF4"/>
    <w:rsid w:val="002E6120"/>
    <w:rsid w:val="002E78B6"/>
    <w:rsid w:val="002F04AD"/>
    <w:rsid w:val="002F0F1A"/>
    <w:rsid w:val="002F0F1C"/>
    <w:rsid w:val="002F24FD"/>
    <w:rsid w:val="002F2A9D"/>
    <w:rsid w:val="002F31C2"/>
    <w:rsid w:val="002F3EE5"/>
    <w:rsid w:val="002F7BF6"/>
    <w:rsid w:val="00303FDE"/>
    <w:rsid w:val="0030501A"/>
    <w:rsid w:val="00306127"/>
    <w:rsid w:val="0031030F"/>
    <w:rsid w:val="0031039C"/>
    <w:rsid w:val="003103E8"/>
    <w:rsid w:val="00313C5B"/>
    <w:rsid w:val="003140E8"/>
    <w:rsid w:val="00314372"/>
    <w:rsid w:val="00317C66"/>
    <w:rsid w:val="00317DA2"/>
    <w:rsid w:val="00321702"/>
    <w:rsid w:val="003231C7"/>
    <w:rsid w:val="00323839"/>
    <w:rsid w:val="00324B01"/>
    <w:rsid w:val="003270C4"/>
    <w:rsid w:val="00331ED0"/>
    <w:rsid w:val="00332B0A"/>
    <w:rsid w:val="00333A41"/>
    <w:rsid w:val="00341036"/>
    <w:rsid w:val="00344F82"/>
    <w:rsid w:val="00345434"/>
    <w:rsid w:val="00345615"/>
    <w:rsid w:val="00345C6A"/>
    <w:rsid w:val="00346F76"/>
    <w:rsid w:val="00351689"/>
    <w:rsid w:val="00351C22"/>
    <w:rsid w:val="003522C9"/>
    <w:rsid w:val="0035495B"/>
    <w:rsid w:val="00355A93"/>
    <w:rsid w:val="00357BE2"/>
    <w:rsid w:val="00360336"/>
    <w:rsid w:val="00360F30"/>
    <w:rsid w:val="00361522"/>
    <w:rsid w:val="00361C00"/>
    <w:rsid w:val="00365F7B"/>
    <w:rsid w:val="003660C2"/>
    <w:rsid w:val="0037093E"/>
    <w:rsid w:val="0037196E"/>
    <w:rsid w:val="003744F5"/>
    <w:rsid w:val="00375456"/>
    <w:rsid w:val="00377B66"/>
    <w:rsid w:val="00382C6A"/>
    <w:rsid w:val="00385900"/>
    <w:rsid w:val="003875A9"/>
    <w:rsid w:val="00387BDE"/>
    <w:rsid w:val="00390DD8"/>
    <w:rsid w:val="00394DC6"/>
    <w:rsid w:val="0039684F"/>
    <w:rsid w:val="00397077"/>
    <w:rsid w:val="00397C3E"/>
    <w:rsid w:val="003A06BE"/>
    <w:rsid w:val="003A10AB"/>
    <w:rsid w:val="003B1A09"/>
    <w:rsid w:val="003B33F0"/>
    <w:rsid w:val="003B61FA"/>
    <w:rsid w:val="003B6F02"/>
    <w:rsid w:val="003B71D3"/>
    <w:rsid w:val="003C0431"/>
    <w:rsid w:val="003C29BB"/>
    <w:rsid w:val="003C2A99"/>
    <w:rsid w:val="003D3989"/>
    <w:rsid w:val="003D4CCA"/>
    <w:rsid w:val="003D52A6"/>
    <w:rsid w:val="003D6416"/>
    <w:rsid w:val="003D66F5"/>
    <w:rsid w:val="003E1B1C"/>
    <w:rsid w:val="003E1D48"/>
    <w:rsid w:val="003E711F"/>
    <w:rsid w:val="003F1D2B"/>
    <w:rsid w:val="003F24B3"/>
    <w:rsid w:val="003F49A6"/>
    <w:rsid w:val="003F518F"/>
    <w:rsid w:val="003F573D"/>
    <w:rsid w:val="003F6BA7"/>
    <w:rsid w:val="003F7132"/>
    <w:rsid w:val="003F7445"/>
    <w:rsid w:val="00411DF2"/>
    <w:rsid w:val="00411E8F"/>
    <w:rsid w:val="0041442B"/>
    <w:rsid w:val="00420D12"/>
    <w:rsid w:val="00422170"/>
    <w:rsid w:val="004247F5"/>
    <w:rsid w:val="0042527B"/>
    <w:rsid w:val="00426251"/>
    <w:rsid w:val="00426285"/>
    <w:rsid w:val="00426A29"/>
    <w:rsid w:val="0042705B"/>
    <w:rsid w:val="00427BD3"/>
    <w:rsid w:val="00427EAC"/>
    <w:rsid w:val="00430C35"/>
    <w:rsid w:val="00430F3E"/>
    <w:rsid w:val="00440985"/>
    <w:rsid w:val="004431B4"/>
    <w:rsid w:val="004438CD"/>
    <w:rsid w:val="00443BF5"/>
    <w:rsid w:val="00444BCC"/>
    <w:rsid w:val="00445604"/>
    <w:rsid w:val="00447B7F"/>
    <w:rsid w:val="00451158"/>
    <w:rsid w:val="00453B35"/>
    <w:rsid w:val="0045537F"/>
    <w:rsid w:val="00456B3B"/>
    <w:rsid w:val="00457DC7"/>
    <w:rsid w:val="00460530"/>
    <w:rsid w:val="0046138A"/>
    <w:rsid w:val="004640B3"/>
    <w:rsid w:val="0046569F"/>
    <w:rsid w:val="004729FF"/>
    <w:rsid w:val="00472BCC"/>
    <w:rsid w:val="00474CD3"/>
    <w:rsid w:val="00477699"/>
    <w:rsid w:val="004814FE"/>
    <w:rsid w:val="0048385C"/>
    <w:rsid w:val="00485853"/>
    <w:rsid w:val="00485994"/>
    <w:rsid w:val="004865C7"/>
    <w:rsid w:val="00490253"/>
    <w:rsid w:val="00497329"/>
    <w:rsid w:val="004A0FD7"/>
    <w:rsid w:val="004A1491"/>
    <w:rsid w:val="004A25CD"/>
    <w:rsid w:val="004A26CC"/>
    <w:rsid w:val="004B2108"/>
    <w:rsid w:val="004B3A2B"/>
    <w:rsid w:val="004B4A77"/>
    <w:rsid w:val="004B5143"/>
    <w:rsid w:val="004B70D3"/>
    <w:rsid w:val="004B7DAE"/>
    <w:rsid w:val="004C13DF"/>
    <w:rsid w:val="004C1795"/>
    <w:rsid w:val="004C312D"/>
    <w:rsid w:val="004C3F31"/>
    <w:rsid w:val="004C69D9"/>
    <w:rsid w:val="004D17F7"/>
    <w:rsid w:val="004D2D1B"/>
    <w:rsid w:val="004D45B4"/>
    <w:rsid w:val="004D5067"/>
    <w:rsid w:val="004D6838"/>
    <w:rsid w:val="004D72BC"/>
    <w:rsid w:val="004D764C"/>
    <w:rsid w:val="004E1847"/>
    <w:rsid w:val="004E23DF"/>
    <w:rsid w:val="004E2800"/>
    <w:rsid w:val="004E469D"/>
    <w:rsid w:val="004E4E2B"/>
    <w:rsid w:val="004E56C9"/>
    <w:rsid w:val="004E7F4F"/>
    <w:rsid w:val="004F2DDE"/>
    <w:rsid w:val="004F5936"/>
    <w:rsid w:val="004F5A55"/>
    <w:rsid w:val="004F6426"/>
    <w:rsid w:val="004F70E0"/>
    <w:rsid w:val="004F7826"/>
    <w:rsid w:val="0050097F"/>
    <w:rsid w:val="005029FC"/>
    <w:rsid w:val="0051052A"/>
    <w:rsid w:val="005107BF"/>
    <w:rsid w:val="0051214E"/>
    <w:rsid w:val="00514B1F"/>
    <w:rsid w:val="00523A2F"/>
    <w:rsid w:val="00523C5C"/>
    <w:rsid w:val="00524884"/>
    <w:rsid w:val="00525859"/>
    <w:rsid w:val="00525E93"/>
    <w:rsid w:val="0052671D"/>
    <w:rsid w:val="005300C0"/>
    <w:rsid w:val="00530135"/>
    <w:rsid w:val="00532378"/>
    <w:rsid w:val="00533EF6"/>
    <w:rsid w:val="00535102"/>
    <w:rsid w:val="00540E6B"/>
    <w:rsid w:val="0054109E"/>
    <w:rsid w:val="00541BCD"/>
    <w:rsid w:val="00546BBD"/>
    <w:rsid w:val="00550579"/>
    <w:rsid w:val="0055595D"/>
    <w:rsid w:val="00556A10"/>
    <w:rsid w:val="00557F50"/>
    <w:rsid w:val="00562693"/>
    <w:rsid w:val="00570CDA"/>
    <w:rsid w:val="00571D3D"/>
    <w:rsid w:val="0058264B"/>
    <w:rsid w:val="005862CB"/>
    <w:rsid w:val="00586368"/>
    <w:rsid w:val="005868AA"/>
    <w:rsid w:val="005879E5"/>
    <w:rsid w:val="00587BAF"/>
    <w:rsid w:val="00590845"/>
    <w:rsid w:val="00595C2B"/>
    <w:rsid w:val="005963C2"/>
    <w:rsid w:val="005A0D69"/>
    <w:rsid w:val="005A282D"/>
    <w:rsid w:val="005A31F4"/>
    <w:rsid w:val="005A423C"/>
    <w:rsid w:val="005A73EA"/>
    <w:rsid w:val="005B2734"/>
    <w:rsid w:val="005B3632"/>
    <w:rsid w:val="005B45F7"/>
    <w:rsid w:val="005B63EA"/>
    <w:rsid w:val="005C1A88"/>
    <w:rsid w:val="005C1FCC"/>
    <w:rsid w:val="005C5033"/>
    <w:rsid w:val="005C5958"/>
    <w:rsid w:val="005C5F6C"/>
    <w:rsid w:val="005C7B66"/>
    <w:rsid w:val="005D4E1B"/>
    <w:rsid w:val="005D56ED"/>
    <w:rsid w:val="005D670F"/>
    <w:rsid w:val="005E751B"/>
    <w:rsid w:val="005F2751"/>
    <w:rsid w:val="005F319C"/>
    <w:rsid w:val="005F3354"/>
    <w:rsid w:val="005F4414"/>
    <w:rsid w:val="005F4AD6"/>
    <w:rsid w:val="005F7ACC"/>
    <w:rsid w:val="0060005E"/>
    <w:rsid w:val="0060095B"/>
    <w:rsid w:val="00601266"/>
    <w:rsid w:val="00602622"/>
    <w:rsid w:val="00610221"/>
    <w:rsid w:val="00610E73"/>
    <w:rsid w:val="00611775"/>
    <w:rsid w:val="00611B79"/>
    <w:rsid w:val="00612614"/>
    <w:rsid w:val="006145A5"/>
    <w:rsid w:val="00615F9B"/>
    <w:rsid w:val="00616DF2"/>
    <w:rsid w:val="00617827"/>
    <w:rsid w:val="0062216C"/>
    <w:rsid w:val="0062385D"/>
    <w:rsid w:val="006275C0"/>
    <w:rsid w:val="00627920"/>
    <w:rsid w:val="0063168D"/>
    <w:rsid w:val="00635C79"/>
    <w:rsid w:val="006423A7"/>
    <w:rsid w:val="006455DF"/>
    <w:rsid w:val="00645AF6"/>
    <w:rsid w:val="00647025"/>
    <w:rsid w:val="0064730A"/>
    <w:rsid w:val="006507DA"/>
    <w:rsid w:val="0065102B"/>
    <w:rsid w:val="00651D82"/>
    <w:rsid w:val="006531A4"/>
    <w:rsid w:val="00653E5F"/>
    <w:rsid w:val="006567E2"/>
    <w:rsid w:val="00656E3E"/>
    <w:rsid w:val="00660774"/>
    <w:rsid w:val="0066389A"/>
    <w:rsid w:val="0066495C"/>
    <w:rsid w:val="006655DC"/>
    <w:rsid w:val="00665CC7"/>
    <w:rsid w:val="0066623D"/>
    <w:rsid w:val="00672612"/>
    <w:rsid w:val="00674ECC"/>
    <w:rsid w:val="00675083"/>
    <w:rsid w:val="00676920"/>
    <w:rsid w:val="006775C3"/>
    <w:rsid w:val="00677A39"/>
    <w:rsid w:val="00677B82"/>
    <w:rsid w:val="00677F18"/>
    <w:rsid w:val="006826A6"/>
    <w:rsid w:val="006929DC"/>
    <w:rsid w:val="00693483"/>
    <w:rsid w:val="00696547"/>
    <w:rsid w:val="00696831"/>
    <w:rsid w:val="00696C56"/>
    <w:rsid w:val="006A0BF3"/>
    <w:rsid w:val="006A26AA"/>
    <w:rsid w:val="006A408A"/>
    <w:rsid w:val="006A502B"/>
    <w:rsid w:val="006B0036"/>
    <w:rsid w:val="006B0DA6"/>
    <w:rsid w:val="006B2559"/>
    <w:rsid w:val="006B3FA9"/>
    <w:rsid w:val="006B681F"/>
    <w:rsid w:val="006C47F9"/>
    <w:rsid w:val="006C547E"/>
    <w:rsid w:val="006C56F1"/>
    <w:rsid w:val="006C690F"/>
    <w:rsid w:val="006C7D1F"/>
    <w:rsid w:val="006D03E6"/>
    <w:rsid w:val="006D2B51"/>
    <w:rsid w:val="006D3F2D"/>
    <w:rsid w:val="006D3FBB"/>
    <w:rsid w:val="006D5575"/>
    <w:rsid w:val="006D7191"/>
    <w:rsid w:val="006E21C4"/>
    <w:rsid w:val="006E42BE"/>
    <w:rsid w:val="006E5D4D"/>
    <w:rsid w:val="006E6158"/>
    <w:rsid w:val="006E6D16"/>
    <w:rsid w:val="006F3A25"/>
    <w:rsid w:val="00703910"/>
    <w:rsid w:val="00703F2A"/>
    <w:rsid w:val="00704C5D"/>
    <w:rsid w:val="007072BC"/>
    <w:rsid w:val="00711819"/>
    <w:rsid w:val="00715275"/>
    <w:rsid w:val="00721B44"/>
    <w:rsid w:val="007232A2"/>
    <w:rsid w:val="00726218"/>
    <w:rsid w:val="00726366"/>
    <w:rsid w:val="0073083B"/>
    <w:rsid w:val="00730DB4"/>
    <w:rsid w:val="00730FA2"/>
    <w:rsid w:val="007317B8"/>
    <w:rsid w:val="00731AB6"/>
    <w:rsid w:val="00733B6B"/>
    <w:rsid w:val="00736837"/>
    <w:rsid w:val="00740808"/>
    <w:rsid w:val="00740A1B"/>
    <w:rsid w:val="007412CD"/>
    <w:rsid w:val="007428E2"/>
    <w:rsid w:val="0074316C"/>
    <w:rsid w:val="0074348E"/>
    <w:rsid w:val="0074408F"/>
    <w:rsid w:val="0074572E"/>
    <w:rsid w:val="007467C4"/>
    <w:rsid w:val="007500B2"/>
    <w:rsid w:val="007518C0"/>
    <w:rsid w:val="00752DB6"/>
    <w:rsid w:val="00753736"/>
    <w:rsid w:val="00755702"/>
    <w:rsid w:val="0076170F"/>
    <w:rsid w:val="007650C7"/>
    <w:rsid w:val="0076669C"/>
    <w:rsid w:val="00766E46"/>
    <w:rsid w:val="00772CCB"/>
    <w:rsid w:val="00774D27"/>
    <w:rsid w:val="00777727"/>
    <w:rsid w:val="00781568"/>
    <w:rsid w:val="0078166A"/>
    <w:rsid w:val="00782B79"/>
    <w:rsid w:val="00783622"/>
    <w:rsid w:val="00783811"/>
    <w:rsid w:val="007865E9"/>
    <w:rsid w:val="007874CC"/>
    <w:rsid w:val="0079237D"/>
    <w:rsid w:val="00792383"/>
    <w:rsid w:val="00794D5A"/>
    <w:rsid w:val="00794DD9"/>
    <w:rsid w:val="007A060F"/>
    <w:rsid w:val="007A4F1A"/>
    <w:rsid w:val="007A6CB7"/>
    <w:rsid w:val="007B1C5E"/>
    <w:rsid w:val="007B2E8B"/>
    <w:rsid w:val="007B350E"/>
    <w:rsid w:val="007B5B46"/>
    <w:rsid w:val="007C0F23"/>
    <w:rsid w:val="007C0FBC"/>
    <w:rsid w:val="007C168D"/>
    <w:rsid w:val="007C29C9"/>
    <w:rsid w:val="007C35B8"/>
    <w:rsid w:val="007C36E3"/>
    <w:rsid w:val="007C3ABB"/>
    <w:rsid w:val="007C579C"/>
    <w:rsid w:val="007C7003"/>
    <w:rsid w:val="007C7134"/>
    <w:rsid w:val="007C71EE"/>
    <w:rsid w:val="007C7ECF"/>
    <w:rsid w:val="007D1F19"/>
    <w:rsid w:val="007D3D20"/>
    <w:rsid w:val="007D44F9"/>
    <w:rsid w:val="007D742E"/>
    <w:rsid w:val="007E3AFD"/>
    <w:rsid w:val="007E45B3"/>
    <w:rsid w:val="007E542E"/>
    <w:rsid w:val="007E762C"/>
    <w:rsid w:val="00801797"/>
    <w:rsid w:val="00801DAD"/>
    <w:rsid w:val="00803189"/>
    <w:rsid w:val="00804E7A"/>
    <w:rsid w:val="00805FBB"/>
    <w:rsid w:val="00814292"/>
    <w:rsid w:val="00814E6F"/>
    <w:rsid w:val="008169A4"/>
    <w:rsid w:val="00817AF8"/>
    <w:rsid w:val="00817F7E"/>
    <w:rsid w:val="008223E0"/>
    <w:rsid w:val="00822500"/>
    <w:rsid w:val="008278FE"/>
    <w:rsid w:val="008322AF"/>
    <w:rsid w:val="00832598"/>
    <w:rsid w:val="00833141"/>
    <w:rsid w:val="0083397E"/>
    <w:rsid w:val="008344F9"/>
    <w:rsid w:val="0083534B"/>
    <w:rsid w:val="008367D3"/>
    <w:rsid w:val="00840855"/>
    <w:rsid w:val="00842035"/>
    <w:rsid w:val="00842602"/>
    <w:rsid w:val="00843B00"/>
    <w:rsid w:val="0084462B"/>
    <w:rsid w:val="008449F0"/>
    <w:rsid w:val="00845125"/>
    <w:rsid w:val="00846F11"/>
    <w:rsid w:val="00847B3F"/>
    <w:rsid w:val="00847B45"/>
    <w:rsid w:val="008611AE"/>
    <w:rsid w:val="00863A66"/>
    <w:rsid w:val="00866056"/>
    <w:rsid w:val="008675BF"/>
    <w:rsid w:val="008703D7"/>
    <w:rsid w:val="00872809"/>
    <w:rsid w:val="00874429"/>
    <w:rsid w:val="008750AD"/>
    <w:rsid w:val="00875D22"/>
    <w:rsid w:val="0088172F"/>
    <w:rsid w:val="00883D25"/>
    <w:rsid w:val="00883D9A"/>
    <w:rsid w:val="00885C7A"/>
    <w:rsid w:val="008869C5"/>
    <w:rsid w:val="008919EF"/>
    <w:rsid w:val="008923DF"/>
    <w:rsid w:val="00892B20"/>
    <w:rsid w:val="008931BC"/>
    <w:rsid w:val="00893C3A"/>
    <w:rsid w:val="008940B4"/>
    <w:rsid w:val="0089695B"/>
    <w:rsid w:val="00897740"/>
    <w:rsid w:val="008A12EC"/>
    <w:rsid w:val="008A1A23"/>
    <w:rsid w:val="008A2A43"/>
    <w:rsid w:val="008A33B8"/>
    <w:rsid w:val="008A4DD9"/>
    <w:rsid w:val="008B1364"/>
    <w:rsid w:val="008B14BE"/>
    <w:rsid w:val="008B19A6"/>
    <w:rsid w:val="008B3703"/>
    <w:rsid w:val="008B4EFB"/>
    <w:rsid w:val="008B7615"/>
    <w:rsid w:val="008B7D20"/>
    <w:rsid w:val="008C1184"/>
    <w:rsid w:val="008C21C8"/>
    <w:rsid w:val="008C3F2F"/>
    <w:rsid w:val="008C6375"/>
    <w:rsid w:val="008C6870"/>
    <w:rsid w:val="008C6A5B"/>
    <w:rsid w:val="008D1055"/>
    <w:rsid w:val="008D441D"/>
    <w:rsid w:val="008D498D"/>
    <w:rsid w:val="008D6D36"/>
    <w:rsid w:val="008E0693"/>
    <w:rsid w:val="008E06EC"/>
    <w:rsid w:val="008E26A5"/>
    <w:rsid w:val="008E2AF6"/>
    <w:rsid w:val="008E42D2"/>
    <w:rsid w:val="008E47A7"/>
    <w:rsid w:val="008E6328"/>
    <w:rsid w:val="008E6C74"/>
    <w:rsid w:val="008F1CE0"/>
    <w:rsid w:val="008F578F"/>
    <w:rsid w:val="008F5D04"/>
    <w:rsid w:val="008F6B3F"/>
    <w:rsid w:val="009006DF"/>
    <w:rsid w:val="00900808"/>
    <w:rsid w:val="0090216A"/>
    <w:rsid w:val="009040EE"/>
    <w:rsid w:val="00904646"/>
    <w:rsid w:val="009049E7"/>
    <w:rsid w:val="009057FD"/>
    <w:rsid w:val="00906FBA"/>
    <w:rsid w:val="009110EC"/>
    <w:rsid w:val="0091471D"/>
    <w:rsid w:val="00914CBB"/>
    <w:rsid w:val="009163E8"/>
    <w:rsid w:val="00921BD3"/>
    <w:rsid w:val="009228C7"/>
    <w:rsid w:val="00922A7F"/>
    <w:rsid w:val="00923A5E"/>
    <w:rsid w:val="00924429"/>
    <w:rsid w:val="00924FE7"/>
    <w:rsid w:val="00926CEE"/>
    <w:rsid w:val="00926E27"/>
    <w:rsid w:val="0092715D"/>
    <w:rsid w:val="00931C8C"/>
    <w:rsid w:val="0093322A"/>
    <w:rsid w:val="00937C8E"/>
    <w:rsid w:val="00943D21"/>
    <w:rsid w:val="0094504B"/>
    <w:rsid w:val="00945123"/>
    <w:rsid w:val="00954AFD"/>
    <w:rsid w:val="009569D7"/>
    <w:rsid w:val="009571E5"/>
    <w:rsid w:val="00960FA5"/>
    <w:rsid w:val="0096199C"/>
    <w:rsid w:val="00964A38"/>
    <w:rsid w:val="00966A9D"/>
    <w:rsid w:val="0096742B"/>
    <w:rsid w:val="00967BFF"/>
    <w:rsid w:val="00967C64"/>
    <w:rsid w:val="00967CA5"/>
    <w:rsid w:val="009718C5"/>
    <w:rsid w:val="009768E9"/>
    <w:rsid w:val="00976AFF"/>
    <w:rsid w:val="009770BB"/>
    <w:rsid w:val="00977B43"/>
    <w:rsid w:val="00980020"/>
    <w:rsid w:val="009826DC"/>
    <w:rsid w:val="00986AED"/>
    <w:rsid w:val="00987220"/>
    <w:rsid w:val="009879CA"/>
    <w:rsid w:val="00991E9D"/>
    <w:rsid w:val="009924CF"/>
    <w:rsid w:val="00994100"/>
    <w:rsid w:val="009952D0"/>
    <w:rsid w:val="009A04B7"/>
    <w:rsid w:val="009A3297"/>
    <w:rsid w:val="009A52E1"/>
    <w:rsid w:val="009A6162"/>
    <w:rsid w:val="009A6B17"/>
    <w:rsid w:val="009B052E"/>
    <w:rsid w:val="009B4E00"/>
    <w:rsid w:val="009B73A0"/>
    <w:rsid w:val="009C0E76"/>
    <w:rsid w:val="009C3457"/>
    <w:rsid w:val="009C40F9"/>
    <w:rsid w:val="009D4C29"/>
    <w:rsid w:val="009E3389"/>
    <w:rsid w:val="009E55FA"/>
    <w:rsid w:val="009E58E9"/>
    <w:rsid w:val="009E6803"/>
    <w:rsid w:val="009F06FF"/>
    <w:rsid w:val="009F227C"/>
    <w:rsid w:val="009F23DA"/>
    <w:rsid w:val="009F2CDC"/>
    <w:rsid w:val="009F66A5"/>
    <w:rsid w:val="009F6AD2"/>
    <w:rsid w:val="009F7C1B"/>
    <w:rsid w:val="00A00B5B"/>
    <w:rsid w:val="00A00D8D"/>
    <w:rsid w:val="00A01BB6"/>
    <w:rsid w:val="00A02F25"/>
    <w:rsid w:val="00A030DE"/>
    <w:rsid w:val="00A108A7"/>
    <w:rsid w:val="00A12F49"/>
    <w:rsid w:val="00A14051"/>
    <w:rsid w:val="00A14135"/>
    <w:rsid w:val="00A228DA"/>
    <w:rsid w:val="00A22B28"/>
    <w:rsid w:val="00A2579D"/>
    <w:rsid w:val="00A2798A"/>
    <w:rsid w:val="00A318BE"/>
    <w:rsid w:val="00A3351E"/>
    <w:rsid w:val="00A37D60"/>
    <w:rsid w:val="00A4303C"/>
    <w:rsid w:val="00A43AD7"/>
    <w:rsid w:val="00A46CAF"/>
    <w:rsid w:val="00A470FD"/>
    <w:rsid w:val="00A50B5E"/>
    <w:rsid w:val="00A51897"/>
    <w:rsid w:val="00A62DAB"/>
    <w:rsid w:val="00A6356A"/>
    <w:rsid w:val="00A6757A"/>
    <w:rsid w:val="00A707BB"/>
    <w:rsid w:val="00A726A6"/>
    <w:rsid w:val="00A74842"/>
    <w:rsid w:val="00A809A7"/>
    <w:rsid w:val="00A81440"/>
    <w:rsid w:val="00A8269A"/>
    <w:rsid w:val="00A86A3E"/>
    <w:rsid w:val="00A86A50"/>
    <w:rsid w:val="00A9178A"/>
    <w:rsid w:val="00A945A0"/>
    <w:rsid w:val="00A946B1"/>
    <w:rsid w:val="00A9515B"/>
    <w:rsid w:val="00A97535"/>
    <w:rsid w:val="00AA1E6F"/>
    <w:rsid w:val="00AA2BAA"/>
    <w:rsid w:val="00AA46B1"/>
    <w:rsid w:val="00AA6516"/>
    <w:rsid w:val="00AA68D7"/>
    <w:rsid w:val="00AA73E7"/>
    <w:rsid w:val="00AA73F1"/>
    <w:rsid w:val="00AB0D13"/>
    <w:rsid w:val="00AB0E1A"/>
    <w:rsid w:val="00AB1A30"/>
    <w:rsid w:val="00AB3C36"/>
    <w:rsid w:val="00AB3D30"/>
    <w:rsid w:val="00AC11C8"/>
    <w:rsid w:val="00AC2681"/>
    <w:rsid w:val="00AC2A68"/>
    <w:rsid w:val="00AC2E33"/>
    <w:rsid w:val="00AC30DF"/>
    <w:rsid w:val="00AC4B09"/>
    <w:rsid w:val="00AC5A01"/>
    <w:rsid w:val="00AC5DF8"/>
    <w:rsid w:val="00AD10EB"/>
    <w:rsid w:val="00AD1ED3"/>
    <w:rsid w:val="00AD2A04"/>
    <w:rsid w:val="00AD3717"/>
    <w:rsid w:val="00AD3E0C"/>
    <w:rsid w:val="00AD616F"/>
    <w:rsid w:val="00AD74F4"/>
    <w:rsid w:val="00AE1488"/>
    <w:rsid w:val="00AE431C"/>
    <w:rsid w:val="00B004E7"/>
    <w:rsid w:val="00B019C1"/>
    <w:rsid w:val="00B02001"/>
    <w:rsid w:val="00B03C50"/>
    <w:rsid w:val="00B0777D"/>
    <w:rsid w:val="00B11576"/>
    <w:rsid w:val="00B1195F"/>
    <w:rsid w:val="00B124C7"/>
    <w:rsid w:val="00B14D10"/>
    <w:rsid w:val="00B209C7"/>
    <w:rsid w:val="00B24F05"/>
    <w:rsid w:val="00B26480"/>
    <w:rsid w:val="00B26D3E"/>
    <w:rsid w:val="00B33404"/>
    <w:rsid w:val="00B35D38"/>
    <w:rsid w:val="00B3644F"/>
    <w:rsid w:val="00B4057A"/>
    <w:rsid w:val="00B40894"/>
    <w:rsid w:val="00B40F80"/>
    <w:rsid w:val="00B41039"/>
    <w:rsid w:val="00B41F37"/>
    <w:rsid w:val="00B42987"/>
    <w:rsid w:val="00B444AE"/>
    <w:rsid w:val="00B44D53"/>
    <w:rsid w:val="00B45E75"/>
    <w:rsid w:val="00B4768C"/>
    <w:rsid w:val="00B50876"/>
    <w:rsid w:val="00B51074"/>
    <w:rsid w:val="00B5287E"/>
    <w:rsid w:val="00B54DAA"/>
    <w:rsid w:val="00B552E0"/>
    <w:rsid w:val="00B55AB0"/>
    <w:rsid w:val="00B55EE5"/>
    <w:rsid w:val="00B567FE"/>
    <w:rsid w:val="00B61D42"/>
    <w:rsid w:val="00B627AB"/>
    <w:rsid w:val="00B67A43"/>
    <w:rsid w:val="00B71D1F"/>
    <w:rsid w:val="00B72CFF"/>
    <w:rsid w:val="00B73DE6"/>
    <w:rsid w:val="00B73E78"/>
    <w:rsid w:val="00B74C07"/>
    <w:rsid w:val="00B761CD"/>
    <w:rsid w:val="00B76B66"/>
    <w:rsid w:val="00B76C61"/>
    <w:rsid w:val="00B81FFA"/>
    <w:rsid w:val="00B82334"/>
    <w:rsid w:val="00B83D11"/>
    <w:rsid w:val="00B86EF0"/>
    <w:rsid w:val="00B96969"/>
    <w:rsid w:val="00B97900"/>
    <w:rsid w:val="00B97D43"/>
    <w:rsid w:val="00BA1229"/>
    <w:rsid w:val="00BA44A8"/>
    <w:rsid w:val="00BA49C5"/>
    <w:rsid w:val="00BA77FB"/>
    <w:rsid w:val="00BB0182"/>
    <w:rsid w:val="00BB2F4A"/>
    <w:rsid w:val="00BB7150"/>
    <w:rsid w:val="00BC391C"/>
    <w:rsid w:val="00BC4930"/>
    <w:rsid w:val="00BC786E"/>
    <w:rsid w:val="00BD1910"/>
    <w:rsid w:val="00BD21EA"/>
    <w:rsid w:val="00BD5C92"/>
    <w:rsid w:val="00BD7444"/>
    <w:rsid w:val="00BE0327"/>
    <w:rsid w:val="00BE21AE"/>
    <w:rsid w:val="00BE50E6"/>
    <w:rsid w:val="00BE7A0C"/>
    <w:rsid w:val="00BF0F5E"/>
    <w:rsid w:val="00BF2654"/>
    <w:rsid w:val="00BF2928"/>
    <w:rsid w:val="00BF3145"/>
    <w:rsid w:val="00BF4EB0"/>
    <w:rsid w:val="00BF5D60"/>
    <w:rsid w:val="00BF6691"/>
    <w:rsid w:val="00C028FC"/>
    <w:rsid w:val="00C037F2"/>
    <w:rsid w:val="00C0386D"/>
    <w:rsid w:val="00C065A1"/>
    <w:rsid w:val="00C101D5"/>
    <w:rsid w:val="00C10ED5"/>
    <w:rsid w:val="00C12574"/>
    <w:rsid w:val="00C14D3A"/>
    <w:rsid w:val="00C151A6"/>
    <w:rsid w:val="00C24098"/>
    <w:rsid w:val="00C2439B"/>
    <w:rsid w:val="00C30A4E"/>
    <w:rsid w:val="00C34307"/>
    <w:rsid w:val="00C376D5"/>
    <w:rsid w:val="00C3796F"/>
    <w:rsid w:val="00C40CF5"/>
    <w:rsid w:val="00C411F3"/>
    <w:rsid w:val="00C43ABF"/>
    <w:rsid w:val="00C44105"/>
    <w:rsid w:val="00C50494"/>
    <w:rsid w:val="00C504BC"/>
    <w:rsid w:val="00C516D0"/>
    <w:rsid w:val="00C523EC"/>
    <w:rsid w:val="00C55920"/>
    <w:rsid w:val="00C55A33"/>
    <w:rsid w:val="00C56536"/>
    <w:rsid w:val="00C62E62"/>
    <w:rsid w:val="00C639A4"/>
    <w:rsid w:val="00C64C17"/>
    <w:rsid w:val="00C64D49"/>
    <w:rsid w:val="00C6598C"/>
    <w:rsid w:val="00C66692"/>
    <w:rsid w:val="00C673B5"/>
    <w:rsid w:val="00C67776"/>
    <w:rsid w:val="00C7063D"/>
    <w:rsid w:val="00C72339"/>
    <w:rsid w:val="00C724EB"/>
    <w:rsid w:val="00C801C6"/>
    <w:rsid w:val="00C820BC"/>
    <w:rsid w:val="00C830BC"/>
    <w:rsid w:val="00C8524D"/>
    <w:rsid w:val="00C85E21"/>
    <w:rsid w:val="00C90904"/>
    <w:rsid w:val="00C91123"/>
    <w:rsid w:val="00C9565F"/>
    <w:rsid w:val="00C97096"/>
    <w:rsid w:val="00CA1595"/>
    <w:rsid w:val="00CA1F30"/>
    <w:rsid w:val="00CA45ED"/>
    <w:rsid w:val="00CA6666"/>
    <w:rsid w:val="00CA6CC2"/>
    <w:rsid w:val="00CA71FF"/>
    <w:rsid w:val="00CB236E"/>
    <w:rsid w:val="00CB2393"/>
    <w:rsid w:val="00CB2456"/>
    <w:rsid w:val="00CB5276"/>
    <w:rsid w:val="00CB590E"/>
    <w:rsid w:val="00CB5BFC"/>
    <w:rsid w:val="00CB68D7"/>
    <w:rsid w:val="00CB785B"/>
    <w:rsid w:val="00CC3ADC"/>
    <w:rsid w:val="00CC7E68"/>
    <w:rsid w:val="00CD05CD"/>
    <w:rsid w:val="00CD392C"/>
    <w:rsid w:val="00CD3D74"/>
    <w:rsid w:val="00CD6E92"/>
    <w:rsid w:val="00CD7132"/>
    <w:rsid w:val="00CD794D"/>
    <w:rsid w:val="00CE0E6F"/>
    <w:rsid w:val="00CE35E9"/>
    <w:rsid w:val="00CE3B21"/>
    <w:rsid w:val="00CE3E6C"/>
    <w:rsid w:val="00CE56FC"/>
    <w:rsid w:val="00CE76C1"/>
    <w:rsid w:val="00CE7A4D"/>
    <w:rsid w:val="00CF0577"/>
    <w:rsid w:val="00CF32D2"/>
    <w:rsid w:val="00CF4CFE"/>
    <w:rsid w:val="00CF6374"/>
    <w:rsid w:val="00CF794B"/>
    <w:rsid w:val="00D00E8E"/>
    <w:rsid w:val="00D01FCD"/>
    <w:rsid w:val="00D02E0F"/>
    <w:rsid w:val="00D03EE8"/>
    <w:rsid w:val="00D10250"/>
    <w:rsid w:val="00D1102E"/>
    <w:rsid w:val="00D13535"/>
    <w:rsid w:val="00D1412D"/>
    <w:rsid w:val="00D15497"/>
    <w:rsid w:val="00D17B79"/>
    <w:rsid w:val="00D205F5"/>
    <w:rsid w:val="00D209DD"/>
    <w:rsid w:val="00D23FEA"/>
    <w:rsid w:val="00D248EC"/>
    <w:rsid w:val="00D269CA"/>
    <w:rsid w:val="00D30B48"/>
    <w:rsid w:val="00D3168A"/>
    <w:rsid w:val="00D323BF"/>
    <w:rsid w:val="00D350D1"/>
    <w:rsid w:val="00D36DB4"/>
    <w:rsid w:val="00D37E80"/>
    <w:rsid w:val="00D4100F"/>
    <w:rsid w:val="00D42FE8"/>
    <w:rsid w:val="00D4495E"/>
    <w:rsid w:val="00D45913"/>
    <w:rsid w:val="00D46FAA"/>
    <w:rsid w:val="00D47A40"/>
    <w:rsid w:val="00D51D33"/>
    <w:rsid w:val="00D5220B"/>
    <w:rsid w:val="00D52BB6"/>
    <w:rsid w:val="00D55057"/>
    <w:rsid w:val="00D574FB"/>
    <w:rsid w:val="00D57BB2"/>
    <w:rsid w:val="00D57E57"/>
    <w:rsid w:val="00D64125"/>
    <w:rsid w:val="00D64213"/>
    <w:rsid w:val="00D70752"/>
    <w:rsid w:val="00D808D0"/>
    <w:rsid w:val="00D80BD6"/>
    <w:rsid w:val="00D80E2D"/>
    <w:rsid w:val="00D84D5E"/>
    <w:rsid w:val="00D8560E"/>
    <w:rsid w:val="00D8758F"/>
    <w:rsid w:val="00D942CC"/>
    <w:rsid w:val="00DA328D"/>
    <w:rsid w:val="00DA4EDD"/>
    <w:rsid w:val="00DA6B78"/>
    <w:rsid w:val="00DB122B"/>
    <w:rsid w:val="00DC1D94"/>
    <w:rsid w:val="00DC42CF"/>
    <w:rsid w:val="00DC6817"/>
    <w:rsid w:val="00DC738A"/>
    <w:rsid w:val="00DD382A"/>
    <w:rsid w:val="00DD48D2"/>
    <w:rsid w:val="00DD592E"/>
    <w:rsid w:val="00DE057F"/>
    <w:rsid w:val="00DE2082"/>
    <w:rsid w:val="00DE2289"/>
    <w:rsid w:val="00DE32C9"/>
    <w:rsid w:val="00DE4927"/>
    <w:rsid w:val="00DE630E"/>
    <w:rsid w:val="00DF09A7"/>
    <w:rsid w:val="00DF295D"/>
    <w:rsid w:val="00DF2B51"/>
    <w:rsid w:val="00DF5225"/>
    <w:rsid w:val="00DF618D"/>
    <w:rsid w:val="00E001D6"/>
    <w:rsid w:val="00E01035"/>
    <w:rsid w:val="00E03A76"/>
    <w:rsid w:val="00E04410"/>
    <w:rsid w:val="00E04900"/>
    <w:rsid w:val="00E05DEC"/>
    <w:rsid w:val="00E0738E"/>
    <w:rsid w:val="00E07484"/>
    <w:rsid w:val="00E11351"/>
    <w:rsid w:val="00E13A08"/>
    <w:rsid w:val="00E15963"/>
    <w:rsid w:val="00E22FAA"/>
    <w:rsid w:val="00E2525C"/>
    <w:rsid w:val="00E26BDE"/>
    <w:rsid w:val="00E33019"/>
    <w:rsid w:val="00E33F44"/>
    <w:rsid w:val="00E37D48"/>
    <w:rsid w:val="00E4225C"/>
    <w:rsid w:val="00E44879"/>
    <w:rsid w:val="00E51259"/>
    <w:rsid w:val="00E5559E"/>
    <w:rsid w:val="00E61D32"/>
    <w:rsid w:val="00E7289B"/>
    <w:rsid w:val="00E72914"/>
    <w:rsid w:val="00E74EBD"/>
    <w:rsid w:val="00E75254"/>
    <w:rsid w:val="00E75AE0"/>
    <w:rsid w:val="00E76B61"/>
    <w:rsid w:val="00E7717B"/>
    <w:rsid w:val="00E805EE"/>
    <w:rsid w:val="00E83C1F"/>
    <w:rsid w:val="00E85684"/>
    <w:rsid w:val="00E8794B"/>
    <w:rsid w:val="00E9138D"/>
    <w:rsid w:val="00E97656"/>
    <w:rsid w:val="00E97852"/>
    <w:rsid w:val="00EA004A"/>
    <w:rsid w:val="00EA172C"/>
    <w:rsid w:val="00EA1BDB"/>
    <w:rsid w:val="00EA259B"/>
    <w:rsid w:val="00EA35A3"/>
    <w:rsid w:val="00EA35A5"/>
    <w:rsid w:val="00EA3E6A"/>
    <w:rsid w:val="00EA4130"/>
    <w:rsid w:val="00EA69CF"/>
    <w:rsid w:val="00EB0169"/>
    <w:rsid w:val="00EB18EF"/>
    <w:rsid w:val="00EB31F5"/>
    <w:rsid w:val="00EB57C1"/>
    <w:rsid w:val="00EB58F4"/>
    <w:rsid w:val="00EB7951"/>
    <w:rsid w:val="00EC307A"/>
    <w:rsid w:val="00EC3976"/>
    <w:rsid w:val="00EC5E86"/>
    <w:rsid w:val="00ED45B8"/>
    <w:rsid w:val="00ED6A79"/>
    <w:rsid w:val="00ED7816"/>
    <w:rsid w:val="00EE01EB"/>
    <w:rsid w:val="00EE17DF"/>
    <w:rsid w:val="00EE2641"/>
    <w:rsid w:val="00EE5C7E"/>
    <w:rsid w:val="00EF1482"/>
    <w:rsid w:val="00EF4621"/>
    <w:rsid w:val="00EF4D52"/>
    <w:rsid w:val="00EF6312"/>
    <w:rsid w:val="00F00533"/>
    <w:rsid w:val="00F00C4B"/>
    <w:rsid w:val="00F013A8"/>
    <w:rsid w:val="00F03283"/>
    <w:rsid w:val="00F038B0"/>
    <w:rsid w:val="00F0528A"/>
    <w:rsid w:val="00F05F34"/>
    <w:rsid w:val="00F070E1"/>
    <w:rsid w:val="00F07E19"/>
    <w:rsid w:val="00F111C5"/>
    <w:rsid w:val="00F124E8"/>
    <w:rsid w:val="00F15EF6"/>
    <w:rsid w:val="00F22B27"/>
    <w:rsid w:val="00F234A7"/>
    <w:rsid w:val="00F277B6"/>
    <w:rsid w:val="00F27D69"/>
    <w:rsid w:val="00F27DA5"/>
    <w:rsid w:val="00F31D90"/>
    <w:rsid w:val="00F3268B"/>
    <w:rsid w:val="00F36A05"/>
    <w:rsid w:val="00F36ABC"/>
    <w:rsid w:val="00F370E1"/>
    <w:rsid w:val="00F37AEE"/>
    <w:rsid w:val="00F37E07"/>
    <w:rsid w:val="00F40318"/>
    <w:rsid w:val="00F413E3"/>
    <w:rsid w:val="00F4182A"/>
    <w:rsid w:val="00F41A31"/>
    <w:rsid w:val="00F4287E"/>
    <w:rsid w:val="00F429DF"/>
    <w:rsid w:val="00F452D4"/>
    <w:rsid w:val="00F464ED"/>
    <w:rsid w:val="00F51CC4"/>
    <w:rsid w:val="00F51E2A"/>
    <w:rsid w:val="00F5231E"/>
    <w:rsid w:val="00F53318"/>
    <w:rsid w:val="00F542E7"/>
    <w:rsid w:val="00F54380"/>
    <w:rsid w:val="00F547F6"/>
    <w:rsid w:val="00F549F3"/>
    <w:rsid w:val="00F54B47"/>
    <w:rsid w:val="00F57636"/>
    <w:rsid w:val="00F61247"/>
    <w:rsid w:val="00F61F61"/>
    <w:rsid w:val="00F6285F"/>
    <w:rsid w:val="00F62B1F"/>
    <w:rsid w:val="00F63191"/>
    <w:rsid w:val="00F6702E"/>
    <w:rsid w:val="00F70E84"/>
    <w:rsid w:val="00F772D6"/>
    <w:rsid w:val="00F80685"/>
    <w:rsid w:val="00F82DA3"/>
    <w:rsid w:val="00F8354F"/>
    <w:rsid w:val="00F912C1"/>
    <w:rsid w:val="00F9170A"/>
    <w:rsid w:val="00F94968"/>
    <w:rsid w:val="00FA092B"/>
    <w:rsid w:val="00FA4F6C"/>
    <w:rsid w:val="00FA6746"/>
    <w:rsid w:val="00FA6EFD"/>
    <w:rsid w:val="00FA7C8D"/>
    <w:rsid w:val="00FB1092"/>
    <w:rsid w:val="00FB2A8E"/>
    <w:rsid w:val="00FB30CE"/>
    <w:rsid w:val="00FB3791"/>
    <w:rsid w:val="00FB6780"/>
    <w:rsid w:val="00FB74EA"/>
    <w:rsid w:val="00FC29D7"/>
    <w:rsid w:val="00FC5821"/>
    <w:rsid w:val="00FD0ADB"/>
    <w:rsid w:val="00FD2C9E"/>
    <w:rsid w:val="00FD4786"/>
    <w:rsid w:val="00FD5226"/>
    <w:rsid w:val="00FD5F2F"/>
    <w:rsid w:val="00FD616C"/>
    <w:rsid w:val="00FD731E"/>
    <w:rsid w:val="00FE0675"/>
    <w:rsid w:val="00FE388E"/>
    <w:rsid w:val="00FE3C98"/>
    <w:rsid w:val="00FE53F2"/>
    <w:rsid w:val="00FE7EAC"/>
    <w:rsid w:val="00FF0A00"/>
    <w:rsid w:val="00FF1C57"/>
    <w:rsid w:val="00FF2581"/>
    <w:rsid w:val="00FF2592"/>
    <w:rsid w:val="00FF4C19"/>
    <w:rsid w:val="00FF60AA"/>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239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25"/>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o,Style 11,Style 28,Style 8,Style 21,Style 4,fr,Style 17,Style 13,o1,fr1,o2,fr2,o3,fr3,Style 18,(NECG) Footnote Reference,Style 20,Style 7,Style 19,Style 24,Style 5,Style 15,Footnote Reference (EIS),Styl,.,SR FR,Sty,fnr,f,FR"/>
    <w:qFormat/>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B33F0"/>
  </w:style>
  <w:style w:type="table" w:customStyle="1" w:styleId="TableGrid1">
    <w:name w:val="Table Grid1"/>
    <w:basedOn w:val="TableNormal"/>
    <w:next w:val="TableGrid"/>
    <w:rsid w:val="003B3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006DF"/>
    <w:pPr>
      <w:keepLines/>
      <w:spacing w:before="240" w:after="0" w:line="259" w:lineRule="auto"/>
      <w:jc w:val="left"/>
      <w:outlineLvl w:val="9"/>
    </w:pPr>
    <w:rPr>
      <w:rFonts w:asciiTheme="majorHAnsi" w:eastAsiaTheme="majorEastAsia" w:hAnsiTheme="majorHAnsi" w:cstheme="majorBidi"/>
      <w:bCs w:val="0"/>
      <w:color w:val="365F91" w:themeColor="accent1" w:themeShade="BF"/>
      <w:kern w:val="0"/>
      <w:sz w:val="32"/>
    </w:rPr>
  </w:style>
  <w:style w:type="paragraph" w:styleId="TOC1">
    <w:name w:val="toc 1"/>
    <w:basedOn w:val="Normal"/>
    <w:next w:val="Normal"/>
    <w:autoRedefine/>
    <w:uiPriority w:val="39"/>
    <w:unhideWhenUsed/>
    <w:rsid w:val="009006DF"/>
    <w:pPr>
      <w:spacing w:after="100"/>
    </w:pPr>
  </w:style>
  <w:style w:type="paragraph" w:styleId="TOC2">
    <w:name w:val="toc 2"/>
    <w:basedOn w:val="Normal"/>
    <w:next w:val="Normal"/>
    <w:autoRedefine/>
    <w:uiPriority w:val="39"/>
    <w:unhideWhenUsed/>
    <w:rsid w:val="009006DF"/>
    <w:pPr>
      <w:spacing w:after="100"/>
      <w:ind w:left="240"/>
    </w:pPr>
  </w:style>
  <w:style w:type="paragraph" w:styleId="TOC3">
    <w:name w:val="toc 3"/>
    <w:basedOn w:val="Normal"/>
    <w:next w:val="Normal"/>
    <w:autoRedefine/>
    <w:uiPriority w:val="39"/>
    <w:unhideWhenUsed/>
    <w:rsid w:val="009006DF"/>
    <w:pPr>
      <w:spacing w:after="100"/>
      <w:ind w:left="480"/>
    </w:pPr>
  </w:style>
  <w:style w:type="paragraph" w:styleId="TOC4">
    <w:name w:val="toc 4"/>
    <w:basedOn w:val="Normal"/>
    <w:next w:val="Normal"/>
    <w:autoRedefine/>
    <w:uiPriority w:val="39"/>
    <w:unhideWhenUsed/>
    <w:rsid w:val="009006D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006D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006D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006D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006D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006DF"/>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006DF"/>
    <w:rPr>
      <w:color w:val="0000FF" w:themeColor="hyperlink"/>
      <w:u w:val="single"/>
    </w:rPr>
  </w:style>
  <w:style w:type="paragraph" w:styleId="ListParagraph">
    <w:name w:val="List Paragraph"/>
    <w:basedOn w:val="Normal"/>
    <w:uiPriority w:val="34"/>
    <w:qFormat/>
    <w:rsid w:val="001D3577"/>
    <w:pPr>
      <w:ind w:left="720"/>
      <w:contextualSpacing/>
    </w:pPr>
  </w:style>
  <w:style w:type="paragraph" w:styleId="BalloonText">
    <w:name w:val="Balloon Text"/>
    <w:basedOn w:val="Normal"/>
    <w:link w:val="BalloonTextChar"/>
    <w:semiHidden/>
    <w:unhideWhenUsed/>
    <w:rsid w:val="00F124E8"/>
    <w:rPr>
      <w:rFonts w:ascii="Segoe UI" w:hAnsi="Segoe UI" w:cs="Segoe UI"/>
      <w:sz w:val="18"/>
      <w:szCs w:val="18"/>
    </w:rPr>
  </w:style>
  <w:style w:type="character" w:customStyle="1" w:styleId="BalloonTextChar">
    <w:name w:val="Balloon Text Char"/>
    <w:basedOn w:val="DefaultParagraphFont"/>
    <w:link w:val="BalloonText"/>
    <w:semiHidden/>
    <w:rsid w:val="00F124E8"/>
    <w:rPr>
      <w:rFonts w:ascii="Segoe UI" w:hAnsi="Segoe UI" w:cs="Segoe UI"/>
      <w:sz w:val="18"/>
      <w:szCs w:val="18"/>
    </w:rPr>
  </w:style>
  <w:style w:type="character" w:styleId="CommentReference">
    <w:name w:val="annotation reference"/>
    <w:basedOn w:val="DefaultParagraphFont"/>
    <w:semiHidden/>
    <w:unhideWhenUsed/>
    <w:rsid w:val="00845125"/>
    <w:rPr>
      <w:sz w:val="16"/>
      <w:szCs w:val="16"/>
    </w:rPr>
  </w:style>
  <w:style w:type="paragraph" w:styleId="CommentText">
    <w:name w:val="annotation text"/>
    <w:basedOn w:val="Normal"/>
    <w:link w:val="CommentTextChar"/>
    <w:semiHidden/>
    <w:unhideWhenUsed/>
    <w:rsid w:val="00845125"/>
    <w:rPr>
      <w:sz w:val="20"/>
      <w:szCs w:val="20"/>
    </w:rPr>
  </w:style>
  <w:style w:type="character" w:customStyle="1" w:styleId="CommentTextChar">
    <w:name w:val="Comment Text Char"/>
    <w:basedOn w:val="DefaultParagraphFont"/>
    <w:link w:val="CommentText"/>
    <w:semiHidden/>
    <w:rsid w:val="00845125"/>
  </w:style>
  <w:style w:type="paragraph" w:styleId="CommentSubject">
    <w:name w:val="annotation subject"/>
    <w:basedOn w:val="CommentText"/>
    <w:next w:val="CommentText"/>
    <w:link w:val="CommentSubjectChar"/>
    <w:semiHidden/>
    <w:unhideWhenUsed/>
    <w:rsid w:val="00845125"/>
    <w:rPr>
      <w:b/>
      <w:bCs/>
    </w:rPr>
  </w:style>
  <w:style w:type="character" w:customStyle="1" w:styleId="CommentSubjectChar">
    <w:name w:val="Comment Subject Char"/>
    <w:basedOn w:val="CommentTextChar"/>
    <w:link w:val="CommentSubject"/>
    <w:semiHidden/>
    <w:rsid w:val="00845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00181172">
      <w:bodyDiv w:val="1"/>
      <w:marLeft w:val="0"/>
      <w:marRight w:val="0"/>
      <w:marTop w:val="0"/>
      <w:marBottom w:val="0"/>
      <w:divBdr>
        <w:top w:val="none" w:sz="0" w:space="0" w:color="auto"/>
        <w:left w:val="none" w:sz="0" w:space="0" w:color="auto"/>
        <w:bottom w:val="none" w:sz="0" w:space="0" w:color="auto"/>
        <w:right w:val="none" w:sz="0" w:space="0" w:color="auto"/>
      </w:divBdr>
    </w:div>
    <w:div w:id="865681331">
      <w:bodyDiv w:val="1"/>
      <w:marLeft w:val="0"/>
      <w:marRight w:val="0"/>
      <w:marTop w:val="0"/>
      <w:marBottom w:val="0"/>
      <w:divBdr>
        <w:top w:val="none" w:sz="0" w:space="0" w:color="auto"/>
        <w:left w:val="none" w:sz="0" w:space="0" w:color="auto"/>
        <w:bottom w:val="none" w:sz="0" w:space="0" w:color="auto"/>
        <w:right w:val="none" w:sz="0" w:space="0" w:color="auto"/>
      </w:divBdr>
    </w:div>
    <w:div w:id="21172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94</Pages>
  <Words>37381</Words>
  <Characters>213072</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2025-06-06T14:51:00Z</dcterms:created>
  <dcterms:modified xsi:type="dcterms:W3CDTF">2025-06-06T15:00:00Z</dcterms:modified>
</cp:coreProperties>
</file>