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31E" w:rsidP="00AA231E">
      <w:pPr>
        <w:pStyle w:val="OrderHeading"/>
      </w:pPr>
      <w:r>
        <w:t>BEFORE THE FLORIDA PUBLIC SERVICE COMMISSION</w:t>
      </w:r>
    </w:p>
    <w:p w:rsidR="00AA231E" w:rsidRDefault="00AA231E" w:rsidP="00AA231E">
      <w:pPr>
        <w:pStyle w:val="OrderBody"/>
      </w:pPr>
    </w:p>
    <w:p w:rsidR="00AA231E" w:rsidRDefault="00AA231E" w:rsidP="00AA23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31E" w:rsidRPr="00C63FCF" w:rsidTr="00C63FCF">
        <w:trPr>
          <w:trHeight w:val="828"/>
        </w:trPr>
        <w:tc>
          <w:tcPr>
            <w:tcW w:w="4788" w:type="dxa"/>
            <w:tcBorders>
              <w:bottom w:val="single" w:sz="8" w:space="0" w:color="auto"/>
              <w:right w:val="double" w:sz="6" w:space="0" w:color="auto"/>
            </w:tcBorders>
            <w:shd w:val="clear" w:color="auto" w:fill="auto"/>
          </w:tcPr>
          <w:p w:rsidR="00AA231E" w:rsidRDefault="00AA231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A231E" w:rsidRDefault="00AA231E" w:rsidP="00AA231E">
            <w:pPr>
              <w:pStyle w:val="OrderBody"/>
            </w:pPr>
            <w:r>
              <w:t xml:space="preserve">DOCKET NO. </w:t>
            </w:r>
            <w:bookmarkStart w:id="1" w:name="SSDocketNo"/>
            <w:bookmarkEnd w:id="1"/>
            <w:r>
              <w:t>20250011-EI</w:t>
            </w:r>
          </w:p>
          <w:p w:rsidR="00AA231E" w:rsidRDefault="00AA231E" w:rsidP="00C63FCF">
            <w:pPr>
              <w:pStyle w:val="OrderBody"/>
              <w:tabs>
                <w:tab w:val="center" w:pos="4320"/>
                <w:tab w:val="right" w:pos="8640"/>
              </w:tabs>
              <w:jc w:val="left"/>
            </w:pPr>
            <w:r>
              <w:t xml:space="preserve">ORDER NO. </w:t>
            </w:r>
            <w:bookmarkStart w:id="2" w:name="OrderNo0333"/>
            <w:r w:rsidR="00196B14">
              <w:t>PSC-2025-0333-PCO-EI</w:t>
            </w:r>
            <w:bookmarkEnd w:id="2"/>
          </w:p>
          <w:p w:rsidR="00AA231E" w:rsidRDefault="00AA231E" w:rsidP="00C63FCF">
            <w:pPr>
              <w:pStyle w:val="OrderBody"/>
              <w:tabs>
                <w:tab w:val="center" w:pos="4320"/>
                <w:tab w:val="right" w:pos="8640"/>
              </w:tabs>
              <w:jc w:val="left"/>
            </w:pPr>
            <w:r>
              <w:t xml:space="preserve">ISSUED: </w:t>
            </w:r>
            <w:r w:rsidR="00196B14">
              <w:t>September 4, 2025</w:t>
            </w:r>
          </w:p>
        </w:tc>
      </w:tr>
    </w:tbl>
    <w:p w:rsidR="00AA231E" w:rsidRDefault="00AA231E" w:rsidP="00AA231E"/>
    <w:p w:rsidR="00AA231E" w:rsidRDefault="00AA231E" w:rsidP="00AA231E"/>
    <w:p w:rsidR="00FD3246" w:rsidRDefault="00AA231E" w:rsidP="00AA231E">
      <w:pPr>
        <w:pStyle w:val="CenterUnderline"/>
      </w:pPr>
      <w:bookmarkStart w:id="3" w:name="Commissioners"/>
      <w:bookmarkEnd w:id="3"/>
      <w:r>
        <w:t>ORDER</w:t>
      </w:r>
      <w:bookmarkStart w:id="4" w:name="OrderTitle"/>
      <w:r>
        <w:t xml:space="preserve"> GRANTING</w:t>
      </w:r>
      <w:r w:rsidR="00FD3246">
        <w:t xml:space="preserve"> IN PART AND DENYING IN PART </w:t>
      </w:r>
    </w:p>
    <w:p w:rsidR="00FD3246" w:rsidRDefault="00FD3246" w:rsidP="00AA231E">
      <w:pPr>
        <w:pStyle w:val="CenterUnderline"/>
      </w:pPr>
      <w:r>
        <w:t>THE OFFICE OF PUBLIC COUNSEL</w:t>
      </w:r>
      <w:r w:rsidR="00AA231E">
        <w:t xml:space="preserve">’S </w:t>
      </w:r>
      <w:r>
        <w:t xml:space="preserve">SECOND </w:t>
      </w:r>
      <w:r w:rsidR="00276458">
        <w:t>MOTION</w:t>
      </w:r>
      <w:r>
        <w:t xml:space="preserve"> AND </w:t>
      </w:r>
    </w:p>
    <w:p w:rsidR="00CB5276" w:rsidRDefault="00FD3246" w:rsidP="00AA231E">
      <w:pPr>
        <w:pStyle w:val="CenterUnderline"/>
      </w:pPr>
      <w:r>
        <w:t>NOTICE OF INTENT TO SEEK</w:t>
      </w:r>
      <w:r w:rsidR="00276458">
        <w:t xml:space="preserve"> </w:t>
      </w:r>
      <w:r w:rsidR="00AA231E">
        <w:t xml:space="preserve">OFFICIAL RECOGNITION </w:t>
      </w:r>
      <w:bookmarkEnd w:id="4"/>
    </w:p>
    <w:p w:rsidR="00AA231E" w:rsidRDefault="00AA231E" w:rsidP="00AA231E">
      <w:pPr>
        <w:pStyle w:val="CenterUnderline"/>
      </w:pPr>
    </w:p>
    <w:p w:rsidR="00E77E78" w:rsidRDefault="00E77E78" w:rsidP="00E77E78">
      <w:pPr>
        <w:pStyle w:val="OrderBody"/>
      </w:pPr>
    </w:p>
    <w:p w:rsidR="00E77E78" w:rsidRPr="00872668" w:rsidRDefault="00E77E78" w:rsidP="00E77E78">
      <w:pPr>
        <w:pStyle w:val="CenterUnderline"/>
      </w:pPr>
      <w:bookmarkStart w:id="5" w:name="OrderText"/>
      <w:bookmarkEnd w:id="5"/>
      <w:r>
        <w:t>Background</w:t>
      </w:r>
    </w:p>
    <w:p w:rsidR="00E77E78" w:rsidRDefault="00E77E78" w:rsidP="00E77E78">
      <w:pPr>
        <w:pStyle w:val="CenterUnderline"/>
        <w:jc w:val="both"/>
        <w:rPr>
          <w:u w:val="none"/>
        </w:rPr>
      </w:pPr>
    </w:p>
    <w:p w:rsidR="00E77E78" w:rsidRPr="00872668" w:rsidRDefault="00E77E78" w:rsidP="00E77E78">
      <w:pPr>
        <w:pStyle w:val="CenterUnderline"/>
        <w:jc w:val="both"/>
        <w:rPr>
          <w:u w:val="none"/>
        </w:rPr>
      </w:pPr>
      <w:r w:rsidRPr="00AA231E">
        <w:rPr>
          <w:u w:val="none"/>
        </w:rPr>
        <w:tab/>
      </w:r>
      <w:r w:rsidR="00117E10" w:rsidRPr="00117E10">
        <w:rPr>
          <w:u w:val="none"/>
        </w:rPr>
        <w:t>Consistent with the requirements of Section VI(H) of Order Establishing Procedure No. PSC-2025-0075-PCO-EI</w:t>
      </w:r>
      <w:r w:rsidR="00117E10">
        <w:rPr>
          <w:u w:val="none"/>
        </w:rPr>
        <w:t>, o</w:t>
      </w:r>
      <w:r>
        <w:rPr>
          <w:u w:val="none"/>
        </w:rPr>
        <w:t xml:space="preserve">n July 31, 2025, the Office of Public Counsel (OPC) </w:t>
      </w:r>
      <w:r w:rsidR="00117E10">
        <w:rPr>
          <w:u w:val="none"/>
        </w:rPr>
        <w:t xml:space="preserve">timely </w:t>
      </w:r>
      <w:r>
        <w:rPr>
          <w:u w:val="none"/>
        </w:rPr>
        <w:t>filed a Motion for and Notice of Intent to Seek Official Recognition of the follo</w:t>
      </w:r>
      <w:r w:rsidRPr="00872668">
        <w:rPr>
          <w:u w:val="none"/>
        </w:rPr>
        <w:t>wing:</w:t>
      </w:r>
    </w:p>
    <w:p w:rsidR="00E77E78" w:rsidRPr="00E77E78" w:rsidRDefault="00E77E78" w:rsidP="00E77E78">
      <w:pPr>
        <w:pStyle w:val="CenterUnderline"/>
        <w:jc w:val="both"/>
        <w:rPr>
          <w:b/>
          <w:u w:val="none"/>
        </w:rPr>
      </w:pPr>
    </w:p>
    <w:p w:rsidR="00E77E78" w:rsidRPr="00E77E78" w:rsidRDefault="00E77E78" w:rsidP="005659FB">
      <w:pPr>
        <w:autoSpaceDE w:val="0"/>
        <w:autoSpaceDN w:val="0"/>
        <w:adjustRightInd w:val="0"/>
        <w:ind w:left="1440" w:hanging="1440"/>
        <w:jc w:val="both"/>
        <w:rPr>
          <w:rFonts w:eastAsia="InvisibleOCR"/>
        </w:rPr>
      </w:pPr>
      <w:r w:rsidRPr="00E77E78">
        <w:rPr>
          <w:rFonts w:eastAsia="InvisibleOCR"/>
        </w:rPr>
        <w:t>Exhibit O</w:t>
      </w:r>
      <w:r>
        <w:rPr>
          <w:rFonts w:eastAsia="InvisibleOCR"/>
        </w:rPr>
        <w:t>:</w:t>
      </w:r>
      <w:r w:rsidR="006C7D77">
        <w:rPr>
          <w:rStyle w:val="FootnoteReference"/>
          <w:rFonts w:eastAsia="InvisibleOCR"/>
        </w:rPr>
        <w:footnoteReference w:id="1"/>
      </w:r>
      <w:r>
        <w:rPr>
          <w:rFonts w:eastAsia="InvisibleOCR"/>
        </w:rPr>
        <w:tab/>
      </w:r>
      <w:r w:rsidRPr="00E77E78">
        <w:rPr>
          <w:rFonts w:eastAsia="InvisibleOCR"/>
        </w:rPr>
        <w:t>Florida Department of Environmental Protection 2016 Consent Order (OGC File No. 16-0241)</w:t>
      </w:r>
    </w:p>
    <w:p w:rsidR="00E77E78" w:rsidRPr="00E77E78" w:rsidRDefault="00E77E78" w:rsidP="00E77E78">
      <w:pPr>
        <w:autoSpaceDE w:val="0"/>
        <w:autoSpaceDN w:val="0"/>
        <w:adjustRightInd w:val="0"/>
        <w:jc w:val="both"/>
        <w:rPr>
          <w:rFonts w:eastAsia="InvisibleOCR"/>
        </w:rPr>
      </w:pPr>
    </w:p>
    <w:p w:rsidR="00E77E78" w:rsidRPr="00E77E78" w:rsidRDefault="00E77E78" w:rsidP="00E77E78">
      <w:pPr>
        <w:autoSpaceDE w:val="0"/>
        <w:autoSpaceDN w:val="0"/>
        <w:adjustRightInd w:val="0"/>
        <w:jc w:val="both"/>
        <w:rPr>
          <w:rFonts w:eastAsia="InvisibleOCR"/>
        </w:rPr>
      </w:pPr>
      <w:r w:rsidRPr="00E77E78">
        <w:rPr>
          <w:rFonts w:eastAsia="InvisibleOCR"/>
        </w:rPr>
        <w:t>Exhibit P</w:t>
      </w:r>
      <w:r>
        <w:rPr>
          <w:rFonts w:eastAsia="InvisibleOCR"/>
        </w:rPr>
        <w:t>:</w:t>
      </w:r>
      <w:r w:rsidRPr="00E77E78">
        <w:rPr>
          <w:rFonts w:eastAsia="InvisibleOCR"/>
        </w:rPr>
        <w:t xml:space="preserve"> </w:t>
      </w:r>
      <w:r>
        <w:rPr>
          <w:rFonts w:eastAsia="InvisibleOCR"/>
        </w:rPr>
        <w:tab/>
      </w:r>
      <w:r w:rsidRPr="00E77E78">
        <w:rPr>
          <w:rFonts w:eastAsia="InvisibleOCR"/>
        </w:rPr>
        <w:t>Georgia Public Service Commission News Release dated January 23, 2025</w:t>
      </w:r>
    </w:p>
    <w:p w:rsidR="00E77E78" w:rsidRPr="00E77E78" w:rsidRDefault="00E77E78" w:rsidP="00E77E78">
      <w:pPr>
        <w:autoSpaceDE w:val="0"/>
        <w:autoSpaceDN w:val="0"/>
        <w:adjustRightInd w:val="0"/>
        <w:jc w:val="both"/>
        <w:rPr>
          <w:rFonts w:eastAsia="InvisibleOCR"/>
        </w:rPr>
      </w:pPr>
    </w:p>
    <w:p w:rsidR="00E77E78" w:rsidRPr="00E77E78" w:rsidRDefault="00E77E78" w:rsidP="005659FB">
      <w:pPr>
        <w:autoSpaceDE w:val="0"/>
        <w:autoSpaceDN w:val="0"/>
        <w:adjustRightInd w:val="0"/>
        <w:ind w:left="1440" w:hanging="1440"/>
        <w:jc w:val="both"/>
        <w:rPr>
          <w:rFonts w:eastAsia="InvisibleOCR"/>
        </w:rPr>
      </w:pPr>
      <w:r w:rsidRPr="00E77E78">
        <w:rPr>
          <w:rFonts w:eastAsia="InvisibleOCR"/>
        </w:rPr>
        <w:t>Exhibit Q</w:t>
      </w:r>
      <w:r>
        <w:rPr>
          <w:rFonts w:eastAsia="InvisibleOCR"/>
        </w:rPr>
        <w:t>:</w:t>
      </w:r>
      <w:r w:rsidRPr="00E77E78">
        <w:rPr>
          <w:rFonts w:eastAsia="InvisibleOCR"/>
        </w:rPr>
        <w:t xml:space="preserve"> </w:t>
      </w:r>
      <w:r>
        <w:rPr>
          <w:rFonts w:eastAsia="InvisibleOCR"/>
        </w:rPr>
        <w:tab/>
      </w:r>
      <w:r w:rsidRPr="00E77E78">
        <w:rPr>
          <w:rFonts w:eastAsia="InvisibleOCR"/>
        </w:rPr>
        <w:t>Georgia Public Service Commission Order dated January 28, 2025 (Docket No. 44280)</w:t>
      </w:r>
    </w:p>
    <w:p w:rsidR="00E77E78" w:rsidRPr="00E77E78" w:rsidRDefault="00E77E78" w:rsidP="00E77E78">
      <w:pPr>
        <w:autoSpaceDE w:val="0"/>
        <w:autoSpaceDN w:val="0"/>
        <w:adjustRightInd w:val="0"/>
        <w:jc w:val="both"/>
        <w:rPr>
          <w:rFonts w:eastAsia="InvisibleOCR"/>
        </w:rPr>
      </w:pPr>
    </w:p>
    <w:p w:rsidR="00AA231E" w:rsidRPr="00E77E78" w:rsidRDefault="00E77E78" w:rsidP="005659FB">
      <w:pPr>
        <w:autoSpaceDE w:val="0"/>
        <w:autoSpaceDN w:val="0"/>
        <w:adjustRightInd w:val="0"/>
        <w:ind w:left="1440" w:hanging="1440"/>
        <w:jc w:val="both"/>
        <w:rPr>
          <w:rFonts w:eastAsia="InvisibleOCR"/>
        </w:rPr>
      </w:pPr>
      <w:r>
        <w:rPr>
          <w:rFonts w:eastAsia="InvisibleOCR"/>
        </w:rPr>
        <w:t>Exhibit R:</w:t>
      </w:r>
      <w:r>
        <w:rPr>
          <w:rFonts w:eastAsia="InvisibleOCR"/>
        </w:rPr>
        <w:tab/>
      </w:r>
      <w:r w:rsidRPr="00E77E78">
        <w:rPr>
          <w:rFonts w:eastAsia="InvisibleOCR"/>
        </w:rPr>
        <w:t>Duke Energy Carolinas, LLC and Duke Energy Progress, LLC’s Responses</w:t>
      </w:r>
      <w:r>
        <w:rPr>
          <w:rFonts w:eastAsia="InvisibleOCR"/>
        </w:rPr>
        <w:t xml:space="preserve"> </w:t>
      </w:r>
      <w:r w:rsidRPr="00E77E78">
        <w:rPr>
          <w:rFonts w:eastAsia="InvisibleOCR"/>
        </w:rPr>
        <w:t xml:space="preserve">to the North Carolina Utilities Commission’s Questions Regarding Large </w:t>
      </w:r>
      <w:r>
        <w:rPr>
          <w:rFonts w:eastAsia="InvisibleOCR"/>
        </w:rPr>
        <w:t xml:space="preserve">Load </w:t>
      </w:r>
      <w:r w:rsidRPr="00E77E78">
        <w:rPr>
          <w:rFonts w:eastAsia="InvisibleOCR"/>
        </w:rPr>
        <w:t>Customers (</w:t>
      </w:r>
      <w:r w:rsidRPr="00E77E78">
        <w:rPr>
          <w:rFonts w:eastAsia="InvisibleOCR"/>
          <w:i/>
        </w:rPr>
        <w:t>Order Initiating Proceeding and Requesting Comments</w:t>
      </w:r>
      <w:r w:rsidRPr="00E77E78">
        <w:rPr>
          <w:rFonts w:eastAsia="InvisibleOCR"/>
        </w:rPr>
        <w:t>, Docket No.</w:t>
      </w:r>
      <w:r w:rsidR="005659FB">
        <w:rPr>
          <w:rFonts w:eastAsia="InvisibleOCR"/>
        </w:rPr>
        <w:t xml:space="preserve"> </w:t>
      </w:r>
      <w:r w:rsidRPr="00E77E78">
        <w:rPr>
          <w:rFonts w:eastAsia="InvisibleOCR"/>
        </w:rPr>
        <w:t>E-100, Sub 208)</w:t>
      </w:r>
    </w:p>
    <w:p w:rsidR="00AA231E" w:rsidRDefault="00AA231E" w:rsidP="00AA231E">
      <w:pPr>
        <w:pStyle w:val="ListParagraph"/>
        <w:ind w:left="0"/>
        <w:jc w:val="both"/>
        <w:rPr>
          <w:rFonts w:ascii="Times New Roman" w:hAnsi="Times New Roman"/>
          <w:iCs/>
          <w:color w:val="212121"/>
        </w:rPr>
      </w:pPr>
    </w:p>
    <w:p w:rsidR="00E77E78" w:rsidRDefault="00E93FA2" w:rsidP="00AA231E">
      <w:pPr>
        <w:pStyle w:val="ListParagraph"/>
        <w:ind w:left="0"/>
        <w:jc w:val="both"/>
        <w:rPr>
          <w:rFonts w:ascii="Times New Roman" w:hAnsi="Times New Roman"/>
          <w:iCs/>
          <w:color w:val="212121"/>
        </w:rPr>
      </w:pPr>
      <w:r>
        <w:rPr>
          <w:rFonts w:ascii="Times New Roman" w:hAnsi="Times New Roman"/>
          <w:iCs/>
          <w:color w:val="212121"/>
        </w:rPr>
        <w:tab/>
        <w:t>No party objects to official recognition of Exhibits O and Q.</w:t>
      </w:r>
      <w:r>
        <w:rPr>
          <w:rStyle w:val="FootnoteReference"/>
          <w:rFonts w:ascii="Times New Roman" w:hAnsi="Times New Roman"/>
          <w:iCs/>
          <w:color w:val="212121"/>
        </w:rPr>
        <w:footnoteReference w:id="2"/>
      </w:r>
      <w:r>
        <w:rPr>
          <w:rFonts w:ascii="Times New Roman" w:hAnsi="Times New Roman"/>
          <w:iCs/>
          <w:color w:val="212121"/>
        </w:rPr>
        <w:t xml:space="preserve"> Florida Power &amp; Light Company (FPL) objects to official recognition of Exhibits P and R.</w:t>
      </w:r>
    </w:p>
    <w:p w:rsidR="00E77E78" w:rsidRDefault="00E77E78" w:rsidP="00AA231E">
      <w:pPr>
        <w:pStyle w:val="ListParagraph"/>
        <w:ind w:left="0"/>
        <w:jc w:val="both"/>
        <w:rPr>
          <w:rFonts w:ascii="Times New Roman" w:hAnsi="Times New Roman"/>
          <w:iCs/>
          <w:color w:val="212121"/>
        </w:rPr>
      </w:pPr>
    </w:p>
    <w:p w:rsidR="00E77E78" w:rsidRDefault="00E77E78" w:rsidP="00E77E78">
      <w:pPr>
        <w:pStyle w:val="CenterUnderline"/>
        <w:rPr>
          <w:u w:val="none"/>
        </w:rPr>
      </w:pPr>
      <w:r>
        <w:t>Analysis and Decision</w:t>
      </w:r>
    </w:p>
    <w:p w:rsidR="00E77E78" w:rsidRDefault="00E77E78" w:rsidP="00E77E78">
      <w:pPr>
        <w:pStyle w:val="CenterUnderline"/>
        <w:rPr>
          <w:u w:val="none"/>
        </w:rPr>
      </w:pPr>
    </w:p>
    <w:p w:rsidR="00E77E78" w:rsidRDefault="00E77E78" w:rsidP="00E77E78">
      <w:pPr>
        <w:pStyle w:val="CenterUnderline"/>
        <w:jc w:val="both"/>
        <w:rPr>
          <w:u w:val="none"/>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p>
    <w:p w:rsidR="00E77E78" w:rsidRDefault="00380CD0" w:rsidP="00E77E78">
      <w:pPr>
        <w:autoSpaceDE w:val="0"/>
        <w:autoSpaceDN w:val="0"/>
        <w:adjustRightInd w:val="0"/>
        <w:jc w:val="both"/>
        <w:rPr>
          <w:rFonts w:eastAsia="InvisibleOCR"/>
        </w:rPr>
      </w:pPr>
      <w:r>
        <w:lastRenderedPageBreak/>
        <w:tab/>
        <w:t>Pursuant to Section 90.202</w:t>
      </w:r>
      <w:r w:rsidR="00E77E78" w:rsidRPr="00C45EA8">
        <w:t>(5), F.S., judicial notice of “[o]</w:t>
      </w:r>
      <w:r w:rsidR="00E77E78" w:rsidRPr="00C45EA8">
        <w:rPr>
          <w:rFonts w:eastAsia="InvisibleOCR"/>
        </w:rPr>
        <w:t>fficial actions of the legislative, executive, and judicial departments of the United States and of any state, territory, or jurisdiction of the United States” is permissive. Sim</w:t>
      </w:r>
      <w:r w:rsidR="00C83D08">
        <w:rPr>
          <w:rFonts w:eastAsia="InvisibleOCR"/>
        </w:rPr>
        <w:t>ilarly, judicial notice of “[r]</w:t>
      </w:r>
      <w:r w:rsidR="00E77E78" w:rsidRPr="00C45EA8">
        <w:rPr>
          <w:rFonts w:eastAsia="InvisibleOCR"/>
        </w:rPr>
        <w:t>ecords of any court of this state or of any court of record of the United States or of any state, territory, or jurisdiction of the United States” pursuant to Section 90.202(6), F.S., is permissive.</w:t>
      </w:r>
    </w:p>
    <w:p w:rsidR="00E77E78" w:rsidRDefault="00E77E78" w:rsidP="00E77E78">
      <w:pPr>
        <w:autoSpaceDE w:val="0"/>
        <w:autoSpaceDN w:val="0"/>
        <w:adjustRightInd w:val="0"/>
        <w:jc w:val="both"/>
        <w:rPr>
          <w:rFonts w:eastAsia="InvisibleOCR"/>
        </w:rPr>
      </w:pPr>
    </w:p>
    <w:p w:rsidR="00E77E78" w:rsidRDefault="00E77E78" w:rsidP="00E77E78">
      <w:pPr>
        <w:autoSpaceDE w:val="0"/>
        <w:autoSpaceDN w:val="0"/>
        <w:adjustRightInd w:val="0"/>
        <w:jc w:val="both"/>
        <w:rPr>
          <w:rFonts w:eastAsia="InvisibleOCR"/>
        </w:rPr>
      </w:pPr>
      <w:r>
        <w:rPr>
          <w:rFonts w:eastAsia="InvisibleOCR"/>
        </w:rPr>
        <w:tab/>
        <w:t>Exhibit O meets the r</w:t>
      </w:r>
      <w:r w:rsidR="00E93FA2">
        <w:rPr>
          <w:rFonts w:eastAsia="InvisibleOCR"/>
        </w:rPr>
        <w:t>equirements of Section 90.202(</w:t>
      </w:r>
      <w:r w:rsidR="00A410C5">
        <w:rPr>
          <w:rFonts w:eastAsia="InvisibleOCR"/>
        </w:rPr>
        <w:t>5</w:t>
      </w:r>
      <w:r w:rsidR="00E93FA2">
        <w:rPr>
          <w:rFonts w:eastAsia="InvisibleOCR"/>
        </w:rPr>
        <w:t>)</w:t>
      </w:r>
      <w:r w:rsidR="00BC6349">
        <w:rPr>
          <w:rFonts w:eastAsia="InvisibleOCR"/>
        </w:rPr>
        <w:t xml:space="preserve">, F.S. This </w:t>
      </w:r>
      <w:r w:rsidR="00FA2CDC">
        <w:rPr>
          <w:rFonts w:eastAsia="InvisibleOCR"/>
        </w:rPr>
        <w:t xml:space="preserve">Consent </w:t>
      </w:r>
      <w:r w:rsidR="00BC6349">
        <w:rPr>
          <w:rFonts w:eastAsia="InvisibleOCR"/>
        </w:rPr>
        <w:t>Order was entered into between</w:t>
      </w:r>
      <w:r>
        <w:rPr>
          <w:rFonts w:eastAsia="InvisibleOCR"/>
        </w:rPr>
        <w:t xml:space="preserve"> </w:t>
      </w:r>
      <w:r w:rsidR="00BC6349">
        <w:rPr>
          <w:rFonts w:eastAsia="InvisibleOCR"/>
        </w:rPr>
        <w:t xml:space="preserve">the Florida Department of Environmental Protection </w:t>
      </w:r>
      <w:r w:rsidR="00FA2CDC">
        <w:rPr>
          <w:rFonts w:eastAsia="InvisibleOCR"/>
        </w:rPr>
        <w:t xml:space="preserve">and FPL under the authority of Section 120.57(4), F.S., was filed with the agency clerk as a final order pursuant to Section 120.52(7), F.S., and is </w:t>
      </w:r>
      <w:r>
        <w:rPr>
          <w:rFonts w:eastAsia="InvisibleOCR"/>
        </w:rPr>
        <w:t>as an official action of</w:t>
      </w:r>
      <w:r w:rsidR="00FA2CDC">
        <w:rPr>
          <w:rFonts w:eastAsia="InvisibleOCR"/>
        </w:rPr>
        <w:t xml:space="preserve"> an administrative agency of the State of Florida</w:t>
      </w:r>
      <w:r>
        <w:rPr>
          <w:rFonts w:eastAsia="InvisibleOCR"/>
        </w:rPr>
        <w:t>.</w:t>
      </w:r>
      <w:r w:rsidR="00623EC0">
        <w:rPr>
          <w:rStyle w:val="FootnoteReference"/>
          <w:rFonts w:eastAsia="InvisibleOCR"/>
        </w:rPr>
        <w:footnoteReference w:id="3"/>
      </w:r>
    </w:p>
    <w:p w:rsidR="00E93FA2" w:rsidRDefault="00E93FA2" w:rsidP="00E77E78">
      <w:pPr>
        <w:autoSpaceDE w:val="0"/>
        <w:autoSpaceDN w:val="0"/>
        <w:adjustRightInd w:val="0"/>
        <w:jc w:val="both"/>
        <w:rPr>
          <w:rFonts w:eastAsia="InvisibleOCR"/>
        </w:rPr>
      </w:pPr>
    </w:p>
    <w:p w:rsidR="00D32611" w:rsidRDefault="00E93FA2" w:rsidP="00E77E78">
      <w:pPr>
        <w:autoSpaceDE w:val="0"/>
        <w:autoSpaceDN w:val="0"/>
        <w:adjustRightInd w:val="0"/>
        <w:jc w:val="both"/>
        <w:rPr>
          <w:rFonts w:eastAsia="InvisibleOCR"/>
        </w:rPr>
      </w:pPr>
      <w:r>
        <w:rPr>
          <w:rFonts w:eastAsia="InvisibleOCR"/>
        </w:rPr>
        <w:tab/>
        <w:t xml:space="preserve">Exhibit P is a </w:t>
      </w:r>
      <w:r w:rsidR="00A410C5">
        <w:rPr>
          <w:rFonts w:eastAsia="InvisibleOCR"/>
        </w:rPr>
        <w:t xml:space="preserve">document </w:t>
      </w:r>
      <w:r w:rsidR="00FA2CDC">
        <w:rPr>
          <w:rFonts w:eastAsia="InvisibleOCR"/>
        </w:rPr>
        <w:t xml:space="preserve">labeled “NEWS RELEASE” </w:t>
      </w:r>
      <w:r w:rsidR="00A410C5">
        <w:rPr>
          <w:rFonts w:eastAsia="InvisibleOCR"/>
        </w:rPr>
        <w:t xml:space="preserve">on </w:t>
      </w:r>
      <w:r w:rsidR="00A607C3">
        <w:rPr>
          <w:rFonts w:eastAsia="InvisibleOCR"/>
        </w:rPr>
        <w:t xml:space="preserve">what appears to be </w:t>
      </w:r>
      <w:r w:rsidR="00A410C5">
        <w:rPr>
          <w:rFonts w:eastAsia="InvisibleOCR"/>
        </w:rPr>
        <w:t>Georgia Public Service Commission</w:t>
      </w:r>
      <w:r w:rsidR="00C433A2">
        <w:rPr>
          <w:rFonts w:eastAsia="InvisibleOCR"/>
        </w:rPr>
        <w:t xml:space="preserve"> (Georgia PSC) </w:t>
      </w:r>
      <w:r w:rsidR="00FA2CDC">
        <w:rPr>
          <w:rFonts w:eastAsia="InvisibleOCR"/>
        </w:rPr>
        <w:t xml:space="preserve">letterhead. </w:t>
      </w:r>
      <w:r w:rsidR="00D32611">
        <w:rPr>
          <w:rFonts w:eastAsia="InvisibleOCR"/>
        </w:rPr>
        <w:t>While it lists Tom Krause as a “contact,” t</w:t>
      </w:r>
      <w:r w:rsidR="00A607C3">
        <w:rPr>
          <w:rFonts w:eastAsia="InvisibleOCR"/>
        </w:rPr>
        <w:t xml:space="preserve">he document </w:t>
      </w:r>
      <w:r w:rsidR="00D32611">
        <w:rPr>
          <w:rFonts w:eastAsia="InvisibleOCR"/>
        </w:rPr>
        <w:t>does</w:t>
      </w:r>
      <w:r w:rsidR="00A607C3">
        <w:rPr>
          <w:rFonts w:eastAsia="InvisibleOCR"/>
        </w:rPr>
        <w:t xml:space="preserve"> not identif</w:t>
      </w:r>
      <w:r w:rsidR="00D32611">
        <w:rPr>
          <w:rFonts w:eastAsia="InvisibleOCR"/>
        </w:rPr>
        <w:t>y its author</w:t>
      </w:r>
      <w:r w:rsidR="00FA2CDC">
        <w:rPr>
          <w:rFonts w:eastAsia="InvisibleOCR"/>
        </w:rPr>
        <w:t xml:space="preserve"> and does not</w:t>
      </w:r>
      <w:r w:rsidR="00D32611">
        <w:rPr>
          <w:rFonts w:eastAsia="InvisibleOCR"/>
        </w:rPr>
        <w:t xml:space="preserve"> specify Mr. Krause</w:t>
      </w:r>
      <w:r w:rsidR="00FA2CDC">
        <w:rPr>
          <w:rFonts w:eastAsia="InvisibleOCR"/>
        </w:rPr>
        <w:t xml:space="preserve">’s title or position, if any, with the </w:t>
      </w:r>
      <w:r w:rsidR="00C433A2">
        <w:rPr>
          <w:rFonts w:eastAsia="InvisibleOCR"/>
        </w:rPr>
        <w:t>Georgia PSC</w:t>
      </w:r>
      <w:r w:rsidR="00D32611">
        <w:rPr>
          <w:rFonts w:eastAsia="InvisibleOCR"/>
        </w:rPr>
        <w:t xml:space="preserve">. </w:t>
      </w:r>
      <w:r w:rsidR="00A410C5">
        <w:rPr>
          <w:rFonts w:eastAsia="InvisibleOCR"/>
        </w:rPr>
        <w:t>Th</w:t>
      </w:r>
      <w:r w:rsidR="00D32611">
        <w:rPr>
          <w:rFonts w:eastAsia="InvisibleOCR"/>
        </w:rPr>
        <w:t>e text of this</w:t>
      </w:r>
      <w:r w:rsidR="00A410C5">
        <w:rPr>
          <w:rFonts w:eastAsia="InvisibleOCR"/>
        </w:rPr>
        <w:t xml:space="preserve"> document summarizes a rule, represents that the rule was adopted by the</w:t>
      </w:r>
      <w:r w:rsidR="00C433A2" w:rsidRPr="00C433A2">
        <w:rPr>
          <w:rFonts w:eastAsia="InvisibleOCR"/>
        </w:rPr>
        <w:t xml:space="preserve"> </w:t>
      </w:r>
      <w:r w:rsidR="00C433A2">
        <w:rPr>
          <w:rFonts w:eastAsia="InvisibleOCR"/>
        </w:rPr>
        <w:t>Georgia PSC</w:t>
      </w:r>
      <w:r w:rsidR="00A410C5">
        <w:rPr>
          <w:rFonts w:eastAsia="InvisibleOCR"/>
        </w:rPr>
        <w:t>, and contains quotes from two of the Commissioners regarding their votes.</w:t>
      </w:r>
    </w:p>
    <w:p w:rsidR="00D32611" w:rsidRDefault="00D32611" w:rsidP="00E77E78">
      <w:pPr>
        <w:autoSpaceDE w:val="0"/>
        <w:autoSpaceDN w:val="0"/>
        <w:adjustRightInd w:val="0"/>
        <w:jc w:val="both"/>
        <w:rPr>
          <w:rFonts w:eastAsia="InvisibleOCR"/>
        </w:rPr>
      </w:pPr>
    </w:p>
    <w:p w:rsidR="00E93FA2" w:rsidRDefault="00D32611" w:rsidP="00E77E78">
      <w:pPr>
        <w:autoSpaceDE w:val="0"/>
        <w:autoSpaceDN w:val="0"/>
        <w:adjustRightInd w:val="0"/>
        <w:jc w:val="both"/>
        <w:rPr>
          <w:rFonts w:eastAsia="InvisibleOCR"/>
        </w:rPr>
      </w:pPr>
      <w:r>
        <w:rPr>
          <w:rFonts w:eastAsia="InvisibleOCR"/>
        </w:rPr>
        <w:tab/>
      </w:r>
      <w:r w:rsidR="00A410C5">
        <w:rPr>
          <w:rFonts w:eastAsia="InvisibleOCR"/>
        </w:rPr>
        <w:t xml:space="preserve">There are no indicia that the Release itself is an official action of the </w:t>
      </w:r>
      <w:r w:rsidR="00C433A2">
        <w:rPr>
          <w:rFonts w:eastAsia="InvisibleOCR"/>
        </w:rPr>
        <w:t>Georgia PSC</w:t>
      </w:r>
      <w:r w:rsidR="00623EC0">
        <w:rPr>
          <w:rFonts w:eastAsia="InvisibleOCR"/>
        </w:rPr>
        <w:t>. At best, it is a third-party description of official action</w:t>
      </w:r>
      <w:r w:rsidR="00A410C5">
        <w:rPr>
          <w:rFonts w:eastAsia="InvisibleOCR"/>
        </w:rPr>
        <w:t xml:space="preserve">. Because it is not an official action of the </w:t>
      </w:r>
      <w:r w:rsidR="00C433A2">
        <w:rPr>
          <w:rFonts w:eastAsia="InvisibleOCR"/>
        </w:rPr>
        <w:t>Georgia PSC</w:t>
      </w:r>
      <w:r w:rsidR="00B22BF7">
        <w:rPr>
          <w:rFonts w:eastAsia="InvisibleOCR"/>
        </w:rPr>
        <w:t xml:space="preserve"> under Section 90.202(5), F.S.</w:t>
      </w:r>
      <w:r w:rsidR="00A410C5">
        <w:rPr>
          <w:rFonts w:eastAsia="InvisibleOCR"/>
        </w:rPr>
        <w:t xml:space="preserve">, </w:t>
      </w:r>
      <w:r w:rsidR="0044366F">
        <w:rPr>
          <w:rFonts w:eastAsia="InvisibleOCR"/>
        </w:rPr>
        <w:t>Exhibit P</w:t>
      </w:r>
      <w:r w:rsidR="00A410C5">
        <w:rPr>
          <w:rFonts w:eastAsia="InvisibleOCR"/>
        </w:rPr>
        <w:t xml:space="preserve"> is not appropriate for official recognition.</w:t>
      </w:r>
      <w:r w:rsidR="00623EC0">
        <w:rPr>
          <w:rStyle w:val="FootnoteReference"/>
          <w:rFonts w:eastAsia="InvisibleOCR"/>
        </w:rPr>
        <w:footnoteReference w:id="4"/>
      </w:r>
    </w:p>
    <w:p w:rsidR="00E77E78" w:rsidRDefault="00E77E78" w:rsidP="00E77E78">
      <w:pPr>
        <w:autoSpaceDE w:val="0"/>
        <w:autoSpaceDN w:val="0"/>
        <w:adjustRightInd w:val="0"/>
        <w:jc w:val="both"/>
        <w:rPr>
          <w:rFonts w:eastAsia="InvisibleOCR"/>
        </w:rPr>
      </w:pPr>
    </w:p>
    <w:p w:rsidR="00E77E78" w:rsidRDefault="00E93FA2" w:rsidP="00AA231E">
      <w:pPr>
        <w:pStyle w:val="ListParagraph"/>
        <w:ind w:left="0"/>
        <w:jc w:val="both"/>
        <w:rPr>
          <w:rFonts w:ascii="Times New Roman" w:eastAsia="InvisibleOCR" w:hAnsi="Times New Roman"/>
        </w:rPr>
      </w:pPr>
      <w:r>
        <w:rPr>
          <w:rFonts w:ascii="Times New Roman" w:hAnsi="Times New Roman"/>
          <w:iCs/>
          <w:color w:val="212121"/>
        </w:rPr>
        <w:tab/>
        <w:t>Exhibit Q meets the requirements of Section 90.202(5), F.S.</w:t>
      </w:r>
      <w:r w:rsidR="00DA7F8F">
        <w:rPr>
          <w:rFonts w:ascii="Times New Roman" w:hAnsi="Times New Roman"/>
          <w:iCs/>
          <w:color w:val="212121"/>
        </w:rPr>
        <w:t xml:space="preserve"> The Georgia PSC adopted this Order </w:t>
      </w:r>
      <w:r w:rsidR="0044366F">
        <w:rPr>
          <w:rFonts w:ascii="Times New Roman" w:hAnsi="Times New Roman"/>
          <w:iCs/>
          <w:color w:val="212121"/>
        </w:rPr>
        <w:t>January 28, 2025, in Docket No. 44280. It was stamped “FILED” that same date by the Executive Secretary of the Georgia PSC. Exhibit Q</w:t>
      </w:r>
      <w:r>
        <w:rPr>
          <w:rFonts w:ascii="Times New Roman" w:hAnsi="Times New Roman"/>
          <w:iCs/>
          <w:color w:val="212121"/>
        </w:rPr>
        <w:t xml:space="preserve"> </w:t>
      </w:r>
      <w:r w:rsidR="00DA7F8F">
        <w:rPr>
          <w:rFonts w:ascii="Times New Roman" w:hAnsi="Times New Roman"/>
          <w:iCs/>
          <w:color w:val="212121"/>
        </w:rPr>
        <w:t>is</w:t>
      </w:r>
      <w:r w:rsidRPr="00E93FA2">
        <w:rPr>
          <w:rFonts w:ascii="Times New Roman" w:hAnsi="Times New Roman"/>
          <w:iCs/>
          <w:color w:val="212121"/>
        </w:rPr>
        <w:t xml:space="preserve"> </w:t>
      </w:r>
      <w:r>
        <w:rPr>
          <w:rFonts w:ascii="Times New Roman" w:hAnsi="Times New Roman"/>
          <w:iCs/>
          <w:color w:val="212121"/>
        </w:rPr>
        <w:t xml:space="preserve">an </w:t>
      </w:r>
      <w:r w:rsidRPr="00E93FA2">
        <w:rPr>
          <w:rFonts w:ascii="Times New Roman" w:eastAsia="InvisibleOCR" w:hAnsi="Times New Roman"/>
        </w:rPr>
        <w:t>official action of th</w:t>
      </w:r>
      <w:r w:rsidR="00DA7F8F">
        <w:rPr>
          <w:rFonts w:ascii="Times New Roman" w:eastAsia="InvisibleOCR" w:hAnsi="Times New Roman"/>
        </w:rPr>
        <w:t>e Georgia PSC</w:t>
      </w:r>
      <w:r w:rsidR="0044366F">
        <w:rPr>
          <w:rFonts w:ascii="Times New Roman" w:eastAsia="InvisibleOCR" w:hAnsi="Times New Roman"/>
        </w:rPr>
        <w:t xml:space="preserve"> and </w:t>
      </w:r>
      <w:r w:rsidR="00F74415">
        <w:rPr>
          <w:rFonts w:ascii="Times New Roman" w:eastAsia="InvisibleOCR" w:hAnsi="Times New Roman"/>
        </w:rPr>
        <w:t xml:space="preserve">is </w:t>
      </w:r>
      <w:r w:rsidR="0044366F">
        <w:rPr>
          <w:rFonts w:ascii="Times New Roman" w:eastAsia="InvisibleOCR" w:hAnsi="Times New Roman"/>
        </w:rPr>
        <w:t>appropriate for official recognition</w:t>
      </w:r>
      <w:r w:rsidRPr="00E93FA2">
        <w:rPr>
          <w:rFonts w:ascii="Times New Roman" w:eastAsia="InvisibleOCR" w:hAnsi="Times New Roman"/>
        </w:rPr>
        <w:t>.</w:t>
      </w:r>
    </w:p>
    <w:p w:rsidR="00E93FA2" w:rsidRDefault="00E93FA2" w:rsidP="00AA231E">
      <w:pPr>
        <w:pStyle w:val="ListParagraph"/>
        <w:ind w:left="0"/>
        <w:jc w:val="both"/>
        <w:rPr>
          <w:rFonts w:ascii="Times New Roman" w:eastAsia="InvisibleOCR" w:hAnsi="Times New Roman"/>
        </w:rPr>
      </w:pPr>
    </w:p>
    <w:p w:rsidR="00E93FA2" w:rsidRDefault="00E93FA2" w:rsidP="00AA231E">
      <w:pPr>
        <w:pStyle w:val="ListParagraph"/>
        <w:ind w:left="0"/>
        <w:jc w:val="both"/>
        <w:rPr>
          <w:rFonts w:ascii="Times New Roman" w:eastAsia="InvisibleOCR" w:hAnsi="Times New Roman"/>
        </w:rPr>
      </w:pPr>
      <w:r>
        <w:rPr>
          <w:rFonts w:ascii="Times New Roman" w:eastAsia="InvisibleOCR" w:hAnsi="Times New Roman"/>
        </w:rPr>
        <w:tab/>
      </w:r>
      <w:r w:rsidR="00A410C5">
        <w:rPr>
          <w:rFonts w:ascii="Times New Roman" w:eastAsia="InvisibleOCR" w:hAnsi="Times New Roman"/>
        </w:rPr>
        <w:t>Exhibit R consists of a cover letter dated July 24, 2025, from Duke Energy Carolinas, LLC, and Duke Energy Progress, LLC</w:t>
      </w:r>
      <w:r w:rsidR="001E6796">
        <w:rPr>
          <w:rFonts w:ascii="Times New Roman" w:eastAsia="InvisibleOCR" w:hAnsi="Times New Roman"/>
        </w:rPr>
        <w:t xml:space="preserve"> (collectively “Duke”)</w:t>
      </w:r>
      <w:r w:rsidR="00A410C5">
        <w:rPr>
          <w:rFonts w:ascii="Times New Roman" w:eastAsia="InvisibleOCR" w:hAnsi="Times New Roman"/>
        </w:rPr>
        <w:t>, along with an attached</w:t>
      </w:r>
      <w:r w:rsidR="003E46C1">
        <w:rPr>
          <w:rFonts w:ascii="Times New Roman" w:eastAsia="InvisibleOCR" w:hAnsi="Times New Roman"/>
        </w:rPr>
        <w:t>, fourteen-page document titled</w:t>
      </w:r>
      <w:r w:rsidR="00A410C5">
        <w:rPr>
          <w:rFonts w:ascii="Times New Roman" w:eastAsia="InvisibleOCR" w:hAnsi="Times New Roman"/>
        </w:rPr>
        <w:t xml:space="preserve"> “Responses to Commission’s Questions on Large Loads </w:t>
      </w:r>
      <w:r w:rsidR="00A410C5">
        <w:rPr>
          <w:rFonts w:ascii="Times New Roman" w:eastAsia="InvisibleOCR" w:hAnsi="Times New Roman"/>
          <w:i/>
        </w:rPr>
        <w:t>Order Initiating Proceeding and Requesting Comments</w:t>
      </w:r>
      <w:r w:rsidR="00A410C5">
        <w:rPr>
          <w:rFonts w:ascii="Times New Roman" w:eastAsia="InvisibleOCR" w:hAnsi="Times New Roman"/>
        </w:rPr>
        <w:t xml:space="preserve"> Docket No. E-100, Sub 208”</w:t>
      </w:r>
      <w:r w:rsidR="00F74415">
        <w:rPr>
          <w:rFonts w:ascii="Times New Roman" w:eastAsia="InvisibleOCR" w:hAnsi="Times New Roman"/>
        </w:rPr>
        <w:t xml:space="preserve"> (Responses).</w:t>
      </w:r>
      <w:r w:rsidR="003E46C1">
        <w:rPr>
          <w:rFonts w:ascii="Times New Roman" w:eastAsia="InvisibleOCR" w:hAnsi="Times New Roman"/>
        </w:rPr>
        <w:t xml:space="preserve"> The attachment include</w:t>
      </w:r>
      <w:r w:rsidR="001E6796">
        <w:rPr>
          <w:rFonts w:ascii="Times New Roman" w:eastAsia="InvisibleOCR" w:hAnsi="Times New Roman"/>
        </w:rPr>
        <w:t>s</w:t>
      </w:r>
      <w:r w:rsidR="003E46C1">
        <w:rPr>
          <w:rFonts w:ascii="Times New Roman" w:eastAsia="InvisibleOCR" w:hAnsi="Times New Roman"/>
        </w:rPr>
        <w:t xml:space="preserve"> representations </w:t>
      </w:r>
      <w:r w:rsidR="001E6796">
        <w:rPr>
          <w:rFonts w:ascii="Times New Roman" w:eastAsia="InvisibleOCR" w:hAnsi="Times New Roman"/>
        </w:rPr>
        <w:t>regarding Duke’s activities</w:t>
      </w:r>
      <w:r w:rsidR="00FA2CDC">
        <w:rPr>
          <w:rFonts w:ascii="Times New Roman" w:eastAsia="InvisibleOCR" w:hAnsi="Times New Roman"/>
        </w:rPr>
        <w:t xml:space="preserve"> regarding potential large load projects</w:t>
      </w:r>
      <w:r w:rsidR="001E6796">
        <w:rPr>
          <w:rFonts w:ascii="Times New Roman" w:eastAsia="InvisibleOCR" w:hAnsi="Times New Roman"/>
        </w:rPr>
        <w:t>, as well as statement</w:t>
      </w:r>
      <w:r w:rsidR="00FA2CDC">
        <w:rPr>
          <w:rFonts w:ascii="Times New Roman" w:eastAsia="InvisibleOCR" w:hAnsi="Times New Roman"/>
        </w:rPr>
        <w:t>s</w:t>
      </w:r>
      <w:r w:rsidR="001E6796">
        <w:rPr>
          <w:rFonts w:ascii="Times New Roman" w:eastAsia="InvisibleOCR" w:hAnsi="Times New Roman"/>
        </w:rPr>
        <w:t xml:space="preserve"> </w:t>
      </w:r>
      <w:r w:rsidR="003E46C1">
        <w:rPr>
          <w:rFonts w:ascii="Times New Roman" w:eastAsia="InvisibleOCR" w:hAnsi="Times New Roman"/>
        </w:rPr>
        <w:t xml:space="preserve">about what </w:t>
      </w:r>
      <w:r w:rsidR="001E6796">
        <w:rPr>
          <w:rFonts w:ascii="Times New Roman" w:eastAsia="InvisibleOCR" w:hAnsi="Times New Roman"/>
        </w:rPr>
        <w:t xml:space="preserve">other utilities around the country – including FPL – are </w:t>
      </w:r>
      <w:r w:rsidR="003E46C1">
        <w:rPr>
          <w:rFonts w:ascii="Times New Roman" w:eastAsia="InvisibleOCR" w:hAnsi="Times New Roman"/>
        </w:rPr>
        <w:t xml:space="preserve">purportedly </w:t>
      </w:r>
      <w:r w:rsidR="001E6796">
        <w:rPr>
          <w:rFonts w:ascii="Times New Roman" w:eastAsia="InvisibleOCR" w:hAnsi="Times New Roman"/>
        </w:rPr>
        <w:t xml:space="preserve">doing and not doing with respect to serving </w:t>
      </w:r>
      <w:r w:rsidR="00FA2CDC">
        <w:rPr>
          <w:rFonts w:ascii="Times New Roman" w:eastAsia="InvisibleOCR" w:hAnsi="Times New Roman"/>
        </w:rPr>
        <w:t>large load</w:t>
      </w:r>
      <w:r w:rsidR="003E46C1">
        <w:rPr>
          <w:rFonts w:ascii="Times New Roman" w:eastAsia="InvisibleOCR" w:hAnsi="Times New Roman"/>
        </w:rPr>
        <w:t>.</w:t>
      </w:r>
    </w:p>
    <w:p w:rsidR="00B22BF7" w:rsidRDefault="00B22BF7" w:rsidP="00AA231E">
      <w:pPr>
        <w:pStyle w:val="ListParagraph"/>
        <w:ind w:left="0"/>
        <w:jc w:val="both"/>
        <w:rPr>
          <w:rFonts w:ascii="Times New Roman" w:eastAsia="InvisibleOCR" w:hAnsi="Times New Roman"/>
        </w:rPr>
      </w:pPr>
    </w:p>
    <w:p w:rsidR="00DE566B" w:rsidRPr="00DE566B" w:rsidRDefault="00B22BF7" w:rsidP="00DE566B">
      <w:pPr>
        <w:shd w:val="clear" w:color="auto" w:fill="FFFFFF"/>
        <w:jc w:val="both"/>
        <w:rPr>
          <w:color w:val="000000"/>
        </w:rPr>
      </w:pPr>
      <w:r w:rsidRPr="00DE566B">
        <w:rPr>
          <w:rFonts w:eastAsia="InvisibleOCR"/>
        </w:rPr>
        <w:tab/>
      </w:r>
      <w:r w:rsidR="00DE6487" w:rsidRPr="00DE566B">
        <w:rPr>
          <w:rFonts w:eastAsia="InvisibleOCR"/>
        </w:rPr>
        <w:t>T</w:t>
      </w:r>
      <w:r w:rsidR="00F74415" w:rsidRPr="00DE566B">
        <w:rPr>
          <w:rFonts w:eastAsia="InvisibleOCR"/>
        </w:rPr>
        <w:t>he North Carolina Utilities Commission is not a “court” for purposes of Section 90.202(6), F.S.</w:t>
      </w:r>
      <w:r w:rsidR="00DE566B" w:rsidRPr="00DE566B">
        <w:rPr>
          <w:rFonts w:eastAsia="InvisibleOCR"/>
        </w:rPr>
        <w:t xml:space="preserve"> Accordingly, the Responses are not a “court record” subject to official recognition. Moreover, the contents of the Responses are entirely hearsay, and to admit them under cover of official recognition</w:t>
      </w:r>
      <w:r w:rsidR="00DE566B">
        <w:rPr>
          <w:rFonts w:eastAsia="InvisibleOCR"/>
        </w:rPr>
        <w:t xml:space="preserve"> as a court record</w:t>
      </w:r>
      <w:r w:rsidR="00DE566B" w:rsidRPr="00DE566B">
        <w:rPr>
          <w:rFonts w:eastAsia="InvisibleOCR"/>
        </w:rPr>
        <w:t xml:space="preserve"> would be inappropriate. </w:t>
      </w:r>
      <w:r w:rsidR="00DE566B" w:rsidRPr="00DE566B">
        <w:rPr>
          <w:rFonts w:eastAsia="InvisibleOCR"/>
          <w:i/>
        </w:rPr>
        <w:t>See</w:t>
      </w:r>
      <w:r w:rsidR="00DE566B" w:rsidRPr="00DE566B">
        <w:rPr>
          <w:rFonts w:eastAsia="InvisibleOCR"/>
        </w:rPr>
        <w:t xml:space="preserve"> </w:t>
      </w:r>
      <w:r w:rsidR="00DE566B" w:rsidRPr="00DE566B">
        <w:rPr>
          <w:rFonts w:eastAsia="InvisibleOCR"/>
          <w:i/>
        </w:rPr>
        <w:t>Dufour v. State</w:t>
      </w:r>
      <w:r w:rsidR="00DE566B" w:rsidRPr="00DE566B">
        <w:rPr>
          <w:rFonts w:eastAsia="InvisibleOCR"/>
        </w:rPr>
        <w:t>,</w:t>
      </w:r>
      <w:r w:rsidR="00DE566B" w:rsidRPr="00DE566B">
        <w:rPr>
          <w:color w:val="000000"/>
        </w:rPr>
        <w:t xml:space="preserve"> 69 So. 3d 235, 253 (Fla. 2011)</w:t>
      </w:r>
      <w:r w:rsidR="00DE566B">
        <w:rPr>
          <w:color w:val="000000"/>
        </w:rPr>
        <w:t xml:space="preserve"> </w:t>
      </w:r>
      <w:r w:rsidR="00DE566B" w:rsidRPr="00DE566B">
        <w:rPr>
          <w:color w:val="000000"/>
        </w:rPr>
        <w:t>(“the court's authority to take judicial notice of records cannot be used to justify the wholesale admission of hearsay statements within those court files”).</w:t>
      </w:r>
    </w:p>
    <w:p w:rsidR="00E77E78" w:rsidRDefault="00117E10" w:rsidP="00DE566B">
      <w:pPr>
        <w:pStyle w:val="ListParagraph"/>
        <w:ind w:left="0"/>
        <w:jc w:val="both"/>
        <w:rPr>
          <w:rFonts w:ascii="Times New Roman" w:hAnsi="Times New Roman"/>
          <w:iCs/>
          <w:color w:val="212121"/>
        </w:rPr>
      </w:pPr>
      <w:r>
        <w:rPr>
          <w:rFonts w:ascii="Times New Roman" w:hAnsi="Times New Roman"/>
          <w:iCs/>
          <w:color w:val="212121"/>
        </w:rPr>
        <w:lastRenderedPageBreak/>
        <w:tab/>
        <w:t>In light of the foregoing, OPC’s Motion for Official Recognition is granted in part and denied in part, as set forth herein.</w:t>
      </w:r>
    </w:p>
    <w:p w:rsidR="00117E10" w:rsidRPr="00DE566B" w:rsidRDefault="00117E10" w:rsidP="00DE566B">
      <w:pPr>
        <w:pStyle w:val="ListParagraph"/>
        <w:ind w:left="0"/>
        <w:jc w:val="both"/>
        <w:rPr>
          <w:rFonts w:ascii="Times New Roman" w:hAnsi="Times New Roman"/>
          <w:iCs/>
          <w:color w:val="212121"/>
        </w:rPr>
      </w:pPr>
    </w:p>
    <w:p w:rsidR="00AA231E" w:rsidRPr="00817318" w:rsidRDefault="00AA231E" w:rsidP="00DE566B">
      <w:pPr>
        <w:pStyle w:val="ListParagraph"/>
        <w:ind w:left="0"/>
        <w:jc w:val="both"/>
        <w:rPr>
          <w:rFonts w:ascii="Times New Roman" w:hAnsi="Times New Roman"/>
          <w:iCs/>
          <w:color w:val="212121"/>
        </w:rPr>
      </w:pPr>
      <w:r w:rsidRPr="00DE566B">
        <w:rPr>
          <w:rFonts w:ascii="Times New Roman" w:hAnsi="Times New Roman"/>
          <w:iCs/>
          <w:color w:val="212121"/>
        </w:rPr>
        <w:tab/>
      </w:r>
      <w:r w:rsidRPr="00817318">
        <w:rPr>
          <w:rFonts w:ascii="Times New Roman" w:hAnsi="Times New Roman"/>
          <w:iCs/>
          <w:color w:val="212121"/>
        </w:rPr>
        <w:t>Therefore, it is</w:t>
      </w:r>
    </w:p>
    <w:p w:rsidR="00AA231E" w:rsidRPr="00817318" w:rsidRDefault="00AA231E" w:rsidP="00AA231E">
      <w:pPr>
        <w:pStyle w:val="ListParagraph"/>
        <w:ind w:left="0"/>
        <w:jc w:val="both"/>
        <w:rPr>
          <w:rFonts w:ascii="Times New Roman" w:hAnsi="Times New Roman"/>
          <w:iCs/>
          <w:color w:val="212121"/>
        </w:rPr>
      </w:pPr>
    </w:p>
    <w:p w:rsidR="00360EA1" w:rsidRDefault="00AA231E" w:rsidP="00360EA1">
      <w:pPr>
        <w:pStyle w:val="OrderBody"/>
        <w:rPr>
          <w:iCs/>
          <w:color w:val="212121"/>
        </w:rPr>
      </w:pPr>
      <w:r w:rsidRPr="00817318">
        <w:rPr>
          <w:iCs/>
          <w:color w:val="212121"/>
        </w:rPr>
        <w:tab/>
      </w:r>
      <w:r w:rsidR="00360EA1" w:rsidRPr="00817318">
        <w:rPr>
          <w:iCs/>
          <w:color w:val="212121"/>
        </w:rPr>
        <w:t xml:space="preserve">ORDERED by </w:t>
      </w:r>
      <w:r w:rsidR="00360EA1">
        <w:rPr>
          <w:iCs/>
          <w:color w:val="212121"/>
        </w:rPr>
        <w:t>Chairman Mike La Rosa</w:t>
      </w:r>
      <w:r w:rsidR="00360EA1" w:rsidRPr="00817318">
        <w:rPr>
          <w:iCs/>
          <w:color w:val="212121"/>
        </w:rPr>
        <w:t xml:space="preserve">, as Prehearing Officer, that the </w:t>
      </w:r>
      <w:r w:rsidR="00360EA1">
        <w:rPr>
          <w:iCs/>
          <w:color w:val="212121"/>
        </w:rPr>
        <w:t xml:space="preserve">July 31, 2025, Second Motion for Official Recognition filed by the Office of Public Counsel is granted as to Exhibits </w:t>
      </w:r>
      <w:r w:rsidR="00425B13">
        <w:rPr>
          <w:iCs/>
          <w:color w:val="212121"/>
        </w:rPr>
        <w:t>O and Q</w:t>
      </w:r>
      <w:r w:rsidR="00360EA1">
        <w:rPr>
          <w:iCs/>
          <w:color w:val="212121"/>
        </w:rPr>
        <w:t>.  It is further</w:t>
      </w:r>
    </w:p>
    <w:p w:rsidR="00360EA1" w:rsidRDefault="00360EA1" w:rsidP="00360EA1">
      <w:pPr>
        <w:pStyle w:val="OrderBody"/>
        <w:rPr>
          <w:iCs/>
          <w:color w:val="212121"/>
        </w:rPr>
      </w:pPr>
    </w:p>
    <w:p w:rsidR="002E2DC7" w:rsidRDefault="00360EA1" w:rsidP="00360EA1">
      <w:pPr>
        <w:pStyle w:val="OrderBody"/>
        <w:rPr>
          <w:iCs/>
          <w:color w:val="212121"/>
        </w:rPr>
      </w:pPr>
      <w:r>
        <w:rPr>
          <w:iCs/>
          <w:color w:val="212121"/>
        </w:rPr>
        <w:tab/>
      </w:r>
      <w:r w:rsidRPr="00817318">
        <w:rPr>
          <w:iCs/>
          <w:color w:val="212121"/>
        </w:rPr>
        <w:t xml:space="preserve">ORDERED that the </w:t>
      </w:r>
      <w:r>
        <w:rPr>
          <w:iCs/>
          <w:color w:val="212121"/>
        </w:rPr>
        <w:t>Motion for Official Recognition filed by the Office of Public Co</w:t>
      </w:r>
      <w:r w:rsidR="00425B13">
        <w:rPr>
          <w:iCs/>
          <w:color w:val="212121"/>
        </w:rPr>
        <w:t>unsel is denied as to Exhibits P and R</w:t>
      </w:r>
      <w:r>
        <w:rPr>
          <w:iCs/>
          <w:color w:val="212121"/>
        </w:rPr>
        <w:t>.</w:t>
      </w:r>
    </w:p>
    <w:p w:rsidR="00360EA1" w:rsidRDefault="00360EA1" w:rsidP="00360EA1">
      <w:pPr>
        <w:pStyle w:val="OrderBody"/>
      </w:pPr>
    </w:p>
    <w:p w:rsidR="002E2DC7" w:rsidRDefault="002E2DC7" w:rsidP="002E2DC7">
      <w:pPr>
        <w:pStyle w:val="OrderBody"/>
        <w:keepNext/>
        <w:keepLines/>
      </w:pPr>
      <w:r>
        <w:tab/>
        <w:t xml:space="preserve">By ORDER of Chairman Mike La Rosa, as Prehearing Officer, this </w:t>
      </w:r>
      <w:bookmarkStart w:id="6" w:name="replaceDate"/>
      <w:bookmarkEnd w:id="6"/>
      <w:r w:rsidR="00196B14">
        <w:rPr>
          <w:u w:val="single"/>
        </w:rPr>
        <w:t>4th</w:t>
      </w:r>
      <w:r w:rsidR="00196B14">
        <w:t xml:space="preserve"> day of </w:t>
      </w:r>
      <w:r w:rsidR="00196B14">
        <w:rPr>
          <w:u w:val="single"/>
        </w:rPr>
        <w:t>September</w:t>
      </w:r>
      <w:r w:rsidR="00196B14">
        <w:t xml:space="preserve">, </w:t>
      </w:r>
      <w:r w:rsidR="00196B14">
        <w:rPr>
          <w:u w:val="single"/>
        </w:rPr>
        <w:t>2025</w:t>
      </w:r>
      <w:r w:rsidR="00196B14">
        <w:t>.</w:t>
      </w:r>
    </w:p>
    <w:p w:rsidR="00196B14" w:rsidRPr="00196B14" w:rsidRDefault="00196B14"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2DC7" w:rsidTr="002E2DC7">
        <w:tc>
          <w:tcPr>
            <w:tcW w:w="720" w:type="dxa"/>
            <w:shd w:val="clear" w:color="auto" w:fill="auto"/>
          </w:tcPr>
          <w:p w:rsidR="002E2DC7" w:rsidRDefault="002E2DC7" w:rsidP="002E2DC7">
            <w:pPr>
              <w:pStyle w:val="OrderBody"/>
              <w:keepNext/>
              <w:keepLines/>
            </w:pPr>
            <w:bookmarkStart w:id="7" w:name="bkmrkSignature" w:colFirst="0" w:colLast="0"/>
          </w:p>
        </w:tc>
        <w:tc>
          <w:tcPr>
            <w:tcW w:w="4320" w:type="dxa"/>
            <w:tcBorders>
              <w:bottom w:val="single" w:sz="4" w:space="0" w:color="auto"/>
            </w:tcBorders>
            <w:shd w:val="clear" w:color="auto" w:fill="auto"/>
          </w:tcPr>
          <w:p w:rsidR="002E2DC7" w:rsidRDefault="00E50154" w:rsidP="002E2DC7">
            <w:pPr>
              <w:pStyle w:val="OrderBody"/>
              <w:keepNext/>
              <w:keepLines/>
            </w:pPr>
            <w:r>
              <w:t>/s/ Mike La Rosa</w:t>
            </w:r>
            <w:bookmarkStart w:id="8" w:name="_GoBack"/>
            <w:bookmarkEnd w:id="8"/>
          </w:p>
        </w:tc>
      </w:tr>
      <w:bookmarkEnd w:id="7"/>
      <w:tr w:rsidR="002E2DC7" w:rsidTr="002E2DC7">
        <w:tc>
          <w:tcPr>
            <w:tcW w:w="720" w:type="dxa"/>
            <w:shd w:val="clear" w:color="auto" w:fill="auto"/>
          </w:tcPr>
          <w:p w:rsidR="002E2DC7" w:rsidRDefault="002E2DC7" w:rsidP="002E2DC7">
            <w:pPr>
              <w:pStyle w:val="OrderBody"/>
              <w:keepNext/>
              <w:keepLines/>
            </w:pPr>
          </w:p>
        </w:tc>
        <w:tc>
          <w:tcPr>
            <w:tcW w:w="4320" w:type="dxa"/>
            <w:tcBorders>
              <w:top w:val="single" w:sz="4" w:space="0" w:color="auto"/>
            </w:tcBorders>
            <w:shd w:val="clear" w:color="auto" w:fill="auto"/>
          </w:tcPr>
          <w:p w:rsidR="002E2DC7" w:rsidRDefault="002E2DC7" w:rsidP="002E2DC7">
            <w:pPr>
              <w:pStyle w:val="OrderBody"/>
              <w:keepNext/>
              <w:keepLines/>
            </w:pPr>
            <w:r>
              <w:t>Mike La Rosa</w:t>
            </w:r>
          </w:p>
          <w:p w:rsidR="002E2DC7" w:rsidRDefault="002E2DC7" w:rsidP="002E2DC7">
            <w:pPr>
              <w:pStyle w:val="OrderBody"/>
              <w:keepNext/>
              <w:keepLines/>
            </w:pPr>
            <w:r>
              <w:t>Chairman and Prehearing Officer</w:t>
            </w:r>
          </w:p>
        </w:tc>
      </w:tr>
    </w:tbl>
    <w:p w:rsidR="002E2DC7" w:rsidRDefault="002E2DC7" w:rsidP="002E2DC7">
      <w:pPr>
        <w:pStyle w:val="OrderSigInfo"/>
        <w:keepNext/>
        <w:keepLines/>
      </w:pPr>
      <w:r>
        <w:t>Florida Public Service Commission</w:t>
      </w:r>
    </w:p>
    <w:p w:rsidR="002E2DC7" w:rsidRDefault="002E2DC7" w:rsidP="002E2DC7">
      <w:pPr>
        <w:pStyle w:val="OrderSigInfo"/>
        <w:keepNext/>
        <w:keepLines/>
      </w:pPr>
      <w:r>
        <w:t>2540 Shumard Oak Boulevard</w:t>
      </w:r>
    </w:p>
    <w:p w:rsidR="002E2DC7" w:rsidRDefault="002E2DC7" w:rsidP="002E2DC7">
      <w:pPr>
        <w:pStyle w:val="OrderSigInfo"/>
        <w:keepNext/>
        <w:keepLines/>
      </w:pPr>
      <w:r>
        <w:t>Tallahassee, Florida 32399</w:t>
      </w:r>
    </w:p>
    <w:p w:rsidR="002E2DC7" w:rsidRDefault="002E2DC7" w:rsidP="002E2DC7">
      <w:pPr>
        <w:pStyle w:val="OrderSigInfo"/>
        <w:keepNext/>
        <w:keepLines/>
      </w:pPr>
      <w:r>
        <w:t>(850) 413</w:t>
      </w:r>
      <w:r>
        <w:noBreakHyphen/>
        <w:t>6770</w:t>
      </w:r>
    </w:p>
    <w:p w:rsidR="002E2DC7" w:rsidRDefault="002E2DC7" w:rsidP="002E2DC7">
      <w:pPr>
        <w:pStyle w:val="OrderSigInfo"/>
        <w:keepNext/>
        <w:keepLines/>
      </w:pPr>
      <w:r>
        <w:t>www.floridapsc.com</w:t>
      </w:r>
    </w:p>
    <w:p w:rsidR="002E2DC7" w:rsidRDefault="002E2DC7" w:rsidP="002E2DC7">
      <w:pPr>
        <w:pStyle w:val="OrderSigInfo"/>
        <w:keepNext/>
        <w:keepLines/>
      </w:pPr>
    </w:p>
    <w:p w:rsidR="002E2DC7" w:rsidRDefault="002E2DC7" w:rsidP="002E2DC7">
      <w:pPr>
        <w:pStyle w:val="OrderSigInfo"/>
        <w:keepNext/>
        <w:keepLines/>
      </w:pPr>
      <w:r>
        <w:t>Copies furnished:  A copy of this document is provided to the parties of record at the time of issuance and, if applicable, interested persons.</w:t>
      </w:r>
    </w:p>
    <w:p w:rsidR="002E2DC7" w:rsidRDefault="002E2DC7"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r>
        <w:t>SPS</w:t>
      </w:r>
    </w:p>
    <w:p w:rsidR="002E2DC7" w:rsidRDefault="002E2DC7" w:rsidP="002E2DC7">
      <w:pPr>
        <w:pStyle w:val="OrderBody"/>
      </w:pPr>
    </w:p>
    <w:p w:rsidR="002E2DC7" w:rsidRDefault="002E2DC7" w:rsidP="002E2DC7">
      <w:pPr>
        <w:pStyle w:val="OrderBody"/>
      </w:pPr>
    </w:p>
    <w:p w:rsidR="002E2DC7" w:rsidRDefault="002E2DC7" w:rsidP="002E2DC7">
      <w:pPr>
        <w:pStyle w:val="CenterUnderline"/>
      </w:pPr>
      <w:r>
        <w:t>NOTICE OF FURTHER PROCEEDINGS OR JUDICIAL REVIEW</w:t>
      </w:r>
    </w:p>
    <w:p w:rsidR="002E2DC7" w:rsidRDefault="002E2DC7" w:rsidP="002E2DC7">
      <w:pPr>
        <w:pStyle w:val="CenterUnderline"/>
      </w:pPr>
    </w:p>
    <w:p w:rsidR="002E2DC7" w:rsidRDefault="002E2DC7" w:rsidP="002E2D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2DC7" w:rsidRDefault="002E2DC7" w:rsidP="002E2DC7">
      <w:pPr>
        <w:pStyle w:val="OrderBody"/>
      </w:pPr>
    </w:p>
    <w:p w:rsidR="002E2DC7" w:rsidRDefault="002E2DC7" w:rsidP="002E2DC7">
      <w:pPr>
        <w:pStyle w:val="OrderBody"/>
      </w:pPr>
      <w:r>
        <w:tab/>
        <w:t>Mediation may be available on a case-by-case basis.  If mediation is conducted, it does not affect a substantially interested person's right to a hearing.</w:t>
      </w:r>
    </w:p>
    <w:p w:rsidR="002E2DC7" w:rsidRDefault="002E2DC7" w:rsidP="002E2DC7">
      <w:pPr>
        <w:pStyle w:val="OrderBody"/>
      </w:pPr>
    </w:p>
    <w:p w:rsidR="002E2DC7" w:rsidRDefault="002E2DC7" w:rsidP="002E2DC7">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E2DC7" w:rsidRDefault="002E2DC7" w:rsidP="002E2DC7">
      <w:pPr>
        <w:pStyle w:val="OrderBody"/>
      </w:pPr>
    </w:p>
    <w:sectPr w:rsidR="002E2DC7">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1E" w:rsidRDefault="00AA231E">
      <w:r>
        <w:separator/>
      </w:r>
    </w:p>
  </w:endnote>
  <w:endnote w:type="continuationSeparator" w:id="0">
    <w:p w:rsidR="00AA231E" w:rsidRDefault="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1E" w:rsidRDefault="00AA231E">
      <w:r>
        <w:separator/>
      </w:r>
    </w:p>
  </w:footnote>
  <w:footnote w:type="continuationSeparator" w:id="0">
    <w:p w:rsidR="00AA231E" w:rsidRDefault="00AA231E">
      <w:r>
        <w:continuationSeparator/>
      </w:r>
    </w:p>
  </w:footnote>
  <w:footnote w:id="1">
    <w:p w:rsidR="006C7D77" w:rsidRDefault="006C7D77">
      <w:pPr>
        <w:pStyle w:val="FootnoteText"/>
      </w:pPr>
      <w:r>
        <w:rPr>
          <w:rStyle w:val="FootnoteReference"/>
        </w:rPr>
        <w:footnoteRef/>
      </w:r>
      <w:r>
        <w:t xml:space="preserve"> Exhibits A-N are the subject of OPC’</w:t>
      </w:r>
      <w:r w:rsidR="004725F3">
        <w:t>s First Motion and Notice of Intent to Seek Official Recognition, dated July 24, 2025.</w:t>
      </w:r>
    </w:p>
  </w:footnote>
  <w:footnote w:id="2">
    <w:p w:rsidR="00E93FA2" w:rsidRPr="00B22BF7" w:rsidRDefault="00E93FA2" w:rsidP="00B22BF7">
      <w:pPr>
        <w:jc w:val="both"/>
        <w:rPr>
          <w:sz w:val="20"/>
          <w:szCs w:val="20"/>
        </w:rPr>
      </w:pPr>
      <w:r w:rsidRPr="00B22BF7">
        <w:rPr>
          <w:rStyle w:val="FootnoteReference"/>
          <w:sz w:val="20"/>
          <w:szCs w:val="20"/>
        </w:rPr>
        <w:footnoteRef/>
      </w:r>
      <w:r w:rsidR="004725F3">
        <w:rPr>
          <w:sz w:val="20"/>
          <w:szCs w:val="20"/>
        </w:rPr>
        <w:t xml:space="preserve"> </w:t>
      </w:r>
      <w:r w:rsidR="00B22BF7" w:rsidRPr="00B22BF7">
        <w:rPr>
          <w:sz w:val="20"/>
          <w:szCs w:val="20"/>
        </w:rPr>
        <w:t>“</w:t>
      </w:r>
      <w:r w:rsidR="00B22BF7" w:rsidRPr="00B22BF7">
        <w:rPr>
          <w:rFonts w:eastAsia="InvisibleOCR"/>
          <w:sz w:val="20"/>
          <w:szCs w:val="20"/>
        </w:rPr>
        <w:t>Although FPL questions whether a request for official notice is necessary and warranted for Exhibit O under Florida law and the Order Establishing Procedure in this case, FPL is not taking a position with respect to Exhibits O or Q.” FPL Response to Motion at 1.</w:t>
      </w:r>
    </w:p>
  </w:footnote>
  <w:footnote w:id="3">
    <w:p w:rsidR="00623EC0" w:rsidRDefault="00623EC0">
      <w:pPr>
        <w:pStyle w:val="FootnoteText"/>
      </w:pPr>
      <w:r>
        <w:rPr>
          <w:rStyle w:val="FootnoteReference"/>
        </w:rPr>
        <w:footnoteRef/>
      </w:r>
      <w:r>
        <w:t xml:space="preserve"> Section 20.255, F.S.</w:t>
      </w:r>
    </w:p>
  </w:footnote>
  <w:footnote w:id="4">
    <w:p w:rsidR="00623EC0" w:rsidRPr="00623EC0" w:rsidRDefault="00623EC0">
      <w:pPr>
        <w:pStyle w:val="FootnoteText"/>
      </w:pPr>
      <w:r>
        <w:rPr>
          <w:rStyle w:val="FootnoteReference"/>
        </w:rPr>
        <w:footnoteRef/>
      </w:r>
      <w:r>
        <w:t xml:space="preserve"> The entirety of the </w:t>
      </w:r>
      <w:r w:rsidR="00117E10">
        <w:t>r</w:t>
      </w:r>
      <w:r>
        <w:t xml:space="preserve">elease is hearsay and hearsay within hearsay, and would be inadmissible even if subject to official recognition. </w:t>
      </w:r>
      <w:r>
        <w:rPr>
          <w:i/>
        </w:rPr>
        <w:t>See Burgess v. State</w:t>
      </w:r>
      <w:r>
        <w:t>, 831 So. 2d 137, 141 (Fla. 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50154">
      <w:fldChar w:fldCharType="begin"/>
    </w:r>
    <w:r w:rsidR="00E50154">
      <w:instrText xml:space="preserve"> REF OrderNo0333 </w:instrText>
    </w:r>
    <w:r w:rsidR="00E50154">
      <w:fldChar w:fldCharType="separate"/>
    </w:r>
    <w:r w:rsidR="00196B14">
      <w:t>PSC-2025-0333-PCO-EI</w:t>
    </w:r>
    <w:r w:rsidR="00E50154">
      <w:fldChar w:fldCharType="end"/>
    </w:r>
  </w:p>
  <w:p w:rsidR="00FA6EFD" w:rsidRDefault="00AA231E">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015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A231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E10"/>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6B14"/>
    <w:rsid w:val="001A15E7"/>
    <w:rsid w:val="001A33C9"/>
    <w:rsid w:val="001A58F3"/>
    <w:rsid w:val="001B034E"/>
    <w:rsid w:val="001C2847"/>
    <w:rsid w:val="001C3BB5"/>
    <w:rsid w:val="001C3F8C"/>
    <w:rsid w:val="001C445C"/>
    <w:rsid w:val="001C6097"/>
    <w:rsid w:val="001C7126"/>
    <w:rsid w:val="001D008A"/>
    <w:rsid w:val="001E0152"/>
    <w:rsid w:val="001E0FF5"/>
    <w:rsid w:val="001E6796"/>
    <w:rsid w:val="001F0095"/>
    <w:rsid w:val="001F36B0"/>
    <w:rsid w:val="001F4CA3"/>
    <w:rsid w:val="001F59E0"/>
    <w:rsid w:val="002002ED"/>
    <w:rsid w:val="002044DD"/>
    <w:rsid w:val="002170E5"/>
    <w:rsid w:val="002179AC"/>
    <w:rsid w:val="00220D57"/>
    <w:rsid w:val="00223B99"/>
    <w:rsid w:val="0022721A"/>
    <w:rsid w:val="00230BB9"/>
    <w:rsid w:val="00240903"/>
    <w:rsid w:val="00241CEF"/>
    <w:rsid w:val="0025124E"/>
    <w:rsid w:val="00252B30"/>
    <w:rsid w:val="00255291"/>
    <w:rsid w:val="002613E4"/>
    <w:rsid w:val="00262C43"/>
    <w:rsid w:val="0026544B"/>
    <w:rsid w:val="00270F89"/>
    <w:rsid w:val="00276458"/>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2DC7"/>
    <w:rsid w:val="002E4EF4"/>
    <w:rsid w:val="002E78B6"/>
    <w:rsid w:val="002F04AD"/>
    <w:rsid w:val="002F0F1A"/>
    <w:rsid w:val="002F0F1C"/>
    <w:rsid w:val="002F169B"/>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EA1"/>
    <w:rsid w:val="00360F30"/>
    <w:rsid w:val="00361522"/>
    <w:rsid w:val="0037196E"/>
    <w:rsid w:val="003744F5"/>
    <w:rsid w:val="00380CD0"/>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6C1"/>
    <w:rsid w:val="003E711F"/>
    <w:rsid w:val="003F1D2B"/>
    <w:rsid w:val="003F49A6"/>
    <w:rsid w:val="003F518F"/>
    <w:rsid w:val="003F6BA7"/>
    <w:rsid w:val="003F7445"/>
    <w:rsid w:val="00411DF2"/>
    <w:rsid w:val="00411E8F"/>
    <w:rsid w:val="004247F5"/>
    <w:rsid w:val="0042527B"/>
    <w:rsid w:val="00425B13"/>
    <w:rsid w:val="0042705B"/>
    <w:rsid w:val="00427EAC"/>
    <w:rsid w:val="004431B4"/>
    <w:rsid w:val="0044366F"/>
    <w:rsid w:val="00445604"/>
    <w:rsid w:val="00451158"/>
    <w:rsid w:val="0045537F"/>
    <w:rsid w:val="00457DC7"/>
    <w:rsid w:val="004640B3"/>
    <w:rsid w:val="004725F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59F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3EC0"/>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C7D77"/>
    <w:rsid w:val="006D2B51"/>
    <w:rsid w:val="006D5575"/>
    <w:rsid w:val="006D7191"/>
    <w:rsid w:val="006E21C4"/>
    <w:rsid w:val="006E42BE"/>
    <w:rsid w:val="006E5D4D"/>
    <w:rsid w:val="006E6D16"/>
    <w:rsid w:val="006F73FF"/>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1775"/>
    <w:rsid w:val="009D4C29"/>
    <w:rsid w:val="009E58E9"/>
    <w:rsid w:val="009E6803"/>
    <w:rsid w:val="009F6AD2"/>
    <w:rsid w:val="009F7C1B"/>
    <w:rsid w:val="00A00B5B"/>
    <w:rsid w:val="00A00D8D"/>
    <w:rsid w:val="00A01BB6"/>
    <w:rsid w:val="00A108A7"/>
    <w:rsid w:val="00A228DA"/>
    <w:rsid w:val="00A22B28"/>
    <w:rsid w:val="00A3351E"/>
    <w:rsid w:val="00A410C5"/>
    <w:rsid w:val="00A4303C"/>
    <w:rsid w:val="00A46CAF"/>
    <w:rsid w:val="00A470FD"/>
    <w:rsid w:val="00A50B5E"/>
    <w:rsid w:val="00A607C3"/>
    <w:rsid w:val="00A62DAB"/>
    <w:rsid w:val="00A6757A"/>
    <w:rsid w:val="00A726A6"/>
    <w:rsid w:val="00A74842"/>
    <w:rsid w:val="00A81440"/>
    <w:rsid w:val="00A8269A"/>
    <w:rsid w:val="00A86A50"/>
    <w:rsid w:val="00A9178A"/>
    <w:rsid w:val="00A9515B"/>
    <w:rsid w:val="00A97535"/>
    <w:rsid w:val="00AA231E"/>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BF7"/>
    <w:rsid w:val="00B26480"/>
    <w:rsid w:val="00B3644F"/>
    <w:rsid w:val="00B4057A"/>
    <w:rsid w:val="00B4060E"/>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349"/>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3A2"/>
    <w:rsid w:val="00C44105"/>
    <w:rsid w:val="00C523EC"/>
    <w:rsid w:val="00C55A33"/>
    <w:rsid w:val="00C64D49"/>
    <w:rsid w:val="00C66692"/>
    <w:rsid w:val="00C673B5"/>
    <w:rsid w:val="00C7063D"/>
    <w:rsid w:val="00C72339"/>
    <w:rsid w:val="00C820BC"/>
    <w:rsid w:val="00C830BC"/>
    <w:rsid w:val="00C83D08"/>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03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2611"/>
    <w:rsid w:val="00D350D1"/>
    <w:rsid w:val="00D46FAA"/>
    <w:rsid w:val="00D47A40"/>
    <w:rsid w:val="00D51D33"/>
    <w:rsid w:val="00D57BB2"/>
    <w:rsid w:val="00D57E57"/>
    <w:rsid w:val="00D70752"/>
    <w:rsid w:val="00D80E2D"/>
    <w:rsid w:val="00D84D5E"/>
    <w:rsid w:val="00D8560E"/>
    <w:rsid w:val="00D8758F"/>
    <w:rsid w:val="00DA4EDD"/>
    <w:rsid w:val="00DA6B78"/>
    <w:rsid w:val="00DA7F8F"/>
    <w:rsid w:val="00DB122B"/>
    <w:rsid w:val="00DC1D94"/>
    <w:rsid w:val="00DC42CF"/>
    <w:rsid w:val="00DC5557"/>
    <w:rsid w:val="00DC738A"/>
    <w:rsid w:val="00DD382A"/>
    <w:rsid w:val="00DD592E"/>
    <w:rsid w:val="00DE057F"/>
    <w:rsid w:val="00DE2082"/>
    <w:rsid w:val="00DE2289"/>
    <w:rsid w:val="00DE566B"/>
    <w:rsid w:val="00DE6487"/>
    <w:rsid w:val="00DF09A7"/>
    <w:rsid w:val="00DF2B51"/>
    <w:rsid w:val="00E001D6"/>
    <w:rsid w:val="00E03A76"/>
    <w:rsid w:val="00E04410"/>
    <w:rsid w:val="00E07484"/>
    <w:rsid w:val="00E11351"/>
    <w:rsid w:val="00E33F44"/>
    <w:rsid w:val="00E37D48"/>
    <w:rsid w:val="00E4225C"/>
    <w:rsid w:val="00E44879"/>
    <w:rsid w:val="00E50154"/>
    <w:rsid w:val="00E72914"/>
    <w:rsid w:val="00E75AE0"/>
    <w:rsid w:val="00E76B61"/>
    <w:rsid w:val="00E77E78"/>
    <w:rsid w:val="00E83C1F"/>
    <w:rsid w:val="00E85684"/>
    <w:rsid w:val="00E8794B"/>
    <w:rsid w:val="00E93FA2"/>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4415"/>
    <w:rsid w:val="00F80685"/>
    <w:rsid w:val="00F94968"/>
    <w:rsid w:val="00FA092B"/>
    <w:rsid w:val="00FA2CDC"/>
    <w:rsid w:val="00FA4F6C"/>
    <w:rsid w:val="00FA6EFD"/>
    <w:rsid w:val="00FB2A8E"/>
    <w:rsid w:val="00FB3791"/>
    <w:rsid w:val="00FB6780"/>
    <w:rsid w:val="00FB74EA"/>
    <w:rsid w:val="00FD0ADB"/>
    <w:rsid w:val="00FD2C9E"/>
    <w:rsid w:val="00FD3246"/>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231E"/>
    <w:pPr>
      <w:ind w:left="720"/>
      <w:contextualSpacing/>
    </w:pPr>
    <w:rPr>
      <w:rFonts w:ascii="Calibri" w:eastAsia="Calibri" w:hAnsi="Calibri"/>
    </w:rPr>
  </w:style>
  <w:style w:type="paragraph" w:styleId="BalloonText">
    <w:name w:val="Balloon Text"/>
    <w:basedOn w:val="Normal"/>
    <w:link w:val="BalloonTextChar"/>
    <w:semiHidden/>
    <w:unhideWhenUsed/>
    <w:rsid w:val="00DC5557"/>
    <w:rPr>
      <w:rFonts w:ascii="Segoe UI" w:hAnsi="Segoe UI" w:cs="Segoe UI"/>
      <w:sz w:val="18"/>
      <w:szCs w:val="18"/>
    </w:rPr>
  </w:style>
  <w:style w:type="character" w:customStyle="1" w:styleId="BalloonTextChar">
    <w:name w:val="Balloon Text Char"/>
    <w:basedOn w:val="DefaultParagraphFont"/>
    <w:link w:val="BalloonText"/>
    <w:semiHidden/>
    <w:rsid w:val="00DC5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87782860">
      <w:bodyDiv w:val="1"/>
      <w:marLeft w:val="0"/>
      <w:marRight w:val="0"/>
      <w:marTop w:val="0"/>
      <w:marBottom w:val="0"/>
      <w:divBdr>
        <w:top w:val="none" w:sz="0" w:space="0" w:color="auto"/>
        <w:left w:val="none" w:sz="0" w:space="0" w:color="auto"/>
        <w:bottom w:val="none" w:sz="0" w:space="0" w:color="auto"/>
        <w:right w:val="none" w:sz="0" w:space="0" w:color="auto"/>
      </w:divBdr>
      <w:divsChild>
        <w:div w:id="191698488">
          <w:marLeft w:val="0"/>
          <w:marRight w:val="0"/>
          <w:marTop w:val="0"/>
          <w:marBottom w:val="0"/>
          <w:divBdr>
            <w:top w:val="none" w:sz="0" w:space="0" w:color="3D3D3D"/>
            <w:left w:val="none" w:sz="0" w:space="0" w:color="3D3D3D"/>
            <w:bottom w:val="none" w:sz="0" w:space="0" w:color="3D3D3D"/>
            <w:right w:val="none" w:sz="0" w:space="0" w:color="3D3D3D"/>
          </w:divBdr>
          <w:divsChild>
            <w:div w:id="10984778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2D83-2074-4789-A469-B7A11D95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2025-09-04T17:50:00Z</dcterms:created>
  <dcterms:modified xsi:type="dcterms:W3CDTF">2025-09-04T17:53:00Z</dcterms:modified>
</cp:coreProperties>
</file>