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rsidRPr="007B549F">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pPr>
              <w:pStyle w:val="MastHeadState"/>
            </w:pPr>
            <w:r>
              <w:t>State of Florida</w:t>
            </w:r>
          </w:p>
          <w:p w:rsidR="007C0528" w:rsidRDefault="00C72C9D">
            <w:pPr>
              <w:jc w:val="center"/>
            </w:pPr>
            <w:r>
              <w:rPr>
                <w:noProof/>
              </w:rPr>
              <w:drawing>
                <wp:inline distT="0" distB="0" distL="0" distR="0" wp14:anchorId="5960AB60" wp14:editId="6C9B66CD">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Pr="003B60C2" w:rsidRDefault="007C0528">
            <w:pPr>
              <w:pStyle w:val="MastHeadMemorandum"/>
              <w:rPr>
                <w:lang w:val="es-MX"/>
              </w:rPr>
            </w:pPr>
            <w:r w:rsidRPr="003B60C2">
              <w:rPr>
                <w:lang w:val="es-MX"/>
              </w:rPr>
              <w:t>-M-E-M-O-R-A-N-D-U-M-</w:t>
            </w:r>
          </w:p>
          <w:p w:rsidR="007C0528" w:rsidRPr="003B60C2" w:rsidRDefault="007C0528">
            <w:pPr>
              <w:pStyle w:val="MemoHeading"/>
              <w:rPr>
                <w:lang w:val="es-MX"/>
              </w:rPr>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E256E3">
            <w:pPr>
              <w:pStyle w:val="MemoHeading"/>
            </w:pPr>
            <w:bookmarkStart w:id="0" w:name="FilingDate"/>
            <w:r>
              <w:t>July 9, 2015</w:t>
            </w:r>
            <w:bookmarkEnd w:id="0"/>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93658B">
              <w:t>Stauffer</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E256E3" w:rsidRDefault="00E256E3">
            <w:pPr>
              <w:pStyle w:val="MemoHeading"/>
            </w:pPr>
            <w:bookmarkStart w:id="1" w:name="From"/>
            <w:r>
              <w:t>Division of Economics (</w:t>
            </w:r>
            <w:r w:rsidR="00930E64">
              <w:t xml:space="preserve">Rome, </w:t>
            </w:r>
            <w:r>
              <w:t>Draper, Ollila)</w:t>
            </w:r>
          </w:p>
          <w:p w:rsidR="007C0528" w:rsidRDefault="00E256E3">
            <w:pPr>
              <w:pStyle w:val="MemoHeading"/>
            </w:pPr>
            <w:r>
              <w:t>Office of the General Counsel (Mapp)</w:t>
            </w:r>
            <w:bookmarkEnd w:id="1"/>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E256E3">
            <w:pPr>
              <w:pStyle w:val="MemoHeadingRe"/>
            </w:pPr>
            <w:bookmarkStart w:id="2" w:name="Re"/>
            <w:r>
              <w:t xml:space="preserve">Docket No. 150117-GU – Joint petition for approval of modified cost allocation methodology and revised purchased gas adjustment calculation, by Florida Public Utilities Company, Florida Public Utilities Company - Indiantown Division, Florida Public Utilities Company - Fort Meade, and Florida Division of </w:t>
            </w:r>
            <w:r w:rsidR="00520B0B">
              <w:t>Chesapeake</w:t>
            </w:r>
            <w:r>
              <w:t xml:space="preserve"> Utilities Corporation.</w:t>
            </w:r>
            <w:bookmarkEnd w:id="2"/>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E256E3">
            <w:pPr>
              <w:pStyle w:val="MemoHeading"/>
            </w:pPr>
            <w:bookmarkStart w:id="3" w:name="AgendaDate"/>
            <w:r>
              <w:t>07/21/15</w:t>
            </w:r>
            <w:bookmarkEnd w:id="3"/>
            <w:r w:rsidR="007C0528">
              <w:t xml:space="preserve"> – </w:t>
            </w:r>
            <w:bookmarkStart w:id="4" w:name="PermittedStatus"/>
            <w:r>
              <w:t>Regular Agenda – Proposed Agency Action – Interested Persons May Participate</w:t>
            </w:r>
            <w:bookmarkEnd w:id="4"/>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E256E3">
            <w:pPr>
              <w:pStyle w:val="MemoHeading"/>
            </w:pPr>
            <w:bookmarkStart w:id="5" w:name="CommissionersAssigned"/>
            <w:r>
              <w:t>All Commissioners</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E256E3">
            <w:pPr>
              <w:pStyle w:val="MemoHeading"/>
            </w:pPr>
            <w:bookmarkStart w:id="6" w:name="PrehearingOfficer"/>
            <w:r>
              <w:t>Administrative</w:t>
            </w:r>
            <w:bookmarkEnd w:id="6"/>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7" w:name="CriticalDatesLabel"/>
            <w:r>
              <w:t>CRITICAL DATES:</w:t>
            </w:r>
            <w:bookmarkEnd w:id="7"/>
          </w:p>
        </w:tc>
        <w:tc>
          <w:tcPr>
            <w:tcW w:w="5785" w:type="dxa"/>
            <w:tcBorders>
              <w:top w:val="nil"/>
              <w:left w:val="nil"/>
              <w:bottom w:val="nil"/>
              <w:right w:val="nil"/>
            </w:tcBorders>
            <w:shd w:val="clear" w:color="auto" w:fill="auto"/>
          </w:tcPr>
          <w:p w:rsidR="007C0528" w:rsidRDefault="00E256E3">
            <w:pPr>
              <w:pStyle w:val="MemoHeading"/>
            </w:pPr>
            <w:bookmarkStart w:id="8" w:name="CriticalDates"/>
            <w:r>
              <w:t>None</w:t>
            </w:r>
            <w:bookmarkEnd w:id="8"/>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E256E3">
            <w:pPr>
              <w:pStyle w:val="MemoHeading"/>
            </w:pPr>
            <w:bookmarkStart w:id="9" w:name="SpecialInstructions"/>
            <w:r>
              <w:t>None</w:t>
            </w:r>
            <w:bookmarkEnd w:id="9"/>
          </w:p>
        </w:tc>
      </w:tr>
    </w:tbl>
    <w:p w:rsidR="007C0528" w:rsidRDefault="007C0528">
      <w:pPr>
        <w:pStyle w:val="BodyText"/>
      </w:pPr>
    </w:p>
    <w:p w:rsidR="007C0528" w:rsidRDefault="007C0528">
      <w:pPr>
        <w:pStyle w:val="RecommendationMajorSectionHeading"/>
      </w:pPr>
      <w:bookmarkStart w:id="10" w:name="RecToC"/>
      <w:bookmarkEnd w:id="10"/>
      <w:r>
        <w:t xml:space="preserve"> </w:t>
      </w:r>
      <w:bookmarkStart w:id="11" w:name="CaseBackground"/>
      <w:r>
        <w:t>Case Background</w:t>
      </w:r>
      <w:r>
        <w:fldChar w:fldCharType="begin"/>
      </w:r>
      <w:r>
        <w:instrText xml:space="preserve"> TC  "</w:instrText>
      </w:r>
      <w:r>
        <w:tab/>
      </w:r>
      <w:bookmarkStart w:id="12" w:name="_Toc94516455"/>
      <w:r>
        <w:instrText>Case Background</w:instrText>
      </w:r>
      <w:bookmarkEnd w:id="12"/>
      <w:r>
        <w:instrText xml:space="preserve">" \l 1 </w:instrText>
      </w:r>
      <w:r>
        <w:fldChar w:fldCharType="end"/>
      </w:r>
    </w:p>
    <w:p w:rsidR="00EE2D65" w:rsidRDefault="00A06517">
      <w:pPr>
        <w:pStyle w:val="BodyText"/>
      </w:pPr>
      <w:r>
        <w:t xml:space="preserve">On April 7, 2015, Florida Public Utilities Company, Florida Public Utilities Company – Indiantown Division, and Florida Public Utilities Company – Ft. Meade (jointly, FPUC), as well as the Florida Division of </w:t>
      </w:r>
      <w:r w:rsidR="00520B0B">
        <w:t>Chesapeake</w:t>
      </w:r>
      <w:r>
        <w:t xml:space="preserve"> Utilities Corporation</w:t>
      </w:r>
      <w:r w:rsidR="00520B0B">
        <w:t xml:space="preserve"> (Chesapeake</w:t>
      </w:r>
      <w:r>
        <w:t>) (</w:t>
      </w:r>
      <w:r w:rsidR="00655398">
        <w:t xml:space="preserve">herein </w:t>
      </w:r>
      <w:r>
        <w:t xml:space="preserve">jointly, Companies), filed a petition for approval of a modified cost allocation methodology </w:t>
      </w:r>
      <w:r w:rsidR="00A51A9D">
        <w:t xml:space="preserve">and revised Purchased Gas Adjustment (PGA) calculation. </w:t>
      </w:r>
      <w:r w:rsidR="00EE2D65">
        <w:t xml:space="preserve">FPUC is a </w:t>
      </w:r>
      <w:r w:rsidR="00DE186E">
        <w:t>local</w:t>
      </w:r>
      <w:r w:rsidR="00EE2D65">
        <w:t xml:space="preserve"> distribution company </w:t>
      </w:r>
      <w:r w:rsidR="00DE186E">
        <w:t xml:space="preserve">(LDC) </w:t>
      </w:r>
      <w:r w:rsidR="00EE2D65">
        <w:t xml:space="preserve">subject to the regulatory jurisdiction of the Commission pursuant to Chapter 366, Florida Statutes (F.S.). It is a wholly-owned subsidiary of </w:t>
      </w:r>
      <w:r w:rsidR="00520B0B">
        <w:t>Chesapeake</w:t>
      </w:r>
      <w:r w:rsidR="00EE2D65">
        <w:t xml:space="preserve"> Utilities Corporation which is headquartered in Dover, Delaware. </w:t>
      </w:r>
      <w:r w:rsidR="00520B0B">
        <w:t>Chesapeake</w:t>
      </w:r>
      <w:r w:rsidR="00EE2D65">
        <w:t xml:space="preserve"> is also a</w:t>
      </w:r>
      <w:r w:rsidR="00B0011C">
        <w:t xml:space="preserve">n LDC </w:t>
      </w:r>
      <w:r w:rsidR="00EE2D65">
        <w:t xml:space="preserve">subject to the Commission’s </w:t>
      </w:r>
      <w:r w:rsidR="00EE2D65">
        <w:lastRenderedPageBreak/>
        <w:t xml:space="preserve">jurisdiction under Chapter 366, F.S. It is an operating division of </w:t>
      </w:r>
      <w:r w:rsidR="00520B0B">
        <w:t>Chesapeake Utilities Corporation</w:t>
      </w:r>
      <w:r w:rsidR="00EE2D65">
        <w:t>.</w:t>
      </w:r>
    </w:p>
    <w:p w:rsidR="00EE2D65" w:rsidRDefault="000B106F">
      <w:pPr>
        <w:pStyle w:val="BodyText"/>
      </w:pPr>
      <w:r>
        <w:t>On April 7, 2015, the Companies met in a noticed meeting with staff and the Office of Public Counsel to provide an overview of the evolution of the natural gas market and the current transportation service environment. The Companies also discussed the need to move toward a more equitable allocation of transportation costs across a broader base of customers.</w:t>
      </w:r>
      <w:r w:rsidR="00080663">
        <w:t xml:space="preserve"> </w:t>
      </w:r>
      <w:r w:rsidR="007413C3">
        <w:t>The Office of Public Counsel</w:t>
      </w:r>
      <w:r w:rsidR="00F47989">
        <w:t xml:space="preserve"> filed a Notice of Intervention in this docket on May 4, 2015.</w:t>
      </w:r>
      <w:r w:rsidR="003B60C2">
        <w:rPr>
          <w:rStyle w:val="FootnoteReference"/>
        </w:rPr>
        <w:footnoteReference w:id="1"/>
      </w:r>
    </w:p>
    <w:p w:rsidR="00AA105B" w:rsidRDefault="00F47989">
      <w:pPr>
        <w:pStyle w:val="BodyText"/>
      </w:pPr>
      <w:r>
        <w:t>During its evaluation of the petition, staff issued a data request to the Companies for which a response was received on May 8, 2015</w:t>
      </w:r>
      <w:r w:rsidR="00492291">
        <w:t>.</w:t>
      </w:r>
      <w:r>
        <w:t xml:space="preserve"> </w:t>
      </w:r>
      <w:r w:rsidR="003177E5">
        <w:t xml:space="preserve">The Commission has jurisdiction over this matter pursuant to Sections </w:t>
      </w:r>
      <w:r w:rsidR="00E748A9">
        <w:t>366.04, 366.041, 366.05, and 366.06, F.S.</w:t>
      </w:r>
    </w:p>
    <w:p w:rsidR="007C0528" w:rsidRDefault="007C0528" w:rsidP="0068481F"/>
    <w:bookmarkEnd w:id="11"/>
    <w:p w:rsidR="00EA2273" w:rsidRDefault="00EA2273">
      <w:pPr>
        <w:pStyle w:val="RecommendationMajorSectionHeading"/>
        <w:sectPr w:rsidR="00EA2273">
          <w:headerReference w:type="default" r:id="rId10"/>
          <w:footerReference w:type="default" r:id="rId11"/>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5" w:name="DiscussionOfIssues"/>
      <w:r>
        <w:lastRenderedPageBreak/>
        <w:t>Discussion of Issues</w:t>
      </w:r>
    </w:p>
    <w:bookmarkEnd w:id="15"/>
    <w:p w:rsidR="00E256E3" w:rsidRDefault="00E256E3">
      <w:pPr>
        <w:pStyle w:val="IssueHeading"/>
        <w:rPr>
          <w:vanish/>
          <w:specVanish/>
        </w:rPr>
      </w:pPr>
      <w:r w:rsidRPr="00E256E3">
        <w:t xml:space="preserve">Issue </w:t>
      </w:r>
      <w:fldSimple w:instr=" SEQ Issue \* MERGEFORMAT ">
        <w:r w:rsidR="007B549F">
          <w:rPr>
            <w:noProof/>
          </w:rPr>
          <w:t>1</w:t>
        </w:r>
      </w:fldSimple>
      <w:r w:rsidRPr="00E256E3">
        <w:t>:</w:t>
      </w:r>
      <w:r>
        <w:fldChar w:fldCharType="begin"/>
      </w:r>
      <w:r>
        <w:instrText xml:space="preserve"> TC "</w:instrText>
      </w:r>
      <w:r>
        <w:fldChar w:fldCharType="begin"/>
      </w:r>
      <w:r>
        <w:instrText xml:space="preserve"> SEQ issue \c </w:instrText>
      </w:r>
      <w:r>
        <w:fldChar w:fldCharType="separate"/>
      </w:r>
      <w:r w:rsidR="007B549F">
        <w:rPr>
          <w:noProof/>
        </w:rPr>
        <w:instrText>1</w:instrText>
      </w:r>
      <w:r>
        <w:fldChar w:fldCharType="end"/>
      </w:r>
      <w:r>
        <w:tab/>
        <w:instrText xml:space="preserve">(Draper, Ollila, Rome)" \l 1 </w:instrText>
      </w:r>
      <w:r>
        <w:fldChar w:fldCharType="end"/>
      </w:r>
      <w:r>
        <w:t> </w:t>
      </w:r>
    </w:p>
    <w:p w:rsidR="00E256E3" w:rsidRDefault="00E256E3">
      <w:pPr>
        <w:pStyle w:val="BodyText"/>
      </w:pPr>
      <w:r>
        <w:t> Should the Commission approve the Companies' joint petition for approval of a modified cost allocation methodology and revised PGA calculation?</w:t>
      </w:r>
    </w:p>
    <w:p w:rsidR="00E256E3" w:rsidRDefault="00E256E3">
      <w:pPr>
        <w:pStyle w:val="IssueSubsectionHeading"/>
        <w:rPr>
          <w:vanish/>
          <w:specVanish/>
        </w:rPr>
      </w:pPr>
      <w:r w:rsidRPr="00E256E3">
        <w:t>Recommendation:</w:t>
      </w:r>
      <w:r>
        <w:t> </w:t>
      </w:r>
    </w:p>
    <w:p w:rsidR="00E256E3" w:rsidRDefault="00E256E3">
      <w:pPr>
        <w:pStyle w:val="BodyText"/>
      </w:pPr>
      <w:r>
        <w:t> </w:t>
      </w:r>
      <w:r w:rsidR="00C72C9D">
        <w:t>Yes</w:t>
      </w:r>
      <w:r w:rsidR="00081DD8">
        <w:t xml:space="preserve">. </w:t>
      </w:r>
      <w:r w:rsidR="00211801">
        <w:t xml:space="preserve">The modified cost allocation methodology </w:t>
      </w:r>
      <w:r w:rsidR="00AD4356">
        <w:t xml:space="preserve">and resulting revisions to the PGA factor calculation </w:t>
      </w:r>
      <w:r w:rsidR="00211801">
        <w:t xml:space="preserve">would enable the Companies to have the ability to better balance the costs of individual projects across the entire </w:t>
      </w:r>
      <w:r w:rsidR="00520B0B">
        <w:t>Chesapeake</w:t>
      </w:r>
      <w:r w:rsidR="00211801">
        <w:t xml:space="preserve"> Florida system, rather than on a system-by-system basis. </w:t>
      </w:r>
      <w:r>
        <w:t>(</w:t>
      </w:r>
      <w:r w:rsidR="00930E64">
        <w:t>Rome</w:t>
      </w:r>
      <w:r w:rsidR="003B65E1">
        <w:t>, Draper, Ollila</w:t>
      </w:r>
      <w:r>
        <w:t>)</w:t>
      </w:r>
    </w:p>
    <w:p w:rsidR="00E256E3" w:rsidRDefault="00E256E3">
      <w:pPr>
        <w:pStyle w:val="IssueSubsectionHeading"/>
        <w:rPr>
          <w:vanish/>
          <w:specVanish/>
        </w:rPr>
      </w:pPr>
      <w:r w:rsidRPr="00E256E3">
        <w:t>Staff Analysis:</w:t>
      </w:r>
      <w:r>
        <w:t> </w:t>
      </w:r>
    </w:p>
    <w:p w:rsidR="00E256E3" w:rsidRDefault="00E256E3">
      <w:pPr>
        <w:pStyle w:val="BodyText"/>
      </w:pPr>
      <w:r>
        <w:t> </w:t>
      </w:r>
      <w:r w:rsidR="009543B0">
        <w:t xml:space="preserve">To evaluate the Companies’ proposal, it is necessary to offer some background information regarding: (a) the operational differences between FPUC and </w:t>
      </w:r>
      <w:r w:rsidR="00520B0B">
        <w:t>Chesapeake</w:t>
      </w:r>
      <w:r w:rsidR="009543B0">
        <w:t xml:space="preserve">, (b) the different mechanisms for allocating unreleased capacity costs between interstate and intrastate pipelines, and (c) </w:t>
      </w:r>
      <w:r w:rsidR="001371D8">
        <w:t>the different types of customers to whom intrastate pipeline costs are currently allocated versus those to whom such costs are not allocated.</w:t>
      </w:r>
    </w:p>
    <w:p w:rsidR="00E77195" w:rsidRDefault="00E77195">
      <w:pPr>
        <w:pStyle w:val="IssueHeading"/>
        <w:rPr>
          <w:b w:val="0"/>
        </w:rPr>
      </w:pPr>
      <w:r>
        <w:t>Background</w:t>
      </w:r>
    </w:p>
    <w:p w:rsidR="006D7942" w:rsidRPr="00E77195" w:rsidRDefault="00034E95" w:rsidP="00E77195">
      <w:pPr>
        <w:pStyle w:val="IssueHeading"/>
        <w:ind w:firstLine="720"/>
        <w:rPr>
          <w:b w:val="0"/>
          <w:i w:val="0"/>
        </w:rPr>
      </w:pPr>
      <w:r w:rsidRPr="00E77195">
        <w:t xml:space="preserve">Operational Differences between FPUC and </w:t>
      </w:r>
      <w:r w:rsidR="00520B0B">
        <w:t>Chesapeake</w:t>
      </w:r>
    </w:p>
    <w:p w:rsidR="00592BB7" w:rsidRPr="00B94B57" w:rsidRDefault="006D7942">
      <w:pPr>
        <w:pStyle w:val="IssueHeading"/>
        <w:rPr>
          <w:rFonts w:ascii="Times New Roman" w:hAnsi="Times New Roman" w:cs="Times New Roman"/>
          <w:b w:val="0"/>
          <w:i w:val="0"/>
        </w:rPr>
      </w:pPr>
      <w:r w:rsidRPr="00B94B57">
        <w:rPr>
          <w:rFonts w:ascii="Times New Roman" w:hAnsi="Times New Roman" w:cs="Times New Roman"/>
          <w:b w:val="0"/>
          <w:i w:val="0"/>
        </w:rPr>
        <w:t>FPUC, with the exception of the Indiantown Division,</w:t>
      </w:r>
      <w:r w:rsidRPr="00B94B57">
        <w:rPr>
          <w:rStyle w:val="FootnoteReference"/>
          <w:rFonts w:ascii="Times New Roman" w:hAnsi="Times New Roman" w:cs="Times New Roman"/>
          <w:b w:val="0"/>
          <w:i w:val="0"/>
        </w:rPr>
        <w:footnoteReference w:id="2"/>
      </w:r>
      <w:r w:rsidRPr="00B94B57">
        <w:rPr>
          <w:rFonts w:ascii="Times New Roman" w:hAnsi="Times New Roman" w:cs="Times New Roman"/>
          <w:b w:val="0"/>
          <w:i w:val="0"/>
        </w:rPr>
        <w:t xml:space="preserve"> functions as a traditional LDC as it maintains its role </w:t>
      </w:r>
      <w:r w:rsidR="00F9667C" w:rsidRPr="00B94B57">
        <w:rPr>
          <w:rFonts w:ascii="Times New Roman" w:hAnsi="Times New Roman" w:cs="Times New Roman"/>
          <w:b w:val="0"/>
          <w:i w:val="0"/>
        </w:rPr>
        <w:t xml:space="preserve">as gas provider for many customers on its system. While FPUC has implemented </w:t>
      </w:r>
      <w:r w:rsidR="00E567EF" w:rsidRPr="00B94B57">
        <w:rPr>
          <w:rFonts w:ascii="Times New Roman" w:hAnsi="Times New Roman" w:cs="Times New Roman"/>
          <w:b w:val="0"/>
          <w:i w:val="0"/>
        </w:rPr>
        <w:t xml:space="preserve">Commission-approved </w:t>
      </w:r>
      <w:r w:rsidR="00F9667C" w:rsidRPr="00B94B57">
        <w:rPr>
          <w:rFonts w:ascii="Times New Roman" w:hAnsi="Times New Roman" w:cs="Times New Roman"/>
          <w:b w:val="0"/>
          <w:i w:val="0"/>
        </w:rPr>
        <w:t>transportation service tariffs, it has not exited the gas merchant function entirely.</w:t>
      </w:r>
      <w:r w:rsidR="00E567EF" w:rsidRPr="00B94B57">
        <w:rPr>
          <w:rFonts w:ascii="Times New Roman" w:hAnsi="Times New Roman" w:cs="Times New Roman"/>
          <w:b w:val="0"/>
          <w:i w:val="0"/>
        </w:rPr>
        <w:t xml:space="preserve"> </w:t>
      </w:r>
      <w:r w:rsidR="00BF37B8" w:rsidRPr="00B94B57">
        <w:rPr>
          <w:rFonts w:ascii="Times New Roman" w:hAnsi="Times New Roman" w:cs="Times New Roman"/>
          <w:b w:val="0"/>
          <w:i w:val="0"/>
        </w:rPr>
        <w:t xml:space="preserve">When a company exits the gas merchant function, it ceases acting as an agent purchasing gas on behalf of its customers. </w:t>
      </w:r>
      <w:r w:rsidR="00271FC0" w:rsidRPr="00B94B57">
        <w:rPr>
          <w:rFonts w:ascii="Times New Roman" w:hAnsi="Times New Roman" w:cs="Times New Roman"/>
          <w:b w:val="0"/>
          <w:i w:val="0"/>
        </w:rPr>
        <w:t xml:space="preserve">Consequently, FPUC participates in the </w:t>
      </w:r>
      <w:r w:rsidR="00341B67" w:rsidRPr="00B94B57">
        <w:rPr>
          <w:rFonts w:ascii="Times New Roman" w:hAnsi="Times New Roman" w:cs="Times New Roman"/>
          <w:b w:val="0"/>
          <w:i w:val="0"/>
        </w:rPr>
        <w:t xml:space="preserve">annual </w:t>
      </w:r>
      <w:r w:rsidR="00271FC0" w:rsidRPr="00B94B57">
        <w:rPr>
          <w:rFonts w:ascii="Times New Roman" w:hAnsi="Times New Roman" w:cs="Times New Roman"/>
          <w:b w:val="0"/>
          <w:i w:val="0"/>
        </w:rPr>
        <w:t>PGA cost recovery proceedings, pursuant to which it recovers the costs associated with the gas merchant function</w:t>
      </w:r>
      <w:r w:rsidR="00925C81" w:rsidRPr="00B94B57">
        <w:rPr>
          <w:rFonts w:ascii="Times New Roman" w:hAnsi="Times New Roman" w:cs="Times New Roman"/>
          <w:b w:val="0"/>
          <w:i w:val="0"/>
        </w:rPr>
        <w:t>.</w:t>
      </w:r>
      <w:r w:rsidR="00925C81" w:rsidRPr="00B94B57">
        <w:rPr>
          <w:rStyle w:val="FootnoteReference"/>
          <w:rFonts w:ascii="Times New Roman" w:hAnsi="Times New Roman" w:cs="Times New Roman"/>
          <w:b w:val="0"/>
          <w:i w:val="0"/>
        </w:rPr>
        <w:footnoteReference w:id="3"/>
      </w:r>
      <w:r w:rsidR="00271FC0" w:rsidRPr="00B94B57">
        <w:rPr>
          <w:rFonts w:ascii="Times New Roman" w:hAnsi="Times New Roman" w:cs="Times New Roman"/>
          <w:b w:val="0"/>
          <w:i w:val="0"/>
        </w:rPr>
        <w:t xml:space="preserve"> </w:t>
      </w:r>
      <w:r w:rsidR="00DA7337" w:rsidRPr="00B94B57">
        <w:rPr>
          <w:rFonts w:ascii="Times New Roman" w:hAnsi="Times New Roman" w:cs="Times New Roman"/>
          <w:b w:val="0"/>
          <w:i w:val="0"/>
        </w:rPr>
        <w:t>Large commercial or industrial customers who purchase their gas directly through a shipper (third party marketer) do not pay a PGA charge.</w:t>
      </w:r>
    </w:p>
    <w:p w:rsidR="00DC50E7" w:rsidRPr="00B94B57" w:rsidRDefault="00592BB7">
      <w:pPr>
        <w:pStyle w:val="IssueHeading"/>
        <w:rPr>
          <w:rFonts w:ascii="Times New Roman" w:hAnsi="Times New Roman" w:cs="Times New Roman"/>
          <w:b w:val="0"/>
          <w:i w:val="0"/>
        </w:rPr>
      </w:pPr>
      <w:r w:rsidRPr="00B94B57">
        <w:rPr>
          <w:rFonts w:ascii="Times New Roman" w:hAnsi="Times New Roman" w:cs="Times New Roman"/>
          <w:b w:val="0"/>
          <w:i w:val="0"/>
        </w:rPr>
        <w:t xml:space="preserve">In contrast, </w:t>
      </w:r>
      <w:r w:rsidR="00925C81" w:rsidRPr="00B94B57">
        <w:rPr>
          <w:rFonts w:ascii="Times New Roman" w:hAnsi="Times New Roman" w:cs="Times New Roman"/>
          <w:b w:val="0"/>
          <w:i w:val="0"/>
        </w:rPr>
        <w:t xml:space="preserve">FPUC’s Indiantown Division and </w:t>
      </w:r>
      <w:r w:rsidR="00520B0B" w:rsidRPr="00B94B57">
        <w:rPr>
          <w:rFonts w:ascii="Times New Roman" w:hAnsi="Times New Roman" w:cs="Times New Roman"/>
          <w:b w:val="0"/>
          <w:i w:val="0"/>
        </w:rPr>
        <w:t>Chesapeake</w:t>
      </w:r>
      <w:r w:rsidRPr="00B94B57">
        <w:rPr>
          <w:rFonts w:ascii="Times New Roman" w:hAnsi="Times New Roman" w:cs="Times New Roman"/>
          <w:b w:val="0"/>
          <w:i w:val="0"/>
        </w:rPr>
        <w:t xml:space="preserve"> </w:t>
      </w:r>
      <w:r w:rsidR="008460B7" w:rsidRPr="00B94B57">
        <w:rPr>
          <w:rFonts w:ascii="Times New Roman" w:hAnsi="Times New Roman" w:cs="Times New Roman"/>
          <w:b w:val="0"/>
          <w:i w:val="0"/>
        </w:rPr>
        <w:t>provide transportation service only.</w:t>
      </w:r>
      <w:r w:rsidR="00925C81" w:rsidRPr="00B94B57">
        <w:rPr>
          <w:rStyle w:val="FootnoteReference"/>
          <w:rFonts w:ascii="Times New Roman" w:hAnsi="Times New Roman" w:cs="Times New Roman"/>
          <w:b w:val="0"/>
          <w:i w:val="0"/>
        </w:rPr>
        <w:footnoteReference w:id="4"/>
      </w:r>
      <w:r w:rsidRPr="00B94B57">
        <w:rPr>
          <w:rFonts w:ascii="Times New Roman" w:hAnsi="Times New Roman" w:cs="Times New Roman"/>
          <w:b w:val="0"/>
          <w:i w:val="0"/>
        </w:rPr>
        <w:t xml:space="preserve"> </w:t>
      </w:r>
      <w:r w:rsidR="008460B7" w:rsidRPr="00B94B57">
        <w:rPr>
          <w:rFonts w:ascii="Times New Roman" w:hAnsi="Times New Roman" w:cs="Times New Roman"/>
          <w:b w:val="0"/>
          <w:i w:val="0"/>
        </w:rPr>
        <w:t xml:space="preserve">In a transportation service environment, the gas utility </w:t>
      </w:r>
      <w:r w:rsidR="00394A8D" w:rsidRPr="00B94B57">
        <w:rPr>
          <w:rFonts w:ascii="Times New Roman" w:hAnsi="Times New Roman" w:cs="Times New Roman"/>
          <w:b w:val="0"/>
          <w:i w:val="0"/>
        </w:rPr>
        <w:t xml:space="preserve">only transports gas from the gate station (delivery point at which gas is transferred from the interstate pipeline </w:t>
      </w:r>
      <w:r w:rsidR="00DC50E7" w:rsidRPr="00B94B57">
        <w:rPr>
          <w:rFonts w:ascii="Times New Roman" w:hAnsi="Times New Roman" w:cs="Times New Roman"/>
          <w:b w:val="0"/>
          <w:i w:val="0"/>
        </w:rPr>
        <w:t xml:space="preserve">to the LDC’s distribution </w:t>
      </w:r>
      <w:r w:rsidR="00DC50E7" w:rsidRPr="00B94B57">
        <w:rPr>
          <w:rFonts w:ascii="Times New Roman" w:hAnsi="Times New Roman" w:cs="Times New Roman"/>
          <w:b w:val="0"/>
          <w:i w:val="0"/>
        </w:rPr>
        <w:lastRenderedPageBreak/>
        <w:t>system) to the customer’s meter. All customers</w:t>
      </w:r>
      <w:r w:rsidR="005F7F90" w:rsidRPr="00B94B57">
        <w:rPr>
          <w:rFonts w:ascii="Times New Roman" w:hAnsi="Times New Roman" w:cs="Times New Roman"/>
          <w:b w:val="0"/>
          <w:i w:val="0"/>
        </w:rPr>
        <w:t xml:space="preserve"> in the Indiantown Division and </w:t>
      </w:r>
      <w:r w:rsidR="00520B0B" w:rsidRPr="00B94B57">
        <w:rPr>
          <w:rFonts w:ascii="Times New Roman" w:hAnsi="Times New Roman" w:cs="Times New Roman"/>
          <w:b w:val="0"/>
          <w:i w:val="0"/>
        </w:rPr>
        <w:t>Chesapeake</w:t>
      </w:r>
      <w:r w:rsidR="00DC50E7" w:rsidRPr="00B94B57">
        <w:rPr>
          <w:rFonts w:ascii="Times New Roman" w:hAnsi="Times New Roman" w:cs="Times New Roman"/>
          <w:b w:val="0"/>
          <w:i w:val="0"/>
        </w:rPr>
        <w:t xml:space="preserve"> are responsible for purchasing the</w:t>
      </w:r>
      <w:r w:rsidR="007853EE" w:rsidRPr="00B94B57">
        <w:rPr>
          <w:rFonts w:ascii="Times New Roman" w:hAnsi="Times New Roman" w:cs="Times New Roman"/>
          <w:b w:val="0"/>
          <w:i w:val="0"/>
        </w:rPr>
        <w:t>ir</w:t>
      </w:r>
      <w:r w:rsidR="00DC50E7" w:rsidRPr="00B94B57">
        <w:rPr>
          <w:rFonts w:ascii="Times New Roman" w:hAnsi="Times New Roman" w:cs="Times New Roman"/>
          <w:b w:val="0"/>
          <w:i w:val="0"/>
        </w:rPr>
        <w:t xml:space="preserve"> gas from shippers. Thus, </w:t>
      </w:r>
      <w:r w:rsidR="00BF37B8" w:rsidRPr="00B94B57">
        <w:rPr>
          <w:rFonts w:ascii="Times New Roman" w:hAnsi="Times New Roman" w:cs="Times New Roman"/>
          <w:b w:val="0"/>
          <w:i w:val="0"/>
        </w:rPr>
        <w:t xml:space="preserve">FPUC – Indiantown and </w:t>
      </w:r>
      <w:r w:rsidR="00520B0B" w:rsidRPr="00B94B57">
        <w:rPr>
          <w:rFonts w:ascii="Times New Roman" w:hAnsi="Times New Roman" w:cs="Times New Roman"/>
          <w:b w:val="0"/>
          <w:i w:val="0"/>
        </w:rPr>
        <w:t>Chesapeake</w:t>
      </w:r>
      <w:r w:rsidR="00DC50E7" w:rsidRPr="00B94B57">
        <w:rPr>
          <w:rFonts w:ascii="Times New Roman" w:hAnsi="Times New Roman" w:cs="Times New Roman"/>
          <w:b w:val="0"/>
          <w:i w:val="0"/>
        </w:rPr>
        <w:t xml:space="preserve"> do not participate in the annual PGA proceedings at the Commission.</w:t>
      </w:r>
    </w:p>
    <w:p w:rsidR="00BB6555" w:rsidRPr="00B94B57" w:rsidRDefault="00BF37B8" w:rsidP="00041882">
      <w:pPr>
        <w:pStyle w:val="IssueHeading"/>
        <w:rPr>
          <w:b w:val="0"/>
          <w:i w:val="0"/>
        </w:rPr>
      </w:pPr>
      <w:r w:rsidRPr="00B94B57">
        <w:rPr>
          <w:rFonts w:ascii="Times New Roman" w:hAnsi="Times New Roman" w:cs="Times New Roman"/>
          <w:b w:val="0"/>
          <w:i w:val="0"/>
        </w:rPr>
        <w:t xml:space="preserve">When </w:t>
      </w:r>
      <w:r w:rsidR="00520B0B" w:rsidRPr="00B94B57">
        <w:rPr>
          <w:rFonts w:ascii="Times New Roman" w:hAnsi="Times New Roman" w:cs="Times New Roman"/>
          <w:b w:val="0"/>
          <w:i w:val="0"/>
        </w:rPr>
        <w:t>Chesapeake</w:t>
      </w:r>
      <w:r w:rsidRPr="00B94B57">
        <w:rPr>
          <w:rFonts w:ascii="Times New Roman" w:hAnsi="Times New Roman" w:cs="Times New Roman"/>
          <w:b w:val="0"/>
          <w:i w:val="0"/>
        </w:rPr>
        <w:t xml:space="preserve"> exited the merchant function</w:t>
      </w:r>
      <w:r w:rsidR="00C274DE" w:rsidRPr="00B94B57">
        <w:rPr>
          <w:rFonts w:ascii="Times New Roman" w:hAnsi="Times New Roman" w:cs="Times New Roman"/>
          <w:b w:val="0"/>
          <w:i w:val="0"/>
        </w:rPr>
        <w:t xml:space="preserve">, the Commission approved </w:t>
      </w:r>
      <w:r w:rsidR="00520B0B" w:rsidRPr="00B94B57">
        <w:rPr>
          <w:rFonts w:ascii="Times New Roman" w:hAnsi="Times New Roman" w:cs="Times New Roman"/>
          <w:b w:val="0"/>
          <w:i w:val="0"/>
        </w:rPr>
        <w:t>Chesapeake</w:t>
      </w:r>
      <w:r w:rsidR="00C274DE" w:rsidRPr="00B94B57">
        <w:rPr>
          <w:rFonts w:ascii="Times New Roman" w:hAnsi="Times New Roman" w:cs="Times New Roman"/>
          <w:b w:val="0"/>
          <w:i w:val="0"/>
        </w:rPr>
        <w:t>’s Transitional Transportation Service (TTS) tariff.</w:t>
      </w:r>
      <w:r w:rsidR="000D7EED" w:rsidRPr="00B94B57">
        <w:rPr>
          <w:rStyle w:val="FootnoteReference"/>
          <w:rFonts w:ascii="Times New Roman" w:hAnsi="Times New Roman" w:cs="Times New Roman"/>
          <w:b w:val="0"/>
          <w:i w:val="0"/>
        </w:rPr>
        <w:footnoteReference w:id="5"/>
      </w:r>
      <w:r w:rsidR="000D7EED" w:rsidRPr="00B94B57">
        <w:rPr>
          <w:rFonts w:ascii="Times New Roman" w:hAnsi="Times New Roman" w:cs="Times New Roman"/>
          <w:b w:val="0"/>
          <w:i w:val="0"/>
        </w:rPr>
        <w:t xml:space="preserve"> </w:t>
      </w:r>
      <w:r w:rsidR="00F5301B" w:rsidRPr="00B94B57">
        <w:rPr>
          <w:rFonts w:ascii="Times New Roman" w:hAnsi="Times New Roman" w:cs="Times New Roman"/>
          <w:b w:val="0"/>
          <w:i w:val="0"/>
        </w:rPr>
        <w:t xml:space="preserve">The TTS program shippers are natural gas marketers who purchase and transport gas from the wellhead to delivery points on </w:t>
      </w:r>
      <w:r w:rsidR="00520B0B" w:rsidRPr="00B94B57">
        <w:rPr>
          <w:rFonts w:ascii="Times New Roman" w:hAnsi="Times New Roman" w:cs="Times New Roman"/>
          <w:b w:val="0"/>
          <w:i w:val="0"/>
        </w:rPr>
        <w:t>Chesapeake</w:t>
      </w:r>
      <w:r w:rsidR="00F5301B" w:rsidRPr="00B94B57">
        <w:rPr>
          <w:rFonts w:ascii="Times New Roman" w:hAnsi="Times New Roman" w:cs="Times New Roman"/>
          <w:b w:val="0"/>
          <w:i w:val="0"/>
        </w:rPr>
        <w:t xml:space="preserve">’s distribution system. The TTS program shippers purchase gas for all residential customers and for commercial customers who do not contract directly with a shipper for their gas supply. Thus, the customers served under </w:t>
      </w:r>
      <w:r w:rsidR="00520B0B" w:rsidRPr="00B94B57">
        <w:rPr>
          <w:rFonts w:ascii="Times New Roman" w:hAnsi="Times New Roman" w:cs="Times New Roman"/>
          <w:b w:val="0"/>
          <w:i w:val="0"/>
        </w:rPr>
        <w:t>Chesapeake</w:t>
      </w:r>
      <w:r w:rsidR="00F5301B" w:rsidRPr="00B94B57">
        <w:rPr>
          <w:rFonts w:ascii="Times New Roman" w:hAnsi="Times New Roman" w:cs="Times New Roman"/>
          <w:b w:val="0"/>
          <w:i w:val="0"/>
        </w:rPr>
        <w:t>’s TTS program are similar to the residential and commercial classes of customers on FPUC’s system that are subject to the PGA, with the noted absence of the actual retail sale of the gas commodity.</w:t>
      </w:r>
      <w:r w:rsidR="00905B89" w:rsidRPr="00B94B57">
        <w:rPr>
          <w:rFonts w:ascii="Times New Roman" w:hAnsi="Times New Roman" w:cs="Times New Roman"/>
          <w:b w:val="0"/>
          <w:i w:val="0"/>
        </w:rPr>
        <w:t xml:space="preserve"> The Commission does not approve or review the gas prices</w:t>
      </w:r>
      <w:r w:rsidR="0097702F" w:rsidRPr="00B94B57">
        <w:rPr>
          <w:rFonts w:ascii="Times New Roman" w:hAnsi="Times New Roman" w:cs="Times New Roman"/>
          <w:b w:val="0"/>
          <w:i w:val="0"/>
        </w:rPr>
        <w:t xml:space="preserve"> that</w:t>
      </w:r>
      <w:r w:rsidR="00905B89" w:rsidRPr="00B94B57">
        <w:rPr>
          <w:rFonts w:ascii="Times New Roman" w:hAnsi="Times New Roman" w:cs="Times New Roman"/>
          <w:b w:val="0"/>
          <w:i w:val="0"/>
        </w:rPr>
        <w:t xml:space="preserve"> TTS shippers offer.</w:t>
      </w:r>
      <w:r w:rsidR="00041882" w:rsidRPr="00B94B57">
        <w:rPr>
          <w:rFonts w:ascii="Times New Roman" w:hAnsi="Times New Roman" w:cs="Times New Roman"/>
          <w:b w:val="0"/>
          <w:i w:val="0"/>
        </w:rPr>
        <w:t xml:space="preserve"> </w:t>
      </w:r>
      <w:r w:rsidR="00520B0B" w:rsidRPr="00B94B57">
        <w:rPr>
          <w:rFonts w:ascii="Times New Roman" w:hAnsi="Times New Roman" w:cs="Times New Roman"/>
          <w:b w:val="0"/>
          <w:i w:val="0"/>
        </w:rPr>
        <w:t>Chesapeake</w:t>
      </w:r>
      <w:r w:rsidR="00CF171E" w:rsidRPr="00B94B57">
        <w:rPr>
          <w:rFonts w:ascii="Times New Roman" w:hAnsi="Times New Roman" w:cs="Times New Roman"/>
          <w:b w:val="0"/>
          <w:i w:val="0"/>
        </w:rPr>
        <w:t xml:space="preserve"> customers </w:t>
      </w:r>
      <w:r w:rsidR="003D6126" w:rsidRPr="00B94B57">
        <w:rPr>
          <w:rFonts w:ascii="Times New Roman" w:hAnsi="Times New Roman" w:cs="Times New Roman"/>
          <w:b w:val="0"/>
          <w:i w:val="0"/>
        </w:rPr>
        <w:t>that are not part of the TTS customer pools participate in the individual transportation services program. Those are primarily large commercial or industrial customers who contract directly with a shipper for their gas supply.</w:t>
      </w:r>
    </w:p>
    <w:p w:rsidR="00A23C7C" w:rsidRDefault="00A23C7C" w:rsidP="00A23C7C">
      <w:pPr>
        <w:pStyle w:val="IssueHeading"/>
        <w:ind w:left="720"/>
      </w:pPr>
      <w:r>
        <w:t>D</w:t>
      </w:r>
      <w:r w:rsidRPr="00A23C7C">
        <w:t xml:space="preserve">ifferent </w:t>
      </w:r>
      <w:r>
        <w:t>M</w:t>
      </w:r>
      <w:r w:rsidRPr="00A23C7C">
        <w:t xml:space="preserve">echanisms for </w:t>
      </w:r>
      <w:r>
        <w:t>A</w:t>
      </w:r>
      <w:r w:rsidRPr="00A23C7C">
        <w:t xml:space="preserve">llocating </w:t>
      </w:r>
      <w:r>
        <w:t>U</w:t>
      </w:r>
      <w:r w:rsidRPr="00A23C7C">
        <w:t xml:space="preserve">nreleased </w:t>
      </w:r>
      <w:r>
        <w:t>C</w:t>
      </w:r>
      <w:r w:rsidRPr="00A23C7C">
        <w:t xml:space="preserve">apacity </w:t>
      </w:r>
      <w:r>
        <w:t>C</w:t>
      </w:r>
      <w:r w:rsidRPr="00A23C7C">
        <w:t xml:space="preserve">osts between </w:t>
      </w:r>
      <w:r>
        <w:t>I</w:t>
      </w:r>
      <w:r w:rsidRPr="00A23C7C">
        <w:t xml:space="preserve">nterstate and </w:t>
      </w:r>
      <w:r>
        <w:t>I</w:t>
      </w:r>
      <w:r w:rsidRPr="00A23C7C">
        <w:t xml:space="preserve">ntrastate </w:t>
      </w:r>
      <w:r>
        <w:t>P</w:t>
      </w:r>
      <w:r w:rsidRPr="00A23C7C">
        <w:t>ipelines</w:t>
      </w:r>
    </w:p>
    <w:p w:rsidR="00E43339" w:rsidRPr="00B94B57" w:rsidRDefault="0020774F" w:rsidP="00BD447D">
      <w:pPr>
        <w:pStyle w:val="IssueHeading"/>
        <w:rPr>
          <w:rFonts w:ascii="Times New Roman" w:hAnsi="Times New Roman" w:cs="Times New Roman"/>
          <w:b w:val="0"/>
          <w:bCs w:val="0"/>
          <w:i w:val="0"/>
          <w:kern w:val="0"/>
          <w:szCs w:val="24"/>
        </w:rPr>
      </w:pPr>
      <w:r w:rsidRPr="00B94B57">
        <w:rPr>
          <w:rFonts w:ascii="Times New Roman" w:hAnsi="Times New Roman" w:cs="Times New Roman"/>
          <w:b w:val="0"/>
          <w:i w:val="0"/>
        </w:rPr>
        <w:t xml:space="preserve">Both FPUC and </w:t>
      </w:r>
      <w:r w:rsidR="00520B0B" w:rsidRPr="00B94B57">
        <w:rPr>
          <w:rFonts w:ascii="Times New Roman" w:hAnsi="Times New Roman" w:cs="Times New Roman"/>
          <w:b w:val="0"/>
          <w:i w:val="0"/>
        </w:rPr>
        <w:t>Chesapeake</w:t>
      </w:r>
      <w:r w:rsidRPr="00B94B57">
        <w:rPr>
          <w:rFonts w:ascii="Times New Roman" w:hAnsi="Times New Roman" w:cs="Times New Roman"/>
          <w:b w:val="0"/>
          <w:i w:val="0"/>
        </w:rPr>
        <w:t xml:space="preserve"> </w:t>
      </w:r>
      <w:r w:rsidR="007961F3" w:rsidRPr="00B94B57">
        <w:rPr>
          <w:rFonts w:ascii="Times New Roman" w:hAnsi="Times New Roman" w:cs="Times New Roman"/>
          <w:b w:val="0"/>
          <w:i w:val="0"/>
        </w:rPr>
        <w:t>receive gas deliveries from interstate transmission pipelines</w:t>
      </w:r>
      <w:r w:rsidR="00FE4614" w:rsidRPr="00B94B57">
        <w:rPr>
          <w:rFonts w:ascii="Times New Roman" w:hAnsi="Times New Roman" w:cs="Times New Roman"/>
          <w:b w:val="0"/>
          <w:i w:val="0"/>
        </w:rPr>
        <w:t>,</w:t>
      </w:r>
      <w:r w:rsidR="007961F3" w:rsidRPr="00B94B57">
        <w:rPr>
          <w:rFonts w:ascii="Times New Roman" w:hAnsi="Times New Roman" w:cs="Times New Roman"/>
          <w:b w:val="0"/>
          <w:i w:val="0"/>
        </w:rPr>
        <w:t xml:space="preserve"> such as Florida Gas Transmission Company</w:t>
      </w:r>
      <w:r w:rsidR="00FE4614" w:rsidRPr="00B94B57">
        <w:rPr>
          <w:rFonts w:ascii="Times New Roman" w:hAnsi="Times New Roman" w:cs="Times New Roman"/>
          <w:b w:val="0"/>
          <w:i w:val="0"/>
        </w:rPr>
        <w:t>,</w:t>
      </w:r>
      <w:r w:rsidR="007961F3" w:rsidRPr="00B94B57">
        <w:rPr>
          <w:rFonts w:ascii="Times New Roman" w:hAnsi="Times New Roman" w:cs="Times New Roman"/>
          <w:b w:val="0"/>
          <w:i w:val="0"/>
        </w:rPr>
        <w:t xml:space="preserve"> that are regulated</w:t>
      </w:r>
      <w:r w:rsidRPr="00B94B57">
        <w:rPr>
          <w:rFonts w:ascii="Times New Roman" w:hAnsi="Times New Roman" w:cs="Times New Roman"/>
          <w:b w:val="0"/>
          <w:i w:val="0"/>
        </w:rPr>
        <w:t xml:space="preserve"> by the Federal Energy Regulatory Commission (FERC). </w:t>
      </w:r>
      <w:r w:rsidR="008D1558" w:rsidRPr="00B94B57">
        <w:rPr>
          <w:rFonts w:ascii="Times New Roman" w:hAnsi="Times New Roman" w:cs="Times New Roman"/>
          <w:b w:val="0"/>
          <w:i w:val="0"/>
        </w:rPr>
        <w:t>The Companies hold capacity on the interstate pipelines</w:t>
      </w:r>
      <w:r w:rsidR="00C260FF" w:rsidRPr="00B94B57">
        <w:rPr>
          <w:rFonts w:ascii="Times New Roman" w:hAnsi="Times New Roman" w:cs="Times New Roman"/>
          <w:b w:val="0"/>
          <w:i w:val="0"/>
        </w:rPr>
        <w:t>;</w:t>
      </w:r>
      <w:r w:rsidR="008D1558" w:rsidRPr="00B94B57">
        <w:rPr>
          <w:rFonts w:ascii="Times New Roman" w:hAnsi="Times New Roman" w:cs="Times New Roman"/>
          <w:b w:val="0"/>
          <w:i w:val="0"/>
        </w:rPr>
        <w:t xml:space="preserve"> however, the FERC</w:t>
      </w:r>
      <w:r w:rsidR="00FE4614" w:rsidRPr="00B94B57">
        <w:rPr>
          <w:rFonts w:ascii="Times New Roman" w:hAnsi="Times New Roman" w:cs="Times New Roman"/>
          <w:b w:val="0"/>
          <w:i w:val="0"/>
        </w:rPr>
        <w:t>-</w:t>
      </w:r>
      <w:r w:rsidR="008D1558" w:rsidRPr="00B94B57">
        <w:rPr>
          <w:rFonts w:ascii="Times New Roman" w:hAnsi="Times New Roman" w:cs="Times New Roman"/>
          <w:b w:val="0"/>
          <w:i w:val="0"/>
        </w:rPr>
        <w:t xml:space="preserve">approved capacity release mechanism allows owners of capacity to release </w:t>
      </w:r>
      <w:r w:rsidR="00263FE7" w:rsidRPr="00B94B57">
        <w:rPr>
          <w:rFonts w:ascii="Times New Roman" w:hAnsi="Times New Roman" w:cs="Times New Roman"/>
          <w:b w:val="0"/>
          <w:i w:val="0"/>
        </w:rPr>
        <w:t xml:space="preserve">all or a portion of their </w:t>
      </w:r>
      <w:r w:rsidR="008D1558" w:rsidRPr="00B94B57">
        <w:rPr>
          <w:rFonts w:ascii="Times New Roman" w:hAnsi="Times New Roman" w:cs="Times New Roman"/>
          <w:b w:val="0"/>
          <w:i w:val="0"/>
        </w:rPr>
        <w:t xml:space="preserve">capacity to </w:t>
      </w:r>
      <w:r w:rsidR="006D0B2A" w:rsidRPr="00B94B57">
        <w:rPr>
          <w:rFonts w:ascii="Times New Roman" w:hAnsi="Times New Roman" w:cs="Times New Roman"/>
          <w:b w:val="0"/>
          <w:i w:val="0"/>
        </w:rPr>
        <w:t>other parties such as gas marketers</w:t>
      </w:r>
      <w:r w:rsidR="008D1558" w:rsidRPr="00B94B57">
        <w:rPr>
          <w:rFonts w:ascii="Times New Roman" w:hAnsi="Times New Roman" w:cs="Times New Roman"/>
          <w:b w:val="0"/>
          <w:i w:val="0"/>
        </w:rPr>
        <w:t>.</w:t>
      </w:r>
      <w:r w:rsidR="00041882" w:rsidRPr="00B94B57">
        <w:rPr>
          <w:rFonts w:ascii="Times New Roman" w:hAnsi="Times New Roman" w:cs="Times New Roman"/>
          <w:b w:val="0"/>
          <w:i w:val="0"/>
        </w:rPr>
        <w:t xml:space="preserve"> </w:t>
      </w:r>
      <w:r w:rsidR="006D0B2A" w:rsidRPr="00B94B57">
        <w:rPr>
          <w:rFonts w:ascii="Times New Roman" w:hAnsi="Times New Roman" w:cs="Times New Roman"/>
          <w:b w:val="0"/>
          <w:i w:val="0"/>
        </w:rPr>
        <w:t>Consistent with the FERC</w:t>
      </w:r>
      <w:r w:rsidR="00FE4614" w:rsidRPr="00B94B57">
        <w:rPr>
          <w:rFonts w:ascii="Times New Roman" w:hAnsi="Times New Roman" w:cs="Times New Roman"/>
          <w:b w:val="0"/>
          <w:i w:val="0"/>
        </w:rPr>
        <w:t>-</w:t>
      </w:r>
      <w:r w:rsidR="006D0B2A" w:rsidRPr="00B94B57">
        <w:rPr>
          <w:rFonts w:ascii="Times New Roman" w:hAnsi="Times New Roman" w:cs="Times New Roman"/>
          <w:b w:val="0"/>
          <w:i w:val="0"/>
        </w:rPr>
        <w:t xml:space="preserve">approved capacity release process, a </w:t>
      </w:r>
      <w:r w:rsidR="009122B6" w:rsidRPr="00B94B57">
        <w:rPr>
          <w:rFonts w:ascii="Times New Roman" w:hAnsi="Times New Roman" w:cs="Times New Roman"/>
          <w:b w:val="0"/>
          <w:i w:val="0"/>
        </w:rPr>
        <w:t xml:space="preserve">portion of FPUC’s interstate capacity contract quantities and the associated costs is allocated </w:t>
      </w:r>
      <w:r w:rsidR="00A54830" w:rsidRPr="00B94B57">
        <w:rPr>
          <w:rFonts w:ascii="Times New Roman" w:hAnsi="Times New Roman" w:cs="Times New Roman"/>
          <w:b w:val="0"/>
          <w:i w:val="0"/>
        </w:rPr>
        <w:t>to FPUC’s pool managers (third party marketers).</w:t>
      </w:r>
      <w:r w:rsidR="00FD3BB8" w:rsidRPr="00B94B57">
        <w:rPr>
          <w:rStyle w:val="FootnoteReference"/>
          <w:rFonts w:ascii="Times New Roman" w:hAnsi="Times New Roman" w:cs="Times New Roman"/>
          <w:b w:val="0"/>
          <w:i w:val="0"/>
        </w:rPr>
        <w:footnoteReference w:id="6"/>
      </w:r>
      <w:r w:rsidR="00A54830" w:rsidRPr="00B94B57">
        <w:rPr>
          <w:rFonts w:ascii="Times New Roman" w:hAnsi="Times New Roman" w:cs="Times New Roman"/>
          <w:b w:val="0"/>
          <w:i w:val="0"/>
        </w:rPr>
        <w:t xml:space="preserve"> </w:t>
      </w:r>
      <w:r w:rsidR="006D0B2A" w:rsidRPr="00B94B57">
        <w:rPr>
          <w:rFonts w:ascii="Times New Roman" w:hAnsi="Times New Roman" w:cs="Times New Roman"/>
          <w:b w:val="0"/>
          <w:i w:val="0"/>
        </w:rPr>
        <w:t>The remainder of</w:t>
      </w:r>
      <w:r w:rsidR="00A54830" w:rsidRPr="00B94B57">
        <w:rPr>
          <w:rFonts w:ascii="Times New Roman" w:hAnsi="Times New Roman" w:cs="Times New Roman"/>
          <w:b w:val="0"/>
          <w:i w:val="0"/>
        </w:rPr>
        <w:t xml:space="preserve"> FPUC</w:t>
      </w:r>
      <w:r w:rsidR="006D0B2A" w:rsidRPr="00B94B57">
        <w:rPr>
          <w:rFonts w:ascii="Times New Roman" w:hAnsi="Times New Roman" w:cs="Times New Roman"/>
          <w:b w:val="0"/>
          <w:i w:val="0"/>
        </w:rPr>
        <w:t>’s</w:t>
      </w:r>
      <w:r w:rsidR="00A54830" w:rsidRPr="00B94B57">
        <w:rPr>
          <w:rFonts w:ascii="Times New Roman" w:hAnsi="Times New Roman" w:cs="Times New Roman"/>
          <w:b w:val="0"/>
          <w:i w:val="0"/>
        </w:rPr>
        <w:t xml:space="preserve"> interstate capacity is retained to serve FPUC retail sales customers </w:t>
      </w:r>
      <w:r w:rsidR="009C0651" w:rsidRPr="00B94B57">
        <w:rPr>
          <w:rFonts w:ascii="Times New Roman" w:hAnsi="Times New Roman" w:cs="Times New Roman"/>
          <w:b w:val="0"/>
          <w:i w:val="0"/>
        </w:rPr>
        <w:t>(all residential customers and those non-residential customers who either elect not to obtain a third party supply contract</w:t>
      </w:r>
      <w:r w:rsidR="005A5AA3" w:rsidRPr="00B94B57">
        <w:rPr>
          <w:rFonts w:ascii="Times New Roman" w:hAnsi="Times New Roman" w:cs="Times New Roman"/>
          <w:b w:val="0"/>
          <w:i w:val="0"/>
        </w:rPr>
        <w:t xml:space="preserve"> or are unable to do so</w:t>
      </w:r>
      <w:r w:rsidR="009C0651" w:rsidRPr="00B94B57">
        <w:rPr>
          <w:rFonts w:ascii="Times New Roman" w:hAnsi="Times New Roman" w:cs="Times New Roman"/>
          <w:b w:val="0"/>
          <w:i w:val="0"/>
        </w:rPr>
        <w:t xml:space="preserve">). The cost of </w:t>
      </w:r>
      <w:r w:rsidR="009C0FB9" w:rsidRPr="00B94B57">
        <w:rPr>
          <w:rFonts w:ascii="Times New Roman" w:hAnsi="Times New Roman" w:cs="Times New Roman"/>
          <w:b w:val="0"/>
          <w:i w:val="0"/>
        </w:rPr>
        <w:t>FPUC’s</w:t>
      </w:r>
      <w:r w:rsidR="009C0651" w:rsidRPr="00B94B57">
        <w:rPr>
          <w:rFonts w:ascii="Times New Roman" w:hAnsi="Times New Roman" w:cs="Times New Roman"/>
          <w:b w:val="0"/>
          <w:i w:val="0"/>
        </w:rPr>
        <w:t xml:space="preserve"> retained interstate capacity is recovered in </w:t>
      </w:r>
      <w:r w:rsidR="009C0FB9" w:rsidRPr="00B94B57">
        <w:rPr>
          <w:rFonts w:ascii="Times New Roman" w:hAnsi="Times New Roman" w:cs="Times New Roman"/>
          <w:b w:val="0"/>
          <w:i w:val="0"/>
        </w:rPr>
        <w:t>the</w:t>
      </w:r>
      <w:r w:rsidR="009C0651" w:rsidRPr="00B94B57">
        <w:rPr>
          <w:rFonts w:ascii="Times New Roman" w:hAnsi="Times New Roman" w:cs="Times New Roman"/>
          <w:b w:val="0"/>
          <w:i w:val="0"/>
        </w:rPr>
        <w:t xml:space="preserve"> PGA.</w:t>
      </w:r>
      <w:r w:rsidR="00650B33" w:rsidRPr="00B94B57">
        <w:rPr>
          <w:rFonts w:ascii="Times New Roman" w:hAnsi="Times New Roman" w:cs="Times New Roman"/>
          <w:b w:val="0"/>
          <w:i w:val="0"/>
        </w:rPr>
        <w:t xml:space="preserve"> </w:t>
      </w:r>
      <w:r w:rsidR="00E43339" w:rsidRPr="00B94B57">
        <w:rPr>
          <w:rFonts w:ascii="Times New Roman" w:hAnsi="Times New Roman" w:cs="Times New Roman"/>
          <w:b w:val="0"/>
          <w:i w:val="0"/>
        </w:rPr>
        <w:t xml:space="preserve">FPUC – Indiantown and </w:t>
      </w:r>
      <w:r w:rsidR="00520B0B" w:rsidRPr="00B94B57">
        <w:rPr>
          <w:rFonts w:ascii="Times New Roman" w:hAnsi="Times New Roman" w:cs="Times New Roman"/>
          <w:b w:val="0"/>
          <w:i w:val="0"/>
        </w:rPr>
        <w:t>Chesapeake</w:t>
      </w:r>
      <w:r w:rsidR="00E43339" w:rsidRPr="00B94B57">
        <w:rPr>
          <w:rFonts w:ascii="Times New Roman" w:hAnsi="Times New Roman" w:cs="Times New Roman"/>
          <w:b w:val="0"/>
          <w:i w:val="0"/>
        </w:rPr>
        <w:t xml:space="preserve">, who provide transportation service only, release all their interstate pipeline capacity </w:t>
      </w:r>
      <w:r w:rsidR="005F7F90" w:rsidRPr="00B94B57">
        <w:rPr>
          <w:rFonts w:ascii="Times New Roman" w:hAnsi="Times New Roman" w:cs="Times New Roman"/>
          <w:b w:val="0"/>
          <w:i w:val="0"/>
        </w:rPr>
        <w:t xml:space="preserve">and associated costs </w:t>
      </w:r>
      <w:r w:rsidR="00E43339" w:rsidRPr="00B94B57">
        <w:rPr>
          <w:rFonts w:ascii="Times New Roman" w:hAnsi="Times New Roman" w:cs="Times New Roman"/>
          <w:b w:val="0"/>
          <w:i w:val="0"/>
        </w:rPr>
        <w:t>to shippers each month.</w:t>
      </w:r>
    </w:p>
    <w:p w:rsidR="00171A27" w:rsidRPr="00B94B57" w:rsidRDefault="00D648DC" w:rsidP="00A23C7C">
      <w:pPr>
        <w:pStyle w:val="IssueHeading"/>
        <w:rPr>
          <w:rFonts w:ascii="Times New Roman" w:hAnsi="Times New Roman" w:cs="Times New Roman"/>
          <w:b w:val="0"/>
          <w:i w:val="0"/>
        </w:rPr>
      </w:pPr>
      <w:r w:rsidRPr="00B94B57">
        <w:rPr>
          <w:rFonts w:ascii="Times New Roman" w:hAnsi="Times New Roman" w:cs="Times New Roman"/>
          <w:b w:val="0"/>
          <w:i w:val="0"/>
        </w:rPr>
        <w:t>Unlike the mechanisms for interstate capacity</w:t>
      </w:r>
      <w:r w:rsidR="00043B61" w:rsidRPr="00B94B57">
        <w:rPr>
          <w:rFonts w:ascii="Times New Roman" w:hAnsi="Times New Roman" w:cs="Times New Roman"/>
          <w:b w:val="0"/>
          <w:i w:val="0"/>
        </w:rPr>
        <w:t xml:space="preserve"> as described above</w:t>
      </w:r>
      <w:r w:rsidRPr="00B94B57">
        <w:rPr>
          <w:rFonts w:ascii="Times New Roman" w:hAnsi="Times New Roman" w:cs="Times New Roman"/>
          <w:b w:val="0"/>
          <w:i w:val="0"/>
        </w:rPr>
        <w:t xml:space="preserve">, intrastate pipelines </w:t>
      </w:r>
      <w:r w:rsidR="00690995" w:rsidRPr="00B94B57">
        <w:rPr>
          <w:rFonts w:ascii="Times New Roman" w:hAnsi="Times New Roman" w:cs="Times New Roman"/>
          <w:b w:val="0"/>
          <w:i w:val="0"/>
        </w:rPr>
        <w:t xml:space="preserve">(i.e., pipelines operating in Florida only) </w:t>
      </w:r>
      <w:r w:rsidRPr="00B94B57">
        <w:rPr>
          <w:rFonts w:ascii="Times New Roman" w:hAnsi="Times New Roman" w:cs="Times New Roman"/>
          <w:b w:val="0"/>
          <w:i w:val="0"/>
        </w:rPr>
        <w:t xml:space="preserve">and LDCs do not have tariff provisions or other mechanisms that support the release of capacity to pool managers. Therefore, FPUC has historically recovered </w:t>
      </w:r>
      <w:r w:rsidR="0098382B" w:rsidRPr="00B94B57">
        <w:rPr>
          <w:rFonts w:ascii="Times New Roman" w:hAnsi="Times New Roman" w:cs="Times New Roman"/>
          <w:b w:val="0"/>
          <w:i w:val="0"/>
        </w:rPr>
        <w:t xml:space="preserve">unreleased </w:t>
      </w:r>
      <w:r w:rsidRPr="00B94B57">
        <w:rPr>
          <w:rFonts w:ascii="Times New Roman" w:hAnsi="Times New Roman" w:cs="Times New Roman"/>
          <w:b w:val="0"/>
          <w:i w:val="0"/>
        </w:rPr>
        <w:t>intrastate and LDC interconnection capacity costs through its PGA.</w:t>
      </w:r>
      <w:r w:rsidR="00BD447D" w:rsidRPr="00B94B57">
        <w:rPr>
          <w:rFonts w:ascii="Times New Roman" w:hAnsi="Times New Roman" w:cs="Times New Roman"/>
          <w:b w:val="0"/>
          <w:i w:val="0"/>
        </w:rPr>
        <w:t xml:space="preserve"> </w:t>
      </w:r>
      <w:r w:rsidR="00520B0B" w:rsidRPr="00B94B57">
        <w:rPr>
          <w:rFonts w:ascii="Times New Roman" w:hAnsi="Times New Roman" w:cs="Times New Roman"/>
          <w:b w:val="0"/>
          <w:i w:val="0"/>
        </w:rPr>
        <w:t>Chesapeake</w:t>
      </w:r>
      <w:r w:rsidR="00664CBF" w:rsidRPr="00B94B57">
        <w:rPr>
          <w:rFonts w:ascii="Times New Roman" w:hAnsi="Times New Roman" w:cs="Times New Roman"/>
          <w:b w:val="0"/>
          <w:i w:val="0"/>
        </w:rPr>
        <w:t xml:space="preserve">’s unreleased intrastate and LDC interconnection capacity cost recovery has been addressed through its </w:t>
      </w:r>
      <w:r w:rsidR="007361F1" w:rsidRPr="00B94B57">
        <w:rPr>
          <w:rFonts w:ascii="Times New Roman" w:hAnsi="Times New Roman" w:cs="Times New Roman"/>
          <w:b w:val="0"/>
          <w:i w:val="0"/>
        </w:rPr>
        <w:t>Operational Balancing Account (</w:t>
      </w:r>
      <w:r w:rsidR="00664CBF" w:rsidRPr="00B94B57">
        <w:rPr>
          <w:rFonts w:ascii="Times New Roman" w:hAnsi="Times New Roman" w:cs="Times New Roman"/>
          <w:b w:val="0"/>
          <w:i w:val="0"/>
        </w:rPr>
        <w:t>OBA</w:t>
      </w:r>
      <w:r w:rsidR="007361F1" w:rsidRPr="00B94B57">
        <w:rPr>
          <w:rFonts w:ascii="Times New Roman" w:hAnsi="Times New Roman" w:cs="Times New Roman"/>
          <w:b w:val="0"/>
          <w:i w:val="0"/>
        </w:rPr>
        <w:t>)</w:t>
      </w:r>
      <w:r w:rsidR="00664CBF" w:rsidRPr="00B94B57">
        <w:rPr>
          <w:rFonts w:ascii="Times New Roman" w:hAnsi="Times New Roman" w:cs="Times New Roman"/>
          <w:b w:val="0"/>
          <w:i w:val="0"/>
        </w:rPr>
        <w:t xml:space="preserve"> tariff, a PGA-like </w:t>
      </w:r>
      <w:r w:rsidR="00F6284E" w:rsidRPr="00B94B57">
        <w:rPr>
          <w:rFonts w:ascii="Times New Roman" w:hAnsi="Times New Roman" w:cs="Times New Roman"/>
          <w:b w:val="0"/>
          <w:i w:val="0"/>
        </w:rPr>
        <w:t xml:space="preserve">transportation </w:t>
      </w:r>
      <w:r w:rsidR="00F6284E" w:rsidRPr="00B94B57">
        <w:rPr>
          <w:rFonts w:ascii="Times New Roman" w:hAnsi="Times New Roman" w:cs="Times New Roman"/>
          <w:b w:val="0"/>
          <w:i w:val="0"/>
        </w:rPr>
        <w:lastRenderedPageBreak/>
        <w:t>service cost recovery mechanism billed to shippers.</w:t>
      </w:r>
      <w:r w:rsidR="006548AB" w:rsidRPr="00B94B57">
        <w:rPr>
          <w:rStyle w:val="FootnoteReference"/>
          <w:rFonts w:ascii="Times New Roman" w:hAnsi="Times New Roman" w:cs="Times New Roman"/>
          <w:b w:val="0"/>
          <w:i w:val="0"/>
        </w:rPr>
        <w:footnoteReference w:id="7"/>
      </w:r>
      <w:r w:rsidR="001D49BB" w:rsidRPr="00B94B57">
        <w:rPr>
          <w:rFonts w:ascii="Times New Roman" w:hAnsi="Times New Roman" w:cs="Times New Roman"/>
          <w:b w:val="0"/>
          <w:i w:val="0"/>
        </w:rPr>
        <w:t xml:space="preserve"> </w:t>
      </w:r>
      <w:r w:rsidR="00C2015D" w:rsidRPr="00B94B57">
        <w:rPr>
          <w:rFonts w:ascii="Times New Roman" w:hAnsi="Times New Roman" w:cs="Times New Roman"/>
          <w:b w:val="0"/>
          <w:i w:val="0"/>
        </w:rPr>
        <w:t>The OBA</w:t>
      </w:r>
      <w:r w:rsidR="005F7F90" w:rsidRPr="00B94B57">
        <w:rPr>
          <w:rFonts w:ascii="Times New Roman" w:hAnsi="Times New Roman" w:cs="Times New Roman"/>
          <w:b w:val="0"/>
          <w:i w:val="0"/>
        </w:rPr>
        <w:t xml:space="preserve"> tariff</w:t>
      </w:r>
      <w:r w:rsidR="00C2015D" w:rsidRPr="00B94B57">
        <w:rPr>
          <w:rFonts w:ascii="Times New Roman" w:hAnsi="Times New Roman" w:cs="Times New Roman"/>
          <w:b w:val="0"/>
          <w:i w:val="0"/>
        </w:rPr>
        <w:t xml:space="preserve"> allows </w:t>
      </w:r>
      <w:r w:rsidR="00520B0B" w:rsidRPr="00B94B57">
        <w:rPr>
          <w:rFonts w:ascii="Times New Roman" w:hAnsi="Times New Roman" w:cs="Times New Roman"/>
          <w:b w:val="0"/>
          <w:i w:val="0"/>
        </w:rPr>
        <w:t>Chesapeake</w:t>
      </w:r>
      <w:r w:rsidR="00C2015D" w:rsidRPr="00B94B57">
        <w:rPr>
          <w:rFonts w:ascii="Times New Roman" w:hAnsi="Times New Roman" w:cs="Times New Roman"/>
          <w:b w:val="0"/>
          <w:i w:val="0"/>
        </w:rPr>
        <w:t xml:space="preserve">, as reflected in its tariff, to “…recover or refund any and all charges or credits related to the provision of Transportation Service, as have historically been recovered from or allocated through the Commission’s on-going </w:t>
      </w:r>
      <w:r w:rsidR="00B0011C" w:rsidRPr="00B94B57">
        <w:rPr>
          <w:rFonts w:ascii="Times New Roman" w:hAnsi="Times New Roman" w:cs="Times New Roman"/>
          <w:b w:val="0"/>
          <w:i w:val="0"/>
        </w:rPr>
        <w:t>PGA</w:t>
      </w:r>
      <w:r w:rsidR="00C2015D" w:rsidRPr="00B94B57">
        <w:rPr>
          <w:rFonts w:ascii="Times New Roman" w:hAnsi="Times New Roman" w:cs="Times New Roman"/>
          <w:b w:val="0"/>
          <w:i w:val="0"/>
        </w:rPr>
        <w:t xml:space="preserve"> cost recovery proceedings.”</w:t>
      </w:r>
      <w:r w:rsidR="00C2015D" w:rsidRPr="00B94B57">
        <w:rPr>
          <w:rStyle w:val="FootnoteReference"/>
          <w:rFonts w:ascii="Times New Roman" w:hAnsi="Times New Roman" w:cs="Times New Roman"/>
          <w:b w:val="0"/>
          <w:i w:val="0"/>
        </w:rPr>
        <w:footnoteReference w:id="8"/>
      </w:r>
      <w:r w:rsidR="00C2015D" w:rsidRPr="00B94B57">
        <w:rPr>
          <w:rFonts w:ascii="Times New Roman" w:hAnsi="Times New Roman" w:cs="Times New Roman"/>
          <w:b w:val="0"/>
          <w:i w:val="0"/>
        </w:rPr>
        <w:t xml:space="preserve"> The tariff also includes a provision that authorizes recovery of “Charges or credits associated with any unreleased Transporter capacity that has not otherwise been assigned or allocated.”</w:t>
      </w:r>
      <w:r w:rsidR="00C2015D" w:rsidRPr="00B94B57">
        <w:rPr>
          <w:rStyle w:val="FootnoteReference"/>
          <w:rFonts w:ascii="Times New Roman" w:hAnsi="Times New Roman" w:cs="Times New Roman"/>
          <w:b w:val="0"/>
          <w:i w:val="0"/>
        </w:rPr>
        <w:footnoteReference w:id="9"/>
      </w:r>
      <w:r w:rsidR="009E4F30" w:rsidRPr="00B94B57">
        <w:rPr>
          <w:rFonts w:ascii="Times New Roman" w:hAnsi="Times New Roman" w:cs="Times New Roman"/>
          <w:b w:val="0"/>
          <w:i w:val="0"/>
        </w:rPr>
        <w:t xml:space="preserve"> Therefore, </w:t>
      </w:r>
      <w:r w:rsidR="00980357" w:rsidRPr="00B94B57">
        <w:rPr>
          <w:rFonts w:ascii="Times New Roman" w:hAnsi="Times New Roman" w:cs="Times New Roman"/>
          <w:b w:val="0"/>
          <w:i w:val="0"/>
        </w:rPr>
        <w:t xml:space="preserve">consistent with </w:t>
      </w:r>
      <w:r w:rsidR="00171A27" w:rsidRPr="00B94B57">
        <w:rPr>
          <w:rFonts w:ascii="Times New Roman" w:hAnsi="Times New Roman" w:cs="Times New Roman"/>
          <w:b w:val="0"/>
          <w:i w:val="0"/>
        </w:rPr>
        <w:t xml:space="preserve">the reference in the OBA tariff to the historic PGA allocation practice, </w:t>
      </w:r>
      <w:r w:rsidR="00520B0B" w:rsidRPr="00B94B57">
        <w:rPr>
          <w:rFonts w:ascii="Times New Roman" w:hAnsi="Times New Roman" w:cs="Times New Roman"/>
          <w:b w:val="0"/>
          <w:i w:val="0"/>
        </w:rPr>
        <w:t>Chesapeake</w:t>
      </w:r>
      <w:r w:rsidR="00171A27" w:rsidRPr="00B94B57">
        <w:rPr>
          <w:rFonts w:ascii="Times New Roman" w:hAnsi="Times New Roman" w:cs="Times New Roman"/>
          <w:b w:val="0"/>
          <w:i w:val="0"/>
        </w:rPr>
        <w:t xml:space="preserve"> has assigned unreleased intrastate and LDC interconnection capacity costs to </w:t>
      </w:r>
      <w:r w:rsidR="0097702F" w:rsidRPr="00B94B57">
        <w:rPr>
          <w:rFonts w:ascii="Times New Roman" w:hAnsi="Times New Roman" w:cs="Times New Roman"/>
          <w:b w:val="0"/>
          <w:i w:val="0"/>
        </w:rPr>
        <w:t>its</w:t>
      </w:r>
      <w:r w:rsidR="00171A27" w:rsidRPr="00B94B57">
        <w:rPr>
          <w:rFonts w:ascii="Times New Roman" w:hAnsi="Times New Roman" w:cs="Times New Roman"/>
          <w:b w:val="0"/>
          <w:i w:val="0"/>
        </w:rPr>
        <w:t xml:space="preserve"> </w:t>
      </w:r>
      <w:r w:rsidR="00056134" w:rsidRPr="00B94B57">
        <w:rPr>
          <w:rFonts w:ascii="Times New Roman" w:hAnsi="Times New Roman" w:cs="Times New Roman"/>
          <w:b w:val="0"/>
          <w:i w:val="0"/>
        </w:rPr>
        <w:t xml:space="preserve">two </w:t>
      </w:r>
      <w:r w:rsidR="00171A27" w:rsidRPr="00B94B57">
        <w:rPr>
          <w:rFonts w:ascii="Times New Roman" w:hAnsi="Times New Roman" w:cs="Times New Roman"/>
          <w:b w:val="0"/>
          <w:i w:val="0"/>
        </w:rPr>
        <w:t>TTS shippers.</w:t>
      </w:r>
    </w:p>
    <w:p w:rsidR="00AC1D3C" w:rsidRDefault="00AC1D3C" w:rsidP="00171A27">
      <w:pPr>
        <w:pStyle w:val="IssueHeading"/>
        <w:ind w:left="720"/>
      </w:pPr>
      <w:r>
        <w:t>Customers to whom Costs are currently Allocated versus Those to whom Costs are not Allocated</w:t>
      </w:r>
    </w:p>
    <w:p w:rsidR="00667884" w:rsidRPr="00B94B57" w:rsidRDefault="00D67028" w:rsidP="00AC1D3C">
      <w:pPr>
        <w:pStyle w:val="IssueHeading"/>
        <w:rPr>
          <w:rFonts w:ascii="Times New Roman" w:hAnsi="Times New Roman" w:cs="Times New Roman"/>
          <w:b w:val="0"/>
          <w:i w:val="0"/>
        </w:rPr>
      </w:pPr>
      <w:r w:rsidRPr="00B94B57">
        <w:rPr>
          <w:rFonts w:ascii="Times New Roman" w:hAnsi="Times New Roman" w:cs="Times New Roman"/>
          <w:b w:val="0"/>
          <w:i w:val="0"/>
        </w:rPr>
        <w:t xml:space="preserve">The Companies explained that because </w:t>
      </w:r>
      <w:r w:rsidR="006C192F" w:rsidRPr="00B94B57">
        <w:rPr>
          <w:rFonts w:ascii="Times New Roman" w:hAnsi="Times New Roman" w:cs="Times New Roman"/>
          <w:b w:val="0"/>
          <w:i w:val="0"/>
        </w:rPr>
        <w:t>currently no intrastate or LD</w:t>
      </w:r>
      <w:r w:rsidR="00667884" w:rsidRPr="00B94B57">
        <w:rPr>
          <w:rFonts w:ascii="Times New Roman" w:hAnsi="Times New Roman" w:cs="Times New Roman"/>
          <w:b w:val="0"/>
          <w:i w:val="0"/>
        </w:rPr>
        <w:t>C</w:t>
      </w:r>
      <w:r w:rsidR="006C192F" w:rsidRPr="00B94B57">
        <w:rPr>
          <w:rFonts w:ascii="Times New Roman" w:hAnsi="Times New Roman" w:cs="Times New Roman"/>
          <w:b w:val="0"/>
          <w:i w:val="0"/>
        </w:rPr>
        <w:t xml:space="preserve"> </w:t>
      </w:r>
      <w:r w:rsidR="008815B3" w:rsidRPr="00B94B57">
        <w:rPr>
          <w:rFonts w:ascii="Times New Roman" w:hAnsi="Times New Roman" w:cs="Times New Roman"/>
          <w:b w:val="0"/>
          <w:i w:val="0"/>
        </w:rPr>
        <w:t xml:space="preserve">interconnection </w:t>
      </w:r>
      <w:r w:rsidR="006C192F" w:rsidRPr="00B94B57">
        <w:rPr>
          <w:rFonts w:ascii="Times New Roman" w:hAnsi="Times New Roman" w:cs="Times New Roman"/>
          <w:b w:val="0"/>
          <w:i w:val="0"/>
        </w:rPr>
        <w:t>cap</w:t>
      </w:r>
      <w:r w:rsidR="00FC3DE8" w:rsidRPr="00B94B57">
        <w:rPr>
          <w:rFonts w:ascii="Times New Roman" w:hAnsi="Times New Roman" w:cs="Times New Roman"/>
          <w:b w:val="0"/>
          <w:i w:val="0"/>
        </w:rPr>
        <w:t xml:space="preserve">acity release mechanism exists, unreleased intrastate and LDC interconnection capacity </w:t>
      </w:r>
      <w:r w:rsidR="00603C0F" w:rsidRPr="00B94B57">
        <w:rPr>
          <w:rFonts w:ascii="Times New Roman" w:hAnsi="Times New Roman" w:cs="Times New Roman"/>
          <w:b w:val="0"/>
          <w:i w:val="0"/>
        </w:rPr>
        <w:t xml:space="preserve">costs </w:t>
      </w:r>
      <w:r w:rsidR="006C192F" w:rsidRPr="00B94B57">
        <w:rPr>
          <w:rFonts w:ascii="Times New Roman" w:hAnsi="Times New Roman" w:cs="Times New Roman"/>
          <w:b w:val="0"/>
          <w:i w:val="0"/>
        </w:rPr>
        <w:t xml:space="preserve">are </w:t>
      </w:r>
      <w:r w:rsidR="00603C0F" w:rsidRPr="00B94B57">
        <w:rPr>
          <w:rFonts w:ascii="Times New Roman" w:hAnsi="Times New Roman" w:cs="Times New Roman"/>
          <w:b w:val="0"/>
          <w:i w:val="0"/>
        </w:rPr>
        <w:t>being recovered solely from PGA and TTS pool customers, who are residential and small commercial customers. Large volume transportation customers</w:t>
      </w:r>
      <w:r w:rsidR="006C192F" w:rsidRPr="00B94B57">
        <w:rPr>
          <w:rFonts w:ascii="Times New Roman" w:hAnsi="Times New Roman" w:cs="Times New Roman"/>
          <w:b w:val="0"/>
          <w:i w:val="0"/>
        </w:rPr>
        <w:t xml:space="preserve"> outside the PGA and TTS pool</w:t>
      </w:r>
      <w:r w:rsidR="00667884" w:rsidRPr="00B94B57">
        <w:rPr>
          <w:rFonts w:ascii="Times New Roman" w:hAnsi="Times New Roman" w:cs="Times New Roman"/>
          <w:b w:val="0"/>
          <w:i w:val="0"/>
        </w:rPr>
        <w:t>s</w:t>
      </w:r>
      <w:r w:rsidR="00532927" w:rsidRPr="00B94B57">
        <w:rPr>
          <w:rFonts w:ascii="Times New Roman" w:hAnsi="Times New Roman" w:cs="Times New Roman"/>
          <w:b w:val="0"/>
          <w:i w:val="0"/>
        </w:rPr>
        <w:t xml:space="preserve"> do not bear costs even though they </w:t>
      </w:r>
      <w:r w:rsidR="00667884" w:rsidRPr="00B94B57">
        <w:rPr>
          <w:rFonts w:ascii="Times New Roman" w:hAnsi="Times New Roman" w:cs="Times New Roman"/>
          <w:b w:val="0"/>
          <w:i w:val="0"/>
        </w:rPr>
        <w:t>share in benefits from projects such as infrastructure upgrades.</w:t>
      </w:r>
    </w:p>
    <w:p w:rsidR="00A2156A" w:rsidRPr="00A2156A" w:rsidRDefault="00A2156A" w:rsidP="00AC1D3C">
      <w:pPr>
        <w:pStyle w:val="IssueHeading"/>
        <w:rPr>
          <w:b w:val="0"/>
        </w:rPr>
      </w:pPr>
      <w:r w:rsidRPr="00A2156A">
        <w:t>Evaluation of the Companies’ Proposal</w:t>
      </w:r>
    </w:p>
    <w:p w:rsidR="005D2479" w:rsidRPr="00B94B57" w:rsidRDefault="00A2156A" w:rsidP="00AC1D3C">
      <w:pPr>
        <w:pStyle w:val="IssueHeading"/>
        <w:rPr>
          <w:rFonts w:ascii="Times New Roman" w:hAnsi="Times New Roman" w:cs="Times New Roman"/>
          <w:b w:val="0"/>
          <w:i w:val="0"/>
        </w:rPr>
      </w:pPr>
      <w:r w:rsidRPr="00B94B57">
        <w:rPr>
          <w:rFonts w:ascii="Times New Roman" w:hAnsi="Times New Roman" w:cs="Times New Roman"/>
          <w:b w:val="0"/>
          <w:i w:val="0"/>
        </w:rPr>
        <w:t xml:space="preserve">In this docket, the Companies propose Phase I of an anticipated two-phase process that would change the way the Companies allocate unreleased intrastate </w:t>
      </w:r>
      <w:r w:rsidR="00FC3DE8" w:rsidRPr="00B94B57">
        <w:rPr>
          <w:rFonts w:ascii="Times New Roman" w:hAnsi="Times New Roman" w:cs="Times New Roman"/>
          <w:b w:val="0"/>
          <w:i w:val="0"/>
        </w:rPr>
        <w:t>and LDC interconnection capacity costs</w:t>
      </w:r>
      <w:r w:rsidRPr="00B94B57">
        <w:rPr>
          <w:rFonts w:ascii="Times New Roman" w:hAnsi="Times New Roman" w:cs="Times New Roman"/>
          <w:b w:val="0"/>
          <w:i w:val="0"/>
        </w:rPr>
        <w:t xml:space="preserve">. A subsequent filing in a future docket for Phase II would then propose to expand </w:t>
      </w:r>
      <w:r w:rsidR="009C181B" w:rsidRPr="00B94B57">
        <w:rPr>
          <w:rFonts w:ascii="Times New Roman" w:hAnsi="Times New Roman" w:cs="Times New Roman"/>
          <w:b w:val="0"/>
          <w:i w:val="0"/>
        </w:rPr>
        <w:t>the classes of customers from whom costs are recovered th</w:t>
      </w:r>
      <w:r w:rsidR="005D2479" w:rsidRPr="00B94B57">
        <w:rPr>
          <w:rFonts w:ascii="Times New Roman" w:hAnsi="Times New Roman" w:cs="Times New Roman"/>
          <w:b w:val="0"/>
          <w:i w:val="0"/>
        </w:rPr>
        <w:t>rough these mechanisms.</w:t>
      </w:r>
    </w:p>
    <w:p w:rsidR="00F230C7" w:rsidRPr="00B94B57" w:rsidRDefault="00603C0F" w:rsidP="00AC1D3C">
      <w:pPr>
        <w:pStyle w:val="IssueHeading"/>
        <w:rPr>
          <w:rFonts w:ascii="Times New Roman" w:hAnsi="Times New Roman" w:cs="Times New Roman"/>
          <w:b w:val="0"/>
          <w:i w:val="0"/>
        </w:rPr>
      </w:pPr>
      <w:r w:rsidRPr="00B94B57">
        <w:rPr>
          <w:rFonts w:ascii="Times New Roman" w:hAnsi="Times New Roman" w:cs="Times New Roman"/>
          <w:b w:val="0"/>
          <w:i w:val="0"/>
        </w:rPr>
        <w:t xml:space="preserve">Phase 1 as proposed in the instant docket would aggregate the unreleased intrastate and LDC interconnection capacity costs from the Companies and </w:t>
      </w:r>
      <w:r w:rsidR="001E76F5" w:rsidRPr="00B94B57">
        <w:rPr>
          <w:rFonts w:ascii="Times New Roman" w:hAnsi="Times New Roman" w:cs="Times New Roman"/>
          <w:b w:val="0"/>
          <w:i w:val="0"/>
        </w:rPr>
        <w:t xml:space="preserve">spread </w:t>
      </w:r>
      <w:r w:rsidRPr="00B94B57">
        <w:rPr>
          <w:rFonts w:ascii="Times New Roman" w:hAnsi="Times New Roman" w:cs="Times New Roman"/>
          <w:b w:val="0"/>
          <w:i w:val="0"/>
        </w:rPr>
        <w:t xml:space="preserve">those costs across all customers in the PGA and TTS pools. </w:t>
      </w:r>
      <w:r w:rsidR="001C4CE3" w:rsidRPr="00B94B57">
        <w:rPr>
          <w:rFonts w:ascii="Times New Roman" w:hAnsi="Times New Roman" w:cs="Times New Roman"/>
          <w:b w:val="0"/>
          <w:i w:val="0"/>
        </w:rPr>
        <w:t xml:space="preserve">The Companies are not proposing tariff amendments </w:t>
      </w:r>
      <w:r w:rsidR="00790231" w:rsidRPr="00B94B57">
        <w:rPr>
          <w:rFonts w:ascii="Times New Roman" w:hAnsi="Times New Roman" w:cs="Times New Roman"/>
          <w:b w:val="0"/>
          <w:i w:val="0"/>
        </w:rPr>
        <w:t xml:space="preserve">in conjunction with </w:t>
      </w:r>
      <w:r w:rsidR="001C4CE3" w:rsidRPr="00B94B57">
        <w:rPr>
          <w:rFonts w:ascii="Times New Roman" w:hAnsi="Times New Roman" w:cs="Times New Roman"/>
          <w:b w:val="0"/>
          <w:i w:val="0"/>
        </w:rPr>
        <w:t>the change at this time.</w:t>
      </w:r>
      <w:r w:rsidR="00D302A3" w:rsidRPr="00B94B57">
        <w:rPr>
          <w:rFonts w:ascii="Times New Roman" w:hAnsi="Times New Roman" w:cs="Times New Roman"/>
          <w:b w:val="0"/>
          <w:i w:val="0"/>
        </w:rPr>
        <w:t xml:space="preserve"> The tariff components, as well as the way the recovery mechanisms are billed to customers, will not change. If approved, the change in allocation would simply be an accounting change </w:t>
      </w:r>
      <w:r w:rsidR="00E3023D" w:rsidRPr="00B94B57">
        <w:rPr>
          <w:rFonts w:ascii="Times New Roman" w:hAnsi="Times New Roman" w:cs="Times New Roman"/>
          <w:b w:val="0"/>
          <w:i w:val="0"/>
        </w:rPr>
        <w:t xml:space="preserve">reflected in the allocations across the Companies’ respective books. </w:t>
      </w:r>
    </w:p>
    <w:p w:rsidR="00DB04C9" w:rsidRPr="00B94B57" w:rsidRDefault="00F230C7" w:rsidP="00AC1D3C">
      <w:pPr>
        <w:pStyle w:val="IssueHeading"/>
        <w:rPr>
          <w:rFonts w:ascii="Times New Roman" w:hAnsi="Times New Roman" w:cs="Times New Roman"/>
          <w:b w:val="0"/>
          <w:i w:val="0"/>
        </w:rPr>
      </w:pPr>
      <w:r w:rsidRPr="00B94B57">
        <w:rPr>
          <w:rFonts w:ascii="Times New Roman" w:hAnsi="Times New Roman" w:cs="Times New Roman"/>
          <w:b w:val="0"/>
          <w:i w:val="0"/>
        </w:rPr>
        <w:t xml:space="preserve">Benefits cited by the Companies in support of the proposal include the ability to allocate </w:t>
      </w:r>
      <w:r w:rsidR="00FC3DE8" w:rsidRPr="00B94B57">
        <w:rPr>
          <w:rFonts w:ascii="Times New Roman" w:hAnsi="Times New Roman" w:cs="Times New Roman"/>
          <w:b w:val="0"/>
          <w:i w:val="0"/>
        </w:rPr>
        <w:t>unreleased intrastate and LDC interconnection capacity costs</w:t>
      </w:r>
      <w:r w:rsidRPr="00B94B57">
        <w:rPr>
          <w:rFonts w:ascii="Times New Roman" w:hAnsi="Times New Roman" w:cs="Times New Roman"/>
          <w:b w:val="0"/>
          <w:i w:val="0"/>
        </w:rPr>
        <w:t xml:space="preserve"> across a larger body of customers, thereby reducing the impacts to customers of individual systems as a result of infrastructure upgrades. For example, the </w:t>
      </w:r>
      <w:r w:rsidR="00FC3DE8" w:rsidRPr="00B94B57">
        <w:rPr>
          <w:rFonts w:ascii="Times New Roman" w:hAnsi="Times New Roman" w:cs="Times New Roman"/>
          <w:b w:val="0"/>
          <w:i w:val="0"/>
        </w:rPr>
        <w:t xml:space="preserve">unreleased </w:t>
      </w:r>
      <w:r w:rsidRPr="00B94B57">
        <w:rPr>
          <w:rFonts w:ascii="Times New Roman" w:hAnsi="Times New Roman" w:cs="Times New Roman"/>
          <w:b w:val="0"/>
          <w:i w:val="0"/>
        </w:rPr>
        <w:t xml:space="preserve">intrastate capacity costs associated with </w:t>
      </w:r>
      <w:r w:rsidR="00520B0B" w:rsidRPr="00B94B57">
        <w:rPr>
          <w:rFonts w:ascii="Times New Roman" w:hAnsi="Times New Roman" w:cs="Times New Roman"/>
          <w:b w:val="0"/>
          <w:i w:val="0"/>
        </w:rPr>
        <w:t>Chesapeake</w:t>
      </w:r>
      <w:r w:rsidRPr="00B94B57">
        <w:rPr>
          <w:rFonts w:ascii="Times New Roman" w:hAnsi="Times New Roman" w:cs="Times New Roman"/>
          <w:b w:val="0"/>
          <w:i w:val="0"/>
        </w:rPr>
        <w:t xml:space="preserve">’s Haines City project would be </w:t>
      </w:r>
      <w:r w:rsidR="003F44CC" w:rsidRPr="00B94B57">
        <w:rPr>
          <w:rFonts w:ascii="Times New Roman" w:hAnsi="Times New Roman" w:cs="Times New Roman"/>
          <w:b w:val="0"/>
          <w:i w:val="0"/>
        </w:rPr>
        <w:t xml:space="preserve">allocated across a larger body of customers, thereby reducing the </w:t>
      </w:r>
      <w:r w:rsidR="003F44CC" w:rsidRPr="00B94B57">
        <w:rPr>
          <w:rFonts w:ascii="Times New Roman" w:hAnsi="Times New Roman" w:cs="Times New Roman"/>
          <w:b w:val="0"/>
          <w:i w:val="0"/>
        </w:rPr>
        <w:lastRenderedPageBreak/>
        <w:t xml:space="preserve">impact on </w:t>
      </w:r>
      <w:r w:rsidR="00520B0B" w:rsidRPr="00B94B57">
        <w:rPr>
          <w:rFonts w:ascii="Times New Roman" w:hAnsi="Times New Roman" w:cs="Times New Roman"/>
          <w:b w:val="0"/>
          <w:i w:val="0"/>
        </w:rPr>
        <w:t>Chesapeake</w:t>
      </w:r>
      <w:r w:rsidR="003F44CC" w:rsidRPr="00B94B57">
        <w:rPr>
          <w:rFonts w:ascii="Times New Roman" w:hAnsi="Times New Roman" w:cs="Times New Roman"/>
          <w:b w:val="0"/>
          <w:i w:val="0"/>
        </w:rPr>
        <w:t>’s TTS pool shippers and customers</w:t>
      </w:r>
      <w:r w:rsidR="00585551" w:rsidRPr="00B94B57">
        <w:rPr>
          <w:rFonts w:ascii="Times New Roman" w:hAnsi="Times New Roman" w:cs="Times New Roman"/>
          <w:b w:val="0"/>
          <w:i w:val="0"/>
        </w:rPr>
        <w:t>; i</w:t>
      </w:r>
      <w:r w:rsidR="00C2659B" w:rsidRPr="00B94B57">
        <w:rPr>
          <w:rFonts w:ascii="Times New Roman" w:hAnsi="Times New Roman" w:cs="Times New Roman"/>
          <w:b w:val="0"/>
          <w:i w:val="0"/>
        </w:rPr>
        <w:t>n addition</w:t>
      </w:r>
      <w:r w:rsidR="0000078F" w:rsidRPr="00B94B57">
        <w:rPr>
          <w:rFonts w:ascii="Times New Roman" w:hAnsi="Times New Roman" w:cs="Times New Roman"/>
          <w:b w:val="0"/>
          <w:i w:val="0"/>
        </w:rPr>
        <w:t xml:space="preserve">, </w:t>
      </w:r>
      <w:r w:rsidR="00FC3DE8" w:rsidRPr="00B94B57">
        <w:rPr>
          <w:rFonts w:ascii="Times New Roman" w:hAnsi="Times New Roman" w:cs="Times New Roman"/>
          <w:b w:val="0"/>
          <w:i w:val="0"/>
        </w:rPr>
        <w:t xml:space="preserve">unreleased </w:t>
      </w:r>
      <w:r w:rsidR="00C2659B" w:rsidRPr="00B94B57">
        <w:rPr>
          <w:rFonts w:ascii="Times New Roman" w:hAnsi="Times New Roman" w:cs="Times New Roman"/>
          <w:b w:val="0"/>
          <w:i w:val="0"/>
        </w:rPr>
        <w:t>capacity costs associated with recent large projects on FPUC’s system, such as the Nassau County extension</w:t>
      </w:r>
      <w:r w:rsidR="00397646" w:rsidRPr="00B94B57">
        <w:rPr>
          <w:rFonts w:ascii="Times New Roman" w:hAnsi="Times New Roman" w:cs="Times New Roman"/>
          <w:b w:val="0"/>
          <w:i w:val="0"/>
        </w:rPr>
        <w:t xml:space="preserve"> and the project in Palm Beach County</w:t>
      </w:r>
      <w:r w:rsidR="00345598" w:rsidRPr="00B94B57">
        <w:rPr>
          <w:rFonts w:ascii="Times New Roman" w:hAnsi="Times New Roman" w:cs="Times New Roman"/>
          <w:b w:val="0"/>
          <w:i w:val="0"/>
        </w:rPr>
        <w:t xml:space="preserve"> also would be allocated across a broader base of custo</w:t>
      </w:r>
      <w:r w:rsidR="00A73711" w:rsidRPr="00B94B57">
        <w:rPr>
          <w:rFonts w:ascii="Times New Roman" w:hAnsi="Times New Roman" w:cs="Times New Roman"/>
          <w:b w:val="0"/>
          <w:i w:val="0"/>
        </w:rPr>
        <w:t>mers.</w:t>
      </w:r>
      <w:r w:rsidR="001623FB" w:rsidRPr="00B94B57">
        <w:rPr>
          <w:rStyle w:val="FootnoteReference"/>
          <w:rFonts w:ascii="Times New Roman" w:hAnsi="Times New Roman" w:cs="Times New Roman"/>
          <w:b w:val="0"/>
          <w:i w:val="0"/>
        </w:rPr>
        <w:footnoteReference w:id="10"/>
      </w:r>
      <w:r w:rsidR="006136B0" w:rsidRPr="00B94B57">
        <w:rPr>
          <w:rFonts w:ascii="Times New Roman" w:hAnsi="Times New Roman" w:cs="Times New Roman"/>
          <w:b w:val="0"/>
          <w:i w:val="0"/>
        </w:rPr>
        <w:t xml:space="preserve"> </w:t>
      </w:r>
      <w:r w:rsidR="00A73711" w:rsidRPr="00B94B57">
        <w:rPr>
          <w:rFonts w:ascii="Times New Roman" w:hAnsi="Times New Roman" w:cs="Times New Roman"/>
          <w:b w:val="0"/>
          <w:i w:val="0"/>
        </w:rPr>
        <w:t xml:space="preserve">The Companies assert that the proposed allocation methodology would result in a more equitable allocation of costs and the ability to better balance the costs of individual projects across the entire </w:t>
      </w:r>
      <w:r w:rsidR="00520B0B" w:rsidRPr="00B94B57">
        <w:rPr>
          <w:rFonts w:ascii="Times New Roman" w:hAnsi="Times New Roman" w:cs="Times New Roman"/>
          <w:b w:val="0"/>
          <w:i w:val="0"/>
        </w:rPr>
        <w:t>Chesapeake</w:t>
      </w:r>
      <w:r w:rsidR="00A73711" w:rsidRPr="00B94B57">
        <w:rPr>
          <w:rFonts w:ascii="Times New Roman" w:hAnsi="Times New Roman" w:cs="Times New Roman"/>
          <w:b w:val="0"/>
          <w:i w:val="0"/>
        </w:rPr>
        <w:t xml:space="preserve"> Florida system, instead o</w:t>
      </w:r>
      <w:r w:rsidR="0085351C" w:rsidRPr="00B94B57">
        <w:rPr>
          <w:rFonts w:ascii="Times New Roman" w:hAnsi="Times New Roman" w:cs="Times New Roman"/>
          <w:b w:val="0"/>
          <w:i w:val="0"/>
        </w:rPr>
        <w:t>f on a system-by-system basis.</w:t>
      </w:r>
    </w:p>
    <w:p w:rsidR="00DB04C9" w:rsidRDefault="00DB04C9" w:rsidP="00AC1D3C">
      <w:pPr>
        <w:pStyle w:val="IssueHeading"/>
        <w:rPr>
          <w:b w:val="0"/>
        </w:rPr>
      </w:pPr>
      <w:r w:rsidRPr="0097702F">
        <w:t>Customer Impacts</w:t>
      </w:r>
    </w:p>
    <w:p w:rsidR="009B2430" w:rsidRPr="00B94B57" w:rsidRDefault="00A73711" w:rsidP="00AC1D3C">
      <w:pPr>
        <w:pStyle w:val="IssueHeading"/>
        <w:rPr>
          <w:rFonts w:ascii="Times New Roman" w:hAnsi="Times New Roman" w:cs="Times New Roman"/>
          <w:b w:val="0"/>
          <w:i w:val="0"/>
        </w:rPr>
      </w:pPr>
      <w:r w:rsidRPr="00B94B57">
        <w:rPr>
          <w:rFonts w:ascii="Times New Roman" w:hAnsi="Times New Roman" w:cs="Times New Roman"/>
          <w:b w:val="0"/>
          <w:i w:val="0"/>
        </w:rPr>
        <w:t xml:space="preserve">The Companies estimate the impact to aggregate </w:t>
      </w:r>
      <w:r w:rsidR="007361F1" w:rsidRPr="00B94B57">
        <w:rPr>
          <w:rFonts w:ascii="Times New Roman" w:hAnsi="Times New Roman" w:cs="Times New Roman"/>
          <w:b w:val="0"/>
          <w:i w:val="0"/>
        </w:rPr>
        <w:t xml:space="preserve">all </w:t>
      </w:r>
      <w:r w:rsidRPr="00B94B57">
        <w:rPr>
          <w:rFonts w:ascii="Times New Roman" w:hAnsi="Times New Roman" w:cs="Times New Roman"/>
          <w:b w:val="0"/>
          <w:i w:val="0"/>
        </w:rPr>
        <w:t xml:space="preserve">the unreleased </w:t>
      </w:r>
      <w:r w:rsidR="00426F6D" w:rsidRPr="00B94B57">
        <w:rPr>
          <w:rFonts w:ascii="Times New Roman" w:hAnsi="Times New Roman" w:cs="Times New Roman"/>
          <w:b w:val="0"/>
          <w:i w:val="0"/>
        </w:rPr>
        <w:t>intrastate</w:t>
      </w:r>
      <w:r w:rsidRPr="00B94B57">
        <w:rPr>
          <w:rFonts w:ascii="Times New Roman" w:hAnsi="Times New Roman" w:cs="Times New Roman"/>
          <w:b w:val="0"/>
          <w:i w:val="0"/>
        </w:rPr>
        <w:t xml:space="preserve"> and LDC interconnection </w:t>
      </w:r>
      <w:r w:rsidR="00426F6D" w:rsidRPr="00B94B57">
        <w:rPr>
          <w:rFonts w:ascii="Times New Roman" w:hAnsi="Times New Roman" w:cs="Times New Roman"/>
          <w:b w:val="0"/>
          <w:i w:val="0"/>
        </w:rPr>
        <w:t>capacity</w:t>
      </w:r>
      <w:r w:rsidRPr="00B94B57">
        <w:rPr>
          <w:rFonts w:ascii="Times New Roman" w:hAnsi="Times New Roman" w:cs="Times New Roman"/>
          <w:b w:val="0"/>
          <w:i w:val="0"/>
        </w:rPr>
        <w:t xml:space="preserve"> costs across the entire </w:t>
      </w:r>
      <w:r w:rsidR="00520B0B" w:rsidRPr="00B94B57">
        <w:rPr>
          <w:rFonts w:ascii="Times New Roman" w:hAnsi="Times New Roman" w:cs="Times New Roman"/>
          <w:b w:val="0"/>
          <w:i w:val="0"/>
        </w:rPr>
        <w:t>Chesapeake</w:t>
      </w:r>
      <w:r w:rsidRPr="00B94B57">
        <w:rPr>
          <w:rFonts w:ascii="Times New Roman" w:hAnsi="Times New Roman" w:cs="Times New Roman"/>
          <w:b w:val="0"/>
          <w:i w:val="0"/>
        </w:rPr>
        <w:t xml:space="preserve"> Florida system would </w:t>
      </w:r>
      <w:r w:rsidR="00F738AF" w:rsidRPr="00B94B57">
        <w:rPr>
          <w:rFonts w:ascii="Times New Roman" w:hAnsi="Times New Roman" w:cs="Times New Roman"/>
          <w:b w:val="0"/>
          <w:i w:val="0"/>
        </w:rPr>
        <w:t xml:space="preserve">be </w:t>
      </w:r>
      <w:r w:rsidRPr="00B94B57">
        <w:rPr>
          <w:rFonts w:ascii="Times New Roman" w:hAnsi="Times New Roman" w:cs="Times New Roman"/>
          <w:b w:val="0"/>
          <w:i w:val="0"/>
        </w:rPr>
        <w:t>an approximate increase of 2</w:t>
      </w:r>
      <w:r w:rsidR="00655398" w:rsidRPr="00B94B57">
        <w:rPr>
          <w:rFonts w:ascii="Times New Roman" w:hAnsi="Times New Roman" w:cs="Times New Roman"/>
          <w:b w:val="0"/>
          <w:i w:val="0"/>
        </w:rPr>
        <w:t>.</w:t>
      </w:r>
      <w:r w:rsidRPr="00B94B57">
        <w:rPr>
          <w:rFonts w:ascii="Times New Roman" w:hAnsi="Times New Roman" w:cs="Times New Roman"/>
          <w:b w:val="0"/>
          <w:i w:val="0"/>
        </w:rPr>
        <w:t>5</w:t>
      </w:r>
      <w:r w:rsidR="00655398" w:rsidRPr="00B94B57">
        <w:rPr>
          <w:rFonts w:ascii="Times New Roman" w:hAnsi="Times New Roman" w:cs="Times New Roman"/>
          <w:b w:val="0"/>
          <w:i w:val="0"/>
        </w:rPr>
        <w:t xml:space="preserve"> cents</w:t>
      </w:r>
      <w:r w:rsidRPr="00B94B57">
        <w:rPr>
          <w:rFonts w:ascii="Times New Roman" w:hAnsi="Times New Roman" w:cs="Times New Roman"/>
          <w:b w:val="0"/>
          <w:i w:val="0"/>
        </w:rPr>
        <w:t xml:space="preserve"> per therm to the PGA</w:t>
      </w:r>
      <w:r w:rsidR="00DC2E88" w:rsidRPr="00B94B57">
        <w:rPr>
          <w:rFonts w:ascii="Times New Roman" w:hAnsi="Times New Roman" w:cs="Times New Roman"/>
          <w:b w:val="0"/>
          <w:i w:val="0"/>
        </w:rPr>
        <w:t xml:space="preserve"> factor</w:t>
      </w:r>
      <w:r w:rsidRPr="00B94B57">
        <w:rPr>
          <w:rFonts w:ascii="Times New Roman" w:hAnsi="Times New Roman" w:cs="Times New Roman"/>
          <w:b w:val="0"/>
          <w:i w:val="0"/>
        </w:rPr>
        <w:t>.</w:t>
      </w:r>
      <w:r w:rsidRPr="00B94B57">
        <w:rPr>
          <w:rStyle w:val="FootnoteReference"/>
          <w:rFonts w:ascii="Times New Roman" w:hAnsi="Times New Roman" w:cs="Times New Roman"/>
          <w:b w:val="0"/>
          <w:i w:val="0"/>
        </w:rPr>
        <w:footnoteReference w:id="11"/>
      </w:r>
      <w:r w:rsidRPr="00B94B57">
        <w:rPr>
          <w:rFonts w:ascii="Times New Roman" w:hAnsi="Times New Roman" w:cs="Times New Roman"/>
          <w:b w:val="0"/>
          <w:i w:val="0"/>
        </w:rPr>
        <w:t xml:space="preserve"> </w:t>
      </w:r>
      <w:r w:rsidR="00520B0B" w:rsidRPr="00B94B57">
        <w:rPr>
          <w:rFonts w:ascii="Times New Roman" w:hAnsi="Times New Roman" w:cs="Times New Roman"/>
          <w:b w:val="0"/>
          <w:i w:val="0"/>
        </w:rPr>
        <w:t>Chesapeake</w:t>
      </w:r>
      <w:r w:rsidR="00F738AF" w:rsidRPr="00B94B57">
        <w:rPr>
          <w:rFonts w:ascii="Times New Roman" w:hAnsi="Times New Roman" w:cs="Times New Roman"/>
          <w:b w:val="0"/>
          <w:i w:val="0"/>
        </w:rPr>
        <w:t xml:space="preserve">’s TTS pool shippers would see a reduction in the unreleased intrastate and LDC interconnection capacity costs allocated to them, resulting in </w:t>
      </w:r>
      <w:r w:rsidR="000B6AEB" w:rsidRPr="00B94B57">
        <w:rPr>
          <w:rFonts w:ascii="Times New Roman" w:hAnsi="Times New Roman" w:cs="Times New Roman"/>
          <w:b w:val="0"/>
          <w:i w:val="0"/>
        </w:rPr>
        <w:t xml:space="preserve">potential </w:t>
      </w:r>
      <w:r w:rsidR="00F738AF" w:rsidRPr="00B94B57">
        <w:rPr>
          <w:rFonts w:ascii="Times New Roman" w:hAnsi="Times New Roman" w:cs="Times New Roman"/>
          <w:b w:val="0"/>
          <w:i w:val="0"/>
        </w:rPr>
        <w:t xml:space="preserve">savings to the TTS pool customers. </w:t>
      </w:r>
      <w:r w:rsidR="009B2430" w:rsidRPr="00B94B57">
        <w:rPr>
          <w:rFonts w:ascii="Times New Roman" w:hAnsi="Times New Roman" w:cs="Times New Roman"/>
          <w:b w:val="0"/>
          <w:i w:val="0"/>
        </w:rPr>
        <w:t>The Companies further state that the proposed allocation methodology would not require FPUC to exceed its currently established PGA cap</w:t>
      </w:r>
      <w:r w:rsidR="0024706A" w:rsidRPr="00B94B57">
        <w:rPr>
          <w:rFonts w:ascii="Times New Roman" w:hAnsi="Times New Roman" w:cs="Times New Roman"/>
          <w:b w:val="0"/>
          <w:i w:val="0"/>
        </w:rPr>
        <w:t xml:space="preserve"> (98.747 cents per therm)</w:t>
      </w:r>
      <w:r w:rsidR="009B2430" w:rsidRPr="00B94B57">
        <w:rPr>
          <w:rFonts w:ascii="Times New Roman" w:hAnsi="Times New Roman" w:cs="Times New Roman"/>
          <w:b w:val="0"/>
          <w:i w:val="0"/>
        </w:rPr>
        <w:t xml:space="preserve">. </w:t>
      </w:r>
      <w:r w:rsidR="00655398" w:rsidRPr="00B94B57">
        <w:rPr>
          <w:rFonts w:ascii="Times New Roman" w:hAnsi="Times New Roman" w:cs="Times New Roman"/>
          <w:b w:val="0"/>
          <w:i w:val="0"/>
        </w:rPr>
        <w:t>Staff notes that the actual PGA factor billed to customers varies monthly; i</w:t>
      </w:r>
      <w:r w:rsidR="009B2430" w:rsidRPr="00B94B57">
        <w:rPr>
          <w:rFonts w:ascii="Times New Roman" w:hAnsi="Times New Roman" w:cs="Times New Roman"/>
          <w:b w:val="0"/>
          <w:i w:val="0"/>
        </w:rPr>
        <w:t xml:space="preserve">f </w:t>
      </w:r>
      <w:r w:rsidR="00655398" w:rsidRPr="00B94B57">
        <w:rPr>
          <w:rFonts w:ascii="Times New Roman" w:hAnsi="Times New Roman" w:cs="Times New Roman"/>
          <w:b w:val="0"/>
          <w:i w:val="0"/>
        </w:rPr>
        <w:t xml:space="preserve">this petition is </w:t>
      </w:r>
      <w:r w:rsidR="009B2430" w:rsidRPr="00B94B57">
        <w:rPr>
          <w:rFonts w:ascii="Times New Roman" w:hAnsi="Times New Roman" w:cs="Times New Roman"/>
          <w:b w:val="0"/>
          <w:i w:val="0"/>
        </w:rPr>
        <w:t xml:space="preserve">approved, </w:t>
      </w:r>
      <w:r w:rsidR="00655398" w:rsidRPr="00B94B57">
        <w:rPr>
          <w:rFonts w:ascii="Times New Roman" w:hAnsi="Times New Roman" w:cs="Times New Roman"/>
          <w:b w:val="0"/>
          <w:i w:val="0"/>
        </w:rPr>
        <w:t>the first adjustment to the PGA factor billed would take effect in September 2015</w:t>
      </w:r>
      <w:r w:rsidR="009B2430" w:rsidRPr="00B94B57">
        <w:rPr>
          <w:rFonts w:ascii="Times New Roman" w:hAnsi="Times New Roman" w:cs="Times New Roman"/>
          <w:b w:val="0"/>
          <w:i w:val="0"/>
        </w:rPr>
        <w:t>.</w:t>
      </w:r>
    </w:p>
    <w:p w:rsidR="008E584D" w:rsidRPr="008E584D" w:rsidRDefault="008E584D" w:rsidP="00AC1D3C">
      <w:pPr>
        <w:pStyle w:val="IssueHeading"/>
        <w:rPr>
          <w:b w:val="0"/>
        </w:rPr>
      </w:pPr>
      <w:r w:rsidRPr="008E584D">
        <w:t>Preview of Phase II</w:t>
      </w:r>
    </w:p>
    <w:p w:rsidR="00716D08" w:rsidRPr="00B94B57" w:rsidRDefault="00991706" w:rsidP="00AC1D3C">
      <w:pPr>
        <w:pStyle w:val="IssueHeading"/>
        <w:rPr>
          <w:rFonts w:ascii="Times New Roman" w:hAnsi="Times New Roman" w:cs="Times New Roman"/>
          <w:b w:val="0"/>
          <w:i w:val="0"/>
        </w:rPr>
      </w:pPr>
      <w:r w:rsidRPr="00B94B57">
        <w:rPr>
          <w:rFonts w:ascii="Times New Roman" w:hAnsi="Times New Roman" w:cs="Times New Roman"/>
          <w:b w:val="0"/>
          <w:i w:val="0"/>
        </w:rPr>
        <w:t xml:space="preserve">In Phase II, the Companies would propose that the allocation of these costs be expanded to include transportation service customers on FPUC’s system (i.e., customers who are not part of the current PGA mechanism) as well as shippers on </w:t>
      </w:r>
      <w:r w:rsidR="00520B0B" w:rsidRPr="00B94B57">
        <w:rPr>
          <w:rFonts w:ascii="Times New Roman" w:hAnsi="Times New Roman" w:cs="Times New Roman"/>
          <w:b w:val="0"/>
          <w:i w:val="0"/>
        </w:rPr>
        <w:t>Chesapeake</w:t>
      </w:r>
      <w:r w:rsidRPr="00B94B57">
        <w:rPr>
          <w:rFonts w:ascii="Times New Roman" w:hAnsi="Times New Roman" w:cs="Times New Roman"/>
          <w:b w:val="0"/>
          <w:i w:val="0"/>
        </w:rPr>
        <w:t>’s system that are not part of the TTS pool</w:t>
      </w:r>
      <w:r w:rsidR="00426F6D" w:rsidRPr="00B94B57">
        <w:rPr>
          <w:rFonts w:ascii="Times New Roman" w:hAnsi="Times New Roman" w:cs="Times New Roman"/>
          <w:b w:val="0"/>
          <w:i w:val="0"/>
        </w:rPr>
        <w:t>s</w:t>
      </w:r>
      <w:r w:rsidRPr="00B94B57">
        <w:rPr>
          <w:rFonts w:ascii="Times New Roman" w:hAnsi="Times New Roman" w:cs="Times New Roman"/>
          <w:b w:val="0"/>
          <w:i w:val="0"/>
        </w:rPr>
        <w:t xml:space="preserve">. The Companies believe that these customers ultimately should bear their fair portion </w:t>
      </w:r>
      <w:r w:rsidR="009E45EF" w:rsidRPr="00B94B57">
        <w:rPr>
          <w:rFonts w:ascii="Times New Roman" w:hAnsi="Times New Roman" w:cs="Times New Roman"/>
          <w:b w:val="0"/>
          <w:i w:val="0"/>
        </w:rPr>
        <w:t xml:space="preserve">of the intrastate capacity costs; however, the Companies recognize that shippers for these larger classes of customers provide service under contracts that will likely need to be amended to adjust for revised cost allocations. Thus, the Companies will seek Commission approval of Phase II in a separate docket with a suggested future implementation date. This would allow the Companies time to conduct meetings with shippers who would be affected, as well as </w:t>
      </w:r>
      <w:r w:rsidR="002424F7" w:rsidRPr="00B94B57">
        <w:rPr>
          <w:rFonts w:ascii="Times New Roman" w:hAnsi="Times New Roman" w:cs="Times New Roman"/>
          <w:b w:val="0"/>
          <w:i w:val="0"/>
        </w:rPr>
        <w:t xml:space="preserve">time for these shippers to pursue contract amendments with their customers as may be necessary. </w:t>
      </w:r>
      <w:r w:rsidR="007413C3" w:rsidRPr="00B94B57">
        <w:rPr>
          <w:rFonts w:ascii="Times New Roman" w:hAnsi="Times New Roman" w:cs="Times New Roman"/>
          <w:b w:val="0"/>
          <w:i w:val="0"/>
        </w:rPr>
        <w:t xml:space="preserve">The Companies held an initial shipper’s meeting in May 2015. </w:t>
      </w:r>
      <w:r w:rsidR="00716D08" w:rsidRPr="00B94B57">
        <w:rPr>
          <w:rFonts w:ascii="Times New Roman" w:hAnsi="Times New Roman" w:cs="Times New Roman"/>
          <w:b w:val="0"/>
          <w:i w:val="0"/>
        </w:rPr>
        <w:t>Staff intends to work with the industry to develop a plan for Commission approval that addresses a fairer allocation methodology of assigning intrastate transportation costs.</w:t>
      </w:r>
    </w:p>
    <w:p w:rsidR="00716D08" w:rsidRPr="00716D08" w:rsidRDefault="00716D08" w:rsidP="00AC1D3C">
      <w:pPr>
        <w:pStyle w:val="IssueHeading"/>
        <w:rPr>
          <w:b w:val="0"/>
        </w:rPr>
      </w:pPr>
      <w:r w:rsidRPr="00716D08">
        <w:t>Conclusion</w:t>
      </w:r>
    </w:p>
    <w:p w:rsidR="00C72C9D" w:rsidRDefault="00716D08" w:rsidP="00601E96">
      <w:pPr>
        <w:pStyle w:val="IssueHeading"/>
      </w:pPr>
      <w:r w:rsidRPr="00B94B57">
        <w:rPr>
          <w:rFonts w:ascii="Times New Roman" w:hAnsi="Times New Roman" w:cs="Times New Roman"/>
          <w:b w:val="0"/>
          <w:i w:val="0"/>
        </w:rPr>
        <w:lastRenderedPageBreak/>
        <w:t xml:space="preserve">The modified cost allocation methodology and resulting revisions to the PGA factor calculation would enable the Companies to have the ability to better balance the costs of individual projects across the entire </w:t>
      </w:r>
      <w:r w:rsidR="00520B0B" w:rsidRPr="00B94B57">
        <w:rPr>
          <w:rFonts w:ascii="Times New Roman" w:hAnsi="Times New Roman" w:cs="Times New Roman"/>
          <w:b w:val="0"/>
          <w:i w:val="0"/>
        </w:rPr>
        <w:t>Chesapeake</w:t>
      </w:r>
      <w:r w:rsidRPr="00B94B57">
        <w:rPr>
          <w:rFonts w:ascii="Times New Roman" w:hAnsi="Times New Roman" w:cs="Times New Roman"/>
          <w:b w:val="0"/>
          <w:i w:val="0"/>
        </w:rPr>
        <w:t xml:space="preserve"> Florida system, rather than on a system-by-system basis. Therefore, staff recommends approval of the Companies’ proposal</w:t>
      </w:r>
      <w:r>
        <w:rPr>
          <w:rFonts w:ascii="Times New Roman" w:hAnsi="Times New Roman" w:cs="Times New Roman"/>
        </w:rPr>
        <w:t>.</w:t>
      </w:r>
      <w:r w:rsidR="00C72C9D">
        <w:br w:type="page"/>
      </w:r>
      <w:r w:rsidR="00C72C9D" w:rsidRPr="00C72C9D">
        <w:lastRenderedPageBreak/>
        <w:t xml:space="preserve">Issue </w:t>
      </w:r>
      <w:fldSimple w:instr=" SEQ Issue \* MERGEFORMAT ">
        <w:r w:rsidR="007B549F">
          <w:rPr>
            <w:noProof/>
          </w:rPr>
          <w:t>2</w:t>
        </w:r>
      </w:fldSimple>
      <w:r w:rsidR="00C72C9D" w:rsidRPr="00C72C9D">
        <w:t>:</w:t>
      </w:r>
      <w:r w:rsidR="00C72C9D">
        <w:fldChar w:fldCharType="begin"/>
      </w:r>
      <w:r w:rsidR="00C72C9D">
        <w:instrText xml:space="preserve"> TC "</w:instrText>
      </w:r>
      <w:r w:rsidR="00C72C9D">
        <w:fldChar w:fldCharType="begin"/>
      </w:r>
      <w:r w:rsidR="00C72C9D">
        <w:instrText xml:space="preserve"> SEQ issue \c </w:instrText>
      </w:r>
      <w:r w:rsidR="00C72C9D">
        <w:fldChar w:fldCharType="separate"/>
      </w:r>
      <w:r w:rsidR="007B549F">
        <w:rPr>
          <w:noProof/>
        </w:rPr>
        <w:instrText>2</w:instrText>
      </w:r>
      <w:r w:rsidR="00C72C9D">
        <w:fldChar w:fldCharType="end"/>
      </w:r>
      <w:r w:rsidR="00C72C9D">
        <w:tab/>
        <w:instrText xml:space="preserve">(Mapp)" \l 1 </w:instrText>
      </w:r>
      <w:r w:rsidR="00C72C9D">
        <w:fldChar w:fldCharType="end"/>
      </w:r>
      <w:r w:rsidR="00C72C9D">
        <w:t>  </w:t>
      </w:r>
      <w:r w:rsidR="00C72C9D" w:rsidRPr="00601E96">
        <w:rPr>
          <w:rFonts w:ascii="Times New Roman" w:hAnsi="Times New Roman" w:cs="Times New Roman"/>
          <w:bCs w:val="0"/>
          <w:kern w:val="0"/>
          <w:szCs w:val="24"/>
        </w:rPr>
        <w:t>Should this docket be closed?</w:t>
      </w:r>
    </w:p>
    <w:p w:rsidR="00C72C9D" w:rsidRDefault="00C72C9D">
      <w:pPr>
        <w:pStyle w:val="IssueSubsectionHeading"/>
        <w:rPr>
          <w:vanish/>
          <w:specVanish/>
        </w:rPr>
      </w:pPr>
      <w:r w:rsidRPr="00C72C9D">
        <w:t>Recommendation:</w:t>
      </w:r>
      <w:r>
        <w:t> </w:t>
      </w:r>
    </w:p>
    <w:p w:rsidR="00C72C9D" w:rsidRDefault="00C72C9D">
      <w:pPr>
        <w:pStyle w:val="BodyText"/>
      </w:pPr>
      <w:r>
        <w:t xml:space="preserve"> Yes. </w:t>
      </w:r>
      <w:r w:rsidR="00EB2E3C">
        <w:t>If no protest is filed by a person whose substantial interests are affected within 21 days of the issuance of the Order, this docket should be closed upon the issuance of a Consummating Order.</w:t>
      </w:r>
      <w:r>
        <w:t xml:space="preserve"> (Mapp)</w:t>
      </w:r>
    </w:p>
    <w:p w:rsidR="00C72C9D" w:rsidRDefault="00C72C9D">
      <w:pPr>
        <w:pStyle w:val="IssueSubsectionHeading"/>
        <w:rPr>
          <w:vanish/>
          <w:specVanish/>
        </w:rPr>
      </w:pPr>
      <w:r w:rsidRPr="00C72C9D">
        <w:t>Staff Analysis:</w:t>
      </w:r>
      <w:r>
        <w:t> </w:t>
      </w:r>
    </w:p>
    <w:p w:rsidR="00C72C9D" w:rsidRDefault="00C72C9D">
      <w:pPr>
        <w:pStyle w:val="BodyText"/>
      </w:pPr>
      <w:r>
        <w:t> </w:t>
      </w:r>
      <w:r w:rsidR="00EB2E3C">
        <w:t>If no protest is filed by a person whose substantial interests are affected within 21 days of the issuance of the Order, this docket should be closed upon the issuance of a Consummating Order.</w:t>
      </w:r>
      <w:r>
        <w:t xml:space="preserve"> </w:t>
      </w:r>
    </w:p>
    <w:p w:rsidR="00E06484" w:rsidRDefault="00E06484">
      <w:pPr>
        <w:pStyle w:val="BodyText"/>
      </w:pPr>
      <w:bookmarkStart w:id="16" w:name="_GoBack"/>
      <w:bookmarkEnd w:id="16"/>
    </w:p>
    <w:sectPr w:rsidR="00E06484" w:rsidSect="0068481F">
      <w:headerReference w:type="default" r:id="rId12"/>
      <w:headerReference w:type="first" r:id="rId13"/>
      <w:footerReference w:type="first" r:id="rId14"/>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17BF" w:rsidRDefault="001D17BF">
      <w:r>
        <w:separator/>
      </w:r>
    </w:p>
  </w:endnote>
  <w:endnote w:type="continuationSeparator" w:id="0">
    <w:p w:rsidR="001D17BF" w:rsidRDefault="001D17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493" w:rsidRDefault="00BB3493">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B94B57">
      <w:rPr>
        <w:rStyle w:val="PageNumber"/>
        <w:noProof/>
      </w:rPr>
      <w:t>7</w:t>
    </w:r>
    <w:r>
      <w:rPr>
        <w:rStyle w:val="PageNumber"/>
      </w:rPr>
      <w:fldChar w:fldCharType="end"/>
    </w:r>
    <w:r>
      <w:rPr>
        <w:rStyle w:val="PageNumber"/>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493" w:rsidRDefault="00BB349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17BF" w:rsidRDefault="001D17BF">
      <w:r>
        <w:separator/>
      </w:r>
    </w:p>
  </w:footnote>
  <w:footnote w:type="continuationSeparator" w:id="0">
    <w:p w:rsidR="001D17BF" w:rsidRDefault="001D17BF">
      <w:r>
        <w:continuationSeparator/>
      </w:r>
    </w:p>
  </w:footnote>
  <w:footnote w:id="1">
    <w:p w:rsidR="003B60C2" w:rsidRDefault="003B60C2">
      <w:pPr>
        <w:pStyle w:val="FootnoteText"/>
      </w:pPr>
      <w:r>
        <w:rPr>
          <w:rStyle w:val="FootnoteReference"/>
        </w:rPr>
        <w:footnoteRef/>
      </w:r>
      <w:r>
        <w:t xml:space="preserve"> </w:t>
      </w:r>
      <w:r w:rsidR="008103E8">
        <w:t>Order No.</w:t>
      </w:r>
      <w:r>
        <w:t xml:space="preserve"> PSC-15-0245-PCO-GU, issued June 11, 2015</w:t>
      </w:r>
      <w:r w:rsidR="008103E8">
        <w:t>, in Docket No. 150117-GU</w:t>
      </w:r>
      <w:r w:rsidR="00471325">
        <w:t xml:space="preserve">, </w:t>
      </w:r>
      <w:r w:rsidR="00471325" w:rsidRPr="00471325">
        <w:rPr>
          <w:u w:val="single"/>
        </w:rPr>
        <w:t>In re: Joint petition for approval of modified cost allocation methodology and revised purchased gas adjustment calculation, by Florida Public Utilities Company, Florida Public Utilities Company – Indiantown Division, Florida Public Utilities Company – Fort Meade, and Florida Division of Chesapeake Utilities Corporation</w:t>
      </w:r>
      <w:r w:rsidR="00471325">
        <w:t>.</w:t>
      </w:r>
    </w:p>
  </w:footnote>
  <w:footnote w:id="2">
    <w:p w:rsidR="006D7942" w:rsidRDefault="006D7942">
      <w:pPr>
        <w:pStyle w:val="FootnoteText"/>
      </w:pPr>
      <w:r>
        <w:rPr>
          <w:rStyle w:val="FootnoteReference"/>
        </w:rPr>
        <w:footnoteRef/>
      </w:r>
      <w:r>
        <w:t xml:space="preserve"> The Commission approved Indiantown’s exiting of the gas merchant function by Order No. PSC-02-1655-</w:t>
      </w:r>
      <w:r w:rsidR="00054786">
        <w:t>TR</w:t>
      </w:r>
      <w:r>
        <w:t>F-GU, issued November 26, 2002</w:t>
      </w:r>
      <w:r w:rsidR="00054786">
        <w:t xml:space="preserve">, in Docket No. 020471-GU, </w:t>
      </w:r>
      <w:r w:rsidR="00054786" w:rsidRPr="00054786">
        <w:rPr>
          <w:u w:val="single"/>
        </w:rPr>
        <w:t>In re: Petition for authority to convert all remaining sales customers to transportation service and to terminate merchant function by Indiantown Gas Company</w:t>
      </w:r>
      <w:r>
        <w:t xml:space="preserve">.  Thereafter, </w:t>
      </w:r>
      <w:r w:rsidR="00797539">
        <w:t xml:space="preserve">the Commission authorized Indiantown’s proposed unbundling transitional cost recovery and refund of the Company’s final PGA overrecovery </w:t>
      </w:r>
      <w:r>
        <w:t xml:space="preserve">by Order No. PSC-03-1109-PAA-GU, </w:t>
      </w:r>
      <w:r w:rsidR="00A518F1">
        <w:t xml:space="preserve">issued October 6, 2003, in Docket No. 030462-GU, </w:t>
      </w:r>
      <w:r w:rsidR="00A518F1" w:rsidRPr="00A518F1">
        <w:rPr>
          <w:u w:val="single"/>
        </w:rPr>
        <w:t>In re: Petition of Indiantown Gas Company for approval of transition cost recovery charge and for approval of final purchased gas adjustment true-up credit</w:t>
      </w:r>
      <w:r>
        <w:t>.</w:t>
      </w:r>
    </w:p>
  </w:footnote>
  <w:footnote w:id="3">
    <w:p w:rsidR="00925C81" w:rsidRDefault="00925C81">
      <w:pPr>
        <w:pStyle w:val="FootnoteText"/>
      </w:pPr>
      <w:r>
        <w:rPr>
          <w:rStyle w:val="FootnoteReference"/>
        </w:rPr>
        <w:footnoteRef/>
      </w:r>
      <w:r>
        <w:t xml:space="preserve"> PGA is administered in accordance with the methodology established by Order Nos. 24463 and 24463-A, issued May 2, 1991</w:t>
      </w:r>
      <w:r w:rsidR="00AB2B3D">
        <w:t>,</w:t>
      </w:r>
      <w:r>
        <w:t xml:space="preserve"> and May 17, 1991, respectively, </w:t>
      </w:r>
      <w:r w:rsidR="00104070">
        <w:t xml:space="preserve">in Docket No. 910003-GU, </w:t>
      </w:r>
      <w:r w:rsidR="00104070" w:rsidRPr="00104070">
        <w:rPr>
          <w:u w:val="single"/>
        </w:rPr>
        <w:t>In re: Purchased Gas Adjustment True Up</w:t>
      </w:r>
      <w:r w:rsidR="000020D7">
        <w:t>,</w:t>
      </w:r>
      <w:r w:rsidR="00104070">
        <w:t xml:space="preserve"> </w:t>
      </w:r>
      <w:r>
        <w:t>under the true-up schedule established by Order No. PSC-98-0691-FOF-PU, issued May 19, 1998</w:t>
      </w:r>
      <w:r w:rsidR="00104070">
        <w:t>, in Docket No.</w:t>
      </w:r>
      <w:r w:rsidR="000020D7">
        <w:t xml:space="preserve"> 980269-PU, </w:t>
      </w:r>
      <w:r w:rsidR="000020D7" w:rsidRPr="00D74B8F">
        <w:rPr>
          <w:u w:val="single"/>
        </w:rPr>
        <w:t>In re: Consideration of change in frequency and timing of hearings for fuel and purchased power cost recovery clause, capacity cost recovery clause, generating performance incentive factor, energy conservation cost recovery clause, purchased gas adjustment (PGA) true-up, and environmental cost recovery clause</w:t>
      </w:r>
      <w:r>
        <w:t>.</w:t>
      </w:r>
    </w:p>
  </w:footnote>
  <w:footnote w:id="4">
    <w:p w:rsidR="00925C81" w:rsidRDefault="00925C81" w:rsidP="00925C81">
      <w:pPr>
        <w:pStyle w:val="FootnoteText"/>
      </w:pPr>
      <w:r>
        <w:rPr>
          <w:rStyle w:val="FootnoteReference"/>
        </w:rPr>
        <w:footnoteRef/>
      </w:r>
      <w:r>
        <w:t xml:space="preserve"> Order No. PSC-02-1646-TRF-GU, issued November 25, 2002, in Docket No. 020277-GU, </w:t>
      </w:r>
      <w:r w:rsidRPr="00394A8D">
        <w:rPr>
          <w:u w:val="single"/>
        </w:rPr>
        <w:t>In re: Petition of Florida Division of Chesapeake Utilities Corporation for authority to convert all remaining sales customers to transportation service and to exit merchant function</w:t>
      </w:r>
      <w:r>
        <w:t>.</w:t>
      </w:r>
    </w:p>
  </w:footnote>
  <w:footnote w:id="5">
    <w:p w:rsidR="000D7EED" w:rsidRDefault="000D7EED">
      <w:pPr>
        <w:pStyle w:val="FootnoteText"/>
      </w:pPr>
      <w:r>
        <w:rPr>
          <w:rStyle w:val="FootnoteReference"/>
        </w:rPr>
        <w:footnoteRef/>
      </w:r>
      <w:r>
        <w:t xml:space="preserve"> Id.</w:t>
      </w:r>
    </w:p>
  </w:footnote>
  <w:footnote w:id="6">
    <w:p w:rsidR="00FD3BB8" w:rsidRDefault="00FD3BB8">
      <w:pPr>
        <w:pStyle w:val="FootnoteText"/>
      </w:pPr>
      <w:r>
        <w:rPr>
          <w:rStyle w:val="FootnoteReference"/>
        </w:rPr>
        <w:footnoteRef/>
      </w:r>
      <w:r>
        <w:t xml:space="preserve"> Relevant Commission tariffs were approved pursuant to the following orders:  Order No. PSC-01-0073-TRF-GU, issued January 9, 2001, in Docket No. 000795-GU, </w:t>
      </w:r>
      <w:r w:rsidRPr="00FD3BB8">
        <w:rPr>
          <w:u w:val="single"/>
        </w:rPr>
        <w:t>In re: Petition by Florida Public Utilities Company for approval of unbundled transportation service</w:t>
      </w:r>
      <w:r>
        <w:t xml:space="preserve">; Order No. PSC-04-1110-PAA-GU, </w:t>
      </w:r>
      <w:r w:rsidR="00726891">
        <w:t xml:space="preserve">issued November 8, 2004, in Docket No. 040216-GU, </w:t>
      </w:r>
      <w:r w:rsidR="00726891" w:rsidRPr="00726891">
        <w:rPr>
          <w:u w:val="single"/>
        </w:rPr>
        <w:t>In re: Application for rate increase by Florida Public Utilities Company</w:t>
      </w:r>
      <w:r w:rsidR="00726891">
        <w:t xml:space="preserve">; Order No. PSC-09-0375-PAA-GU, issued May 27, 2009, in Docket No. 080366-GU, </w:t>
      </w:r>
      <w:r w:rsidR="00726891" w:rsidRPr="00726891">
        <w:rPr>
          <w:u w:val="single"/>
        </w:rPr>
        <w:t>In re: Petition for rate increase by Florida Public Utilities Company</w:t>
      </w:r>
      <w:r w:rsidR="00726891">
        <w:t>.</w:t>
      </w:r>
    </w:p>
  </w:footnote>
  <w:footnote w:id="7">
    <w:p w:rsidR="006548AB" w:rsidRDefault="006548AB">
      <w:pPr>
        <w:pStyle w:val="FootnoteText"/>
      </w:pPr>
      <w:r>
        <w:rPr>
          <w:rStyle w:val="FootnoteReference"/>
        </w:rPr>
        <w:footnoteRef/>
      </w:r>
      <w:r>
        <w:t xml:space="preserve"> Order No. PSC-02-1646-TRF-GU, issued November 25, 2002, in Docket No. 020277-GU, </w:t>
      </w:r>
      <w:r w:rsidRPr="006548AB">
        <w:rPr>
          <w:u w:val="single"/>
        </w:rPr>
        <w:t>In re: Petition of Florida Division of Chesapeake Utilities Corporation for authority to convert all remaining sales customers to transportation service and to exit merchant function</w:t>
      </w:r>
      <w:r>
        <w:t xml:space="preserve">; </w:t>
      </w:r>
      <w:r w:rsidR="00D72359">
        <w:t xml:space="preserve">Order No. PSC-07-0427-TRF-GU, issued May 15, 2007, in Docket No. 060675-GU, </w:t>
      </w:r>
      <w:r w:rsidR="00D72359" w:rsidRPr="00D72359">
        <w:rPr>
          <w:u w:val="single"/>
        </w:rPr>
        <w:t>In re: Petition for authority to implement phase two of experimental transitional transportation service pilot program and for approval of new tariff to reflect transportation service environment, by Florida Division of Chesapeake Utilities Corporation</w:t>
      </w:r>
      <w:r w:rsidR="00D72359">
        <w:t xml:space="preserve">; </w:t>
      </w:r>
      <w:r w:rsidR="001D49BB">
        <w:t xml:space="preserve">Order No. PSC-10-0029-PAA-GU, issued January 14, 2010, in Docket No. 090125-GU, </w:t>
      </w:r>
      <w:r w:rsidR="001D49BB" w:rsidRPr="001D49BB">
        <w:rPr>
          <w:u w:val="single"/>
        </w:rPr>
        <w:t>In re: Petition for increase in rates by Florida Division of Chesapeake Utilities Corporation</w:t>
      </w:r>
      <w:r w:rsidR="001D49BB">
        <w:t>.</w:t>
      </w:r>
    </w:p>
  </w:footnote>
  <w:footnote w:id="8">
    <w:p w:rsidR="00C2015D" w:rsidRDefault="00C2015D">
      <w:pPr>
        <w:pStyle w:val="FootnoteText"/>
      </w:pPr>
      <w:r>
        <w:rPr>
          <w:rStyle w:val="FootnoteReference"/>
        </w:rPr>
        <w:footnoteRef/>
      </w:r>
      <w:r>
        <w:t xml:space="preserve"> Florida Division of Chesapeake Utilities Corporation, Original Volume No. 4, Second Revised Sheet No. 67.</w:t>
      </w:r>
    </w:p>
  </w:footnote>
  <w:footnote w:id="9">
    <w:p w:rsidR="00C2015D" w:rsidRDefault="00C2015D">
      <w:pPr>
        <w:pStyle w:val="FootnoteText"/>
      </w:pPr>
      <w:r>
        <w:rPr>
          <w:rStyle w:val="FootnoteReference"/>
        </w:rPr>
        <w:footnoteRef/>
      </w:r>
      <w:r>
        <w:t xml:space="preserve"> Id., Second Revised Sheet No. 68.</w:t>
      </w:r>
    </w:p>
  </w:footnote>
  <w:footnote w:id="10">
    <w:p w:rsidR="001623FB" w:rsidRDefault="001623FB">
      <w:pPr>
        <w:pStyle w:val="FootnoteText"/>
      </w:pPr>
      <w:r>
        <w:rPr>
          <w:rStyle w:val="FootnoteReference"/>
        </w:rPr>
        <w:footnoteRef/>
      </w:r>
      <w:r>
        <w:t xml:space="preserve"> </w:t>
      </w:r>
      <w:r w:rsidRPr="001623FB">
        <w:rPr>
          <w:u w:val="single"/>
        </w:rPr>
        <w:t>See</w:t>
      </w:r>
      <w:r>
        <w:t xml:space="preserve"> Order No. PSC-15-0206-PAA-GU, issued May 26, 2015, in Docket No. 150031-GU, </w:t>
      </w:r>
      <w:r w:rsidRPr="0015625F">
        <w:rPr>
          <w:u w:val="single"/>
        </w:rPr>
        <w:t>In re: Petition for approval of transportation service agreement with the Florida Division of Chesapeake Utilities Corporation by Peninsula Pipeline Company, Inc.</w:t>
      </w:r>
      <w:r w:rsidRPr="001623FB">
        <w:t xml:space="preserve">, </w:t>
      </w:r>
      <w:r>
        <w:t xml:space="preserve">Order No. PSC-14-0713-PAA-GU, issued December 31, 2014, in Docket No. 140189-GU, </w:t>
      </w:r>
      <w:r w:rsidRPr="00C2659B">
        <w:rPr>
          <w:u w:val="single"/>
        </w:rPr>
        <w:t>In re: Petition for approval of transportation service agreement for an extension in Nassau County with Florida Public Utilities Company, by Peninsula Pipeline Company, Inc.</w:t>
      </w:r>
      <w:r>
        <w:t xml:space="preserve">, and Order No. PSC-14-0712-PAA-GU, issued December 31, 2014, In Docket No. 140190-GU, </w:t>
      </w:r>
      <w:r w:rsidRPr="00397646">
        <w:rPr>
          <w:u w:val="single"/>
        </w:rPr>
        <w:t>In re: Petition for approval of transportation service agreement for an extension in Palm Beach County with Florida Public Utilities Company, by Peninsula Pipeline Company, Inc.</w:t>
      </w:r>
    </w:p>
  </w:footnote>
  <w:footnote w:id="11">
    <w:p w:rsidR="00A73711" w:rsidRDefault="00A73711">
      <w:pPr>
        <w:pStyle w:val="FootnoteText"/>
      </w:pPr>
      <w:r>
        <w:rPr>
          <w:rStyle w:val="FootnoteReference"/>
        </w:rPr>
        <w:footnoteRef/>
      </w:r>
      <w:r>
        <w:t xml:space="preserve"> Cost figures declassified pursuant to the Companies’ request; Document No. 01978-15, April 9, 2015</w:t>
      </w:r>
      <w:r w:rsidR="009B2430">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493" w:rsidRDefault="00E256E3" w:rsidP="00220732">
    <w:pPr>
      <w:pStyle w:val="Header"/>
      <w:tabs>
        <w:tab w:val="clear" w:pos="4320"/>
        <w:tab w:val="clear" w:pos="8640"/>
        <w:tab w:val="right" w:pos="9360"/>
      </w:tabs>
    </w:pPr>
    <w:bookmarkStart w:id="13" w:name="DocketLabel"/>
    <w:r>
      <w:t>Docket No.</w:t>
    </w:r>
    <w:bookmarkEnd w:id="13"/>
    <w:r w:rsidR="00BB3493">
      <w:t xml:space="preserve"> </w:t>
    </w:r>
    <w:bookmarkStart w:id="14" w:name="DocketList"/>
    <w:r>
      <w:t>150117-GU</w:t>
    </w:r>
    <w:bookmarkEnd w:id="14"/>
  </w:p>
  <w:p w:rsidR="00BB3493" w:rsidRDefault="00BB3493">
    <w:pPr>
      <w:pStyle w:val="Header"/>
    </w:pPr>
    <w:r>
      <w:t xml:space="preserve">Date: </w:t>
    </w:r>
    <w:r w:rsidR="00B94B57">
      <w:fldChar w:fldCharType="begin"/>
    </w:r>
    <w:r w:rsidR="00B94B57">
      <w:instrText xml:space="preserve"> REF FilingDate </w:instrText>
    </w:r>
    <w:r w:rsidR="00B94B57">
      <w:fldChar w:fldCharType="separate"/>
    </w:r>
    <w:r w:rsidR="007B549F">
      <w:t>July 9, 2015</w:t>
    </w:r>
    <w:r w:rsidR="00B94B57">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493" w:rsidRDefault="00BB3493" w:rsidP="00220732">
    <w:pPr>
      <w:pStyle w:val="Header"/>
      <w:tabs>
        <w:tab w:val="clear" w:pos="4320"/>
        <w:tab w:val="clear" w:pos="8640"/>
        <w:tab w:val="right" w:pos="9360"/>
      </w:tabs>
    </w:pPr>
    <w:r>
      <w:fldChar w:fldCharType="begin"/>
    </w:r>
    <w:r>
      <w:instrText xml:space="preserve"> REF DocketLabel</w:instrText>
    </w:r>
    <w:r>
      <w:fldChar w:fldCharType="separate"/>
    </w:r>
    <w:r w:rsidR="007B549F">
      <w:t>Docket No.</w:t>
    </w:r>
    <w:r>
      <w:fldChar w:fldCharType="end"/>
    </w:r>
    <w:r>
      <w:t xml:space="preserve"> </w:t>
    </w:r>
    <w:r>
      <w:fldChar w:fldCharType="begin"/>
    </w:r>
    <w:r>
      <w:instrText xml:space="preserve"> REF DocketList</w:instrText>
    </w:r>
    <w:r>
      <w:fldChar w:fldCharType="separate"/>
    </w:r>
    <w:r w:rsidR="007B549F">
      <w:t>150117-GU</w:t>
    </w:r>
    <w:r>
      <w:fldChar w:fldCharType="end"/>
    </w:r>
    <w:r>
      <w:tab/>
      <w:t xml:space="preserve">Issue </w:t>
    </w:r>
    <w:r w:rsidR="00B94B57">
      <w:fldChar w:fldCharType="begin"/>
    </w:r>
    <w:r w:rsidR="00B94B57">
      <w:instrText xml:space="preserve"> Seq Issue \c \* Arabic </w:instrText>
    </w:r>
    <w:r w:rsidR="00B94B57">
      <w:fldChar w:fldCharType="separate"/>
    </w:r>
    <w:r w:rsidR="00B94B57">
      <w:rPr>
        <w:noProof/>
      </w:rPr>
      <w:t>2</w:t>
    </w:r>
    <w:r w:rsidR="00B94B57">
      <w:rPr>
        <w:noProof/>
      </w:rPr>
      <w:fldChar w:fldCharType="end"/>
    </w:r>
  </w:p>
  <w:p w:rsidR="00BB3493" w:rsidRDefault="00BB3493">
    <w:pPr>
      <w:pStyle w:val="Header"/>
    </w:pPr>
    <w:r>
      <w:t xml:space="preserve">Date: </w:t>
    </w:r>
    <w:r w:rsidR="00B94B57">
      <w:fldChar w:fldCharType="begin"/>
    </w:r>
    <w:r w:rsidR="00B94B57">
      <w:instrText xml:space="preserve"> REF FilingDate </w:instrText>
    </w:r>
    <w:r w:rsidR="00B94B57">
      <w:fldChar w:fldCharType="separate"/>
    </w:r>
    <w:r w:rsidR="007B549F">
      <w:t>July 9, 2015</w:t>
    </w:r>
    <w:r w:rsidR="00B94B57">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493" w:rsidRDefault="00BB349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EFC6C16"/>
    <w:lvl w:ilvl="0">
      <w:start w:val="1"/>
      <w:numFmt w:val="decimal"/>
      <w:lvlText w:val="%1."/>
      <w:lvlJc w:val="left"/>
      <w:pPr>
        <w:tabs>
          <w:tab w:val="num" w:pos="1800"/>
        </w:tabs>
        <w:ind w:left="1800" w:hanging="360"/>
      </w:pPr>
    </w:lvl>
  </w:abstractNum>
  <w:abstractNum w:abstractNumId="1">
    <w:nsid w:val="FFFFFF7D"/>
    <w:multiLevelType w:val="singleLevel"/>
    <w:tmpl w:val="40AA0D90"/>
    <w:lvl w:ilvl="0">
      <w:start w:val="1"/>
      <w:numFmt w:val="decimal"/>
      <w:lvlText w:val="%1."/>
      <w:lvlJc w:val="left"/>
      <w:pPr>
        <w:tabs>
          <w:tab w:val="num" w:pos="1440"/>
        </w:tabs>
        <w:ind w:left="1440" w:hanging="360"/>
      </w:pPr>
    </w:lvl>
  </w:abstractNum>
  <w:abstractNum w:abstractNumId="2">
    <w:nsid w:val="FFFFFF7E"/>
    <w:multiLevelType w:val="singleLevel"/>
    <w:tmpl w:val="E7762B08"/>
    <w:lvl w:ilvl="0">
      <w:start w:val="1"/>
      <w:numFmt w:val="decimal"/>
      <w:lvlText w:val="%1."/>
      <w:lvlJc w:val="left"/>
      <w:pPr>
        <w:tabs>
          <w:tab w:val="num" w:pos="1080"/>
        </w:tabs>
        <w:ind w:left="1080" w:hanging="360"/>
      </w:pPr>
    </w:lvl>
  </w:abstractNum>
  <w:abstractNum w:abstractNumId="3">
    <w:nsid w:val="FFFFFF7F"/>
    <w:multiLevelType w:val="singleLevel"/>
    <w:tmpl w:val="C8FE44F6"/>
    <w:lvl w:ilvl="0">
      <w:start w:val="1"/>
      <w:numFmt w:val="decimal"/>
      <w:lvlText w:val="%1."/>
      <w:lvlJc w:val="left"/>
      <w:pPr>
        <w:tabs>
          <w:tab w:val="num" w:pos="720"/>
        </w:tabs>
        <w:ind w:left="720" w:hanging="360"/>
      </w:pPr>
    </w:lvl>
  </w:abstractNum>
  <w:abstractNum w:abstractNumId="4">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0D63E3A"/>
    <w:lvl w:ilvl="0">
      <w:start w:val="1"/>
      <w:numFmt w:val="decimal"/>
      <w:lvlText w:val="%1."/>
      <w:lvlJc w:val="left"/>
      <w:pPr>
        <w:tabs>
          <w:tab w:val="num" w:pos="360"/>
        </w:tabs>
        <w:ind w:left="360" w:hanging="360"/>
      </w:pPr>
    </w:lvl>
  </w:abstractNum>
  <w:abstractNum w:abstractNumId="9">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9"/>
  <w:activeWritingStyle w:appName="MSWord" w:lang="en-US" w:vendorID="64" w:dllVersion="131078" w:nlCheck="1" w:checkStyle="1"/>
  <w:activeWritingStyle w:appName="MSWord" w:lang="es-MX" w:vendorID="64" w:dllVersion="131078"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8193"/>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66806C3D-5CC3-44E7-9C0D-5643322BB49F}"/>
    <w:docVar w:name="dgnword-eventsink" w:val="187971328"/>
    <w:docVar w:name="NumberOfIssues" w:val="0"/>
    <w:docVar w:name="StaffInToC" w:val="True"/>
  </w:docVars>
  <w:rsids>
    <w:rsidRoot w:val="00E256E3"/>
    <w:rsid w:val="0000078F"/>
    <w:rsid w:val="000020D7"/>
    <w:rsid w:val="00007000"/>
    <w:rsid w:val="00010E37"/>
    <w:rsid w:val="000277C2"/>
    <w:rsid w:val="00034E95"/>
    <w:rsid w:val="00035B48"/>
    <w:rsid w:val="00036CE2"/>
    <w:rsid w:val="000405E4"/>
    <w:rsid w:val="00041882"/>
    <w:rsid w:val="000437FE"/>
    <w:rsid w:val="00043B61"/>
    <w:rsid w:val="00054786"/>
    <w:rsid w:val="00056134"/>
    <w:rsid w:val="00065A06"/>
    <w:rsid w:val="000666F3"/>
    <w:rsid w:val="000677BF"/>
    <w:rsid w:val="00070DCB"/>
    <w:rsid w:val="00073120"/>
    <w:rsid w:val="00080663"/>
    <w:rsid w:val="00081DD8"/>
    <w:rsid w:val="000828D3"/>
    <w:rsid w:val="00085280"/>
    <w:rsid w:val="000A2B57"/>
    <w:rsid w:val="000A418B"/>
    <w:rsid w:val="000B106F"/>
    <w:rsid w:val="000B45EB"/>
    <w:rsid w:val="000B6AEB"/>
    <w:rsid w:val="000C4431"/>
    <w:rsid w:val="000D2738"/>
    <w:rsid w:val="000D4319"/>
    <w:rsid w:val="000D76A9"/>
    <w:rsid w:val="000D7EED"/>
    <w:rsid w:val="000F0970"/>
    <w:rsid w:val="00104070"/>
    <w:rsid w:val="00117051"/>
    <w:rsid w:val="00117C8C"/>
    <w:rsid w:val="00124E2E"/>
    <w:rsid w:val="00125ED4"/>
    <w:rsid w:val="001305E9"/>
    <w:rsid w:val="001307AF"/>
    <w:rsid w:val="00135687"/>
    <w:rsid w:val="00136C18"/>
    <w:rsid w:val="001371D8"/>
    <w:rsid w:val="0015625F"/>
    <w:rsid w:val="001623FB"/>
    <w:rsid w:val="00171A27"/>
    <w:rsid w:val="00180254"/>
    <w:rsid w:val="00190DF4"/>
    <w:rsid w:val="00191E1F"/>
    <w:rsid w:val="00192943"/>
    <w:rsid w:val="001A5D32"/>
    <w:rsid w:val="001B4FEE"/>
    <w:rsid w:val="001B51C5"/>
    <w:rsid w:val="001B6663"/>
    <w:rsid w:val="001B6F3F"/>
    <w:rsid w:val="001C4CE3"/>
    <w:rsid w:val="001C52B5"/>
    <w:rsid w:val="001D0D3E"/>
    <w:rsid w:val="001D17BF"/>
    <w:rsid w:val="001D49BB"/>
    <w:rsid w:val="001E76F5"/>
    <w:rsid w:val="001F5038"/>
    <w:rsid w:val="00204022"/>
    <w:rsid w:val="002044E6"/>
    <w:rsid w:val="00205C82"/>
    <w:rsid w:val="00205DC2"/>
    <w:rsid w:val="0020774F"/>
    <w:rsid w:val="00211801"/>
    <w:rsid w:val="002163B6"/>
    <w:rsid w:val="00220732"/>
    <w:rsid w:val="00225C3F"/>
    <w:rsid w:val="002424F7"/>
    <w:rsid w:val="0024706A"/>
    <w:rsid w:val="00263FE7"/>
    <w:rsid w:val="00271FC0"/>
    <w:rsid w:val="00292D82"/>
    <w:rsid w:val="002963CB"/>
    <w:rsid w:val="002A46CF"/>
    <w:rsid w:val="002B2FEA"/>
    <w:rsid w:val="002C1EE3"/>
    <w:rsid w:val="002D226D"/>
    <w:rsid w:val="003037E1"/>
    <w:rsid w:val="003103EC"/>
    <w:rsid w:val="003144EF"/>
    <w:rsid w:val="003177E5"/>
    <w:rsid w:val="00322F74"/>
    <w:rsid w:val="00340073"/>
    <w:rsid w:val="00341B67"/>
    <w:rsid w:val="00345598"/>
    <w:rsid w:val="00346C15"/>
    <w:rsid w:val="0035429A"/>
    <w:rsid w:val="00371080"/>
    <w:rsid w:val="00372805"/>
    <w:rsid w:val="00373180"/>
    <w:rsid w:val="003821A0"/>
    <w:rsid w:val="00385B04"/>
    <w:rsid w:val="00394A8D"/>
    <w:rsid w:val="00397646"/>
    <w:rsid w:val="003A1789"/>
    <w:rsid w:val="003A5494"/>
    <w:rsid w:val="003B2510"/>
    <w:rsid w:val="003B4998"/>
    <w:rsid w:val="003B60C2"/>
    <w:rsid w:val="003B65E1"/>
    <w:rsid w:val="003C2CC4"/>
    <w:rsid w:val="003D6126"/>
    <w:rsid w:val="003E0EFC"/>
    <w:rsid w:val="003E47B5"/>
    <w:rsid w:val="003E4A2B"/>
    <w:rsid w:val="003E76C2"/>
    <w:rsid w:val="003F1679"/>
    <w:rsid w:val="003F44CC"/>
    <w:rsid w:val="003F4A35"/>
    <w:rsid w:val="003F7FDD"/>
    <w:rsid w:val="004042B4"/>
    <w:rsid w:val="004045FD"/>
    <w:rsid w:val="00412DAE"/>
    <w:rsid w:val="00426F6D"/>
    <w:rsid w:val="00431598"/>
    <w:rsid w:val="00434332"/>
    <w:rsid w:val="00444432"/>
    <w:rsid w:val="0045199E"/>
    <w:rsid w:val="00471325"/>
    <w:rsid w:val="00473AD9"/>
    <w:rsid w:val="00492291"/>
    <w:rsid w:val="004A38EA"/>
    <w:rsid w:val="004C3150"/>
    <w:rsid w:val="004C4390"/>
    <w:rsid w:val="004C4AF7"/>
    <w:rsid w:val="004D2881"/>
    <w:rsid w:val="004D385F"/>
    <w:rsid w:val="004D5B39"/>
    <w:rsid w:val="004E5147"/>
    <w:rsid w:val="004F3780"/>
    <w:rsid w:val="004F4865"/>
    <w:rsid w:val="00506C03"/>
    <w:rsid w:val="00520B0B"/>
    <w:rsid w:val="0052572A"/>
    <w:rsid w:val="00530CA4"/>
    <w:rsid w:val="00532927"/>
    <w:rsid w:val="00534568"/>
    <w:rsid w:val="00535AC8"/>
    <w:rsid w:val="005614BD"/>
    <w:rsid w:val="0057154F"/>
    <w:rsid w:val="0057177A"/>
    <w:rsid w:val="00572F85"/>
    <w:rsid w:val="00581CA3"/>
    <w:rsid w:val="00583CB1"/>
    <w:rsid w:val="00585551"/>
    <w:rsid w:val="00592BB7"/>
    <w:rsid w:val="00597730"/>
    <w:rsid w:val="00597DE7"/>
    <w:rsid w:val="005A4AA2"/>
    <w:rsid w:val="005A5AA3"/>
    <w:rsid w:val="005B34B6"/>
    <w:rsid w:val="005B6C8F"/>
    <w:rsid w:val="005C6EDA"/>
    <w:rsid w:val="005D2479"/>
    <w:rsid w:val="005D2E7D"/>
    <w:rsid w:val="005D4A8F"/>
    <w:rsid w:val="005D561B"/>
    <w:rsid w:val="005E0FF2"/>
    <w:rsid w:val="005E1EF8"/>
    <w:rsid w:val="005F468D"/>
    <w:rsid w:val="005F7F90"/>
    <w:rsid w:val="00601E96"/>
    <w:rsid w:val="00603C0F"/>
    <w:rsid w:val="006136B0"/>
    <w:rsid w:val="00615423"/>
    <w:rsid w:val="006165B2"/>
    <w:rsid w:val="00625D97"/>
    <w:rsid w:val="00625F1C"/>
    <w:rsid w:val="00630CEB"/>
    <w:rsid w:val="00632264"/>
    <w:rsid w:val="006470BC"/>
    <w:rsid w:val="00650B33"/>
    <w:rsid w:val="006548AB"/>
    <w:rsid w:val="00655398"/>
    <w:rsid w:val="006565AD"/>
    <w:rsid w:val="00662845"/>
    <w:rsid w:val="00664CBF"/>
    <w:rsid w:val="00667036"/>
    <w:rsid w:val="00667884"/>
    <w:rsid w:val="006771B8"/>
    <w:rsid w:val="0068481F"/>
    <w:rsid w:val="00690642"/>
    <w:rsid w:val="00690995"/>
    <w:rsid w:val="00695CA0"/>
    <w:rsid w:val="00696F5D"/>
    <w:rsid w:val="00697249"/>
    <w:rsid w:val="006B4293"/>
    <w:rsid w:val="006B625F"/>
    <w:rsid w:val="006C192F"/>
    <w:rsid w:val="006C31E3"/>
    <w:rsid w:val="006D0B2A"/>
    <w:rsid w:val="006D24B9"/>
    <w:rsid w:val="006D7942"/>
    <w:rsid w:val="00705B04"/>
    <w:rsid w:val="00716D08"/>
    <w:rsid w:val="00726891"/>
    <w:rsid w:val="007349DC"/>
    <w:rsid w:val="007361F1"/>
    <w:rsid w:val="007413C3"/>
    <w:rsid w:val="0074365E"/>
    <w:rsid w:val="007515FD"/>
    <w:rsid w:val="00760D80"/>
    <w:rsid w:val="00780C09"/>
    <w:rsid w:val="00780DDF"/>
    <w:rsid w:val="007853EE"/>
    <w:rsid w:val="00787DBC"/>
    <w:rsid w:val="00790231"/>
    <w:rsid w:val="007915C4"/>
    <w:rsid w:val="007961F3"/>
    <w:rsid w:val="00797539"/>
    <w:rsid w:val="007A04A1"/>
    <w:rsid w:val="007A1840"/>
    <w:rsid w:val="007B549F"/>
    <w:rsid w:val="007C0528"/>
    <w:rsid w:val="007C3D38"/>
    <w:rsid w:val="007D4FEB"/>
    <w:rsid w:val="007D6146"/>
    <w:rsid w:val="007E0CE7"/>
    <w:rsid w:val="007F417F"/>
    <w:rsid w:val="008103E8"/>
    <w:rsid w:val="008119C8"/>
    <w:rsid w:val="00816624"/>
    <w:rsid w:val="00822562"/>
    <w:rsid w:val="00823663"/>
    <w:rsid w:val="00832DDC"/>
    <w:rsid w:val="008460B7"/>
    <w:rsid w:val="00850BAC"/>
    <w:rsid w:val="0085351C"/>
    <w:rsid w:val="00854A3E"/>
    <w:rsid w:val="00855D08"/>
    <w:rsid w:val="00864E68"/>
    <w:rsid w:val="008726AF"/>
    <w:rsid w:val="00874344"/>
    <w:rsid w:val="008755E8"/>
    <w:rsid w:val="00876C50"/>
    <w:rsid w:val="008815B3"/>
    <w:rsid w:val="00882155"/>
    <w:rsid w:val="0088233B"/>
    <w:rsid w:val="00883F47"/>
    <w:rsid w:val="00886C37"/>
    <w:rsid w:val="008876D0"/>
    <w:rsid w:val="008B62AE"/>
    <w:rsid w:val="008C04B5"/>
    <w:rsid w:val="008C14FA"/>
    <w:rsid w:val="008D1558"/>
    <w:rsid w:val="008D7768"/>
    <w:rsid w:val="008E584D"/>
    <w:rsid w:val="008F2262"/>
    <w:rsid w:val="008F7736"/>
    <w:rsid w:val="0090019E"/>
    <w:rsid w:val="00901086"/>
    <w:rsid w:val="00901C8A"/>
    <w:rsid w:val="00905886"/>
    <w:rsid w:val="00905B89"/>
    <w:rsid w:val="009070D6"/>
    <w:rsid w:val="009076C6"/>
    <w:rsid w:val="009106F1"/>
    <w:rsid w:val="009122B6"/>
    <w:rsid w:val="009145D6"/>
    <w:rsid w:val="00922002"/>
    <w:rsid w:val="00924020"/>
    <w:rsid w:val="00925C81"/>
    <w:rsid w:val="009271A7"/>
    <w:rsid w:val="00930E64"/>
    <w:rsid w:val="0093658B"/>
    <w:rsid w:val="009429FF"/>
    <w:rsid w:val="00945BD6"/>
    <w:rsid w:val="009479FB"/>
    <w:rsid w:val="00951C45"/>
    <w:rsid w:val="009543B0"/>
    <w:rsid w:val="00966A08"/>
    <w:rsid w:val="00971207"/>
    <w:rsid w:val="009744E6"/>
    <w:rsid w:val="00975CB4"/>
    <w:rsid w:val="0097702F"/>
    <w:rsid w:val="00980357"/>
    <w:rsid w:val="0098382B"/>
    <w:rsid w:val="009863B0"/>
    <w:rsid w:val="00987DE1"/>
    <w:rsid w:val="00990571"/>
    <w:rsid w:val="00991706"/>
    <w:rsid w:val="009939F3"/>
    <w:rsid w:val="0099673A"/>
    <w:rsid w:val="009A3330"/>
    <w:rsid w:val="009A517C"/>
    <w:rsid w:val="009A61DA"/>
    <w:rsid w:val="009A7C96"/>
    <w:rsid w:val="009B2430"/>
    <w:rsid w:val="009C0651"/>
    <w:rsid w:val="009C0FB9"/>
    <w:rsid w:val="009C181B"/>
    <w:rsid w:val="009C3DB9"/>
    <w:rsid w:val="009D46E5"/>
    <w:rsid w:val="009D4F0E"/>
    <w:rsid w:val="009D568A"/>
    <w:rsid w:val="009E45EF"/>
    <w:rsid w:val="009E4F30"/>
    <w:rsid w:val="009F04EC"/>
    <w:rsid w:val="00A019B9"/>
    <w:rsid w:val="00A06517"/>
    <w:rsid w:val="00A12508"/>
    <w:rsid w:val="00A175B6"/>
    <w:rsid w:val="00A2156A"/>
    <w:rsid w:val="00A21835"/>
    <w:rsid w:val="00A22634"/>
    <w:rsid w:val="00A23C7C"/>
    <w:rsid w:val="00A328EC"/>
    <w:rsid w:val="00A33A51"/>
    <w:rsid w:val="00A41CA6"/>
    <w:rsid w:val="00A41F53"/>
    <w:rsid w:val="00A42BB1"/>
    <w:rsid w:val="00A42D8D"/>
    <w:rsid w:val="00A47927"/>
    <w:rsid w:val="00A47FFC"/>
    <w:rsid w:val="00A518F1"/>
    <w:rsid w:val="00A51A9D"/>
    <w:rsid w:val="00A54830"/>
    <w:rsid w:val="00A54FF9"/>
    <w:rsid w:val="00A56765"/>
    <w:rsid w:val="00A66A14"/>
    <w:rsid w:val="00A67AB3"/>
    <w:rsid w:val="00A73711"/>
    <w:rsid w:val="00A87639"/>
    <w:rsid w:val="00A92FB1"/>
    <w:rsid w:val="00A95A0C"/>
    <w:rsid w:val="00AA105B"/>
    <w:rsid w:val="00AA2765"/>
    <w:rsid w:val="00AA77B5"/>
    <w:rsid w:val="00AB2B3D"/>
    <w:rsid w:val="00AB6C5D"/>
    <w:rsid w:val="00AC0F41"/>
    <w:rsid w:val="00AC1D3C"/>
    <w:rsid w:val="00AC51A7"/>
    <w:rsid w:val="00AD1EE0"/>
    <w:rsid w:val="00AD4356"/>
    <w:rsid w:val="00AF5F89"/>
    <w:rsid w:val="00AF73CB"/>
    <w:rsid w:val="00B0011C"/>
    <w:rsid w:val="00B002D6"/>
    <w:rsid w:val="00B012BF"/>
    <w:rsid w:val="00B05B51"/>
    <w:rsid w:val="00B062E3"/>
    <w:rsid w:val="00B15370"/>
    <w:rsid w:val="00B17BEB"/>
    <w:rsid w:val="00B21A3C"/>
    <w:rsid w:val="00B223C0"/>
    <w:rsid w:val="00B234ED"/>
    <w:rsid w:val="00B25CA3"/>
    <w:rsid w:val="00B66F35"/>
    <w:rsid w:val="00B6755C"/>
    <w:rsid w:val="00B7412C"/>
    <w:rsid w:val="00B760F1"/>
    <w:rsid w:val="00B7669E"/>
    <w:rsid w:val="00B94B57"/>
    <w:rsid w:val="00BA0D55"/>
    <w:rsid w:val="00BA37B3"/>
    <w:rsid w:val="00BA4CC6"/>
    <w:rsid w:val="00BB3493"/>
    <w:rsid w:val="00BB6555"/>
    <w:rsid w:val="00BC188A"/>
    <w:rsid w:val="00BD3795"/>
    <w:rsid w:val="00BD447D"/>
    <w:rsid w:val="00BF37B8"/>
    <w:rsid w:val="00BF5010"/>
    <w:rsid w:val="00C2015D"/>
    <w:rsid w:val="00C260FF"/>
    <w:rsid w:val="00C2659B"/>
    <w:rsid w:val="00C26751"/>
    <w:rsid w:val="00C274DE"/>
    <w:rsid w:val="00C31BB3"/>
    <w:rsid w:val="00C365DF"/>
    <w:rsid w:val="00C36977"/>
    <w:rsid w:val="00C57D88"/>
    <w:rsid w:val="00C60BA3"/>
    <w:rsid w:val="00C623F7"/>
    <w:rsid w:val="00C72C9D"/>
    <w:rsid w:val="00C81773"/>
    <w:rsid w:val="00C86896"/>
    <w:rsid w:val="00C87803"/>
    <w:rsid w:val="00C907A8"/>
    <w:rsid w:val="00C93211"/>
    <w:rsid w:val="00C942EC"/>
    <w:rsid w:val="00C96047"/>
    <w:rsid w:val="00C960D9"/>
    <w:rsid w:val="00C96B25"/>
    <w:rsid w:val="00C979D0"/>
    <w:rsid w:val="00CA0818"/>
    <w:rsid w:val="00CA2C8F"/>
    <w:rsid w:val="00CA30DA"/>
    <w:rsid w:val="00CA3A24"/>
    <w:rsid w:val="00CB1777"/>
    <w:rsid w:val="00CB33E9"/>
    <w:rsid w:val="00CC10A9"/>
    <w:rsid w:val="00CE2BF8"/>
    <w:rsid w:val="00CE6C14"/>
    <w:rsid w:val="00CF0DA8"/>
    <w:rsid w:val="00CF171E"/>
    <w:rsid w:val="00CF2E25"/>
    <w:rsid w:val="00CF4453"/>
    <w:rsid w:val="00CF72D3"/>
    <w:rsid w:val="00D034D7"/>
    <w:rsid w:val="00D04BE4"/>
    <w:rsid w:val="00D14127"/>
    <w:rsid w:val="00D20E53"/>
    <w:rsid w:val="00D21FA8"/>
    <w:rsid w:val="00D302A3"/>
    <w:rsid w:val="00D34DB6"/>
    <w:rsid w:val="00D60F02"/>
    <w:rsid w:val="00D648DC"/>
    <w:rsid w:val="00D66E49"/>
    <w:rsid w:val="00D67028"/>
    <w:rsid w:val="00D72359"/>
    <w:rsid w:val="00D72F74"/>
    <w:rsid w:val="00D74B8F"/>
    <w:rsid w:val="00D81563"/>
    <w:rsid w:val="00D9073E"/>
    <w:rsid w:val="00D9221D"/>
    <w:rsid w:val="00D958DF"/>
    <w:rsid w:val="00D96DA1"/>
    <w:rsid w:val="00DA51E7"/>
    <w:rsid w:val="00DA7337"/>
    <w:rsid w:val="00DB04C9"/>
    <w:rsid w:val="00DB1C78"/>
    <w:rsid w:val="00DB2B81"/>
    <w:rsid w:val="00DB7D96"/>
    <w:rsid w:val="00DC23FE"/>
    <w:rsid w:val="00DC2E88"/>
    <w:rsid w:val="00DC50E7"/>
    <w:rsid w:val="00DC59E6"/>
    <w:rsid w:val="00DD150B"/>
    <w:rsid w:val="00DE0E94"/>
    <w:rsid w:val="00DE186E"/>
    <w:rsid w:val="00DF7286"/>
    <w:rsid w:val="00E030CE"/>
    <w:rsid w:val="00E030F0"/>
    <w:rsid w:val="00E06484"/>
    <w:rsid w:val="00E20A7D"/>
    <w:rsid w:val="00E256E3"/>
    <w:rsid w:val="00E3023D"/>
    <w:rsid w:val="00E3578B"/>
    <w:rsid w:val="00E375CA"/>
    <w:rsid w:val="00E43339"/>
    <w:rsid w:val="00E47335"/>
    <w:rsid w:val="00E567E8"/>
    <w:rsid w:val="00E567EF"/>
    <w:rsid w:val="00E64F74"/>
    <w:rsid w:val="00E65EBC"/>
    <w:rsid w:val="00E6774C"/>
    <w:rsid w:val="00E73432"/>
    <w:rsid w:val="00E748A9"/>
    <w:rsid w:val="00E77195"/>
    <w:rsid w:val="00E77B0C"/>
    <w:rsid w:val="00E77FB8"/>
    <w:rsid w:val="00E838B0"/>
    <w:rsid w:val="00E86A7C"/>
    <w:rsid w:val="00E878E1"/>
    <w:rsid w:val="00E95278"/>
    <w:rsid w:val="00EA2273"/>
    <w:rsid w:val="00EA48B2"/>
    <w:rsid w:val="00EB2DB3"/>
    <w:rsid w:val="00EB2E3C"/>
    <w:rsid w:val="00EC3FBB"/>
    <w:rsid w:val="00EC6B7A"/>
    <w:rsid w:val="00ED3A87"/>
    <w:rsid w:val="00ED58A2"/>
    <w:rsid w:val="00ED5B67"/>
    <w:rsid w:val="00EE2D65"/>
    <w:rsid w:val="00EE5077"/>
    <w:rsid w:val="00EF3FEE"/>
    <w:rsid w:val="00EF612A"/>
    <w:rsid w:val="00F04B59"/>
    <w:rsid w:val="00F12B1C"/>
    <w:rsid w:val="00F13CF8"/>
    <w:rsid w:val="00F15855"/>
    <w:rsid w:val="00F230C7"/>
    <w:rsid w:val="00F32978"/>
    <w:rsid w:val="00F45CB2"/>
    <w:rsid w:val="00F47989"/>
    <w:rsid w:val="00F5301B"/>
    <w:rsid w:val="00F544C0"/>
    <w:rsid w:val="00F55332"/>
    <w:rsid w:val="00F6284E"/>
    <w:rsid w:val="00F65519"/>
    <w:rsid w:val="00F71181"/>
    <w:rsid w:val="00F713C0"/>
    <w:rsid w:val="00F738AF"/>
    <w:rsid w:val="00F739BB"/>
    <w:rsid w:val="00F75DDC"/>
    <w:rsid w:val="00F9667C"/>
    <w:rsid w:val="00FA32DE"/>
    <w:rsid w:val="00FA3382"/>
    <w:rsid w:val="00FA59CD"/>
    <w:rsid w:val="00FB1740"/>
    <w:rsid w:val="00FC012D"/>
    <w:rsid w:val="00FC3DE8"/>
    <w:rsid w:val="00FC639F"/>
    <w:rsid w:val="00FC6D7D"/>
    <w:rsid w:val="00FD16B0"/>
    <w:rsid w:val="00FD3BB8"/>
    <w:rsid w:val="00FD4FED"/>
    <w:rsid w:val="00FE4614"/>
    <w:rsid w:val="00FE59EC"/>
    <w:rsid w:val="00FF2E3F"/>
    <w:rsid w:val="00FF4F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94B57"/>
    <w:rPr>
      <w:sz w:val="24"/>
      <w:szCs w:val="24"/>
    </w:rPr>
  </w:style>
  <w:style w:type="paragraph" w:styleId="Heading1">
    <w:name w:val="heading 1"/>
    <w:basedOn w:val="Normal"/>
    <w:next w:val="BodyText"/>
    <w:link w:val="Heading1Char"/>
    <w:qFormat/>
    <w:rsid w:val="00B94B57"/>
    <w:pPr>
      <w:keepNext/>
      <w:spacing w:after="240"/>
      <w:jc w:val="both"/>
      <w:outlineLvl w:val="0"/>
    </w:pPr>
    <w:rPr>
      <w:rFonts w:cs="Arial"/>
      <w:bCs/>
      <w:kern w:val="32"/>
      <w:szCs w:val="32"/>
    </w:rPr>
  </w:style>
  <w:style w:type="paragraph" w:styleId="Heading2">
    <w:name w:val="heading 2"/>
    <w:basedOn w:val="Normal"/>
    <w:next w:val="BodyText"/>
    <w:link w:val="Heading2Char"/>
    <w:qFormat/>
    <w:rsid w:val="00B94B57"/>
    <w:pPr>
      <w:keepNext/>
      <w:spacing w:after="240"/>
      <w:jc w:val="both"/>
      <w:outlineLvl w:val="1"/>
    </w:pPr>
    <w:rPr>
      <w:rFonts w:cs="Arial"/>
      <w:bCs/>
      <w:iCs/>
      <w:szCs w:val="28"/>
    </w:rPr>
  </w:style>
  <w:style w:type="paragraph" w:styleId="Heading3">
    <w:name w:val="heading 3"/>
    <w:basedOn w:val="BodyText"/>
    <w:next w:val="BodyText"/>
    <w:qFormat/>
    <w:rsid w:val="00B94B57"/>
    <w:pPr>
      <w:outlineLvl w:val="2"/>
    </w:pPr>
  </w:style>
  <w:style w:type="paragraph" w:styleId="Heading4">
    <w:name w:val="heading 4"/>
    <w:basedOn w:val="Normal"/>
    <w:next w:val="Normal"/>
    <w:qFormat/>
    <w:rsid w:val="00B94B57"/>
    <w:pPr>
      <w:keepNext/>
      <w:spacing w:before="240" w:after="60"/>
      <w:outlineLvl w:val="3"/>
    </w:pPr>
    <w:rPr>
      <w:b/>
      <w:bCs/>
      <w:sz w:val="28"/>
      <w:szCs w:val="28"/>
    </w:rPr>
  </w:style>
  <w:style w:type="paragraph" w:styleId="Heading5">
    <w:name w:val="heading 5"/>
    <w:basedOn w:val="Normal"/>
    <w:next w:val="Normal"/>
    <w:qFormat/>
    <w:rsid w:val="00B94B57"/>
    <w:pPr>
      <w:spacing w:before="240" w:after="60"/>
      <w:outlineLvl w:val="4"/>
    </w:pPr>
    <w:rPr>
      <w:b/>
      <w:bCs/>
      <w:i/>
      <w:iCs/>
      <w:sz w:val="26"/>
      <w:szCs w:val="26"/>
    </w:rPr>
  </w:style>
  <w:style w:type="paragraph" w:styleId="Heading6">
    <w:name w:val="heading 6"/>
    <w:basedOn w:val="Normal"/>
    <w:next w:val="Normal"/>
    <w:qFormat/>
    <w:rsid w:val="00B94B57"/>
    <w:pPr>
      <w:spacing w:before="240" w:after="60"/>
      <w:outlineLvl w:val="5"/>
    </w:pPr>
    <w:rPr>
      <w:b/>
      <w:bCs/>
      <w:sz w:val="22"/>
      <w:szCs w:val="22"/>
    </w:rPr>
  </w:style>
  <w:style w:type="paragraph" w:styleId="Heading7">
    <w:name w:val="heading 7"/>
    <w:basedOn w:val="Normal"/>
    <w:next w:val="Normal"/>
    <w:qFormat/>
    <w:rsid w:val="00B94B57"/>
    <w:pPr>
      <w:spacing w:before="240" w:after="60"/>
      <w:outlineLvl w:val="6"/>
    </w:pPr>
  </w:style>
  <w:style w:type="paragraph" w:styleId="Heading8">
    <w:name w:val="heading 8"/>
    <w:basedOn w:val="Normal"/>
    <w:next w:val="Normal"/>
    <w:qFormat/>
    <w:rsid w:val="00B94B57"/>
    <w:pPr>
      <w:spacing w:before="240" w:after="60"/>
      <w:outlineLvl w:val="7"/>
    </w:pPr>
    <w:rPr>
      <w:i/>
      <w:iCs/>
    </w:rPr>
  </w:style>
  <w:style w:type="paragraph" w:styleId="Heading9">
    <w:name w:val="heading 9"/>
    <w:basedOn w:val="Normal"/>
    <w:next w:val="Normal"/>
    <w:qFormat/>
    <w:rsid w:val="00B94B57"/>
    <w:pPr>
      <w:spacing w:before="240" w:after="60"/>
      <w:outlineLvl w:val="8"/>
    </w:pPr>
    <w:rPr>
      <w:rFonts w:ascii="Arial" w:hAnsi="Arial" w:cs="Arial"/>
      <w:sz w:val="22"/>
      <w:szCs w:val="22"/>
    </w:rPr>
  </w:style>
  <w:style w:type="character" w:default="1" w:styleId="DefaultParagraphFont">
    <w:name w:val="Default Paragraph Font"/>
    <w:semiHidden/>
    <w:rsid w:val="00B94B5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rsid w:val="00B94B57"/>
  </w:style>
  <w:style w:type="paragraph" w:styleId="BodyText">
    <w:name w:val="Body Text"/>
    <w:basedOn w:val="Normal"/>
    <w:link w:val="BodyTextChar"/>
    <w:rsid w:val="00B94B57"/>
    <w:pPr>
      <w:spacing w:after="240"/>
      <w:jc w:val="both"/>
    </w:pPr>
  </w:style>
  <w:style w:type="character" w:customStyle="1" w:styleId="BodyTextChar">
    <w:name w:val="Body Text Char"/>
    <w:link w:val="BodyText"/>
    <w:rsid w:val="00B94B57"/>
    <w:rPr>
      <w:sz w:val="24"/>
      <w:szCs w:val="24"/>
    </w:rPr>
  </w:style>
  <w:style w:type="character" w:customStyle="1" w:styleId="Heading1Char">
    <w:name w:val="Heading 1 Char"/>
    <w:link w:val="Heading1"/>
    <w:rsid w:val="00B94B57"/>
    <w:rPr>
      <w:rFonts w:cs="Arial"/>
      <w:bCs/>
      <w:kern w:val="32"/>
      <w:sz w:val="24"/>
      <w:szCs w:val="32"/>
    </w:rPr>
  </w:style>
  <w:style w:type="character" w:customStyle="1" w:styleId="Heading2Char">
    <w:name w:val="Heading 2 Char"/>
    <w:link w:val="Heading2"/>
    <w:rsid w:val="00B94B57"/>
    <w:rPr>
      <w:rFonts w:cs="Arial"/>
      <w:bCs/>
      <w:iCs/>
      <w:sz w:val="24"/>
      <w:szCs w:val="28"/>
    </w:rPr>
  </w:style>
  <w:style w:type="paragraph" w:styleId="Header">
    <w:name w:val="header"/>
    <w:basedOn w:val="Normal"/>
    <w:rsid w:val="00B94B57"/>
    <w:pPr>
      <w:tabs>
        <w:tab w:val="center" w:pos="4320"/>
        <w:tab w:val="right" w:pos="8640"/>
      </w:tabs>
      <w:jc w:val="both"/>
    </w:pPr>
  </w:style>
  <w:style w:type="paragraph" w:styleId="Footer">
    <w:name w:val="footer"/>
    <w:basedOn w:val="Normal"/>
    <w:rsid w:val="00B94B57"/>
    <w:pPr>
      <w:tabs>
        <w:tab w:val="center" w:pos="4320"/>
        <w:tab w:val="right" w:pos="8640"/>
      </w:tabs>
    </w:pPr>
  </w:style>
  <w:style w:type="paragraph" w:customStyle="1" w:styleId="MemoAddresses">
    <w:name w:val="Memo Addresses"/>
    <w:basedOn w:val="Normal"/>
    <w:next w:val="Normal"/>
    <w:rsid w:val="00B94B57"/>
    <w:pPr>
      <w:spacing w:before="120"/>
      <w:ind w:left="1008" w:hanging="1008"/>
      <w:jc w:val="both"/>
    </w:pPr>
  </w:style>
  <w:style w:type="paragraph" w:customStyle="1" w:styleId="MastHeadPSC">
    <w:name w:val="MastHead PSC"/>
    <w:basedOn w:val="Normal"/>
    <w:next w:val="Normal"/>
    <w:rsid w:val="00B94B57"/>
    <w:pPr>
      <w:jc w:val="center"/>
    </w:pPr>
    <w:rPr>
      <w:b/>
      <w:sz w:val="48"/>
      <w:szCs w:val="48"/>
    </w:rPr>
  </w:style>
  <w:style w:type="paragraph" w:customStyle="1" w:styleId="MastHeadMemorandum">
    <w:name w:val="MastHead Memorandum"/>
    <w:basedOn w:val="Normal"/>
    <w:next w:val="Normal"/>
    <w:rsid w:val="00B94B57"/>
    <w:pPr>
      <w:jc w:val="center"/>
    </w:pPr>
    <w:rPr>
      <w:b/>
      <w:sz w:val="28"/>
      <w:szCs w:val="28"/>
    </w:rPr>
  </w:style>
  <w:style w:type="paragraph" w:customStyle="1" w:styleId="MastHeadAddress">
    <w:name w:val="MastHead Address"/>
    <w:basedOn w:val="Normal"/>
    <w:next w:val="Normal"/>
    <w:rsid w:val="00B94B57"/>
    <w:pPr>
      <w:spacing w:after="200"/>
      <w:jc w:val="center"/>
    </w:pPr>
    <w:rPr>
      <w:b/>
      <w:smallCaps/>
      <w:sz w:val="20"/>
      <w:szCs w:val="20"/>
    </w:rPr>
  </w:style>
  <w:style w:type="paragraph" w:customStyle="1" w:styleId="MastHeadState">
    <w:name w:val="MastHead State"/>
    <w:basedOn w:val="Normal"/>
    <w:next w:val="Normal"/>
    <w:rsid w:val="00B94B57"/>
    <w:pPr>
      <w:jc w:val="center"/>
    </w:pPr>
    <w:rPr>
      <w:b/>
      <w:sz w:val="28"/>
      <w:szCs w:val="28"/>
    </w:rPr>
  </w:style>
  <w:style w:type="table" w:styleId="TableGrid">
    <w:name w:val="Table Grid"/>
    <w:basedOn w:val="TableNormal"/>
    <w:rsid w:val="00B94B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rsid w:val="00B94B57"/>
    <w:pPr>
      <w:jc w:val="both"/>
    </w:pPr>
  </w:style>
  <w:style w:type="paragraph" w:customStyle="1" w:styleId="BlockText5">
    <w:name w:val="Block Text .5&quot;"/>
    <w:basedOn w:val="Normal"/>
    <w:rsid w:val="00B94B57"/>
    <w:pPr>
      <w:spacing w:after="120"/>
      <w:ind w:left="720" w:right="720"/>
    </w:pPr>
  </w:style>
  <w:style w:type="paragraph" w:customStyle="1" w:styleId="BlockText1">
    <w:name w:val="Block Text 1&quot;"/>
    <w:basedOn w:val="Normal"/>
    <w:rsid w:val="00B94B57"/>
    <w:pPr>
      <w:spacing w:after="120"/>
      <w:ind w:left="1440" w:right="1440"/>
    </w:pPr>
  </w:style>
  <w:style w:type="paragraph" w:customStyle="1" w:styleId="BlockText15">
    <w:name w:val="Block Text 1.5&quot;"/>
    <w:basedOn w:val="Normal"/>
    <w:rsid w:val="00B94B57"/>
    <w:pPr>
      <w:spacing w:after="120"/>
      <w:ind w:left="2160" w:right="2160"/>
    </w:pPr>
  </w:style>
  <w:style w:type="paragraph" w:customStyle="1" w:styleId="IssueHeading">
    <w:name w:val="Issue Heading"/>
    <w:basedOn w:val="Heading1"/>
    <w:next w:val="BodyText"/>
    <w:link w:val="IssueHeadingChar"/>
    <w:qFormat/>
    <w:rsid w:val="00B94B57"/>
    <w:pPr>
      <w:keepNext w:val="0"/>
    </w:pPr>
    <w:rPr>
      <w:rFonts w:ascii="Arial" w:hAnsi="Arial"/>
      <w:b/>
      <w:i/>
    </w:rPr>
  </w:style>
  <w:style w:type="character" w:customStyle="1" w:styleId="IssueHeadingChar">
    <w:name w:val="Issue Heading Char"/>
    <w:link w:val="IssueHeading"/>
    <w:rsid w:val="00B94B57"/>
    <w:rPr>
      <w:rFonts w:ascii="Arial" w:hAnsi="Arial" w:cs="Arial"/>
      <w:b/>
      <w:bCs/>
      <w:i/>
      <w:kern w:val="32"/>
      <w:sz w:val="24"/>
      <w:szCs w:val="32"/>
    </w:rPr>
  </w:style>
  <w:style w:type="paragraph" w:customStyle="1" w:styleId="MemoHeadingRe">
    <w:name w:val="Memo Heading Re"/>
    <w:basedOn w:val="MemoHeading"/>
    <w:rsid w:val="00B94B57"/>
    <w:pPr>
      <w:tabs>
        <w:tab w:val="left" w:pos="2520"/>
        <w:tab w:val="left" w:pos="2736"/>
      </w:tabs>
    </w:pPr>
  </w:style>
  <w:style w:type="paragraph" w:styleId="TOC1">
    <w:name w:val="toc 1"/>
    <w:basedOn w:val="Normal"/>
    <w:next w:val="Normal"/>
    <w:rsid w:val="00B94B57"/>
    <w:pPr>
      <w:tabs>
        <w:tab w:val="left" w:pos="864"/>
        <w:tab w:val="right" w:leader="dot" w:pos="9360"/>
      </w:tabs>
      <w:ind w:left="864" w:right="360" w:hanging="864"/>
    </w:pPr>
  </w:style>
  <w:style w:type="character" w:styleId="Hyperlink">
    <w:name w:val="Hyperlink"/>
    <w:rsid w:val="00B94B57"/>
    <w:rPr>
      <w:color w:val="0000FF"/>
      <w:u w:val="single"/>
    </w:rPr>
  </w:style>
  <w:style w:type="paragraph" w:customStyle="1" w:styleId="RecommendationMajorSectionHeading">
    <w:name w:val="Recommendation Major Section Heading"/>
    <w:basedOn w:val="Heading1"/>
    <w:next w:val="BodyText"/>
    <w:rsid w:val="00B94B57"/>
    <w:pPr>
      <w:jc w:val="center"/>
    </w:pPr>
    <w:rPr>
      <w:rFonts w:ascii="Arial" w:hAnsi="Arial"/>
      <w:b/>
    </w:rPr>
  </w:style>
  <w:style w:type="paragraph" w:customStyle="1" w:styleId="IssueSubsectionHeading">
    <w:name w:val="Issue Subsection Heading"/>
    <w:basedOn w:val="Heading2"/>
    <w:next w:val="BodyText"/>
    <w:link w:val="IssueSubsectionHeadingChar"/>
    <w:qFormat/>
    <w:rsid w:val="00B94B57"/>
    <w:pPr>
      <w:keepNext w:val="0"/>
    </w:pPr>
    <w:rPr>
      <w:rFonts w:ascii="Arial" w:hAnsi="Arial"/>
      <w:b/>
      <w:i/>
    </w:rPr>
  </w:style>
  <w:style w:type="character" w:customStyle="1" w:styleId="IssueSubsectionHeadingChar">
    <w:name w:val="Issue Subsection Heading Char"/>
    <w:link w:val="IssueSubsectionHeading"/>
    <w:rsid w:val="00B94B57"/>
    <w:rPr>
      <w:rFonts w:ascii="Arial" w:hAnsi="Arial" w:cs="Arial"/>
      <w:b/>
      <w:bCs/>
      <w:i/>
      <w:iCs/>
      <w:sz w:val="24"/>
      <w:szCs w:val="28"/>
    </w:rPr>
  </w:style>
  <w:style w:type="paragraph" w:customStyle="1" w:styleId="RecommendationHeading">
    <w:name w:val="Recommendation Heading"/>
    <w:basedOn w:val="Heading1"/>
    <w:next w:val="BodyText"/>
    <w:rsid w:val="00B94B57"/>
    <w:pPr>
      <w:keepNext w:val="0"/>
      <w:jc w:val="center"/>
    </w:pPr>
    <w:rPr>
      <w:b/>
      <w:u w:val="single"/>
    </w:rPr>
  </w:style>
  <w:style w:type="paragraph" w:customStyle="1" w:styleId="DiscussionofIssues">
    <w:name w:val="Discussion of Issues"/>
    <w:basedOn w:val="RecommendationMajorSectionHeading"/>
    <w:next w:val="BodyText"/>
    <w:rsid w:val="00B94B57"/>
    <w:pPr>
      <w:spacing w:after="0"/>
    </w:pPr>
  </w:style>
  <w:style w:type="character" w:styleId="PageNumber">
    <w:name w:val="page number"/>
    <w:basedOn w:val="DefaultParagraphFont"/>
    <w:rsid w:val="00B94B57"/>
  </w:style>
  <w:style w:type="paragraph" w:customStyle="1" w:styleId="TOCColumnHeadings">
    <w:name w:val="TOC Column Headings"/>
    <w:basedOn w:val="Normal"/>
    <w:rsid w:val="00B94B57"/>
    <w:pPr>
      <w:tabs>
        <w:tab w:val="left" w:pos="864"/>
        <w:tab w:val="right" w:pos="9360"/>
      </w:tabs>
    </w:pPr>
    <w:rPr>
      <w:u w:val="words"/>
    </w:rPr>
  </w:style>
  <w:style w:type="table" w:customStyle="1" w:styleId="TableMasthead">
    <w:name w:val="Table Masthead"/>
    <w:basedOn w:val="TableGrid"/>
    <w:rsid w:val="00B94B57"/>
    <w:tblPr/>
  </w:style>
  <w:style w:type="paragraph" w:customStyle="1" w:styleId="StyleHeading1BoldUnderline">
    <w:name w:val="Style Heading 1 + Bold Underline"/>
    <w:basedOn w:val="Heading1"/>
    <w:link w:val="StyleHeading1BoldUnderlineChar"/>
    <w:rsid w:val="00B94B57"/>
    <w:pPr>
      <w:keepNext w:val="0"/>
      <w:spacing w:before="240"/>
    </w:pPr>
    <w:rPr>
      <w:b/>
      <w:u w:val="single"/>
    </w:rPr>
  </w:style>
  <w:style w:type="character" w:customStyle="1" w:styleId="StyleHeading1BoldUnderlineChar">
    <w:name w:val="Style Heading 1 + Bold Underline Char"/>
    <w:link w:val="StyleHeading1BoldUnderline"/>
    <w:rsid w:val="00B94B57"/>
    <w:rPr>
      <w:rFonts w:cs="Arial"/>
      <w:b/>
      <w:bCs/>
      <w:kern w:val="32"/>
      <w:sz w:val="24"/>
      <w:szCs w:val="32"/>
      <w:u w:val="single"/>
    </w:rPr>
  </w:style>
  <w:style w:type="paragraph" w:customStyle="1" w:styleId="RecommendationIssueGroupingSection">
    <w:name w:val="Recommendation Issue Grouping Section"/>
    <w:basedOn w:val="RecommendationMajorSectionHeading"/>
    <w:next w:val="IssueHeading"/>
    <w:rsid w:val="00B94B57"/>
    <w:pPr>
      <w:jc w:val="left"/>
    </w:pPr>
  </w:style>
  <w:style w:type="paragraph" w:styleId="FootnoteText">
    <w:name w:val="footnote text"/>
    <w:basedOn w:val="Normal"/>
    <w:rsid w:val="00B94B57"/>
    <w:pPr>
      <w:jc w:val="both"/>
    </w:pPr>
    <w:rPr>
      <w:sz w:val="20"/>
      <w:szCs w:val="20"/>
    </w:rPr>
  </w:style>
  <w:style w:type="paragraph" w:styleId="TOC3">
    <w:name w:val="toc 3"/>
    <w:basedOn w:val="TOC2"/>
    <w:next w:val="Normal"/>
    <w:rsid w:val="00B94B57"/>
    <w:pPr>
      <w:tabs>
        <w:tab w:val="clear" w:pos="1152"/>
        <w:tab w:val="left" w:pos="1584"/>
      </w:tabs>
      <w:ind w:left="1584" w:hanging="432"/>
    </w:pPr>
  </w:style>
  <w:style w:type="paragraph" w:styleId="TOC2">
    <w:name w:val="toc 2"/>
    <w:basedOn w:val="TOC1"/>
    <w:next w:val="Normal"/>
    <w:rsid w:val="00B94B57"/>
    <w:pPr>
      <w:tabs>
        <w:tab w:val="clear" w:pos="864"/>
        <w:tab w:val="left" w:pos="1152"/>
      </w:tabs>
      <w:ind w:left="1152" w:hanging="288"/>
    </w:pPr>
  </w:style>
  <w:style w:type="paragraph" w:styleId="DocumentMap">
    <w:name w:val="Document Map"/>
    <w:basedOn w:val="Normal"/>
    <w:semiHidden/>
    <w:rsid w:val="00B94B57"/>
    <w:pPr>
      <w:shd w:val="clear" w:color="auto" w:fill="000080"/>
    </w:pPr>
    <w:rPr>
      <w:rFonts w:ascii="Tahoma" w:hAnsi="Tahoma" w:cs="Tahoma"/>
    </w:rPr>
  </w:style>
  <w:style w:type="paragraph" w:styleId="BalloonText">
    <w:name w:val="Balloon Text"/>
    <w:basedOn w:val="Normal"/>
    <w:semiHidden/>
    <w:rsid w:val="00B94B57"/>
    <w:rPr>
      <w:rFonts w:ascii="Tahoma" w:hAnsi="Tahoma" w:cs="Tahoma"/>
      <w:sz w:val="16"/>
      <w:szCs w:val="16"/>
    </w:rPr>
  </w:style>
  <w:style w:type="paragraph" w:styleId="BlockText">
    <w:name w:val="Block Text"/>
    <w:basedOn w:val="Normal"/>
    <w:rsid w:val="00B94B57"/>
    <w:pPr>
      <w:spacing w:after="120"/>
      <w:ind w:left="1440" w:right="1440"/>
    </w:pPr>
  </w:style>
  <w:style w:type="paragraph" w:styleId="BodyText2">
    <w:name w:val="Body Text 2"/>
    <w:basedOn w:val="Normal"/>
    <w:rsid w:val="00B94B57"/>
    <w:pPr>
      <w:spacing w:after="120" w:line="480" w:lineRule="auto"/>
    </w:pPr>
  </w:style>
  <w:style w:type="paragraph" w:styleId="BodyText3">
    <w:name w:val="Body Text 3"/>
    <w:basedOn w:val="Normal"/>
    <w:rsid w:val="00B94B57"/>
    <w:pPr>
      <w:spacing w:after="120"/>
    </w:pPr>
    <w:rPr>
      <w:sz w:val="16"/>
      <w:szCs w:val="16"/>
    </w:rPr>
  </w:style>
  <w:style w:type="paragraph" w:styleId="BodyTextFirstIndent">
    <w:name w:val="Body Text First Indent"/>
    <w:basedOn w:val="BodyText"/>
    <w:rsid w:val="00B94B57"/>
    <w:pPr>
      <w:spacing w:after="120"/>
      <w:ind w:firstLine="210"/>
      <w:jc w:val="left"/>
    </w:pPr>
  </w:style>
  <w:style w:type="paragraph" w:styleId="BodyTextIndent">
    <w:name w:val="Body Text Indent"/>
    <w:basedOn w:val="Normal"/>
    <w:rsid w:val="00B94B57"/>
    <w:pPr>
      <w:spacing w:after="120"/>
      <w:ind w:left="360"/>
    </w:pPr>
  </w:style>
  <w:style w:type="paragraph" w:styleId="BodyTextFirstIndent2">
    <w:name w:val="Body Text First Indent 2"/>
    <w:basedOn w:val="BodyTextIndent"/>
    <w:rsid w:val="00B94B57"/>
    <w:pPr>
      <w:ind w:firstLine="210"/>
    </w:pPr>
  </w:style>
  <w:style w:type="paragraph" w:styleId="BodyTextIndent2">
    <w:name w:val="Body Text Indent 2"/>
    <w:basedOn w:val="Normal"/>
    <w:rsid w:val="00B94B57"/>
    <w:pPr>
      <w:spacing w:after="120" w:line="480" w:lineRule="auto"/>
      <w:ind w:left="360"/>
    </w:pPr>
  </w:style>
  <w:style w:type="paragraph" w:styleId="BodyTextIndent3">
    <w:name w:val="Body Text Indent 3"/>
    <w:basedOn w:val="Normal"/>
    <w:rsid w:val="00B94B57"/>
    <w:pPr>
      <w:spacing w:after="120"/>
      <w:ind w:left="360"/>
    </w:pPr>
    <w:rPr>
      <w:sz w:val="16"/>
      <w:szCs w:val="16"/>
    </w:rPr>
  </w:style>
  <w:style w:type="paragraph" w:styleId="Caption">
    <w:name w:val="caption"/>
    <w:basedOn w:val="Normal"/>
    <w:next w:val="Normal"/>
    <w:qFormat/>
    <w:rsid w:val="00B94B57"/>
    <w:pPr>
      <w:spacing w:before="120" w:after="120"/>
    </w:pPr>
    <w:rPr>
      <w:b/>
      <w:bCs/>
      <w:sz w:val="20"/>
      <w:szCs w:val="20"/>
    </w:rPr>
  </w:style>
  <w:style w:type="paragraph" w:styleId="Closing">
    <w:name w:val="Closing"/>
    <w:basedOn w:val="Normal"/>
    <w:rsid w:val="00B94B57"/>
    <w:pPr>
      <w:ind w:left="4320"/>
    </w:pPr>
  </w:style>
  <w:style w:type="paragraph" w:styleId="CommentText">
    <w:name w:val="annotation text"/>
    <w:basedOn w:val="Normal"/>
    <w:semiHidden/>
    <w:rsid w:val="00B94B57"/>
    <w:rPr>
      <w:sz w:val="20"/>
      <w:szCs w:val="20"/>
    </w:rPr>
  </w:style>
  <w:style w:type="paragraph" w:styleId="CommentSubject">
    <w:name w:val="annotation subject"/>
    <w:basedOn w:val="CommentText"/>
    <w:next w:val="CommentText"/>
    <w:semiHidden/>
    <w:rsid w:val="00B94B57"/>
    <w:rPr>
      <w:b/>
      <w:bCs/>
    </w:rPr>
  </w:style>
  <w:style w:type="paragraph" w:styleId="Date">
    <w:name w:val="Date"/>
    <w:basedOn w:val="Normal"/>
    <w:next w:val="Normal"/>
    <w:rsid w:val="00B94B57"/>
  </w:style>
  <w:style w:type="paragraph" w:styleId="E-mailSignature">
    <w:name w:val="E-mail Signature"/>
    <w:basedOn w:val="Normal"/>
    <w:rsid w:val="00B94B57"/>
  </w:style>
  <w:style w:type="paragraph" w:styleId="EndnoteText">
    <w:name w:val="endnote text"/>
    <w:basedOn w:val="Normal"/>
    <w:semiHidden/>
    <w:rsid w:val="00B94B57"/>
    <w:rPr>
      <w:sz w:val="20"/>
      <w:szCs w:val="20"/>
    </w:rPr>
  </w:style>
  <w:style w:type="paragraph" w:styleId="EnvelopeAddress">
    <w:name w:val="envelope address"/>
    <w:basedOn w:val="Normal"/>
    <w:rsid w:val="00B94B57"/>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B94B57"/>
    <w:rPr>
      <w:rFonts w:ascii="Arial" w:hAnsi="Arial" w:cs="Arial"/>
      <w:sz w:val="20"/>
      <w:szCs w:val="20"/>
    </w:rPr>
  </w:style>
  <w:style w:type="paragraph" w:styleId="HTMLAddress">
    <w:name w:val="HTML Address"/>
    <w:basedOn w:val="Normal"/>
    <w:rsid w:val="00B94B57"/>
    <w:rPr>
      <w:i/>
      <w:iCs/>
    </w:rPr>
  </w:style>
  <w:style w:type="paragraph" w:styleId="HTMLPreformatted">
    <w:name w:val="HTML Preformatted"/>
    <w:basedOn w:val="Normal"/>
    <w:rsid w:val="00B94B57"/>
    <w:rPr>
      <w:rFonts w:ascii="Courier New" w:hAnsi="Courier New" w:cs="Courier New"/>
      <w:sz w:val="20"/>
      <w:szCs w:val="20"/>
    </w:rPr>
  </w:style>
  <w:style w:type="paragraph" w:styleId="Index1">
    <w:name w:val="index 1"/>
    <w:basedOn w:val="Normal"/>
    <w:next w:val="Normal"/>
    <w:autoRedefine/>
    <w:semiHidden/>
    <w:rsid w:val="00B94B57"/>
    <w:pPr>
      <w:ind w:left="240" w:hanging="240"/>
    </w:pPr>
  </w:style>
  <w:style w:type="paragraph" w:styleId="Index2">
    <w:name w:val="index 2"/>
    <w:basedOn w:val="Normal"/>
    <w:next w:val="Normal"/>
    <w:autoRedefine/>
    <w:semiHidden/>
    <w:rsid w:val="00B94B57"/>
    <w:pPr>
      <w:ind w:left="480" w:hanging="240"/>
    </w:pPr>
  </w:style>
  <w:style w:type="paragraph" w:styleId="Index3">
    <w:name w:val="index 3"/>
    <w:basedOn w:val="Normal"/>
    <w:next w:val="Normal"/>
    <w:autoRedefine/>
    <w:semiHidden/>
    <w:rsid w:val="00B94B57"/>
    <w:pPr>
      <w:ind w:left="720" w:hanging="240"/>
    </w:pPr>
  </w:style>
  <w:style w:type="paragraph" w:styleId="Index4">
    <w:name w:val="index 4"/>
    <w:basedOn w:val="Normal"/>
    <w:next w:val="Normal"/>
    <w:autoRedefine/>
    <w:semiHidden/>
    <w:rsid w:val="00B94B57"/>
    <w:pPr>
      <w:ind w:left="960" w:hanging="240"/>
    </w:pPr>
  </w:style>
  <w:style w:type="paragraph" w:styleId="Index5">
    <w:name w:val="index 5"/>
    <w:basedOn w:val="Normal"/>
    <w:next w:val="Normal"/>
    <w:autoRedefine/>
    <w:semiHidden/>
    <w:rsid w:val="00B94B57"/>
    <w:pPr>
      <w:ind w:left="1200" w:hanging="240"/>
    </w:pPr>
  </w:style>
  <w:style w:type="paragraph" w:styleId="Index6">
    <w:name w:val="index 6"/>
    <w:basedOn w:val="Normal"/>
    <w:next w:val="Normal"/>
    <w:autoRedefine/>
    <w:semiHidden/>
    <w:rsid w:val="00B94B57"/>
    <w:pPr>
      <w:ind w:left="1440" w:hanging="240"/>
    </w:pPr>
  </w:style>
  <w:style w:type="paragraph" w:styleId="Index7">
    <w:name w:val="index 7"/>
    <w:basedOn w:val="Normal"/>
    <w:next w:val="Normal"/>
    <w:autoRedefine/>
    <w:semiHidden/>
    <w:rsid w:val="00B94B57"/>
    <w:pPr>
      <w:ind w:left="1680" w:hanging="240"/>
    </w:pPr>
  </w:style>
  <w:style w:type="paragraph" w:styleId="Index8">
    <w:name w:val="index 8"/>
    <w:basedOn w:val="Normal"/>
    <w:next w:val="Normal"/>
    <w:autoRedefine/>
    <w:semiHidden/>
    <w:rsid w:val="00B94B57"/>
    <w:pPr>
      <w:ind w:left="1920" w:hanging="240"/>
    </w:pPr>
  </w:style>
  <w:style w:type="paragraph" w:styleId="Index9">
    <w:name w:val="index 9"/>
    <w:basedOn w:val="Normal"/>
    <w:next w:val="Normal"/>
    <w:autoRedefine/>
    <w:semiHidden/>
    <w:rsid w:val="00B94B57"/>
    <w:pPr>
      <w:ind w:left="2160" w:hanging="240"/>
    </w:pPr>
  </w:style>
  <w:style w:type="paragraph" w:styleId="IndexHeading">
    <w:name w:val="index heading"/>
    <w:basedOn w:val="Normal"/>
    <w:next w:val="Index1"/>
    <w:semiHidden/>
    <w:rsid w:val="00B94B57"/>
    <w:rPr>
      <w:rFonts w:ascii="Arial" w:hAnsi="Arial" w:cs="Arial"/>
      <w:b/>
      <w:bCs/>
    </w:rPr>
  </w:style>
  <w:style w:type="paragraph" w:styleId="List">
    <w:name w:val="List"/>
    <w:basedOn w:val="Normal"/>
    <w:rsid w:val="00B94B57"/>
    <w:pPr>
      <w:ind w:left="360" w:hanging="360"/>
    </w:pPr>
  </w:style>
  <w:style w:type="paragraph" w:styleId="List2">
    <w:name w:val="List 2"/>
    <w:basedOn w:val="Normal"/>
    <w:rsid w:val="00B94B57"/>
    <w:pPr>
      <w:ind w:left="720" w:hanging="360"/>
    </w:pPr>
  </w:style>
  <w:style w:type="paragraph" w:styleId="List3">
    <w:name w:val="List 3"/>
    <w:basedOn w:val="Normal"/>
    <w:rsid w:val="00B94B57"/>
    <w:pPr>
      <w:ind w:left="1080" w:hanging="360"/>
    </w:pPr>
  </w:style>
  <w:style w:type="paragraph" w:styleId="List4">
    <w:name w:val="List 4"/>
    <w:basedOn w:val="Normal"/>
    <w:rsid w:val="00B94B57"/>
    <w:pPr>
      <w:ind w:left="1440" w:hanging="360"/>
    </w:pPr>
  </w:style>
  <w:style w:type="paragraph" w:styleId="List5">
    <w:name w:val="List 5"/>
    <w:basedOn w:val="Normal"/>
    <w:rsid w:val="00B94B57"/>
    <w:pPr>
      <w:ind w:left="1800" w:hanging="360"/>
    </w:pPr>
  </w:style>
  <w:style w:type="paragraph" w:styleId="ListBullet">
    <w:name w:val="List Bullet"/>
    <w:basedOn w:val="Normal"/>
    <w:autoRedefine/>
    <w:rsid w:val="00B94B57"/>
    <w:pPr>
      <w:tabs>
        <w:tab w:val="num" w:pos="360"/>
      </w:tabs>
      <w:ind w:left="360" w:hanging="360"/>
    </w:pPr>
  </w:style>
  <w:style w:type="paragraph" w:styleId="ListBullet2">
    <w:name w:val="List Bullet 2"/>
    <w:basedOn w:val="Normal"/>
    <w:autoRedefine/>
    <w:rsid w:val="00B94B57"/>
    <w:pPr>
      <w:tabs>
        <w:tab w:val="num" w:pos="720"/>
      </w:tabs>
      <w:ind w:left="720" w:hanging="360"/>
    </w:pPr>
  </w:style>
  <w:style w:type="paragraph" w:styleId="ListBullet3">
    <w:name w:val="List Bullet 3"/>
    <w:basedOn w:val="Normal"/>
    <w:autoRedefine/>
    <w:rsid w:val="00B94B57"/>
    <w:pPr>
      <w:tabs>
        <w:tab w:val="num" w:pos="1080"/>
      </w:tabs>
      <w:ind w:left="1080" w:hanging="360"/>
    </w:pPr>
  </w:style>
  <w:style w:type="paragraph" w:styleId="ListBullet4">
    <w:name w:val="List Bullet 4"/>
    <w:basedOn w:val="Normal"/>
    <w:autoRedefine/>
    <w:rsid w:val="00B94B57"/>
    <w:pPr>
      <w:tabs>
        <w:tab w:val="num" w:pos="1440"/>
      </w:tabs>
      <w:ind w:left="1440" w:hanging="360"/>
    </w:pPr>
  </w:style>
  <w:style w:type="paragraph" w:styleId="ListBullet5">
    <w:name w:val="List Bullet 5"/>
    <w:basedOn w:val="Normal"/>
    <w:autoRedefine/>
    <w:rsid w:val="00B94B57"/>
    <w:pPr>
      <w:tabs>
        <w:tab w:val="num" w:pos="1800"/>
      </w:tabs>
      <w:ind w:left="1800" w:hanging="360"/>
    </w:pPr>
  </w:style>
  <w:style w:type="paragraph" w:styleId="ListContinue">
    <w:name w:val="List Continue"/>
    <w:basedOn w:val="Normal"/>
    <w:rsid w:val="00B94B57"/>
    <w:pPr>
      <w:spacing w:after="120"/>
      <w:ind w:left="360"/>
    </w:pPr>
  </w:style>
  <w:style w:type="paragraph" w:styleId="ListContinue2">
    <w:name w:val="List Continue 2"/>
    <w:basedOn w:val="Normal"/>
    <w:rsid w:val="00B94B57"/>
    <w:pPr>
      <w:spacing w:after="120"/>
      <w:ind w:left="720"/>
    </w:pPr>
  </w:style>
  <w:style w:type="paragraph" w:styleId="ListContinue3">
    <w:name w:val="List Continue 3"/>
    <w:basedOn w:val="Normal"/>
    <w:rsid w:val="00B94B57"/>
    <w:pPr>
      <w:spacing w:after="120"/>
      <w:ind w:left="1080"/>
    </w:pPr>
  </w:style>
  <w:style w:type="paragraph" w:styleId="ListContinue4">
    <w:name w:val="List Continue 4"/>
    <w:basedOn w:val="Normal"/>
    <w:rsid w:val="00B94B57"/>
    <w:pPr>
      <w:spacing w:after="120"/>
      <w:ind w:left="1440"/>
    </w:pPr>
  </w:style>
  <w:style w:type="paragraph" w:styleId="ListContinue5">
    <w:name w:val="List Continue 5"/>
    <w:basedOn w:val="Normal"/>
    <w:rsid w:val="00B94B57"/>
    <w:pPr>
      <w:spacing w:after="120"/>
      <w:ind w:left="1800"/>
    </w:pPr>
  </w:style>
  <w:style w:type="paragraph" w:styleId="ListNumber">
    <w:name w:val="List Number"/>
    <w:basedOn w:val="Normal"/>
    <w:rsid w:val="00B94B57"/>
    <w:pPr>
      <w:tabs>
        <w:tab w:val="num" w:pos="360"/>
      </w:tabs>
      <w:ind w:left="360" w:hanging="360"/>
    </w:pPr>
  </w:style>
  <w:style w:type="paragraph" w:styleId="ListNumber2">
    <w:name w:val="List Number 2"/>
    <w:basedOn w:val="Normal"/>
    <w:rsid w:val="00B94B57"/>
    <w:pPr>
      <w:tabs>
        <w:tab w:val="num" w:pos="720"/>
      </w:tabs>
      <w:ind w:left="720" w:hanging="360"/>
    </w:pPr>
  </w:style>
  <w:style w:type="paragraph" w:styleId="ListNumber3">
    <w:name w:val="List Number 3"/>
    <w:basedOn w:val="Normal"/>
    <w:rsid w:val="00B94B57"/>
    <w:pPr>
      <w:tabs>
        <w:tab w:val="num" w:pos="1080"/>
      </w:tabs>
      <w:ind w:left="1080" w:hanging="360"/>
    </w:pPr>
  </w:style>
  <w:style w:type="paragraph" w:styleId="ListNumber4">
    <w:name w:val="List Number 4"/>
    <w:basedOn w:val="Normal"/>
    <w:rsid w:val="00B94B57"/>
    <w:pPr>
      <w:tabs>
        <w:tab w:val="num" w:pos="1440"/>
      </w:tabs>
      <w:ind w:left="1440" w:hanging="360"/>
    </w:pPr>
  </w:style>
  <w:style w:type="paragraph" w:styleId="ListNumber5">
    <w:name w:val="List Number 5"/>
    <w:basedOn w:val="Normal"/>
    <w:rsid w:val="00B94B57"/>
    <w:pPr>
      <w:tabs>
        <w:tab w:val="num" w:pos="1800"/>
      </w:tabs>
      <w:ind w:left="1800" w:hanging="360"/>
    </w:pPr>
  </w:style>
  <w:style w:type="paragraph" w:styleId="MacroText">
    <w:name w:val="macro"/>
    <w:semiHidden/>
    <w:rsid w:val="00B94B57"/>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rsid w:val="00B94B57"/>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rsid w:val="00B94B57"/>
  </w:style>
  <w:style w:type="paragraph" w:styleId="NormalIndent">
    <w:name w:val="Normal Indent"/>
    <w:basedOn w:val="Normal"/>
    <w:rsid w:val="00B94B57"/>
    <w:pPr>
      <w:ind w:left="720"/>
    </w:pPr>
  </w:style>
  <w:style w:type="paragraph" w:styleId="NoteHeading">
    <w:name w:val="Note Heading"/>
    <w:basedOn w:val="Normal"/>
    <w:next w:val="Normal"/>
    <w:rsid w:val="00B94B57"/>
  </w:style>
  <w:style w:type="paragraph" w:styleId="PlainText">
    <w:name w:val="Plain Text"/>
    <w:basedOn w:val="Normal"/>
    <w:rsid w:val="00B94B57"/>
    <w:rPr>
      <w:rFonts w:ascii="Courier New" w:hAnsi="Courier New" w:cs="Courier New"/>
      <w:sz w:val="20"/>
      <w:szCs w:val="20"/>
    </w:rPr>
  </w:style>
  <w:style w:type="paragraph" w:styleId="Salutation">
    <w:name w:val="Salutation"/>
    <w:basedOn w:val="Normal"/>
    <w:next w:val="Normal"/>
    <w:rsid w:val="00B94B57"/>
  </w:style>
  <w:style w:type="paragraph" w:styleId="Signature">
    <w:name w:val="Signature"/>
    <w:basedOn w:val="Normal"/>
    <w:rsid w:val="00B94B57"/>
    <w:pPr>
      <w:ind w:left="4320"/>
    </w:pPr>
  </w:style>
  <w:style w:type="paragraph" w:styleId="Subtitle">
    <w:name w:val="Subtitle"/>
    <w:basedOn w:val="Normal"/>
    <w:qFormat/>
    <w:rsid w:val="00B94B57"/>
    <w:pPr>
      <w:spacing w:after="60"/>
      <w:jc w:val="center"/>
      <w:outlineLvl w:val="1"/>
    </w:pPr>
    <w:rPr>
      <w:rFonts w:ascii="Arial" w:hAnsi="Arial" w:cs="Arial"/>
    </w:rPr>
  </w:style>
  <w:style w:type="paragraph" w:styleId="TableofAuthorities">
    <w:name w:val="table of authorities"/>
    <w:basedOn w:val="Normal"/>
    <w:next w:val="Normal"/>
    <w:semiHidden/>
    <w:rsid w:val="00B94B57"/>
    <w:pPr>
      <w:ind w:left="240" w:hanging="240"/>
    </w:pPr>
  </w:style>
  <w:style w:type="paragraph" w:styleId="TableofFigures">
    <w:name w:val="table of figures"/>
    <w:basedOn w:val="Normal"/>
    <w:next w:val="Normal"/>
    <w:semiHidden/>
    <w:rsid w:val="00B94B57"/>
    <w:pPr>
      <w:ind w:left="480" w:hanging="480"/>
    </w:pPr>
  </w:style>
  <w:style w:type="paragraph" w:styleId="Title">
    <w:name w:val="Title"/>
    <w:basedOn w:val="Normal"/>
    <w:qFormat/>
    <w:rsid w:val="00B94B57"/>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B94B57"/>
    <w:pPr>
      <w:spacing w:before="120"/>
    </w:pPr>
    <w:rPr>
      <w:rFonts w:ascii="Arial" w:hAnsi="Arial" w:cs="Arial"/>
      <w:b/>
      <w:bCs/>
    </w:rPr>
  </w:style>
  <w:style w:type="paragraph" w:styleId="TOC4">
    <w:name w:val="toc 4"/>
    <w:basedOn w:val="Normal"/>
    <w:next w:val="Normal"/>
    <w:autoRedefine/>
    <w:semiHidden/>
    <w:rsid w:val="00B94B57"/>
    <w:pPr>
      <w:ind w:left="720"/>
    </w:pPr>
  </w:style>
  <w:style w:type="paragraph" w:styleId="TOC5">
    <w:name w:val="toc 5"/>
    <w:basedOn w:val="Normal"/>
    <w:next w:val="Normal"/>
    <w:autoRedefine/>
    <w:semiHidden/>
    <w:rsid w:val="00B94B57"/>
    <w:pPr>
      <w:ind w:left="960"/>
    </w:pPr>
  </w:style>
  <w:style w:type="paragraph" w:styleId="TOC6">
    <w:name w:val="toc 6"/>
    <w:basedOn w:val="Normal"/>
    <w:next w:val="Normal"/>
    <w:autoRedefine/>
    <w:semiHidden/>
    <w:rsid w:val="00B94B57"/>
    <w:pPr>
      <w:ind w:left="1200"/>
    </w:pPr>
  </w:style>
  <w:style w:type="paragraph" w:styleId="TOC9">
    <w:name w:val="toc 9"/>
    <w:basedOn w:val="TOC1"/>
    <w:next w:val="Normal"/>
    <w:autoRedefine/>
    <w:rsid w:val="00B94B57"/>
    <w:pPr>
      <w:ind w:left="1728"/>
    </w:pPr>
    <w:rPr>
      <w:u w:val="single"/>
    </w:rPr>
  </w:style>
  <w:style w:type="paragraph" w:customStyle="1" w:styleId="MemoHeadingLabel">
    <w:name w:val="Memo Heading Label"/>
    <w:basedOn w:val="MemoHeading"/>
    <w:qFormat/>
    <w:rsid w:val="00B94B57"/>
    <w:rPr>
      <w:rFonts w:ascii="Arial" w:hAnsi="Arial"/>
      <w:b/>
    </w:rPr>
  </w:style>
  <w:style w:type="paragraph" w:customStyle="1" w:styleId="First-LevelSubheading">
    <w:name w:val="First-Level Subheading"/>
    <w:basedOn w:val="IssueSubsectionHeading"/>
    <w:next w:val="BodyText"/>
    <w:qFormat/>
    <w:rsid w:val="00B94B57"/>
    <w:pPr>
      <w:spacing w:after="0"/>
      <w:outlineLvl w:val="2"/>
    </w:pPr>
    <w:rPr>
      <w:i w:val="0"/>
    </w:rPr>
  </w:style>
  <w:style w:type="paragraph" w:customStyle="1" w:styleId="Second-LevelSubheading">
    <w:name w:val="Second-Level Subheading"/>
    <w:basedOn w:val="First-LevelSubheading"/>
    <w:next w:val="BodyText"/>
    <w:qFormat/>
    <w:rsid w:val="00B94B57"/>
    <w:pPr>
      <w:ind w:left="720"/>
      <w:outlineLvl w:val="3"/>
    </w:pPr>
    <w:rPr>
      <w:i/>
    </w:rPr>
  </w:style>
  <w:style w:type="paragraph" w:customStyle="1" w:styleId="TableNumber">
    <w:name w:val="Table Number"/>
    <w:basedOn w:val="BodyText"/>
    <w:next w:val="BodyText"/>
    <w:qFormat/>
    <w:rsid w:val="00B94B57"/>
    <w:pPr>
      <w:spacing w:before="480" w:after="0"/>
      <w:jc w:val="center"/>
    </w:pPr>
    <w:rPr>
      <w:rFonts w:ascii="Arial" w:hAnsi="Arial"/>
      <w:b/>
    </w:rPr>
  </w:style>
  <w:style w:type="paragraph" w:customStyle="1" w:styleId="TableTitle">
    <w:name w:val="Table Title"/>
    <w:basedOn w:val="BodyText"/>
    <w:next w:val="BodyText"/>
    <w:qFormat/>
    <w:rsid w:val="00B94B57"/>
    <w:pPr>
      <w:spacing w:after="0"/>
      <w:jc w:val="center"/>
    </w:pPr>
    <w:rPr>
      <w:rFonts w:ascii="Arial" w:hAnsi="Arial"/>
      <w:b/>
    </w:rPr>
  </w:style>
  <w:style w:type="paragraph" w:customStyle="1" w:styleId="TableSource">
    <w:name w:val="Table Source"/>
    <w:basedOn w:val="BodyText"/>
    <w:next w:val="BodyText"/>
    <w:qFormat/>
    <w:rsid w:val="00B94B57"/>
    <w:pPr>
      <w:spacing w:after="480"/>
    </w:pPr>
  </w:style>
  <w:style w:type="character" w:styleId="FootnoteReference">
    <w:name w:val="footnote reference"/>
    <w:basedOn w:val="DefaultParagraphFont"/>
    <w:rsid w:val="003B60C2"/>
    <w:rPr>
      <w:vertAlign w:val="superscript"/>
    </w:rPr>
  </w:style>
  <w:style w:type="paragraph" w:customStyle="1" w:styleId="PartyName">
    <w:name w:val="Party Name"/>
    <w:basedOn w:val="IssueSubsectionHeading"/>
    <w:next w:val="BodyText"/>
    <w:qFormat/>
    <w:rsid w:val="00B94B57"/>
    <w:rPr>
      <w:i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94B57"/>
    <w:rPr>
      <w:sz w:val="24"/>
      <w:szCs w:val="24"/>
    </w:rPr>
  </w:style>
  <w:style w:type="paragraph" w:styleId="Heading1">
    <w:name w:val="heading 1"/>
    <w:basedOn w:val="Normal"/>
    <w:next w:val="BodyText"/>
    <w:link w:val="Heading1Char"/>
    <w:qFormat/>
    <w:rsid w:val="00B94B57"/>
    <w:pPr>
      <w:keepNext/>
      <w:spacing w:after="240"/>
      <w:jc w:val="both"/>
      <w:outlineLvl w:val="0"/>
    </w:pPr>
    <w:rPr>
      <w:rFonts w:cs="Arial"/>
      <w:bCs/>
      <w:kern w:val="32"/>
      <w:szCs w:val="32"/>
    </w:rPr>
  </w:style>
  <w:style w:type="paragraph" w:styleId="Heading2">
    <w:name w:val="heading 2"/>
    <w:basedOn w:val="Normal"/>
    <w:next w:val="BodyText"/>
    <w:link w:val="Heading2Char"/>
    <w:qFormat/>
    <w:rsid w:val="00B94B57"/>
    <w:pPr>
      <w:keepNext/>
      <w:spacing w:after="240"/>
      <w:jc w:val="both"/>
      <w:outlineLvl w:val="1"/>
    </w:pPr>
    <w:rPr>
      <w:rFonts w:cs="Arial"/>
      <w:bCs/>
      <w:iCs/>
      <w:szCs w:val="28"/>
    </w:rPr>
  </w:style>
  <w:style w:type="paragraph" w:styleId="Heading3">
    <w:name w:val="heading 3"/>
    <w:basedOn w:val="BodyText"/>
    <w:next w:val="BodyText"/>
    <w:qFormat/>
    <w:rsid w:val="00B94B57"/>
    <w:pPr>
      <w:outlineLvl w:val="2"/>
    </w:pPr>
  </w:style>
  <w:style w:type="paragraph" w:styleId="Heading4">
    <w:name w:val="heading 4"/>
    <w:basedOn w:val="Normal"/>
    <w:next w:val="Normal"/>
    <w:qFormat/>
    <w:rsid w:val="00B94B57"/>
    <w:pPr>
      <w:keepNext/>
      <w:spacing w:before="240" w:after="60"/>
      <w:outlineLvl w:val="3"/>
    </w:pPr>
    <w:rPr>
      <w:b/>
      <w:bCs/>
      <w:sz w:val="28"/>
      <w:szCs w:val="28"/>
    </w:rPr>
  </w:style>
  <w:style w:type="paragraph" w:styleId="Heading5">
    <w:name w:val="heading 5"/>
    <w:basedOn w:val="Normal"/>
    <w:next w:val="Normal"/>
    <w:qFormat/>
    <w:rsid w:val="00B94B57"/>
    <w:pPr>
      <w:spacing w:before="240" w:after="60"/>
      <w:outlineLvl w:val="4"/>
    </w:pPr>
    <w:rPr>
      <w:b/>
      <w:bCs/>
      <w:i/>
      <w:iCs/>
      <w:sz w:val="26"/>
      <w:szCs w:val="26"/>
    </w:rPr>
  </w:style>
  <w:style w:type="paragraph" w:styleId="Heading6">
    <w:name w:val="heading 6"/>
    <w:basedOn w:val="Normal"/>
    <w:next w:val="Normal"/>
    <w:qFormat/>
    <w:rsid w:val="00B94B57"/>
    <w:pPr>
      <w:spacing w:before="240" w:after="60"/>
      <w:outlineLvl w:val="5"/>
    </w:pPr>
    <w:rPr>
      <w:b/>
      <w:bCs/>
      <w:sz w:val="22"/>
      <w:szCs w:val="22"/>
    </w:rPr>
  </w:style>
  <w:style w:type="paragraph" w:styleId="Heading7">
    <w:name w:val="heading 7"/>
    <w:basedOn w:val="Normal"/>
    <w:next w:val="Normal"/>
    <w:qFormat/>
    <w:rsid w:val="00B94B57"/>
    <w:pPr>
      <w:spacing w:before="240" w:after="60"/>
      <w:outlineLvl w:val="6"/>
    </w:pPr>
  </w:style>
  <w:style w:type="paragraph" w:styleId="Heading8">
    <w:name w:val="heading 8"/>
    <w:basedOn w:val="Normal"/>
    <w:next w:val="Normal"/>
    <w:qFormat/>
    <w:rsid w:val="00B94B57"/>
    <w:pPr>
      <w:spacing w:before="240" w:after="60"/>
      <w:outlineLvl w:val="7"/>
    </w:pPr>
    <w:rPr>
      <w:i/>
      <w:iCs/>
    </w:rPr>
  </w:style>
  <w:style w:type="paragraph" w:styleId="Heading9">
    <w:name w:val="heading 9"/>
    <w:basedOn w:val="Normal"/>
    <w:next w:val="Normal"/>
    <w:qFormat/>
    <w:rsid w:val="00B94B57"/>
    <w:pPr>
      <w:spacing w:before="240" w:after="60"/>
      <w:outlineLvl w:val="8"/>
    </w:pPr>
    <w:rPr>
      <w:rFonts w:ascii="Arial" w:hAnsi="Arial" w:cs="Arial"/>
      <w:sz w:val="22"/>
      <w:szCs w:val="22"/>
    </w:rPr>
  </w:style>
  <w:style w:type="character" w:default="1" w:styleId="DefaultParagraphFont">
    <w:name w:val="Default Paragraph Font"/>
    <w:semiHidden/>
    <w:rsid w:val="00B94B5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rsid w:val="00B94B57"/>
  </w:style>
  <w:style w:type="paragraph" w:styleId="BodyText">
    <w:name w:val="Body Text"/>
    <w:basedOn w:val="Normal"/>
    <w:link w:val="BodyTextChar"/>
    <w:rsid w:val="00B94B57"/>
    <w:pPr>
      <w:spacing w:after="240"/>
      <w:jc w:val="both"/>
    </w:pPr>
  </w:style>
  <w:style w:type="character" w:customStyle="1" w:styleId="BodyTextChar">
    <w:name w:val="Body Text Char"/>
    <w:link w:val="BodyText"/>
    <w:rsid w:val="00B94B57"/>
    <w:rPr>
      <w:sz w:val="24"/>
      <w:szCs w:val="24"/>
    </w:rPr>
  </w:style>
  <w:style w:type="character" w:customStyle="1" w:styleId="Heading1Char">
    <w:name w:val="Heading 1 Char"/>
    <w:link w:val="Heading1"/>
    <w:rsid w:val="00B94B57"/>
    <w:rPr>
      <w:rFonts w:cs="Arial"/>
      <w:bCs/>
      <w:kern w:val="32"/>
      <w:sz w:val="24"/>
      <w:szCs w:val="32"/>
    </w:rPr>
  </w:style>
  <w:style w:type="character" w:customStyle="1" w:styleId="Heading2Char">
    <w:name w:val="Heading 2 Char"/>
    <w:link w:val="Heading2"/>
    <w:rsid w:val="00B94B57"/>
    <w:rPr>
      <w:rFonts w:cs="Arial"/>
      <w:bCs/>
      <w:iCs/>
      <w:sz w:val="24"/>
      <w:szCs w:val="28"/>
    </w:rPr>
  </w:style>
  <w:style w:type="paragraph" w:styleId="Header">
    <w:name w:val="header"/>
    <w:basedOn w:val="Normal"/>
    <w:rsid w:val="00B94B57"/>
    <w:pPr>
      <w:tabs>
        <w:tab w:val="center" w:pos="4320"/>
        <w:tab w:val="right" w:pos="8640"/>
      </w:tabs>
      <w:jc w:val="both"/>
    </w:pPr>
  </w:style>
  <w:style w:type="paragraph" w:styleId="Footer">
    <w:name w:val="footer"/>
    <w:basedOn w:val="Normal"/>
    <w:rsid w:val="00B94B57"/>
    <w:pPr>
      <w:tabs>
        <w:tab w:val="center" w:pos="4320"/>
        <w:tab w:val="right" w:pos="8640"/>
      </w:tabs>
    </w:pPr>
  </w:style>
  <w:style w:type="paragraph" w:customStyle="1" w:styleId="MemoAddresses">
    <w:name w:val="Memo Addresses"/>
    <w:basedOn w:val="Normal"/>
    <w:next w:val="Normal"/>
    <w:rsid w:val="00B94B57"/>
    <w:pPr>
      <w:spacing w:before="120"/>
      <w:ind w:left="1008" w:hanging="1008"/>
      <w:jc w:val="both"/>
    </w:pPr>
  </w:style>
  <w:style w:type="paragraph" w:customStyle="1" w:styleId="MastHeadPSC">
    <w:name w:val="MastHead PSC"/>
    <w:basedOn w:val="Normal"/>
    <w:next w:val="Normal"/>
    <w:rsid w:val="00B94B57"/>
    <w:pPr>
      <w:jc w:val="center"/>
    </w:pPr>
    <w:rPr>
      <w:b/>
      <w:sz w:val="48"/>
      <w:szCs w:val="48"/>
    </w:rPr>
  </w:style>
  <w:style w:type="paragraph" w:customStyle="1" w:styleId="MastHeadMemorandum">
    <w:name w:val="MastHead Memorandum"/>
    <w:basedOn w:val="Normal"/>
    <w:next w:val="Normal"/>
    <w:rsid w:val="00B94B57"/>
    <w:pPr>
      <w:jc w:val="center"/>
    </w:pPr>
    <w:rPr>
      <w:b/>
      <w:sz w:val="28"/>
      <w:szCs w:val="28"/>
    </w:rPr>
  </w:style>
  <w:style w:type="paragraph" w:customStyle="1" w:styleId="MastHeadAddress">
    <w:name w:val="MastHead Address"/>
    <w:basedOn w:val="Normal"/>
    <w:next w:val="Normal"/>
    <w:rsid w:val="00B94B57"/>
    <w:pPr>
      <w:spacing w:after="200"/>
      <w:jc w:val="center"/>
    </w:pPr>
    <w:rPr>
      <w:b/>
      <w:smallCaps/>
      <w:sz w:val="20"/>
      <w:szCs w:val="20"/>
    </w:rPr>
  </w:style>
  <w:style w:type="paragraph" w:customStyle="1" w:styleId="MastHeadState">
    <w:name w:val="MastHead State"/>
    <w:basedOn w:val="Normal"/>
    <w:next w:val="Normal"/>
    <w:rsid w:val="00B94B57"/>
    <w:pPr>
      <w:jc w:val="center"/>
    </w:pPr>
    <w:rPr>
      <w:b/>
      <w:sz w:val="28"/>
      <w:szCs w:val="28"/>
    </w:rPr>
  </w:style>
  <w:style w:type="table" w:styleId="TableGrid">
    <w:name w:val="Table Grid"/>
    <w:basedOn w:val="TableNormal"/>
    <w:rsid w:val="00B94B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rsid w:val="00B94B57"/>
    <w:pPr>
      <w:jc w:val="both"/>
    </w:pPr>
  </w:style>
  <w:style w:type="paragraph" w:customStyle="1" w:styleId="BlockText5">
    <w:name w:val="Block Text .5&quot;"/>
    <w:basedOn w:val="Normal"/>
    <w:rsid w:val="00B94B57"/>
    <w:pPr>
      <w:spacing w:after="120"/>
      <w:ind w:left="720" w:right="720"/>
    </w:pPr>
  </w:style>
  <w:style w:type="paragraph" w:customStyle="1" w:styleId="BlockText1">
    <w:name w:val="Block Text 1&quot;"/>
    <w:basedOn w:val="Normal"/>
    <w:rsid w:val="00B94B57"/>
    <w:pPr>
      <w:spacing w:after="120"/>
      <w:ind w:left="1440" w:right="1440"/>
    </w:pPr>
  </w:style>
  <w:style w:type="paragraph" w:customStyle="1" w:styleId="BlockText15">
    <w:name w:val="Block Text 1.5&quot;"/>
    <w:basedOn w:val="Normal"/>
    <w:rsid w:val="00B94B57"/>
    <w:pPr>
      <w:spacing w:after="120"/>
      <w:ind w:left="2160" w:right="2160"/>
    </w:pPr>
  </w:style>
  <w:style w:type="paragraph" w:customStyle="1" w:styleId="IssueHeading">
    <w:name w:val="Issue Heading"/>
    <w:basedOn w:val="Heading1"/>
    <w:next w:val="BodyText"/>
    <w:link w:val="IssueHeadingChar"/>
    <w:qFormat/>
    <w:rsid w:val="00B94B57"/>
    <w:pPr>
      <w:keepNext w:val="0"/>
    </w:pPr>
    <w:rPr>
      <w:rFonts w:ascii="Arial" w:hAnsi="Arial"/>
      <w:b/>
      <w:i/>
    </w:rPr>
  </w:style>
  <w:style w:type="character" w:customStyle="1" w:styleId="IssueHeadingChar">
    <w:name w:val="Issue Heading Char"/>
    <w:link w:val="IssueHeading"/>
    <w:rsid w:val="00B94B57"/>
    <w:rPr>
      <w:rFonts w:ascii="Arial" w:hAnsi="Arial" w:cs="Arial"/>
      <w:b/>
      <w:bCs/>
      <w:i/>
      <w:kern w:val="32"/>
      <w:sz w:val="24"/>
      <w:szCs w:val="32"/>
    </w:rPr>
  </w:style>
  <w:style w:type="paragraph" w:customStyle="1" w:styleId="MemoHeadingRe">
    <w:name w:val="Memo Heading Re"/>
    <w:basedOn w:val="MemoHeading"/>
    <w:rsid w:val="00B94B57"/>
    <w:pPr>
      <w:tabs>
        <w:tab w:val="left" w:pos="2520"/>
        <w:tab w:val="left" w:pos="2736"/>
      </w:tabs>
    </w:pPr>
  </w:style>
  <w:style w:type="paragraph" w:styleId="TOC1">
    <w:name w:val="toc 1"/>
    <w:basedOn w:val="Normal"/>
    <w:next w:val="Normal"/>
    <w:rsid w:val="00B94B57"/>
    <w:pPr>
      <w:tabs>
        <w:tab w:val="left" w:pos="864"/>
        <w:tab w:val="right" w:leader="dot" w:pos="9360"/>
      </w:tabs>
      <w:ind w:left="864" w:right="360" w:hanging="864"/>
    </w:pPr>
  </w:style>
  <w:style w:type="character" w:styleId="Hyperlink">
    <w:name w:val="Hyperlink"/>
    <w:rsid w:val="00B94B57"/>
    <w:rPr>
      <w:color w:val="0000FF"/>
      <w:u w:val="single"/>
    </w:rPr>
  </w:style>
  <w:style w:type="paragraph" w:customStyle="1" w:styleId="RecommendationMajorSectionHeading">
    <w:name w:val="Recommendation Major Section Heading"/>
    <w:basedOn w:val="Heading1"/>
    <w:next w:val="BodyText"/>
    <w:rsid w:val="00B94B57"/>
    <w:pPr>
      <w:jc w:val="center"/>
    </w:pPr>
    <w:rPr>
      <w:rFonts w:ascii="Arial" w:hAnsi="Arial"/>
      <w:b/>
    </w:rPr>
  </w:style>
  <w:style w:type="paragraph" w:customStyle="1" w:styleId="IssueSubsectionHeading">
    <w:name w:val="Issue Subsection Heading"/>
    <w:basedOn w:val="Heading2"/>
    <w:next w:val="BodyText"/>
    <w:link w:val="IssueSubsectionHeadingChar"/>
    <w:qFormat/>
    <w:rsid w:val="00B94B57"/>
    <w:pPr>
      <w:keepNext w:val="0"/>
    </w:pPr>
    <w:rPr>
      <w:rFonts w:ascii="Arial" w:hAnsi="Arial"/>
      <w:b/>
      <w:i/>
    </w:rPr>
  </w:style>
  <w:style w:type="character" w:customStyle="1" w:styleId="IssueSubsectionHeadingChar">
    <w:name w:val="Issue Subsection Heading Char"/>
    <w:link w:val="IssueSubsectionHeading"/>
    <w:rsid w:val="00B94B57"/>
    <w:rPr>
      <w:rFonts w:ascii="Arial" w:hAnsi="Arial" w:cs="Arial"/>
      <w:b/>
      <w:bCs/>
      <w:i/>
      <w:iCs/>
      <w:sz w:val="24"/>
      <w:szCs w:val="28"/>
    </w:rPr>
  </w:style>
  <w:style w:type="paragraph" w:customStyle="1" w:styleId="RecommendationHeading">
    <w:name w:val="Recommendation Heading"/>
    <w:basedOn w:val="Heading1"/>
    <w:next w:val="BodyText"/>
    <w:rsid w:val="00B94B57"/>
    <w:pPr>
      <w:keepNext w:val="0"/>
      <w:jc w:val="center"/>
    </w:pPr>
    <w:rPr>
      <w:b/>
      <w:u w:val="single"/>
    </w:rPr>
  </w:style>
  <w:style w:type="paragraph" w:customStyle="1" w:styleId="DiscussionofIssues">
    <w:name w:val="Discussion of Issues"/>
    <w:basedOn w:val="RecommendationMajorSectionHeading"/>
    <w:next w:val="BodyText"/>
    <w:rsid w:val="00B94B57"/>
    <w:pPr>
      <w:spacing w:after="0"/>
    </w:pPr>
  </w:style>
  <w:style w:type="character" w:styleId="PageNumber">
    <w:name w:val="page number"/>
    <w:basedOn w:val="DefaultParagraphFont"/>
    <w:rsid w:val="00B94B57"/>
  </w:style>
  <w:style w:type="paragraph" w:customStyle="1" w:styleId="TOCColumnHeadings">
    <w:name w:val="TOC Column Headings"/>
    <w:basedOn w:val="Normal"/>
    <w:rsid w:val="00B94B57"/>
    <w:pPr>
      <w:tabs>
        <w:tab w:val="left" w:pos="864"/>
        <w:tab w:val="right" w:pos="9360"/>
      </w:tabs>
    </w:pPr>
    <w:rPr>
      <w:u w:val="words"/>
    </w:rPr>
  </w:style>
  <w:style w:type="table" w:customStyle="1" w:styleId="TableMasthead">
    <w:name w:val="Table Masthead"/>
    <w:basedOn w:val="TableGrid"/>
    <w:rsid w:val="00B94B57"/>
    <w:tblPr/>
  </w:style>
  <w:style w:type="paragraph" w:customStyle="1" w:styleId="StyleHeading1BoldUnderline">
    <w:name w:val="Style Heading 1 + Bold Underline"/>
    <w:basedOn w:val="Heading1"/>
    <w:link w:val="StyleHeading1BoldUnderlineChar"/>
    <w:rsid w:val="00B94B57"/>
    <w:pPr>
      <w:keepNext w:val="0"/>
      <w:spacing w:before="240"/>
    </w:pPr>
    <w:rPr>
      <w:b/>
      <w:u w:val="single"/>
    </w:rPr>
  </w:style>
  <w:style w:type="character" w:customStyle="1" w:styleId="StyleHeading1BoldUnderlineChar">
    <w:name w:val="Style Heading 1 + Bold Underline Char"/>
    <w:link w:val="StyleHeading1BoldUnderline"/>
    <w:rsid w:val="00B94B57"/>
    <w:rPr>
      <w:rFonts w:cs="Arial"/>
      <w:b/>
      <w:bCs/>
      <w:kern w:val="32"/>
      <w:sz w:val="24"/>
      <w:szCs w:val="32"/>
      <w:u w:val="single"/>
    </w:rPr>
  </w:style>
  <w:style w:type="paragraph" w:customStyle="1" w:styleId="RecommendationIssueGroupingSection">
    <w:name w:val="Recommendation Issue Grouping Section"/>
    <w:basedOn w:val="RecommendationMajorSectionHeading"/>
    <w:next w:val="IssueHeading"/>
    <w:rsid w:val="00B94B57"/>
    <w:pPr>
      <w:jc w:val="left"/>
    </w:pPr>
  </w:style>
  <w:style w:type="paragraph" w:styleId="FootnoteText">
    <w:name w:val="footnote text"/>
    <w:basedOn w:val="Normal"/>
    <w:rsid w:val="00B94B57"/>
    <w:pPr>
      <w:jc w:val="both"/>
    </w:pPr>
    <w:rPr>
      <w:sz w:val="20"/>
      <w:szCs w:val="20"/>
    </w:rPr>
  </w:style>
  <w:style w:type="paragraph" w:styleId="TOC3">
    <w:name w:val="toc 3"/>
    <w:basedOn w:val="TOC2"/>
    <w:next w:val="Normal"/>
    <w:rsid w:val="00B94B57"/>
    <w:pPr>
      <w:tabs>
        <w:tab w:val="clear" w:pos="1152"/>
        <w:tab w:val="left" w:pos="1584"/>
      </w:tabs>
      <w:ind w:left="1584" w:hanging="432"/>
    </w:pPr>
  </w:style>
  <w:style w:type="paragraph" w:styleId="TOC2">
    <w:name w:val="toc 2"/>
    <w:basedOn w:val="TOC1"/>
    <w:next w:val="Normal"/>
    <w:rsid w:val="00B94B57"/>
    <w:pPr>
      <w:tabs>
        <w:tab w:val="clear" w:pos="864"/>
        <w:tab w:val="left" w:pos="1152"/>
      </w:tabs>
      <w:ind w:left="1152" w:hanging="288"/>
    </w:pPr>
  </w:style>
  <w:style w:type="paragraph" w:styleId="DocumentMap">
    <w:name w:val="Document Map"/>
    <w:basedOn w:val="Normal"/>
    <w:semiHidden/>
    <w:rsid w:val="00B94B57"/>
    <w:pPr>
      <w:shd w:val="clear" w:color="auto" w:fill="000080"/>
    </w:pPr>
    <w:rPr>
      <w:rFonts w:ascii="Tahoma" w:hAnsi="Tahoma" w:cs="Tahoma"/>
    </w:rPr>
  </w:style>
  <w:style w:type="paragraph" w:styleId="BalloonText">
    <w:name w:val="Balloon Text"/>
    <w:basedOn w:val="Normal"/>
    <w:semiHidden/>
    <w:rsid w:val="00B94B57"/>
    <w:rPr>
      <w:rFonts w:ascii="Tahoma" w:hAnsi="Tahoma" w:cs="Tahoma"/>
      <w:sz w:val="16"/>
      <w:szCs w:val="16"/>
    </w:rPr>
  </w:style>
  <w:style w:type="paragraph" w:styleId="BlockText">
    <w:name w:val="Block Text"/>
    <w:basedOn w:val="Normal"/>
    <w:rsid w:val="00B94B57"/>
    <w:pPr>
      <w:spacing w:after="120"/>
      <w:ind w:left="1440" w:right="1440"/>
    </w:pPr>
  </w:style>
  <w:style w:type="paragraph" w:styleId="BodyText2">
    <w:name w:val="Body Text 2"/>
    <w:basedOn w:val="Normal"/>
    <w:rsid w:val="00B94B57"/>
    <w:pPr>
      <w:spacing w:after="120" w:line="480" w:lineRule="auto"/>
    </w:pPr>
  </w:style>
  <w:style w:type="paragraph" w:styleId="BodyText3">
    <w:name w:val="Body Text 3"/>
    <w:basedOn w:val="Normal"/>
    <w:rsid w:val="00B94B57"/>
    <w:pPr>
      <w:spacing w:after="120"/>
    </w:pPr>
    <w:rPr>
      <w:sz w:val="16"/>
      <w:szCs w:val="16"/>
    </w:rPr>
  </w:style>
  <w:style w:type="paragraph" w:styleId="BodyTextFirstIndent">
    <w:name w:val="Body Text First Indent"/>
    <w:basedOn w:val="BodyText"/>
    <w:rsid w:val="00B94B57"/>
    <w:pPr>
      <w:spacing w:after="120"/>
      <w:ind w:firstLine="210"/>
      <w:jc w:val="left"/>
    </w:pPr>
  </w:style>
  <w:style w:type="paragraph" w:styleId="BodyTextIndent">
    <w:name w:val="Body Text Indent"/>
    <w:basedOn w:val="Normal"/>
    <w:rsid w:val="00B94B57"/>
    <w:pPr>
      <w:spacing w:after="120"/>
      <w:ind w:left="360"/>
    </w:pPr>
  </w:style>
  <w:style w:type="paragraph" w:styleId="BodyTextFirstIndent2">
    <w:name w:val="Body Text First Indent 2"/>
    <w:basedOn w:val="BodyTextIndent"/>
    <w:rsid w:val="00B94B57"/>
    <w:pPr>
      <w:ind w:firstLine="210"/>
    </w:pPr>
  </w:style>
  <w:style w:type="paragraph" w:styleId="BodyTextIndent2">
    <w:name w:val="Body Text Indent 2"/>
    <w:basedOn w:val="Normal"/>
    <w:rsid w:val="00B94B57"/>
    <w:pPr>
      <w:spacing w:after="120" w:line="480" w:lineRule="auto"/>
      <w:ind w:left="360"/>
    </w:pPr>
  </w:style>
  <w:style w:type="paragraph" w:styleId="BodyTextIndent3">
    <w:name w:val="Body Text Indent 3"/>
    <w:basedOn w:val="Normal"/>
    <w:rsid w:val="00B94B57"/>
    <w:pPr>
      <w:spacing w:after="120"/>
      <w:ind w:left="360"/>
    </w:pPr>
    <w:rPr>
      <w:sz w:val="16"/>
      <w:szCs w:val="16"/>
    </w:rPr>
  </w:style>
  <w:style w:type="paragraph" w:styleId="Caption">
    <w:name w:val="caption"/>
    <w:basedOn w:val="Normal"/>
    <w:next w:val="Normal"/>
    <w:qFormat/>
    <w:rsid w:val="00B94B57"/>
    <w:pPr>
      <w:spacing w:before="120" w:after="120"/>
    </w:pPr>
    <w:rPr>
      <w:b/>
      <w:bCs/>
      <w:sz w:val="20"/>
      <w:szCs w:val="20"/>
    </w:rPr>
  </w:style>
  <w:style w:type="paragraph" w:styleId="Closing">
    <w:name w:val="Closing"/>
    <w:basedOn w:val="Normal"/>
    <w:rsid w:val="00B94B57"/>
    <w:pPr>
      <w:ind w:left="4320"/>
    </w:pPr>
  </w:style>
  <w:style w:type="paragraph" w:styleId="CommentText">
    <w:name w:val="annotation text"/>
    <w:basedOn w:val="Normal"/>
    <w:semiHidden/>
    <w:rsid w:val="00B94B57"/>
    <w:rPr>
      <w:sz w:val="20"/>
      <w:szCs w:val="20"/>
    </w:rPr>
  </w:style>
  <w:style w:type="paragraph" w:styleId="CommentSubject">
    <w:name w:val="annotation subject"/>
    <w:basedOn w:val="CommentText"/>
    <w:next w:val="CommentText"/>
    <w:semiHidden/>
    <w:rsid w:val="00B94B57"/>
    <w:rPr>
      <w:b/>
      <w:bCs/>
    </w:rPr>
  </w:style>
  <w:style w:type="paragraph" w:styleId="Date">
    <w:name w:val="Date"/>
    <w:basedOn w:val="Normal"/>
    <w:next w:val="Normal"/>
    <w:rsid w:val="00B94B57"/>
  </w:style>
  <w:style w:type="paragraph" w:styleId="E-mailSignature">
    <w:name w:val="E-mail Signature"/>
    <w:basedOn w:val="Normal"/>
    <w:rsid w:val="00B94B57"/>
  </w:style>
  <w:style w:type="paragraph" w:styleId="EndnoteText">
    <w:name w:val="endnote text"/>
    <w:basedOn w:val="Normal"/>
    <w:semiHidden/>
    <w:rsid w:val="00B94B57"/>
    <w:rPr>
      <w:sz w:val="20"/>
      <w:szCs w:val="20"/>
    </w:rPr>
  </w:style>
  <w:style w:type="paragraph" w:styleId="EnvelopeAddress">
    <w:name w:val="envelope address"/>
    <w:basedOn w:val="Normal"/>
    <w:rsid w:val="00B94B57"/>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B94B57"/>
    <w:rPr>
      <w:rFonts w:ascii="Arial" w:hAnsi="Arial" w:cs="Arial"/>
      <w:sz w:val="20"/>
      <w:szCs w:val="20"/>
    </w:rPr>
  </w:style>
  <w:style w:type="paragraph" w:styleId="HTMLAddress">
    <w:name w:val="HTML Address"/>
    <w:basedOn w:val="Normal"/>
    <w:rsid w:val="00B94B57"/>
    <w:rPr>
      <w:i/>
      <w:iCs/>
    </w:rPr>
  </w:style>
  <w:style w:type="paragraph" w:styleId="HTMLPreformatted">
    <w:name w:val="HTML Preformatted"/>
    <w:basedOn w:val="Normal"/>
    <w:rsid w:val="00B94B57"/>
    <w:rPr>
      <w:rFonts w:ascii="Courier New" w:hAnsi="Courier New" w:cs="Courier New"/>
      <w:sz w:val="20"/>
      <w:szCs w:val="20"/>
    </w:rPr>
  </w:style>
  <w:style w:type="paragraph" w:styleId="Index1">
    <w:name w:val="index 1"/>
    <w:basedOn w:val="Normal"/>
    <w:next w:val="Normal"/>
    <w:autoRedefine/>
    <w:semiHidden/>
    <w:rsid w:val="00B94B57"/>
    <w:pPr>
      <w:ind w:left="240" w:hanging="240"/>
    </w:pPr>
  </w:style>
  <w:style w:type="paragraph" w:styleId="Index2">
    <w:name w:val="index 2"/>
    <w:basedOn w:val="Normal"/>
    <w:next w:val="Normal"/>
    <w:autoRedefine/>
    <w:semiHidden/>
    <w:rsid w:val="00B94B57"/>
    <w:pPr>
      <w:ind w:left="480" w:hanging="240"/>
    </w:pPr>
  </w:style>
  <w:style w:type="paragraph" w:styleId="Index3">
    <w:name w:val="index 3"/>
    <w:basedOn w:val="Normal"/>
    <w:next w:val="Normal"/>
    <w:autoRedefine/>
    <w:semiHidden/>
    <w:rsid w:val="00B94B57"/>
    <w:pPr>
      <w:ind w:left="720" w:hanging="240"/>
    </w:pPr>
  </w:style>
  <w:style w:type="paragraph" w:styleId="Index4">
    <w:name w:val="index 4"/>
    <w:basedOn w:val="Normal"/>
    <w:next w:val="Normal"/>
    <w:autoRedefine/>
    <w:semiHidden/>
    <w:rsid w:val="00B94B57"/>
    <w:pPr>
      <w:ind w:left="960" w:hanging="240"/>
    </w:pPr>
  </w:style>
  <w:style w:type="paragraph" w:styleId="Index5">
    <w:name w:val="index 5"/>
    <w:basedOn w:val="Normal"/>
    <w:next w:val="Normal"/>
    <w:autoRedefine/>
    <w:semiHidden/>
    <w:rsid w:val="00B94B57"/>
    <w:pPr>
      <w:ind w:left="1200" w:hanging="240"/>
    </w:pPr>
  </w:style>
  <w:style w:type="paragraph" w:styleId="Index6">
    <w:name w:val="index 6"/>
    <w:basedOn w:val="Normal"/>
    <w:next w:val="Normal"/>
    <w:autoRedefine/>
    <w:semiHidden/>
    <w:rsid w:val="00B94B57"/>
    <w:pPr>
      <w:ind w:left="1440" w:hanging="240"/>
    </w:pPr>
  </w:style>
  <w:style w:type="paragraph" w:styleId="Index7">
    <w:name w:val="index 7"/>
    <w:basedOn w:val="Normal"/>
    <w:next w:val="Normal"/>
    <w:autoRedefine/>
    <w:semiHidden/>
    <w:rsid w:val="00B94B57"/>
    <w:pPr>
      <w:ind w:left="1680" w:hanging="240"/>
    </w:pPr>
  </w:style>
  <w:style w:type="paragraph" w:styleId="Index8">
    <w:name w:val="index 8"/>
    <w:basedOn w:val="Normal"/>
    <w:next w:val="Normal"/>
    <w:autoRedefine/>
    <w:semiHidden/>
    <w:rsid w:val="00B94B57"/>
    <w:pPr>
      <w:ind w:left="1920" w:hanging="240"/>
    </w:pPr>
  </w:style>
  <w:style w:type="paragraph" w:styleId="Index9">
    <w:name w:val="index 9"/>
    <w:basedOn w:val="Normal"/>
    <w:next w:val="Normal"/>
    <w:autoRedefine/>
    <w:semiHidden/>
    <w:rsid w:val="00B94B57"/>
    <w:pPr>
      <w:ind w:left="2160" w:hanging="240"/>
    </w:pPr>
  </w:style>
  <w:style w:type="paragraph" w:styleId="IndexHeading">
    <w:name w:val="index heading"/>
    <w:basedOn w:val="Normal"/>
    <w:next w:val="Index1"/>
    <w:semiHidden/>
    <w:rsid w:val="00B94B57"/>
    <w:rPr>
      <w:rFonts w:ascii="Arial" w:hAnsi="Arial" w:cs="Arial"/>
      <w:b/>
      <w:bCs/>
    </w:rPr>
  </w:style>
  <w:style w:type="paragraph" w:styleId="List">
    <w:name w:val="List"/>
    <w:basedOn w:val="Normal"/>
    <w:rsid w:val="00B94B57"/>
    <w:pPr>
      <w:ind w:left="360" w:hanging="360"/>
    </w:pPr>
  </w:style>
  <w:style w:type="paragraph" w:styleId="List2">
    <w:name w:val="List 2"/>
    <w:basedOn w:val="Normal"/>
    <w:rsid w:val="00B94B57"/>
    <w:pPr>
      <w:ind w:left="720" w:hanging="360"/>
    </w:pPr>
  </w:style>
  <w:style w:type="paragraph" w:styleId="List3">
    <w:name w:val="List 3"/>
    <w:basedOn w:val="Normal"/>
    <w:rsid w:val="00B94B57"/>
    <w:pPr>
      <w:ind w:left="1080" w:hanging="360"/>
    </w:pPr>
  </w:style>
  <w:style w:type="paragraph" w:styleId="List4">
    <w:name w:val="List 4"/>
    <w:basedOn w:val="Normal"/>
    <w:rsid w:val="00B94B57"/>
    <w:pPr>
      <w:ind w:left="1440" w:hanging="360"/>
    </w:pPr>
  </w:style>
  <w:style w:type="paragraph" w:styleId="List5">
    <w:name w:val="List 5"/>
    <w:basedOn w:val="Normal"/>
    <w:rsid w:val="00B94B57"/>
    <w:pPr>
      <w:ind w:left="1800" w:hanging="360"/>
    </w:pPr>
  </w:style>
  <w:style w:type="paragraph" w:styleId="ListBullet">
    <w:name w:val="List Bullet"/>
    <w:basedOn w:val="Normal"/>
    <w:autoRedefine/>
    <w:rsid w:val="00B94B57"/>
    <w:pPr>
      <w:tabs>
        <w:tab w:val="num" w:pos="360"/>
      </w:tabs>
      <w:ind w:left="360" w:hanging="360"/>
    </w:pPr>
  </w:style>
  <w:style w:type="paragraph" w:styleId="ListBullet2">
    <w:name w:val="List Bullet 2"/>
    <w:basedOn w:val="Normal"/>
    <w:autoRedefine/>
    <w:rsid w:val="00B94B57"/>
    <w:pPr>
      <w:tabs>
        <w:tab w:val="num" w:pos="720"/>
      </w:tabs>
      <w:ind w:left="720" w:hanging="360"/>
    </w:pPr>
  </w:style>
  <w:style w:type="paragraph" w:styleId="ListBullet3">
    <w:name w:val="List Bullet 3"/>
    <w:basedOn w:val="Normal"/>
    <w:autoRedefine/>
    <w:rsid w:val="00B94B57"/>
    <w:pPr>
      <w:tabs>
        <w:tab w:val="num" w:pos="1080"/>
      </w:tabs>
      <w:ind w:left="1080" w:hanging="360"/>
    </w:pPr>
  </w:style>
  <w:style w:type="paragraph" w:styleId="ListBullet4">
    <w:name w:val="List Bullet 4"/>
    <w:basedOn w:val="Normal"/>
    <w:autoRedefine/>
    <w:rsid w:val="00B94B57"/>
    <w:pPr>
      <w:tabs>
        <w:tab w:val="num" w:pos="1440"/>
      </w:tabs>
      <w:ind w:left="1440" w:hanging="360"/>
    </w:pPr>
  </w:style>
  <w:style w:type="paragraph" w:styleId="ListBullet5">
    <w:name w:val="List Bullet 5"/>
    <w:basedOn w:val="Normal"/>
    <w:autoRedefine/>
    <w:rsid w:val="00B94B57"/>
    <w:pPr>
      <w:tabs>
        <w:tab w:val="num" w:pos="1800"/>
      </w:tabs>
      <w:ind w:left="1800" w:hanging="360"/>
    </w:pPr>
  </w:style>
  <w:style w:type="paragraph" w:styleId="ListContinue">
    <w:name w:val="List Continue"/>
    <w:basedOn w:val="Normal"/>
    <w:rsid w:val="00B94B57"/>
    <w:pPr>
      <w:spacing w:after="120"/>
      <w:ind w:left="360"/>
    </w:pPr>
  </w:style>
  <w:style w:type="paragraph" w:styleId="ListContinue2">
    <w:name w:val="List Continue 2"/>
    <w:basedOn w:val="Normal"/>
    <w:rsid w:val="00B94B57"/>
    <w:pPr>
      <w:spacing w:after="120"/>
      <w:ind w:left="720"/>
    </w:pPr>
  </w:style>
  <w:style w:type="paragraph" w:styleId="ListContinue3">
    <w:name w:val="List Continue 3"/>
    <w:basedOn w:val="Normal"/>
    <w:rsid w:val="00B94B57"/>
    <w:pPr>
      <w:spacing w:after="120"/>
      <w:ind w:left="1080"/>
    </w:pPr>
  </w:style>
  <w:style w:type="paragraph" w:styleId="ListContinue4">
    <w:name w:val="List Continue 4"/>
    <w:basedOn w:val="Normal"/>
    <w:rsid w:val="00B94B57"/>
    <w:pPr>
      <w:spacing w:after="120"/>
      <w:ind w:left="1440"/>
    </w:pPr>
  </w:style>
  <w:style w:type="paragraph" w:styleId="ListContinue5">
    <w:name w:val="List Continue 5"/>
    <w:basedOn w:val="Normal"/>
    <w:rsid w:val="00B94B57"/>
    <w:pPr>
      <w:spacing w:after="120"/>
      <w:ind w:left="1800"/>
    </w:pPr>
  </w:style>
  <w:style w:type="paragraph" w:styleId="ListNumber">
    <w:name w:val="List Number"/>
    <w:basedOn w:val="Normal"/>
    <w:rsid w:val="00B94B57"/>
    <w:pPr>
      <w:tabs>
        <w:tab w:val="num" w:pos="360"/>
      </w:tabs>
      <w:ind w:left="360" w:hanging="360"/>
    </w:pPr>
  </w:style>
  <w:style w:type="paragraph" w:styleId="ListNumber2">
    <w:name w:val="List Number 2"/>
    <w:basedOn w:val="Normal"/>
    <w:rsid w:val="00B94B57"/>
    <w:pPr>
      <w:tabs>
        <w:tab w:val="num" w:pos="720"/>
      </w:tabs>
      <w:ind w:left="720" w:hanging="360"/>
    </w:pPr>
  </w:style>
  <w:style w:type="paragraph" w:styleId="ListNumber3">
    <w:name w:val="List Number 3"/>
    <w:basedOn w:val="Normal"/>
    <w:rsid w:val="00B94B57"/>
    <w:pPr>
      <w:tabs>
        <w:tab w:val="num" w:pos="1080"/>
      </w:tabs>
      <w:ind w:left="1080" w:hanging="360"/>
    </w:pPr>
  </w:style>
  <w:style w:type="paragraph" w:styleId="ListNumber4">
    <w:name w:val="List Number 4"/>
    <w:basedOn w:val="Normal"/>
    <w:rsid w:val="00B94B57"/>
    <w:pPr>
      <w:tabs>
        <w:tab w:val="num" w:pos="1440"/>
      </w:tabs>
      <w:ind w:left="1440" w:hanging="360"/>
    </w:pPr>
  </w:style>
  <w:style w:type="paragraph" w:styleId="ListNumber5">
    <w:name w:val="List Number 5"/>
    <w:basedOn w:val="Normal"/>
    <w:rsid w:val="00B94B57"/>
    <w:pPr>
      <w:tabs>
        <w:tab w:val="num" w:pos="1800"/>
      </w:tabs>
      <w:ind w:left="1800" w:hanging="360"/>
    </w:pPr>
  </w:style>
  <w:style w:type="paragraph" w:styleId="MacroText">
    <w:name w:val="macro"/>
    <w:semiHidden/>
    <w:rsid w:val="00B94B57"/>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rsid w:val="00B94B57"/>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rsid w:val="00B94B57"/>
  </w:style>
  <w:style w:type="paragraph" w:styleId="NormalIndent">
    <w:name w:val="Normal Indent"/>
    <w:basedOn w:val="Normal"/>
    <w:rsid w:val="00B94B57"/>
    <w:pPr>
      <w:ind w:left="720"/>
    </w:pPr>
  </w:style>
  <w:style w:type="paragraph" w:styleId="NoteHeading">
    <w:name w:val="Note Heading"/>
    <w:basedOn w:val="Normal"/>
    <w:next w:val="Normal"/>
    <w:rsid w:val="00B94B57"/>
  </w:style>
  <w:style w:type="paragraph" w:styleId="PlainText">
    <w:name w:val="Plain Text"/>
    <w:basedOn w:val="Normal"/>
    <w:rsid w:val="00B94B57"/>
    <w:rPr>
      <w:rFonts w:ascii="Courier New" w:hAnsi="Courier New" w:cs="Courier New"/>
      <w:sz w:val="20"/>
      <w:szCs w:val="20"/>
    </w:rPr>
  </w:style>
  <w:style w:type="paragraph" w:styleId="Salutation">
    <w:name w:val="Salutation"/>
    <w:basedOn w:val="Normal"/>
    <w:next w:val="Normal"/>
    <w:rsid w:val="00B94B57"/>
  </w:style>
  <w:style w:type="paragraph" w:styleId="Signature">
    <w:name w:val="Signature"/>
    <w:basedOn w:val="Normal"/>
    <w:rsid w:val="00B94B57"/>
    <w:pPr>
      <w:ind w:left="4320"/>
    </w:pPr>
  </w:style>
  <w:style w:type="paragraph" w:styleId="Subtitle">
    <w:name w:val="Subtitle"/>
    <w:basedOn w:val="Normal"/>
    <w:qFormat/>
    <w:rsid w:val="00B94B57"/>
    <w:pPr>
      <w:spacing w:after="60"/>
      <w:jc w:val="center"/>
      <w:outlineLvl w:val="1"/>
    </w:pPr>
    <w:rPr>
      <w:rFonts w:ascii="Arial" w:hAnsi="Arial" w:cs="Arial"/>
    </w:rPr>
  </w:style>
  <w:style w:type="paragraph" w:styleId="TableofAuthorities">
    <w:name w:val="table of authorities"/>
    <w:basedOn w:val="Normal"/>
    <w:next w:val="Normal"/>
    <w:semiHidden/>
    <w:rsid w:val="00B94B57"/>
    <w:pPr>
      <w:ind w:left="240" w:hanging="240"/>
    </w:pPr>
  </w:style>
  <w:style w:type="paragraph" w:styleId="TableofFigures">
    <w:name w:val="table of figures"/>
    <w:basedOn w:val="Normal"/>
    <w:next w:val="Normal"/>
    <w:semiHidden/>
    <w:rsid w:val="00B94B57"/>
    <w:pPr>
      <w:ind w:left="480" w:hanging="480"/>
    </w:pPr>
  </w:style>
  <w:style w:type="paragraph" w:styleId="Title">
    <w:name w:val="Title"/>
    <w:basedOn w:val="Normal"/>
    <w:qFormat/>
    <w:rsid w:val="00B94B57"/>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B94B57"/>
    <w:pPr>
      <w:spacing w:before="120"/>
    </w:pPr>
    <w:rPr>
      <w:rFonts w:ascii="Arial" w:hAnsi="Arial" w:cs="Arial"/>
      <w:b/>
      <w:bCs/>
    </w:rPr>
  </w:style>
  <w:style w:type="paragraph" w:styleId="TOC4">
    <w:name w:val="toc 4"/>
    <w:basedOn w:val="Normal"/>
    <w:next w:val="Normal"/>
    <w:autoRedefine/>
    <w:semiHidden/>
    <w:rsid w:val="00B94B57"/>
    <w:pPr>
      <w:ind w:left="720"/>
    </w:pPr>
  </w:style>
  <w:style w:type="paragraph" w:styleId="TOC5">
    <w:name w:val="toc 5"/>
    <w:basedOn w:val="Normal"/>
    <w:next w:val="Normal"/>
    <w:autoRedefine/>
    <w:semiHidden/>
    <w:rsid w:val="00B94B57"/>
    <w:pPr>
      <w:ind w:left="960"/>
    </w:pPr>
  </w:style>
  <w:style w:type="paragraph" w:styleId="TOC6">
    <w:name w:val="toc 6"/>
    <w:basedOn w:val="Normal"/>
    <w:next w:val="Normal"/>
    <w:autoRedefine/>
    <w:semiHidden/>
    <w:rsid w:val="00B94B57"/>
    <w:pPr>
      <w:ind w:left="1200"/>
    </w:pPr>
  </w:style>
  <w:style w:type="paragraph" w:styleId="TOC9">
    <w:name w:val="toc 9"/>
    <w:basedOn w:val="TOC1"/>
    <w:next w:val="Normal"/>
    <w:autoRedefine/>
    <w:rsid w:val="00B94B57"/>
    <w:pPr>
      <w:ind w:left="1728"/>
    </w:pPr>
    <w:rPr>
      <w:u w:val="single"/>
    </w:rPr>
  </w:style>
  <w:style w:type="paragraph" w:customStyle="1" w:styleId="MemoHeadingLabel">
    <w:name w:val="Memo Heading Label"/>
    <w:basedOn w:val="MemoHeading"/>
    <w:qFormat/>
    <w:rsid w:val="00B94B57"/>
    <w:rPr>
      <w:rFonts w:ascii="Arial" w:hAnsi="Arial"/>
      <w:b/>
    </w:rPr>
  </w:style>
  <w:style w:type="paragraph" w:customStyle="1" w:styleId="First-LevelSubheading">
    <w:name w:val="First-Level Subheading"/>
    <w:basedOn w:val="IssueSubsectionHeading"/>
    <w:next w:val="BodyText"/>
    <w:qFormat/>
    <w:rsid w:val="00B94B57"/>
    <w:pPr>
      <w:spacing w:after="0"/>
      <w:outlineLvl w:val="2"/>
    </w:pPr>
    <w:rPr>
      <w:i w:val="0"/>
    </w:rPr>
  </w:style>
  <w:style w:type="paragraph" w:customStyle="1" w:styleId="Second-LevelSubheading">
    <w:name w:val="Second-Level Subheading"/>
    <w:basedOn w:val="First-LevelSubheading"/>
    <w:next w:val="BodyText"/>
    <w:qFormat/>
    <w:rsid w:val="00B94B57"/>
    <w:pPr>
      <w:ind w:left="720"/>
      <w:outlineLvl w:val="3"/>
    </w:pPr>
    <w:rPr>
      <w:i/>
    </w:rPr>
  </w:style>
  <w:style w:type="paragraph" w:customStyle="1" w:styleId="TableNumber">
    <w:name w:val="Table Number"/>
    <w:basedOn w:val="BodyText"/>
    <w:next w:val="BodyText"/>
    <w:qFormat/>
    <w:rsid w:val="00B94B57"/>
    <w:pPr>
      <w:spacing w:before="480" w:after="0"/>
      <w:jc w:val="center"/>
    </w:pPr>
    <w:rPr>
      <w:rFonts w:ascii="Arial" w:hAnsi="Arial"/>
      <w:b/>
    </w:rPr>
  </w:style>
  <w:style w:type="paragraph" w:customStyle="1" w:styleId="TableTitle">
    <w:name w:val="Table Title"/>
    <w:basedOn w:val="BodyText"/>
    <w:next w:val="BodyText"/>
    <w:qFormat/>
    <w:rsid w:val="00B94B57"/>
    <w:pPr>
      <w:spacing w:after="0"/>
      <w:jc w:val="center"/>
    </w:pPr>
    <w:rPr>
      <w:rFonts w:ascii="Arial" w:hAnsi="Arial"/>
      <w:b/>
    </w:rPr>
  </w:style>
  <w:style w:type="paragraph" w:customStyle="1" w:styleId="TableSource">
    <w:name w:val="Table Source"/>
    <w:basedOn w:val="BodyText"/>
    <w:next w:val="BodyText"/>
    <w:qFormat/>
    <w:rsid w:val="00B94B57"/>
    <w:pPr>
      <w:spacing w:after="480"/>
    </w:pPr>
  </w:style>
  <w:style w:type="character" w:styleId="FootnoteReference">
    <w:name w:val="footnote reference"/>
    <w:basedOn w:val="DefaultParagraphFont"/>
    <w:rsid w:val="003B60C2"/>
    <w:rPr>
      <w:vertAlign w:val="superscript"/>
    </w:rPr>
  </w:style>
  <w:style w:type="paragraph" w:customStyle="1" w:styleId="PartyName">
    <w:name w:val="Party Name"/>
    <w:basedOn w:val="IssueSubsectionHeading"/>
    <w:next w:val="BodyText"/>
    <w:qFormat/>
    <w:rsid w:val="00B94B57"/>
    <w:rPr>
      <w:i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Recommendation%20(Regula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867979-43D7-4164-A0C9-9FAD208F79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(Regular).dot</Template>
  <TotalTime>3</TotalTime>
  <Pages>7</Pages>
  <Words>1998</Words>
  <Characters>11762</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Recommendation</vt:lpstr>
    </vt:vector>
  </TitlesOfParts>
  <Company>FPSC</Company>
  <LinksUpToDate>false</LinksUpToDate>
  <CharactersWithSpaces>13733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Don Rome</dc:creator>
  <cp:lastModifiedBy>Carlotta Stauffer</cp:lastModifiedBy>
  <cp:revision>3</cp:revision>
  <cp:lastPrinted>2015-07-09T12:34:00Z</cp:lastPrinted>
  <dcterms:created xsi:type="dcterms:W3CDTF">2015-07-09T14:00:00Z</dcterms:created>
  <dcterms:modified xsi:type="dcterms:W3CDTF">2015-07-17T14:48:00Z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150117-GU</vt:lpwstr>
  </property>
  <property fmtid="{D5CDD505-2E9C-101B-9397-08002B2CF9AE}" pid="3" name="MasterDocument">
    <vt:bool>false</vt:bool>
  </property>
</Properties>
</file>