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Tr="009E4A3D">
        <w:trPr>
          <w:trHeight w:val="2421"/>
        </w:trPr>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AA5310" w:rsidP="006E08CB">
            <w:pPr>
              <w:pStyle w:val="MastHeadState"/>
              <w:jc w:val="right"/>
            </w:pPr>
            <w:bookmarkStart w:id="0" w:name="_GoBack"/>
            <w:bookmarkEnd w:id="0"/>
            <w:r>
              <w:t xml:space="preserve">State </w:t>
            </w:r>
            <w:r w:rsidR="007C0528">
              <w:t>of Florida</w:t>
            </w:r>
          </w:p>
          <w:p w:rsidR="007C0528" w:rsidRDefault="00A46E89">
            <w:pPr>
              <w:jc w:val="center"/>
            </w:pPr>
            <w:r>
              <w:rPr>
                <w:noProof/>
              </w:rPr>
              <w:drawing>
                <wp:inline distT="0" distB="0" distL="0" distR="0" wp14:anchorId="5F0053DC" wp14:editId="2A9DF8C3">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46E89" w:rsidP="00107E0C">
            <w:pPr>
              <w:pStyle w:val="MemoHeading"/>
            </w:pPr>
            <w:bookmarkStart w:id="1" w:name="FilingDate"/>
            <w:r>
              <w:t>February 2</w:t>
            </w:r>
            <w:r w:rsidR="00107E0C">
              <w:t>3</w:t>
            </w:r>
            <w:r>
              <w:t>,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46E89" w:rsidRDefault="00A46E89">
            <w:pPr>
              <w:pStyle w:val="MemoHeading"/>
            </w:pPr>
            <w:bookmarkStart w:id="2" w:name="From"/>
            <w:r>
              <w:t>Division of Engineering (M.</w:t>
            </w:r>
            <w:r w:rsidR="00231057">
              <w:t xml:space="preserve"> </w:t>
            </w:r>
            <w:r>
              <w:t>Watts, Knoblauch)</w:t>
            </w:r>
          </w:p>
          <w:p w:rsidR="00A46E89" w:rsidRDefault="00A46E89">
            <w:pPr>
              <w:pStyle w:val="MemoHeading"/>
            </w:pPr>
            <w:r>
              <w:t>Division of Accounting and Finance (Galloway, Sewards)</w:t>
            </w:r>
          </w:p>
          <w:p w:rsidR="00A46E89" w:rsidRDefault="00A46E89">
            <w:pPr>
              <w:pStyle w:val="MemoHeading"/>
            </w:pPr>
            <w:r>
              <w:t>Division of Economics (Hudson, Johnson)</w:t>
            </w:r>
          </w:p>
          <w:p w:rsidR="007C0528" w:rsidRDefault="00A46E89">
            <w:pPr>
              <w:pStyle w:val="MemoHeading"/>
            </w:pPr>
            <w:r>
              <w:t>Office of the General Counsel (Janjic)</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46E89">
            <w:pPr>
              <w:pStyle w:val="MemoHeadingRe"/>
            </w:pPr>
            <w:bookmarkStart w:id="3" w:name="Re"/>
            <w:r>
              <w:t>Docket No. 130105-WS – Application for certificates to provide water and wastewater service in Hendry and Collier Counties, by Consolidated Services of Hendry &amp; Collier,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46E89" w:rsidP="004C4C1A">
            <w:pPr>
              <w:pStyle w:val="MemoHeading"/>
            </w:pPr>
            <w:bookmarkStart w:id="4" w:name="AgendaDate"/>
            <w:r>
              <w:t>03/07/17</w:t>
            </w:r>
            <w:bookmarkEnd w:id="4"/>
            <w:r w:rsidR="007C0528">
              <w:t xml:space="preserve"> – </w:t>
            </w:r>
            <w:bookmarkStart w:id="5" w:name="PermittedStatus"/>
            <w:r>
              <w:t xml:space="preserve">Regular Agenda – </w:t>
            </w:r>
            <w:bookmarkEnd w:id="5"/>
            <w:r w:rsidR="004C4C1A">
              <w:t xml:space="preserve"> Proposed Agency Action – Interested Persons May Participate</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46E89">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46E89">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46E89">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46E89">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9C508E" w:rsidRDefault="009C508E" w:rsidP="009C508E">
      <w:pPr>
        <w:pStyle w:val="BodyText"/>
      </w:pPr>
      <w:r>
        <w:t xml:space="preserve">On April 29, 2013, Consolidated Services of Hendry &amp; Collier, LLC (Consolidated Services or Utility), submitted an application for original water and wastewater certificates in Hendry and Collier Counties, Florida, along with a Petition for Variance from or Waiver of Rules 25-30.033(1)(h), (m), (o), (t), (u), (v) and (w), Florida Administrative Code (F.A.C.). The Utility is a wholly owned subsidiary of Consolidated Citrus Limited Partnership (Consolidated Citrus), which is one of the largest citrus growers in the United States. The primary owner of Consolidated Citrus is King Ranch, one of the largest family-owned land owners in the United States. The Utility’s </w:t>
      </w:r>
      <w:r w:rsidR="00077ADD">
        <w:t>certificated</w:t>
      </w:r>
      <w:r>
        <w:t xml:space="preserve"> service territory comprises approximately 12,400 acres</w:t>
      </w:r>
      <w:r w:rsidR="003662AC">
        <w:t>,</w:t>
      </w:r>
      <w:r>
        <w:t xml:space="preserve"> which </w:t>
      </w:r>
      <w:r>
        <w:lastRenderedPageBreak/>
        <w:t>transverses Hendry and Collier Counties. These properties have traditionally been used for agricultural purposes. This area is located in the South Fl</w:t>
      </w:r>
      <w:r w:rsidR="00077ADD">
        <w:t>orida Water Management District,</w:t>
      </w:r>
      <w:r>
        <w:t xml:space="preserve"> which is considered a critical water supply problem area.</w:t>
      </w:r>
    </w:p>
    <w:p w:rsidR="009C508E" w:rsidRDefault="00077ADD" w:rsidP="009C508E">
      <w:pPr>
        <w:pStyle w:val="BodyText"/>
      </w:pPr>
      <w:r>
        <w:t>The</w:t>
      </w:r>
      <w:r w:rsidR="00C235C0">
        <w:t xml:space="preserve"> Florida Public Service Commission</w:t>
      </w:r>
      <w:r>
        <w:t xml:space="preserve"> </w:t>
      </w:r>
      <w:r w:rsidR="00C235C0">
        <w:t>(</w:t>
      </w:r>
      <w:r>
        <w:t>Commission</w:t>
      </w:r>
      <w:r w:rsidR="00C235C0">
        <w:t xml:space="preserve">) </w:t>
      </w:r>
      <w:r>
        <w:t xml:space="preserve">granted the Utility’s petition for temporary rule waiver, waiving the rules for a period of 36 months, pursuant to Order No. </w:t>
      </w:r>
      <w:r w:rsidRPr="00976DBF">
        <w:t>PSC-13-0324-PAA-WS</w:t>
      </w:r>
      <w:r>
        <w:t xml:space="preserve"> (the Waiver Order).</w:t>
      </w:r>
      <w:r>
        <w:rPr>
          <w:rStyle w:val="FootnoteReference"/>
        </w:rPr>
        <w:footnoteReference w:id="1"/>
      </w:r>
      <w:r>
        <w:t xml:space="preserve"> The Commission subsequently granted the water and wastewater certificates pursuant to Order No. </w:t>
      </w:r>
      <w:r w:rsidRPr="00517EB6">
        <w:t>PSC-13-0484-FOF-WS</w:t>
      </w:r>
      <w:r>
        <w:t xml:space="preserve"> (the Certificate Order).</w:t>
      </w:r>
      <w:r>
        <w:rPr>
          <w:rStyle w:val="FootnoteReference"/>
        </w:rPr>
        <w:footnoteReference w:id="2"/>
      </w:r>
    </w:p>
    <w:p w:rsidR="009C508E" w:rsidRDefault="00077ADD" w:rsidP="009C508E">
      <w:pPr>
        <w:pStyle w:val="BodyText"/>
      </w:pPr>
      <w:r w:rsidRPr="004E4B4A">
        <w:t>Rules 25-30.033(1)(h), (m), (o), (t), (u), (v) and (w), F.A.C., were amended on January 4, 2016, which had the chief effect of changing the subparagraph references of the requirements being waived</w:t>
      </w:r>
      <w:r>
        <w:t xml:space="preserve"> and consolidating four of the subparagraphs under one subparagraph</w:t>
      </w:r>
      <w:r w:rsidRPr="004E4B4A">
        <w:t>. The corresponding subparagraph references of the current rule</w:t>
      </w:r>
      <w:r w:rsidR="00C23092">
        <w:t>,</w:t>
      </w:r>
      <w:r w:rsidRPr="004E4B4A">
        <w:t xml:space="preserve"> which were waived are Rules 25-30.033(1)(j)2., (k)1., (n), and (p), F.A.C.</w:t>
      </w:r>
      <w:r>
        <w:t xml:space="preserve">, with subparagraph (p) of the current rule encapsulating requirements formerly listed </w:t>
      </w:r>
      <w:r w:rsidR="00C23092">
        <w:t>in</w:t>
      </w:r>
      <w:r w:rsidR="00B95E46">
        <w:t xml:space="preserve"> </w:t>
      </w:r>
      <w:r>
        <w:t>subparagraphs (t) through (w).</w:t>
      </w:r>
      <w:r w:rsidRPr="004E4B4A">
        <w:t xml:space="preserve"> </w:t>
      </w:r>
      <w:r>
        <w:t xml:space="preserve">A cross reference between the old and new rule designations is provided in the </w:t>
      </w:r>
      <w:r w:rsidR="00C235C0">
        <w:t>A</w:t>
      </w:r>
      <w:r>
        <w:t xml:space="preserve">ppendix to this recommendation. </w:t>
      </w:r>
      <w:r w:rsidR="00112205">
        <w:t xml:space="preserve">The substantive portions of the rules remain unchanged, however. </w:t>
      </w:r>
      <w:r w:rsidRPr="004E4B4A">
        <w:t>Henceforth, the rule requirements temporarily waived in the Waiver Order will be referred to collectively as “the waived rules,” and individually according to the subparagraph references of the curren</w:t>
      </w:r>
      <w:r>
        <w:t>t rule.</w:t>
      </w:r>
    </w:p>
    <w:p w:rsidR="009C508E" w:rsidRDefault="009C508E" w:rsidP="009C508E">
      <w:pPr>
        <w:pStyle w:val="BodyText"/>
      </w:pPr>
      <w:r>
        <w:t xml:space="preserve">The waived rules direct the applicant for an original certificate to file information necessary for the granting of certificates and for setting initial rates and charges, including: the number and type of equivalent residential connections (ERCs); the filing of a detailed system map showing the proposed lines, treatment facilities, and the territory to be served; a statement regarding the separate capacities of the proposed lines and treatment facilities in terms of ERCs and gallons per day; a detailed financial statement; a cost study including customer growth projections supporting the proposed rates, charges and service availability charges; a schedule showing the projected costs of the systems; a schedule showing projected operating expenses; and a schedule showing the projected capital structure. The Certificate Order established the due date </w:t>
      </w:r>
      <w:r w:rsidR="00112205">
        <w:t xml:space="preserve">as October 17, 2016, </w:t>
      </w:r>
      <w:r>
        <w:t xml:space="preserve">for filing the information required by the </w:t>
      </w:r>
      <w:r w:rsidR="005B2F30">
        <w:t>waived rules</w:t>
      </w:r>
      <w:r>
        <w:t>.</w:t>
      </w:r>
    </w:p>
    <w:p w:rsidR="009C508E" w:rsidRDefault="009C508E" w:rsidP="009C508E">
      <w:pPr>
        <w:pStyle w:val="BodyText"/>
      </w:pPr>
      <w:r>
        <w:t>On July 19, 2</w:t>
      </w:r>
      <w:r w:rsidR="005B2F30">
        <w:t>016</w:t>
      </w:r>
      <w:r>
        <w:t>, Consolidated Services filed the information required by the waived rules. Upon reviewing the information, staff requested and received additional information, clarifications, and corrections via data requests, email and telephone calls. On August 18, 2016, the Office of Public Counsel (OPC) filed a letter with the Commission identifying its concerns with Consolidated Services’ cost study. OPC’s primary concern was regarding the inclusion of a royalty expense in the land lease. Staff held a meeting with the Utility and OPC on November 21, 2016, to discuss OPC’s and staff’s concerns.</w:t>
      </w:r>
    </w:p>
    <w:p w:rsidR="0068481F" w:rsidRDefault="009C508E" w:rsidP="009C508E">
      <w:pPr>
        <w:pStyle w:val="BodyText"/>
      </w:pPr>
      <w:r>
        <w:lastRenderedPageBreak/>
        <w:t xml:space="preserve">This recommendation addresses the requirements of the rules waived in the Waiver Order, and </w:t>
      </w:r>
      <w:r w:rsidR="00306BCB">
        <w:t>recommends</w:t>
      </w:r>
      <w:r>
        <w:t xml:space="preserve"> rates and charges for the Utility’s water and wastewater services. The Commission has jurisdiction pursuant to</w:t>
      </w:r>
      <w:r w:rsidR="00306BCB">
        <w:t xml:space="preserve"> </w:t>
      </w:r>
      <w:r>
        <w:t>Sections 367.031 and 367.045, Florida Statutes</w:t>
      </w:r>
      <w:r w:rsidR="002C62C8">
        <w:t xml:space="preserve"> (F.S.)</w:t>
      </w:r>
      <w:r>
        <w:t>.</w:t>
      </w:r>
    </w:p>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A46E89" w:rsidRDefault="00A46E89">
      <w:pPr>
        <w:pStyle w:val="IssueHeading"/>
        <w:rPr>
          <w:vanish/>
          <w:specVanish/>
        </w:rPr>
      </w:pPr>
      <w:r w:rsidRPr="004C3641">
        <w:t xml:space="preserve">Issue </w:t>
      </w:r>
      <w:r w:rsidR="00916AA7">
        <w:fldChar w:fldCharType="begin"/>
      </w:r>
      <w:r w:rsidR="00916AA7">
        <w:instrText xml:space="preserve"> SEQ Issue \* MERGEFORMAT </w:instrText>
      </w:r>
      <w:r w:rsidR="00916AA7">
        <w:fldChar w:fldCharType="separate"/>
      </w:r>
      <w:r w:rsidR="006106EC">
        <w:rPr>
          <w:noProof/>
        </w:rPr>
        <w:t>1</w:t>
      </w:r>
      <w:r w:rsidR="00916AA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106EC">
        <w:rPr>
          <w:noProof/>
        </w:rPr>
        <w:instrText>1</w:instrText>
      </w:r>
      <w:r>
        <w:fldChar w:fldCharType="end"/>
      </w:r>
      <w:r>
        <w:tab/>
        <w:instrText xml:space="preserve">" \l 1 </w:instrText>
      </w:r>
      <w:r>
        <w:fldChar w:fldCharType="end"/>
      </w:r>
      <w:r>
        <w:t> </w:t>
      </w:r>
    </w:p>
    <w:p w:rsidR="00A46E89" w:rsidRDefault="00A46E89">
      <w:pPr>
        <w:pStyle w:val="BodyText"/>
      </w:pPr>
      <w:r>
        <w:t> </w:t>
      </w:r>
      <w:r w:rsidR="008B550B" w:rsidRPr="00EC0497">
        <w:t>What are the appropriate water and wastewater rates and return on investment for Consolidated Services?</w:t>
      </w:r>
    </w:p>
    <w:p w:rsidR="00A46E89" w:rsidRPr="004C3641" w:rsidRDefault="00A46E89">
      <w:pPr>
        <w:pStyle w:val="IssueSubsectionHeading"/>
        <w:rPr>
          <w:vanish/>
          <w:specVanish/>
        </w:rPr>
      </w:pPr>
      <w:r w:rsidRPr="004C3641">
        <w:t>Recommendation: </w:t>
      </w:r>
    </w:p>
    <w:p w:rsidR="00A46E89" w:rsidRDefault="00A46E89">
      <w:pPr>
        <w:pStyle w:val="BodyText"/>
      </w:pPr>
      <w:r>
        <w:t> </w:t>
      </w:r>
      <w:r w:rsidR="007D4384">
        <w:rPr>
          <w:rFonts w:cs="Courier New"/>
          <w:lang w:val="en-CA"/>
        </w:rPr>
        <w:t xml:space="preserve">Consolidated Services’ water and wastewater rates shown on Schedule Nos. 1 and 2, respectively, are reasonable and should be approved. </w:t>
      </w:r>
      <w:r w:rsidR="007D4384">
        <w:t xml:space="preserve">The approved rates should be effective for services rendered on or after the stamped approval date on the tariff sheets, pursuant to Rule 25-30.475, F.A.C. </w:t>
      </w:r>
      <w:r w:rsidR="007D4384">
        <w:rPr>
          <w:rFonts w:cs="Courier New"/>
          <w:lang w:val="en-CA"/>
        </w:rPr>
        <w:t>Consolidated Services</w:t>
      </w:r>
      <w:r w:rsidR="007D4384">
        <w:t xml:space="preserve"> should be required to charge the approved rates until authorized to change them by the Commission in a subsequent proceeding. A return on equity of 11.16 percent</w:t>
      </w:r>
      <w:r w:rsidR="00A46B48">
        <w:t>,</w:t>
      </w:r>
      <w:r w:rsidR="007D4384">
        <w:t xml:space="preserve"> </w:t>
      </w:r>
      <w:r w:rsidR="00A46B48">
        <w:t xml:space="preserve">with a range of </w:t>
      </w:r>
      <w:r w:rsidR="007D4384">
        <w:t>plus or minus 100 basis points</w:t>
      </w:r>
      <w:r w:rsidR="00A46B48">
        <w:t>,</w:t>
      </w:r>
      <w:r w:rsidR="007D4384">
        <w:t xml:space="preserve"> should also be approved.</w:t>
      </w:r>
      <w:r>
        <w:t xml:space="preserve"> </w:t>
      </w:r>
      <w:r w:rsidR="007D4384">
        <w:t xml:space="preserve">(Galloway, Sewards, Hudson, Johnson, </w:t>
      </w:r>
      <w:r w:rsidR="00231057">
        <w:t xml:space="preserve">M. Watts, </w:t>
      </w:r>
      <w:r w:rsidR="007D4384">
        <w:t>Janjic)</w:t>
      </w:r>
    </w:p>
    <w:p w:rsidR="00A46E89" w:rsidRPr="004C3641" w:rsidRDefault="00A46E89">
      <w:pPr>
        <w:pStyle w:val="IssueSubsectionHeading"/>
        <w:rPr>
          <w:vanish/>
          <w:specVanish/>
        </w:rPr>
      </w:pPr>
      <w:r w:rsidRPr="004C3641">
        <w:t>Staff Analysis: </w:t>
      </w:r>
    </w:p>
    <w:p w:rsidR="00A46E89" w:rsidRDefault="00A46E89" w:rsidP="00A91B06">
      <w:pPr>
        <w:jc w:val="both"/>
      </w:pPr>
      <w:r>
        <w:t> </w:t>
      </w:r>
      <w:r w:rsidR="008B550B" w:rsidRPr="008B550B">
        <w:t>Rule</w:t>
      </w:r>
      <w:r w:rsidR="0064546C">
        <w:t>s</w:t>
      </w:r>
      <w:r w:rsidR="008B550B" w:rsidRPr="008B550B">
        <w:t xml:space="preserve"> 25-30.033(1)(n) and (p), F.A.C., specifies the requirements for establishing rates and charges for original certificates, including submission of a cost study, growth projections, and data related to the projected plant, capital str</w:t>
      </w:r>
      <w:r w:rsidR="008B550B">
        <w:t>ucture, and operating expenses.</w:t>
      </w:r>
      <w:r w:rsidR="008B550B" w:rsidRPr="008B550B">
        <w:t xml:space="preserve"> Consolidated</w:t>
      </w:r>
      <w:r w:rsidR="007D4384">
        <w:t xml:space="preserve"> Services</w:t>
      </w:r>
      <w:r w:rsidR="008B550B" w:rsidRPr="008B550B">
        <w:t>’ proposed water and wastewater rates are based on 80 percent of capacity, which is consistent with Commission policy for set</w:t>
      </w:r>
      <w:r w:rsidR="008B550B">
        <w:t>ting initial rates and charges.</w:t>
      </w:r>
      <w:r w:rsidR="008B550B" w:rsidRPr="008B550B">
        <w:t xml:space="preserve"> </w:t>
      </w:r>
      <w:r w:rsidR="00231057" w:rsidRPr="00231057">
        <w:t>Consolidated Services</w:t>
      </w:r>
      <w:r w:rsidR="008B550B" w:rsidRPr="008B550B">
        <w:t xml:space="preserve"> anticipates that 80 percent design capacity will occur seven years after </w:t>
      </w:r>
      <w:r w:rsidR="008B550B">
        <w:t>the initiation of construction.</w:t>
      </w:r>
      <w:r w:rsidR="008B550B" w:rsidRPr="008B550B">
        <w:t xml:space="preserve"> The water and wastewater facilities are conceptually designed to be in accordance with the local comprehensive plan’s density restrictions</w:t>
      </w:r>
      <w:r w:rsidR="008B550B">
        <w:t>.</w:t>
      </w:r>
      <w:r w:rsidR="008B550B" w:rsidRPr="008B550B">
        <w:t xml:space="preserve"> As such, water and wastewater ERCs at 80 percent buildout are anticipated to be 240 for each system</w:t>
      </w:r>
      <w:r w:rsidR="008B550B">
        <w:t>.</w:t>
      </w:r>
      <w:r w:rsidR="008B550B" w:rsidRPr="008B550B">
        <w:t xml:space="preserve"> Water and wastewater usage per ERC is estimated at </w:t>
      </w:r>
      <w:r w:rsidR="003D5084">
        <w:t>250</w:t>
      </w:r>
      <w:r w:rsidR="008B550B" w:rsidRPr="008B550B">
        <w:t xml:space="preserve"> </w:t>
      </w:r>
      <w:r w:rsidR="007C0B15">
        <w:t>gallons per day (gpd)</w:t>
      </w:r>
      <w:r w:rsidR="008B550B" w:rsidRPr="008B550B">
        <w:t xml:space="preserve"> and </w:t>
      </w:r>
      <w:r w:rsidR="003D5084">
        <w:t>200</w:t>
      </w:r>
      <w:r w:rsidR="008B550B" w:rsidRPr="008B550B">
        <w:t xml:space="preserve"> </w:t>
      </w:r>
      <w:r w:rsidR="007C0B15">
        <w:t>gpd</w:t>
      </w:r>
      <w:r w:rsidR="008B550B" w:rsidRPr="008B550B">
        <w:t>, respectively.</w:t>
      </w:r>
    </w:p>
    <w:p w:rsidR="00A91B06" w:rsidRDefault="00A91B06" w:rsidP="00A91B06">
      <w:pPr>
        <w:jc w:val="both"/>
      </w:pPr>
    </w:p>
    <w:p w:rsidR="008B550B" w:rsidRPr="00A91B06" w:rsidRDefault="008B550B" w:rsidP="00A91B06">
      <w:pPr>
        <w:jc w:val="both"/>
        <w:rPr>
          <w:rFonts w:ascii="Arial" w:hAnsi="Arial" w:cs="Arial"/>
          <w:b/>
        </w:rPr>
      </w:pPr>
      <w:r w:rsidRPr="00A91B06">
        <w:rPr>
          <w:rFonts w:ascii="Arial" w:hAnsi="Arial" w:cs="Arial"/>
          <w:b/>
        </w:rPr>
        <w:t xml:space="preserve">Projected Rate Base </w:t>
      </w:r>
    </w:p>
    <w:p w:rsidR="008B550B" w:rsidRPr="008B550B" w:rsidRDefault="008B550B" w:rsidP="008B550B">
      <w:pPr>
        <w:jc w:val="both"/>
      </w:pPr>
      <w:r w:rsidRPr="008B550B">
        <w:t>Consistent with Commission practice in applications for original certificates, projected rate base is established only as a tool to aid the Commission in setting initial rates and is not intended to formally establish rate base. Consolidated</w:t>
      </w:r>
      <w:r w:rsidR="00231057">
        <w:t xml:space="preserve"> Service</w:t>
      </w:r>
      <w:r w:rsidRPr="008B550B">
        <w:t>s</w:t>
      </w:r>
      <w:r w:rsidR="00231057">
        <w:t>’</w:t>
      </w:r>
      <w:r w:rsidRPr="008B550B">
        <w:t xml:space="preserve"> projected rate base calculations are shown on Schedule No. 1 for water service and Schedule No. 2 for wastewater service.</w:t>
      </w:r>
    </w:p>
    <w:p w:rsidR="008B550B" w:rsidRPr="008B550B" w:rsidRDefault="008B550B" w:rsidP="008B550B">
      <w:pPr>
        <w:jc w:val="both"/>
      </w:pPr>
    </w:p>
    <w:p w:rsidR="008B550B" w:rsidRDefault="008B550B" w:rsidP="008B550B">
      <w:pPr>
        <w:jc w:val="both"/>
      </w:pPr>
      <w:r w:rsidRPr="008B550B">
        <w:t>The Utility’s projected water and wastewater utility plant in service and contributions in aid of construction (CIAC) are consistent with Commission practice whereby 80 percent of design capacity is used for the described facilities. Accumulated depreciation and amortization of CIAC are based on the average service lives guidelines, as set forth in Rule 25-30.140, F.A.C. In accordance with Rule 25-30.433(2), F.A.C., working capital is based on one-eighth of the operation and maintenance expense for each service. Staff recommends that Consolidated</w:t>
      </w:r>
      <w:r w:rsidR="00231057">
        <w:t xml:space="preserve"> Service</w:t>
      </w:r>
      <w:r w:rsidRPr="008B550B">
        <w:t>s</w:t>
      </w:r>
      <w:r w:rsidR="00231057">
        <w:t>’</w:t>
      </w:r>
      <w:r w:rsidRPr="008B550B">
        <w:t xml:space="preserve"> proposed rate base calculations of $529,339 for water service and $469,127 for wastewater service shown on Schedule Nos. 1 and 2, respectively, are reasonable and should be approved.</w:t>
      </w:r>
    </w:p>
    <w:p w:rsidR="007C0B15" w:rsidRDefault="007C0B15" w:rsidP="008B550B">
      <w:pPr>
        <w:jc w:val="both"/>
      </w:pPr>
    </w:p>
    <w:p w:rsidR="007C0B15" w:rsidRDefault="007C0B15" w:rsidP="008B550B">
      <w:pPr>
        <w:jc w:val="both"/>
      </w:pPr>
    </w:p>
    <w:p w:rsidR="007C0B15" w:rsidRDefault="007C0B15" w:rsidP="008B550B">
      <w:pPr>
        <w:jc w:val="both"/>
      </w:pPr>
    </w:p>
    <w:p w:rsidR="00977CAE" w:rsidRDefault="00977CAE" w:rsidP="008B550B">
      <w:pPr>
        <w:jc w:val="both"/>
      </w:pPr>
    </w:p>
    <w:p w:rsidR="00977CAE" w:rsidRDefault="00977CAE" w:rsidP="008B550B">
      <w:pPr>
        <w:jc w:val="both"/>
      </w:pPr>
    </w:p>
    <w:p w:rsidR="007C0B15" w:rsidRDefault="007C0B15" w:rsidP="008B550B">
      <w:pPr>
        <w:jc w:val="both"/>
      </w:pPr>
    </w:p>
    <w:p w:rsidR="007C0B15" w:rsidRPr="008B550B" w:rsidRDefault="007C0B15" w:rsidP="008B550B">
      <w:pPr>
        <w:jc w:val="both"/>
      </w:pPr>
    </w:p>
    <w:p w:rsidR="008B550B" w:rsidRPr="00A91B06" w:rsidRDefault="008B550B" w:rsidP="00A91B06">
      <w:pPr>
        <w:jc w:val="both"/>
        <w:rPr>
          <w:rFonts w:ascii="Arial" w:hAnsi="Arial" w:cs="Arial"/>
          <w:b/>
        </w:rPr>
      </w:pPr>
      <w:r w:rsidRPr="00A91B06">
        <w:rPr>
          <w:rFonts w:ascii="Arial" w:hAnsi="Arial" w:cs="Arial"/>
          <w:b/>
        </w:rPr>
        <w:lastRenderedPageBreak/>
        <w:t>Cost of Capital</w:t>
      </w:r>
    </w:p>
    <w:p w:rsidR="008B550B" w:rsidRPr="008B550B" w:rsidRDefault="008B550B" w:rsidP="008B550B">
      <w:pPr>
        <w:jc w:val="both"/>
      </w:pPr>
      <w:r w:rsidRPr="008B550B">
        <w:t>Consolidated</w:t>
      </w:r>
      <w:r w:rsidR="00231057">
        <w:t xml:space="preserve"> Services</w:t>
      </w:r>
      <w:r w:rsidRPr="008B550B">
        <w:t>’ projected capital structure consists of 40 percent equity and 60 percent debt. The Utility’s proposed cost of equity of 11.16 percent is consistent with the Commission’s most recent leverage graph formula,</w:t>
      </w:r>
      <w:r w:rsidRPr="008B550B">
        <w:rPr>
          <w:vertAlign w:val="superscript"/>
        </w:rPr>
        <w:footnoteReference w:id="3"/>
      </w:r>
      <w:r w:rsidRPr="008B550B">
        <w:t xml:space="preserve"> and its proposed cost of debt of 4.75 is based on the prime rate plus 1 percent. Staff recommends that the Utility’s cost of equity and debt are reasonable. These cost rates and ratios result in an overall cost of capital of 7.31 percent as shown on the following table.</w:t>
      </w:r>
    </w:p>
    <w:p w:rsidR="008B550B" w:rsidRPr="008B550B" w:rsidRDefault="008B550B" w:rsidP="008B550B">
      <w:pPr>
        <w:jc w:val="both"/>
      </w:pPr>
    </w:p>
    <w:p w:rsidR="008B550B" w:rsidRPr="008B550B" w:rsidRDefault="008B550B" w:rsidP="008B550B">
      <w:pPr>
        <w:keepNext/>
        <w:jc w:val="center"/>
        <w:rPr>
          <w:rFonts w:ascii="Arial" w:hAnsi="Arial" w:cs="Arial"/>
          <w:b/>
          <w:bCs/>
        </w:rPr>
      </w:pPr>
      <w:r w:rsidRPr="008B550B">
        <w:rPr>
          <w:rFonts w:ascii="Arial" w:hAnsi="Arial" w:cs="Arial"/>
          <w:b/>
          <w:bCs/>
        </w:rPr>
        <w:t xml:space="preserve">Table </w:t>
      </w:r>
      <w:r w:rsidRPr="008B550B">
        <w:rPr>
          <w:rFonts w:ascii="Arial" w:hAnsi="Arial" w:cs="Arial"/>
          <w:b/>
          <w:bCs/>
        </w:rPr>
        <w:fldChar w:fldCharType="begin"/>
      </w:r>
      <w:r w:rsidRPr="008B550B">
        <w:rPr>
          <w:rFonts w:ascii="Arial" w:hAnsi="Arial" w:cs="Arial"/>
          <w:b/>
          <w:bCs/>
        </w:rPr>
        <w:instrText xml:space="preserve"> SEQ Table \* ARABIC </w:instrText>
      </w:r>
      <w:r w:rsidRPr="008B550B">
        <w:rPr>
          <w:rFonts w:ascii="Arial" w:hAnsi="Arial" w:cs="Arial"/>
          <w:b/>
          <w:bCs/>
        </w:rPr>
        <w:fldChar w:fldCharType="separate"/>
      </w:r>
      <w:r w:rsidR="006106EC">
        <w:rPr>
          <w:rFonts w:ascii="Arial" w:hAnsi="Arial" w:cs="Arial"/>
          <w:b/>
          <w:bCs/>
          <w:noProof/>
        </w:rPr>
        <w:t>1</w:t>
      </w:r>
      <w:r w:rsidRPr="008B550B">
        <w:rPr>
          <w:rFonts w:ascii="Arial" w:hAnsi="Arial" w:cs="Arial"/>
          <w:b/>
          <w:bCs/>
        </w:rPr>
        <w:fldChar w:fldCharType="end"/>
      </w:r>
      <w:r w:rsidR="00306BCB">
        <w:rPr>
          <w:rFonts w:ascii="Arial" w:hAnsi="Arial" w:cs="Arial"/>
          <w:b/>
          <w:bCs/>
        </w:rPr>
        <w:t>-1</w:t>
      </w:r>
    </w:p>
    <w:p w:rsidR="008B550B" w:rsidRPr="008B550B" w:rsidRDefault="008B550B" w:rsidP="008B550B">
      <w:pPr>
        <w:jc w:val="center"/>
        <w:rPr>
          <w:rFonts w:ascii="Arial" w:hAnsi="Arial" w:cs="Arial"/>
          <w:b/>
        </w:rPr>
      </w:pPr>
      <w:r w:rsidRPr="008B550B">
        <w:rPr>
          <w:rFonts w:ascii="Arial" w:hAnsi="Arial" w:cs="Arial"/>
          <w:b/>
        </w:rPr>
        <w:t>Cost of Capital</w:t>
      </w:r>
    </w:p>
    <w:tbl>
      <w:tblPr>
        <w:tblStyle w:val="TableGrid1"/>
        <w:tblW w:w="0" w:type="auto"/>
        <w:tblInd w:w="108" w:type="dxa"/>
        <w:tblBorders>
          <w:insideH w:val="single" w:sz="6" w:space="0" w:color="auto"/>
          <w:insideV w:val="single" w:sz="6" w:space="0" w:color="auto"/>
        </w:tblBorders>
        <w:tblLook w:val="04A0" w:firstRow="1" w:lastRow="0" w:firstColumn="1" w:lastColumn="0" w:noHBand="0" w:noVBand="1"/>
      </w:tblPr>
      <w:tblGrid>
        <w:gridCol w:w="2970"/>
        <w:gridCol w:w="1800"/>
        <w:gridCol w:w="1260"/>
        <w:gridCol w:w="1522"/>
        <w:gridCol w:w="1808"/>
      </w:tblGrid>
      <w:tr w:rsidR="008B550B" w:rsidRPr="008B550B" w:rsidTr="00B330C8">
        <w:tc>
          <w:tcPr>
            <w:tcW w:w="2970" w:type="dxa"/>
          </w:tcPr>
          <w:p w:rsidR="008B550B" w:rsidRPr="008B550B" w:rsidRDefault="008B550B" w:rsidP="008B550B">
            <w:pPr>
              <w:jc w:val="both"/>
              <w:rPr>
                <w:b/>
              </w:rPr>
            </w:pPr>
            <w:r w:rsidRPr="008B550B">
              <w:rPr>
                <w:b/>
              </w:rPr>
              <w:t>Description</w:t>
            </w:r>
          </w:p>
        </w:tc>
        <w:tc>
          <w:tcPr>
            <w:tcW w:w="1800" w:type="dxa"/>
          </w:tcPr>
          <w:p w:rsidR="008B550B" w:rsidRPr="008B550B" w:rsidRDefault="008B550B" w:rsidP="008B550B">
            <w:pPr>
              <w:jc w:val="center"/>
              <w:rPr>
                <w:b/>
              </w:rPr>
            </w:pPr>
            <w:r w:rsidRPr="008B550B">
              <w:rPr>
                <w:b/>
              </w:rPr>
              <w:t>Amount</w:t>
            </w:r>
          </w:p>
        </w:tc>
        <w:tc>
          <w:tcPr>
            <w:tcW w:w="1260" w:type="dxa"/>
          </w:tcPr>
          <w:p w:rsidR="008B550B" w:rsidRPr="008B550B" w:rsidRDefault="008B550B" w:rsidP="008B550B">
            <w:pPr>
              <w:jc w:val="center"/>
              <w:rPr>
                <w:b/>
              </w:rPr>
            </w:pPr>
            <w:r w:rsidRPr="008B550B">
              <w:rPr>
                <w:b/>
              </w:rPr>
              <w:t>Weight</w:t>
            </w:r>
          </w:p>
        </w:tc>
        <w:tc>
          <w:tcPr>
            <w:tcW w:w="1522" w:type="dxa"/>
          </w:tcPr>
          <w:p w:rsidR="008B550B" w:rsidRPr="008B550B" w:rsidRDefault="008B550B" w:rsidP="008B550B">
            <w:pPr>
              <w:jc w:val="center"/>
              <w:rPr>
                <w:b/>
              </w:rPr>
            </w:pPr>
            <w:r w:rsidRPr="008B550B">
              <w:rPr>
                <w:b/>
              </w:rPr>
              <w:t>Cost Rate</w:t>
            </w:r>
          </w:p>
        </w:tc>
        <w:tc>
          <w:tcPr>
            <w:tcW w:w="1808" w:type="dxa"/>
          </w:tcPr>
          <w:p w:rsidR="008B550B" w:rsidRPr="008B550B" w:rsidRDefault="008B550B" w:rsidP="008B550B">
            <w:pPr>
              <w:jc w:val="center"/>
              <w:rPr>
                <w:b/>
              </w:rPr>
            </w:pPr>
            <w:r w:rsidRPr="008B550B">
              <w:rPr>
                <w:b/>
              </w:rPr>
              <w:t>Weighted Cost</w:t>
            </w:r>
          </w:p>
        </w:tc>
      </w:tr>
      <w:tr w:rsidR="008B550B" w:rsidRPr="008B550B" w:rsidTr="00B330C8">
        <w:tc>
          <w:tcPr>
            <w:tcW w:w="2970" w:type="dxa"/>
          </w:tcPr>
          <w:p w:rsidR="008B550B" w:rsidRPr="008B550B" w:rsidRDefault="008B550B" w:rsidP="008B550B">
            <w:pPr>
              <w:jc w:val="both"/>
            </w:pPr>
            <w:r w:rsidRPr="008B550B">
              <w:t>Common Equity</w:t>
            </w:r>
          </w:p>
        </w:tc>
        <w:tc>
          <w:tcPr>
            <w:tcW w:w="1800" w:type="dxa"/>
          </w:tcPr>
          <w:p w:rsidR="008B550B" w:rsidRPr="008B550B" w:rsidRDefault="008B550B" w:rsidP="008B550B">
            <w:pPr>
              <w:jc w:val="both"/>
            </w:pPr>
            <w:r w:rsidRPr="008B550B">
              <w:t xml:space="preserve">  $    399,386</w:t>
            </w:r>
          </w:p>
        </w:tc>
        <w:tc>
          <w:tcPr>
            <w:tcW w:w="1260" w:type="dxa"/>
          </w:tcPr>
          <w:p w:rsidR="008B550B" w:rsidRPr="008B550B" w:rsidRDefault="008B550B" w:rsidP="008B550B">
            <w:pPr>
              <w:jc w:val="center"/>
            </w:pPr>
            <w:r w:rsidRPr="008B550B">
              <w:t>40%</w:t>
            </w:r>
          </w:p>
        </w:tc>
        <w:tc>
          <w:tcPr>
            <w:tcW w:w="1522" w:type="dxa"/>
          </w:tcPr>
          <w:p w:rsidR="008B550B" w:rsidRPr="008B550B" w:rsidRDefault="008B550B" w:rsidP="008B550B">
            <w:pPr>
              <w:jc w:val="center"/>
            </w:pPr>
            <w:r w:rsidRPr="008B550B">
              <w:t>11.16%</w:t>
            </w:r>
          </w:p>
        </w:tc>
        <w:tc>
          <w:tcPr>
            <w:tcW w:w="1808" w:type="dxa"/>
          </w:tcPr>
          <w:p w:rsidR="008B550B" w:rsidRPr="008B550B" w:rsidRDefault="008B550B" w:rsidP="008B550B">
            <w:pPr>
              <w:jc w:val="center"/>
            </w:pPr>
            <w:r w:rsidRPr="008B550B">
              <w:t>4.46%</w:t>
            </w:r>
          </w:p>
        </w:tc>
      </w:tr>
      <w:tr w:rsidR="008B550B" w:rsidRPr="008B550B" w:rsidTr="00B330C8">
        <w:tc>
          <w:tcPr>
            <w:tcW w:w="2970" w:type="dxa"/>
          </w:tcPr>
          <w:p w:rsidR="008B550B" w:rsidRPr="008B550B" w:rsidRDefault="008B550B" w:rsidP="008B550B">
            <w:pPr>
              <w:jc w:val="both"/>
            </w:pPr>
            <w:r w:rsidRPr="008B550B">
              <w:t>Long and Short-Term Debt</w:t>
            </w:r>
          </w:p>
        </w:tc>
        <w:tc>
          <w:tcPr>
            <w:tcW w:w="1800" w:type="dxa"/>
          </w:tcPr>
          <w:p w:rsidR="008B550B" w:rsidRPr="008B550B" w:rsidRDefault="008B550B" w:rsidP="008B550B">
            <w:pPr>
              <w:jc w:val="both"/>
            </w:pPr>
            <w:r w:rsidRPr="008B550B">
              <w:t xml:space="preserve">  $    599,079</w:t>
            </w:r>
          </w:p>
        </w:tc>
        <w:tc>
          <w:tcPr>
            <w:tcW w:w="1260" w:type="dxa"/>
          </w:tcPr>
          <w:p w:rsidR="008B550B" w:rsidRPr="008B550B" w:rsidRDefault="008B550B" w:rsidP="008B550B">
            <w:pPr>
              <w:jc w:val="center"/>
            </w:pPr>
            <w:r w:rsidRPr="008B550B">
              <w:t>60%</w:t>
            </w:r>
          </w:p>
        </w:tc>
        <w:tc>
          <w:tcPr>
            <w:tcW w:w="1522" w:type="dxa"/>
          </w:tcPr>
          <w:p w:rsidR="008B550B" w:rsidRPr="008B550B" w:rsidRDefault="008B550B" w:rsidP="008B550B">
            <w:pPr>
              <w:jc w:val="center"/>
            </w:pPr>
            <w:r w:rsidRPr="008B550B">
              <w:t>4.75%</w:t>
            </w:r>
          </w:p>
        </w:tc>
        <w:tc>
          <w:tcPr>
            <w:tcW w:w="1808" w:type="dxa"/>
          </w:tcPr>
          <w:p w:rsidR="008B550B" w:rsidRPr="008B550B" w:rsidRDefault="008B550B" w:rsidP="008B550B">
            <w:pPr>
              <w:jc w:val="center"/>
            </w:pPr>
            <w:r w:rsidRPr="008B550B">
              <w:t>2.85%</w:t>
            </w:r>
          </w:p>
        </w:tc>
      </w:tr>
      <w:tr w:rsidR="008B550B" w:rsidRPr="008B550B" w:rsidTr="00B330C8">
        <w:tc>
          <w:tcPr>
            <w:tcW w:w="2970" w:type="dxa"/>
          </w:tcPr>
          <w:p w:rsidR="008B550B" w:rsidRPr="008B550B" w:rsidRDefault="008B550B" w:rsidP="008B550B">
            <w:pPr>
              <w:jc w:val="both"/>
            </w:pPr>
            <w:r w:rsidRPr="008B550B">
              <w:t>Overall Cost of Capital</w:t>
            </w:r>
          </w:p>
        </w:tc>
        <w:tc>
          <w:tcPr>
            <w:tcW w:w="1800" w:type="dxa"/>
          </w:tcPr>
          <w:p w:rsidR="008B550B" w:rsidRPr="008B550B" w:rsidRDefault="008B550B" w:rsidP="008B550B">
            <w:pPr>
              <w:jc w:val="both"/>
            </w:pPr>
            <w:r w:rsidRPr="008B550B">
              <w:t xml:space="preserve">  $    998,465</w:t>
            </w:r>
          </w:p>
        </w:tc>
        <w:tc>
          <w:tcPr>
            <w:tcW w:w="1260" w:type="dxa"/>
          </w:tcPr>
          <w:p w:rsidR="008B550B" w:rsidRPr="008B550B" w:rsidRDefault="008B550B" w:rsidP="008B550B">
            <w:pPr>
              <w:jc w:val="center"/>
            </w:pPr>
            <w:r w:rsidRPr="008B550B">
              <w:t>100%</w:t>
            </w:r>
          </w:p>
        </w:tc>
        <w:tc>
          <w:tcPr>
            <w:tcW w:w="1522" w:type="dxa"/>
          </w:tcPr>
          <w:p w:rsidR="008B550B" w:rsidRPr="008B550B" w:rsidRDefault="008B550B" w:rsidP="008B550B">
            <w:pPr>
              <w:jc w:val="center"/>
            </w:pPr>
          </w:p>
        </w:tc>
        <w:tc>
          <w:tcPr>
            <w:tcW w:w="1808" w:type="dxa"/>
          </w:tcPr>
          <w:p w:rsidR="008B550B" w:rsidRPr="008B550B" w:rsidRDefault="008B550B" w:rsidP="008B550B">
            <w:pPr>
              <w:jc w:val="center"/>
            </w:pPr>
            <w:r w:rsidRPr="008B550B">
              <w:t>7.31%</w:t>
            </w:r>
          </w:p>
        </w:tc>
      </w:tr>
      <w:tr w:rsidR="008B550B" w:rsidRPr="008B550B" w:rsidTr="00B330C8">
        <w:tc>
          <w:tcPr>
            <w:tcW w:w="2970" w:type="dxa"/>
          </w:tcPr>
          <w:p w:rsidR="008B550B" w:rsidRPr="008B550B" w:rsidRDefault="008B550B" w:rsidP="008B550B">
            <w:pPr>
              <w:jc w:val="both"/>
              <w:rPr>
                <w:b/>
              </w:rPr>
            </w:pPr>
            <w:r w:rsidRPr="008B550B">
              <w:rPr>
                <w:b/>
              </w:rPr>
              <w:t>Range of Reasonableness</w:t>
            </w:r>
          </w:p>
        </w:tc>
        <w:tc>
          <w:tcPr>
            <w:tcW w:w="1800" w:type="dxa"/>
          </w:tcPr>
          <w:p w:rsidR="008B550B" w:rsidRPr="008B550B" w:rsidRDefault="008B550B" w:rsidP="008B550B">
            <w:pPr>
              <w:jc w:val="both"/>
            </w:pPr>
          </w:p>
        </w:tc>
        <w:tc>
          <w:tcPr>
            <w:tcW w:w="1260" w:type="dxa"/>
          </w:tcPr>
          <w:p w:rsidR="008B550B" w:rsidRPr="008B550B" w:rsidRDefault="008B550B" w:rsidP="008B550B">
            <w:pPr>
              <w:jc w:val="both"/>
            </w:pPr>
          </w:p>
        </w:tc>
        <w:tc>
          <w:tcPr>
            <w:tcW w:w="1522" w:type="dxa"/>
          </w:tcPr>
          <w:p w:rsidR="008B550B" w:rsidRPr="008B550B" w:rsidRDefault="003335E7" w:rsidP="008B550B">
            <w:pPr>
              <w:jc w:val="center"/>
              <w:rPr>
                <w:b/>
              </w:rPr>
            </w:pPr>
            <w:r w:rsidRPr="008B550B">
              <w:rPr>
                <w:b/>
              </w:rPr>
              <w:t>Low</w:t>
            </w:r>
          </w:p>
        </w:tc>
        <w:tc>
          <w:tcPr>
            <w:tcW w:w="1808" w:type="dxa"/>
          </w:tcPr>
          <w:p w:rsidR="008B550B" w:rsidRPr="008B550B" w:rsidRDefault="003335E7" w:rsidP="003335E7">
            <w:pPr>
              <w:jc w:val="center"/>
              <w:rPr>
                <w:b/>
              </w:rPr>
            </w:pPr>
            <w:r>
              <w:rPr>
                <w:b/>
              </w:rPr>
              <w:t>High</w:t>
            </w:r>
          </w:p>
        </w:tc>
      </w:tr>
      <w:tr w:rsidR="008B550B" w:rsidRPr="008B550B" w:rsidTr="00B330C8">
        <w:tc>
          <w:tcPr>
            <w:tcW w:w="2970" w:type="dxa"/>
          </w:tcPr>
          <w:p w:rsidR="008B550B" w:rsidRPr="008B550B" w:rsidRDefault="008B550B" w:rsidP="008B550B">
            <w:pPr>
              <w:jc w:val="both"/>
            </w:pPr>
            <w:r w:rsidRPr="008B550B">
              <w:t>Return on Common Equity</w:t>
            </w:r>
          </w:p>
        </w:tc>
        <w:tc>
          <w:tcPr>
            <w:tcW w:w="1800" w:type="dxa"/>
          </w:tcPr>
          <w:p w:rsidR="008B550B" w:rsidRPr="008B550B" w:rsidRDefault="008B550B" w:rsidP="008B550B">
            <w:pPr>
              <w:jc w:val="both"/>
            </w:pPr>
          </w:p>
        </w:tc>
        <w:tc>
          <w:tcPr>
            <w:tcW w:w="1260" w:type="dxa"/>
          </w:tcPr>
          <w:p w:rsidR="008B550B" w:rsidRPr="008B550B" w:rsidRDefault="008B550B" w:rsidP="008B550B">
            <w:pPr>
              <w:jc w:val="both"/>
            </w:pPr>
          </w:p>
        </w:tc>
        <w:tc>
          <w:tcPr>
            <w:tcW w:w="1522" w:type="dxa"/>
          </w:tcPr>
          <w:p w:rsidR="008B550B" w:rsidRPr="008B550B" w:rsidRDefault="008B550B" w:rsidP="008B550B">
            <w:pPr>
              <w:jc w:val="center"/>
            </w:pPr>
            <w:r w:rsidRPr="008B550B">
              <w:t>10.16%</w:t>
            </w:r>
          </w:p>
        </w:tc>
        <w:tc>
          <w:tcPr>
            <w:tcW w:w="1808" w:type="dxa"/>
          </w:tcPr>
          <w:p w:rsidR="008B550B" w:rsidRPr="008B550B" w:rsidRDefault="008B550B" w:rsidP="008B550B">
            <w:pPr>
              <w:jc w:val="center"/>
            </w:pPr>
            <w:r w:rsidRPr="008B550B">
              <w:t>12.16%</w:t>
            </w:r>
          </w:p>
        </w:tc>
      </w:tr>
    </w:tbl>
    <w:p w:rsidR="008B550B" w:rsidRPr="008B550B" w:rsidRDefault="008B550B" w:rsidP="008B550B">
      <w:pPr>
        <w:jc w:val="both"/>
      </w:pPr>
    </w:p>
    <w:p w:rsidR="008B550B" w:rsidRPr="008B550B" w:rsidRDefault="008B550B" w:rsidP="008B550B">
      <w:pPr>
        <w:jc w:val="both"/>
      </w:pPr>
    </w:p>
    <w:p w:rsidR="008B550B" w:rsidRPr="008B550B" w:rsidRDefault="008B550B" w:rsidP="008B550B">
      <w:pPr>
        <w:jc w:val="both"/>
      </w:pPr>
      <w:r w:rsidRPr="008B550B">
        <w:t xml:space="preserve">Based on these calculations, staff recommends the appropriate return on equity for Consolidated </w:t>
      </w:r>
      <w:r w:rsidR="00231057">
        <w:t xml:space="preserve">Services </w:t>
      </w:r>
      <w:r w:rsidRPr="008B550B">
        <w:t>is 11.16 percent, with a range of plus or minus 100 basis points, and the Utility’s initial rates should be based on an overall cost of capital of 7.31 percent.</w:t>
      </w:r>
    </w:p>
    <w:p w:rsidR="008B550B" w:rsidRPr="008B550B" w:rsidRDefault="008B550B" w:rsidP="008B550B">
      <w:pPr>
        <w:jc w:val="both"/>
      </w:pPr>
    </w:p>
    <w:p w:rsidR="008B550B" w:rsidRPr="00A91B06" w:rsidRDefault="008B550B" w:rsidP="00A91B06">
      <w:pPr>
        <w:jc w:val="both"/>
        <w:rPr>
          <w:rFonts w:ascii="Arial" w:hAnsi="Arial" w:cs="Arial"/>
          <w:b/>
        </w:rPr>
      </w:pPr>
      <w:r w:rsidRPr="00A91B06">
        <w:rPr>
          <w:rFonts w:ascii="Arial" w:hAnsi="Arial" w:cs="Arial"/>
          <w:b/>
        </w:rPr>
        <w:t>Net Operating Income</w:t>
      </w:r>
    </w:p>
    <w:p w:rsidR="008B550B" w:rsidRPr="008B550B" w:rsidRDefault="008B550B" w:rsidP="008B550B">
      <w:pPr>
        <w:jc w:val="both"/>
      </w:pPr>
      <w:r w:rsidRPr="008B550B">
        <w:t>The projected net operating income amounts for water and wastewater services are shown on Schedule Nos. 1 and 2, respectively. They are based on the projected rate base for each system and the projected overall cost of capital of 7.31 percent. The resulting net operating income amounts for potable water and wastewater services are $38,695 and $34,</w:t>
      </w:r>
      <w:r w:rsidR="00B95E46">
        <w:t>29</w:t>
      </w:r>
      <w:r w:rsidRPr="008B550B">
        <w:t>3, respectively.</w:t>
      </w:r>
    </w:p>
    <w:p w:rsidR="008B550B" w:rsidRPr="008B550B" w:rsidRDefault="008B550B" w:rsidP="008B550B">
      <w:pPr>
        <w:jc w:val="both"/>
      </w:pPr>
    </w:p>
    <w:p w:rsidR="008B550B" w:rsidRPr="008B550B" w:rsidRDefault="008B550B" w:rsidP="008B550B">
      <w:pPr>
        <w:jc w:val="both"/>
      </w:pPr>
      <w:r w:rsidRPr="008B550B">
        <w:t>By letter dated August 18, 2016, OPC stated concerns about the Utility’s initial proposal to include both land lease costs and royalties associated with the withdrawal of water. By</w:t>
      </w:r>
      <w:r w:rsidR="00A00977">
        <w:t xml:space="preserve"> a</w:t>
      </w:r>
      <w:r w:rsidRPr="008B550B">
        <w:t xml:space="preserve"> letter dated December 29, 2016, the Utility restated its request to include the royalties associated with the withdrawal of water.</w:t>
      </w:r>
      <w:r w:rsidR="001C2505">
        <w:t xml:space="preserve"> </w:t>
      </w:r>
      <w:r w:rsidRPr="008B550B">
        <w:t>Staff included in the net operating income an allowance for the Utility’s land lease with its parent company in the amount of $125 for water (.25 acres) and $1,125 (2.25 acres) for wastewater which reflects an allowance of $500 per acre. Staff did not include any allowance for royalties. Staff agrees that it is Commission practice to include either land lease costs or royalties in a utility’s revenue requirement, not both.</w:t>
      </w:r>
      <w:r w:rsidRPr="008B550B">
        <w:rPr>
          <w:vertAlign w:val="superscript"/>
        </w:rPr>
        <w:footnoteReference w:id="4"/>
      </w:r>
      <w:r w:rsidRPr="008B550B">
        <w:t xml:space="preserve"> </w:t>
      </w:r>
    </w:p>
    <w:p w:rsidR="008B550B" w:rsidRDefault="008B550B" w:rsidP="008B550B">
      <w:pPr>
        <w:jc w:val="both"/>
      </w:pPr>
    </w:p>
    <w:p w:rsidR="004A2BE8" w:rsidRDefault="004A2BE8" w:rsidP="008B550B">
      <w:pPr>
        <w:jc w:val="both"/>
      </w:pPr>
    </w:p>
    <w:p w:rsidR="004A2BE8" w:rsidRDefault="004A2BE8" w:rsidP="008B550B">
      <w:pPr>
        <w:jc w:val="both"/>
      </w:pPr>
    </w:p>
    <w:p w:rsidR="004A2BE8" w:rsidRPr="008B550B" w:rsidRDefault="004A2BE8" w:rsidP="008B550B">
      <w:pPr>
        <w:jc w:val="both"/>
      </w:pPr>
    </w:p>
    <w:p w:rsidR="008B550B" w:rsidRPr="00A91B06" w:rsidRDefault="008B550B" w:rsidP="00A91B06">
      <w:pPr>
        <w:jc w:val="both"/>
        <w:rPr>
          <w:rFonts w:ascii="Arial" w:hAnsi="Arial" w:cs="Arial"/>
          <w:b/>
        </w:rPr>
      </w:pPr>
      <w:r w:rsidRPr="00A91B06">
        <w:rPr>
          <w:rFonts w:ascii="Arial" w:hAnsi="Arial" w:cs="Arial"/>
          <w:b/>
        </w:rPr>
        <w:lastRenderedPageBreak/>
        <w:t>Revenue Requirement</w:t>
      </w:r>
    </w:p>
    <w:p w:rsidR="008B550B" w:rsidRDefault="008B550B" w:rsidP="008B550B">
      <w:pPr>
        <w:pStyle w:val="BodyText"/>
        <w:spacing w:after="0"/>
        <w:rPr>
          <w:rFonts w:ascii="Arial" w:hAnsi="Arial" w:cs="Arial"/>
          <w:b/>
        </w:rPr>
      </w:pPr>
      <w:r w:rsidRPr="008B550B">
        <w:t>The calculations for Consolidated</w:t>
      </w:r>
      <w:r w:rsidR="00231057">
        <w:t xml:space="preserve"> Service</w:t>
      </w:r>
      <w:r w:rsidRPr="008B550B">
        <w:t>s</w:t>
      </w:r>
      <w:r w:rsidR="00231057" w:rsidRPr="008B550B">
        <w:t>’</w:t>
      </w:r>
      <w:r w:rsidRPr="008B550B">
        <w:t xml:space="preserve"> projected water and wastewater revenue requirements are also shown on Schedule Nos. 1 and 2, respectively. The revenue </w:t>
      </w:r>
      <w:r w:rsidR="00A46B48">
        <w:t xml:space="preserve">requirement calculation </w:t>
      </w:r>
      <w:r w:rsidRPr="008B550B">
        <w:t>include</w:t>
      </w:r>
      <w:r w:rsidR="00A46B48">
        <w:t>s</w:t>
      </w:r>
      <w:r w:rsidRPr="008B550B">
        <w:t xml:space="preserve"> operation and maintenance expenses, depreciation and amortization expenses, taxes other than income, as well as </w:t>
      </w:r>
      <w:r w:rsidR="00A46B48">
        <w:t>a 7.31 percent overall rate of</w:t>
      </w:r>
      <w:r w:rsidRPr="008B550B">
        <w:t xml:space="preserve"> return. The Utility’s proposed operation and maintenance expenses appear reasonable and net depreciation and amortization expenses are consistent with the guidelines in Rule 25-30.140, F.A.C. As a limited liability company, Consolidated</w:t>
      </w:r>
      <w:r w:rsidR="00231057">
        <w:t xml:space="preserve"> Services</w:t>
      </w:r>
      <w:r w:rsidRPr="008B550B">
        <w:t xml:space="preserve"> has no income tax expense. Taxes other than income tax are based on regulatory assessment fees of 4.5 percent of the Utility’s gross revenues and payroll taxes. Staff recommends that Consolidated</w:t>
      </w:r>
      <w:r w:rsidR="00231057">
        <w:t xml:space="preserve"> Service</w:t>
      </w:r>
      <w:r w:rsidRPr="008B550B">
        <w:t>s</w:t>
      </w:r>
      <w:r w:rsidR="00231057" w:rsidRPr="008B550B">
        <w:t>’</w:t>
      </w:r>
      <w:r w:rsidRPr="008B550B">
        <w:t xml:space="preserve"> revenue requirements for water and wastewater services of $139,353 and $120,5</w:t>
      </w:r>
      <w:r w:rsidR="00B95E46">
        <w:t>81</w:t>
      </w:r>
      <w:r w:rsidRPr="008B550B">
        <w:t>, respectively, are reasonable and should be approved.</w:t>
      </w:r>
    </w:p>
    <w:p w:rsidR="008B550B" w:rsidRDefault="008B550B" w:rsidP="007C174A">
      <w:pPr>
        <w:pStyle w:val="BodyText"/>
        <w:spacing w:after="0"/>
        <w:rPr>
          <w:rFonts w:ascii="Arial" w:hAnsi="Arial" w:cs="Arial"/>
          <w:b/>
        </w:rPr>
      </w:pPr>
    </w:p>
    <w:p w:rsidR="007C174A" w:rsidRPr="00A91B06" w:rsidRDefault="007C174A" w:rsidP="00A91B06">
      <w:pPr>
        <w:jc w:val="both"/>
        <w:rPr>
          <w:rFonts w:ascii="Arial" w:hAnsi="Arial" w:cs="Arial"/>
          <w:b/>
        </w:rPr>
      </w:pPr>
      <w:r w:rsidRPr="00A91B06">
        <w:rPr>
          <w:rFonts w:ascii="Arial" w:hAnsi="Arial" w:cs="Arial"/>
          <w:b/>
        </w:rPr>
        <w:t>Rates and Rate Structure</w:t>
      </w:r>
    </w:p>
    <w:p w:rsidR="007C174A" w:rsidRDefault="007C174A" w:rsidP="008B550B">
      <w:pPr>
        <w:pStyle w:val="BodyText"/>
        <w:spacing w:after="0"/>
      </w:pPr>
      <w:r w:rsidRPr="008B550B">
        <w:t>Consolidated</w:t>
      </w:r>
      <w:r w:rsidR="00231057">
        <w:t xml:space="preserve"> Services</w:t>
      </w:r>
      <w:r w:rsidRPr="008B550B">
        <w:t xml:space="preserve"> has structured its rates in accordance with Rule 25-30.033(2), F.A.C., which requires that a base facility and usage rate structure, as defined in Rule 25-30.437(6), F.A.C., be utilized for metered service. Consolidated</w:t>
      </w:r>
      <w:r w:rsidR="00231057">
        <w:t xml:space="preserve"> Services</w:t>
      </w:r>
      <w:r w:rsidRPr="008B550B">
        <w:t xml:space="preserve"> proposed a revenue allocation to the base facility charge of 40 percent for both water and wastewater. Consolidated</w:t>
      </w:r>
      <w:r w:rsidR="00231057">
        <w:t xml:space="preserve"> Service</w:t>
      </w:r>
      <w:r w:rsidRPr="008B550B">
        <w:t>s</w:t>
      </w:r>
      <w:r w:rsidR="00231057" w:rsidRPr="008B550B">
        <w:t>’</w:t>
      </w:r>
      <w:r w:rsidRPr="008B550B">
        <w:t xml:space="preserve"> proposed potable water rates, shown on Schedule No. 1, consist of a base facility charge of $19.36 and a usage charge of $3.93 per 1,000 gallons. The </w:t>
      </w:r>
      <w:r w:rsidR="00360051" w:rsidRPr="008B550B">
        <w:t>U</w:t>
      </w:r>
      <w:r w:rsidRPr="008B550B">
        <w:t xml:space="preserve">tility’s proposed wastewater rates, shown on Schedule No. 2, consist of a base facility charge of $16.75 for all residential customers and a usage charge of $3.40 per 1,000 gallons. The </w:t>
      </w:r>
      <w:r w:rsidR="00360051" w:rsidRPr="008B550B">
        <w:t>U</w:t>
      </w:r>
      <w:r w:rsidRPr="008B550B">
        <w:t>tility did not propose a cap on residential wastewater service. Based on Consolidated</w:t>
      </w:r>
      <w:r w:rsidR="00B330C8">
        <w:t xml:space="preserve"> Service</w:t>
      </w:r>
      <w:r w:rsidRPr="008B550B">
        <w:t>s</w:t>
      </w:r>
      <w:r w:rsidR="00B330C8" w:rsidRPr="008B550B">
        <w:t>’</w:t>
      </w:r>
      <w:r w:rsidRPr="008B550B">
        <w:t xml:space="preserve"> estimated total demand per customer, staff recommends a wastewater cap of 8,000 gallons. The proposed rates are designed to generate th</w:t>
      </w:r>
      <w:r>
        <w:t xml:space="preserve">e </w:t>
      </w:r>
      <w:r w:rsidR="00360051">
        <w:t>U</w:t>
      </w:r>
      <w:r>
        <w:t>tility’s proposed revenue requirement. Staff recommends that Consolidated</w:t>
      </w:r>
      <w:r w:rsidR="00B330C8">
        <w:t xml:space="preserve"> Service</w:t>
      </w:r>
      <w:r>
        <w:t>s</w:t>
      </w:r>
      <w:r w:rsidR="00B330C8">
        <w:t>’</w:t>
      </w:r>
      <w:r>
        <w:t xml:space="preserve"> proposed rates are reasonable and its rate structure is consistent with Commission rules.</w:t>
      </w:r>
    </w:p>
    <w:p w:rsidR="00AE7B4D" w:rsidRDefault="00AE7B4D" w:rsidP="008B550B">
      <w:pPr>
        <w:pStyle w:val="BodyText"/>
        <w:spacing w:after="0"/>
      </w:pPr>
    </w:p>
    <w:p w:rsidR="008B550B" w:rsidRDefault="008B550B" w:rsidP="008B550B">
      <w:pPr>
        <w:pStyle w:val="BodyText"/>
        <w:spacing w:after="0"/>
        <w:rPr>
          <w:rFonts w:ascii="Arial" w:hAnsi="Arial" w:cs="Arial"/>
          <w:b/>
        </w:rPr>
      </w:pPr>
      <w:r w:rsidRPr="008B550B">
        <w:rPr>
          <w:rFonts w:ascii="Arial" w:hAnsi="Arial" w:cs="Arial"/>
          <w:b/>
        </w:rPr>
        <w:t>Conclusion</w:t>
      </w:r>
    </w:p>
    <w:p w:rsidR="00231057" w:rsidRDefault="00231057" w:rsidP="008B550B">
      <w:pPr>
        <w:pStyle w:val="BodyText"/>
        <w:spacing w:after="0"/>
        <w:rPr>
          <w:rFonts w:ascii="Arial" w:hAnsi="Arial" w:cs="Arial"/>
          <w:b/>
        </w:rPr>
      </w:pPr>
      <w:r w:rsidRPr="00231057">
        <w:t xml:space="preserve">Staff recommends that Consolidated Services’ water and wastewater rates shown on Schedule Nos. 1 and 2, respectively, are reasonable and should be approved. </w:t>
      </w:r>
      <w:r>
        <w:t xml:space="preserve">The approved rates should be effective for services rendered on or after the stamped approval date on the tariff sheets, pursuant to Rule 25-30.475, F.A.C. </w:t>
      </w:r>
      <w:r>
        <w:rPr>
          <w:rFonts w:cs="Courier New"/>
          <w:lang w:val="en-CA"/>
        </w:rPr>
        <w:t>Consolidated Services</w:t>
      </w:r>
      <w:r>
        <w:t xml:space="preserve"> should be required to charge the approved rates until authorized to change them by the Commission in a subsequent proceeding. A return on equity of </w:t>
      </w:r>
      <w:r w:rsidR="00A46B48">
        <w:t>11.16 percent, with a range of plus or minus 100 basis points, should also</w:t>
      </w:r>
      <w:r>
        <w:t xml:space="preserve"> be approved.</w:t>
      </w:r>
    </w:p>
    <w:p w:rsidR="00231057" w:rsidRPr="008B550B" w:rsidRDefault="00231057" w:rsidP="008B550B">
      <w:pPr>
        <w:pStyle w:val="BodyText"/>
        <w:spacing w:after="0"/>
        <w:rPr>
          <w:b/>
        </w:rPr>
      </w:pPr>
    </w:p>
    <w:p w:rsidR="00A46E89" w:rsidRDefault="00A46E89">
      <w:pPr>
        <w:pStyle w:val="IssueHeading"/>
        <w:rPr>
          <w:vanish/>
          <w:specVanish/>
        </w:rPr>
      </w:pPr>
      <w:r w:rsidRPr="004C3641">
        <w:rPr>
          <w:b w:val="0"/>
          <w:i w:val="0"/>
        </w:rPr>
        <w:br w:type="page"/>
      </w:r>
      <w:r w:rsidRPr="004C3641">
        <w:lastRenderedPageBreak/>
        <w:t xml:space="preserve">Issue </w:t>
      </w:r>
      <w:r w:rsidR="00916AA7">
        <w:fldChar w:fldCharType="begin"/>
      </w:r>
      <w:r w:rsidR="00916AA7">
        <w:instrText xml:space="preserve"> SEQ Issue \* MERGEFORMAT </w:instrText>
      </w:r>
      <w:r w:rsidR="00916AA7">
        <w:fldChar w:fldCharType="separate"/>
      </w:r>
      <w:r w:rsidR="006106EC">
        <w:rPr>
          <w:noProof/>
        </w:rPr>
        <w:t>2</w:t>
      </w:r>
      <w:r w:rsidR="00916AA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106EC">
        <w:rPr>
          <w:noProof/>
        </w:rPr>
        <w:instrText>2</w:instrText>
      </w:r>
      <w:r>
        <w:fldChar w:fldCharType="end"/>
      </w:r>
      <w:r>
        <w:tab/>
        <w:instrText xml:space="preserve">" \l 1 </w:instrText>
      </w:r>
      <w:r>
        <w:fldChar w:fldCharType="end"/>
      </w:r>
      <w:r>
        <w:t> </w:t>
      </w:r>
    </w:p>
    <w:p w:rsidR="00A46E89" w:rsidRDefault="00A46E89">
      <w:pPr>
        <w:pStyle w:val="BodyText"/>
      </w:pPr>
      <w:r>
        <w:t> </w:t>
      </w:r>
      <w:r w:rsidR="00E33986">
        <w:t>What are the appropriate service availability charges?</w:t>
      </w:r>
    </w:p>
    <w:p w:rsidR="00A46E89" w:rsidRPr="004C3641" w:rsidRDefault="00A46E89">
      <w:pPr>
        <w:pStyle w:val="IssueSubsectionHeading"/>
        <w:rPr>
          <w:vanish/>
          <w:specVanish/>
        </w:rPr>
      </w:pPr>
      <w:r w:rsidRPr="004C3641">
        <w:t>Recommendation: </w:t>
      </w:r>
    </w:p>
    <w:p w:rsidR="00A46E89" w:rsidRDefault="00A46E89">
      <w:pPr>
        <w:pStyle w:val="BodyText"/>
      </w:pPr>
      <w:r>
        <w:t> </w:t>
      </w:r>
      <w:r w:rsidR="00231057">
        <w:t>Consolidated Service</w:t>
      </w:r>
      <w:r w:rsidR="000C6FEE">
        <w:t>s</w:t>
      </w:r>
      <w:r w:rsidR="00231057">
        <w:t>’</w:t>
      </w:r>
      <w:r w:rsidR="000C6FEE">
        <w:t xml:space="preserve"> proposed service availability charges, as shown on Schedule Nos. 1 and 2, </w:t>
      </w:r>
      <w:r w:rsidR="00C93112">
        <w:t xml:space="preserve">are reasonable and </w:t>
      </w:r>
      <w:r w:rsidR="000C6FEE">
        <w:t xml:space="preserve">should be approved. The approved charges should be effective for connections made on or after the stamped approval date on the tariff sheets pursuant to Rule 25-30.475, F.A.C. Consolidated </w:t>
      </w:r>
      <w:r w:rsidR="00B330C8">
        <w:t xml:space="preserve">Services </w:t>
      </w:r>
      <w:r w:rsidR="000C6FEE">
        <w:t>should be required to collect its approved service availability charges until authorized to change them by the Commission in a subsequent proceeding. (Johnson)</w:t>
      </w:r>
      <w:r>
        <w:t xml:space="preserve"> </w:t>
      </w:r>
    </w:p>
    <w:p w:rsidR="00A46E89" w:rsidRPr="004C3641" w:rsidRDefault="00A46E89">
      <w:pPr>
        <w:pStyle w:val="IssueSubsectionHeading"/>
        <w:rPr>
          <w:vanish/>
          <w:specVanish/>
        </w:rPr>
      </w:pPr>
      <w:r w:rsidRPr="004C3641">
        <w:t>Staff Analysis: </w:t>
      </w:r>
    </w:p>
    <w:p w:rsidR="00E16FB1" w:rsidRDefault="00A46E89" w:rsidP="00E16FB1">
      <w:pPr>
        <w:pStyle w:val="BodyText"/>
      </w:pPr>
      <w:r>
        <w:t> </w:t>
      </w:r>
      <w:r w:rsidR="00E16FB1">
        <w:t>Pursuant to Rule 25-30.580(1), F.A.C., the maximum amount of CIAC, net of amortization, should not exceed 75 percent of the total original cost, net of depreciation, of the Utility’s facilities and plant when the facilities and plant are at their designed capacity. Rule 25-30.580(2), F.A.C., provides that the minimum amount of CIAC should not be less than the percentage of such facilities and plant that is represented by water transmission and distribution and sewage collection systems.</w:t>
      </w:r>
    </w:p>
    <w:p w:rsidR="00E16FB1" w:rsidRDefault="00E16FB1" w:rsidP="00E16FB1">
      <w:pPr>
        <w:pStyle w:val="BodyText"/>
        <w:rPr>
          <w:bCs/>
          <w:iCs/>
        </w:rPr>
      </w:pPr>
      <w:r>
        <w:t>Consolidated</w:t>
      </w:r>
      <w:r w:rsidR="00B330C8">
        <w:t xml:space="preserve"> Service</w:t>
      </w:r>
      <w:r>
        <w:t>s</w:t>
      </w:r>
      <w:r w:rsidR="00B330C8">
        <w:t>’</w:t>
      </w:r>
      <w:r>
        <w:t xml:space="preserve"> </w:t>
      </w:r>
      <w:r>
        <w:rPr>
          <w:bCs/>
          <w:iCs/>
        </w:rPr>
        <w:t xml:space="preserve">proposed water and wastewater service availability charges, shown on Schedule Nos. 1 and 2, include meter installation charges, as well as main extension </w:t>
      </w:r>
      <w:r w:rsidR="00A266C6">
        <w:rPr>
          <w:bCs/>
          <w:iCs/>
        </w:rPr>
        <w:t xml:space="preserve">charges for water and wastewater, </w:t>
      </w:r>
      <w:r>
        <w:rPr>
          <w:bCs/>
          <w:iCs/>
        </w:rPr>
        <w:t xml:space="preserve">and </w:t>
      </w:r>
      <w:r w:rsidR="00A266C6">
        <w:rPr>
          <w:bCs/>
          <w:iCs/>
        </w:rPr>
        <w:t xml:space="preserve">a </w:t>
      </w:r>
      <w:r>
        <w:rPr>
          <w:bCs/>
          <w:iCs/>
        </w:rPr>
        <w:t>plant capacity charge</w:t>
      </w:r>
      <w:r w:rsidR="00A266C6">
        <w:rPr>
          <w:bCs/>
          <w:iCs/>
        </w:rPr>
        <w:t xml:space="preserve"> for water</w:t>
      </w:r>
      <w:r>
        <w:rPr>
          <w:bCs/>
          <w:iCs/>
        </w:rPr>
        <w:t>. The proposed meter installation charge is based on the estimated cost to install a new water meter. The proposed main extension charges are based on the projected cost of the distribution and collection lines. Consolidated</w:t>
      </w:r>
      <w:r w:rsidR="00B330C8">
        <w:rPr>
          <w:bCs/>
          <w:iCs/>
        </w:rPr>
        <w:t xml:space="preserve"> Service</w:t>
      </w:r>
      <w:r>
        <w:rPr>
          <w:bCs/>
          <w:iCs/>
        </w:rPr>
        <w:t>s</w:t>
      </w:r>
      <w:r w:rsidR="00B330C8">
        <w:rPr>
          <w:bCs/>
          <w:iCs/>
        </w:rPr>
        <w:t>’</w:t>
      </w:r>
      <w:r>
        <w:rPr>
          <w:bCs/>
          <w:iCs/>
        </w:rPr>
        <w:t xml:space="preserve"> proposed service availability charges, at </w:t>
      </w:r>
      <w:r w:rsidR="00A266C6">
        <w:rPr>
          <w:bCs/>
          <w:iCs/>
        </w:rPr>
        <w:t>design</w:t>
      </w:r>
      <w:r>
        <w:rPr>
          <w:bCs/>
          <w:iCs/>
        </w:rPr>
        <w:t xml:space="preserve"> capacity, </w:t>
      </w:r>
      <w:r w:rsidR="00A266C6">
        <w:rPr>
          <w:bCs/>
          <w:iCs/>
        </w:rPr>
        <w:t xml:space="preserve">are projected to </w:t>
      </w:r>
      <w:r>
        <w:rPr>
          <w:bCs/>
          <w:iCs/>
        </w:rPr>
        <w:t xml:space="preserve">result in net contribution levels of 76.19 percent for water and 80.55 percent for wastewater. Although the proposed wastewater main extension charge will result in </w:t>
      </w:r>
      <w:r w:rsidR="00A266C6">
        <w:rPr>
          <w:bCs/>
          <w:iCs/>
        </w:rPr>
        <w:t>net</w:t>
      </w:r>
      <w:r>
        <w:rPr>
          <w:bCs/>
          <w:iCs/>
        </w:rPr>
        <w:t xml:space="preserve"> CIAC that exceeds 75 percent</w:t>
      </w:r>
      <w:r w:rsidR="00A266C6">
        <w:rPr>
          <w:bCs/>
          <w:iCs/>
        </w:rPr>
        <w:t xml:space="preserve"> of net plant</w:t>
      </w:r>
      <w:r>
        <w:rPr>
          <w:bCs/>
          <w:iCs/>
        </w:rPr>
        <w:t xml:space="preserve">, the charge </w:t>
      </w:r>
      <w:r w:rsidR="00A266C6">
        <w:rPr>
          <w:bCs/>
          <w:iCs/>
        </w:rPr>
        <w:t>is based on the projected cost of</w:t>
      </w:r>
      <w:r>
        <w:rPr>
          <w:bCs/>
          <w:iCs/>
        </w:rPr>
        <w:t xml:space="preserve"> the collection lines in the wastewater system. Therefore, staff believes Consolidated</w:t>
      </w:r>
      <w:r w:rsidR="00B330C8">
        <w:rPr>
          <w:bCs/>
          <w:iCs/>
        </w:rPr>
        <w:t xml:space="preserve"> Service</w:t>
      </w:r>
      <w:r>
        <w:rPr>
          <w:bCs/>
          <w:iCs/>
        </w:rPr>
        <w:t>s</w:t>
      </w:r>
      <w:r w:rsidR="00B330C8">
        <w:rPr>
          <w:bCs/>
          <w:iCs/>
        </w:rPr>
        <w:t>’</w:t>
      </w:r>
      <w:r>
        <w:rPr>
          <w:bCs/>
          <w:iCs/>
        </w:rPr>
        <w:t xml:space="preserve"> proposed charges are consistent with the guidelines in Commission rules.</w:t>
      </w:r>
    </w:p>
    <w:p w:rsidR="00A46E89" w:rsidRDefault="00E16FB1" w:rsidP="00E16FB1">
      <w:pPr>
        <w:pStyle w:val="BodyText"/>
      </w:pPr>
      <w:r>
        <w:t>Based on the above, staff recommends Consolidated</w:t>
      </w:r>
      <w:r w:rsidR="00B330C8">
        <w:t xml:space="preserve"> Service</w:t>
      </w:r>
      <w:r>
        <w:t>s</w:t>
      </w:r>
      <w:r w:rsidR="00B330C8">
        <w:t>’</w:t>
      </w:r>
      <w:r>
        <w:t xml:space="preserve"> proposed service availability charges, as shown on Schedule Nos. 1 and 2,</w:t>
      </w:r>
      <w:r w:rsidR="00C93112" w:rsidRPr="00C93112">
        <w:t xml:space="preserve"> </w:t>
      </w:r>
      <w:r w:rsidR="00C93112">
        <w:t>are reasonable and</w:t>
      </w:r>
      <w:r>
        <w:t xml:space="preserve"> should be approved. The approved charges should be effective for connections made on or after the stamped approval date on the tariff sheets pursuant to Rule 25-30.475, F.A.C. Consolidated</w:t>
      </w:r>
      <w:r w:rsidR="00B330C8">
        <w:t xml:space="preserve"> Services</w:t>
      </w:r>
      <w:r>
        <w:t xml:space="preserve"> should be required to collect its approved service availability charges until authorized to change them by the Commission in a subsequent proceeding.</w:t>
      </w:r>
    </w:p>
    <w:p w:rsidR="00A46E89" w:rsidRDefault="00A46E89">
      <w:pPr>
        <w:pStyle w:val="IssueHeading"/>
        <w:rPr>
          <w:vanish/>
          <w:specVanish/>
        </w:rPr>
      </w:pPr>
      <w:r w:rsidRPr="004C3641">
        <w:rPr>
          <w:b w:val="0"/>
          <w:i w:val="0"/>
        </w:rPr>
        <w:br w:type="page"/>
      </w:r>
      <w:r w:rsidRPr="004C3641">
        <w:lastRenderedPageBreak/>
        <w:t xml:space="preserve">Issue </w:t>
      </w:r>
      <w:r w:rsidR="00916AA7">
        <w:fldChar w:fldCharType="begin"/>
      </w:r>
      <w:r w:rsidR="00916AA7">
        <w:instrText xml:space="preserve"> SEQ Issue \* MERGEFORMAT </w:instrText>
      </w:r>
      <w:r w:rsidR="00916AA7">
        <w:fldChar w:fldCharType="separate"/>
      </w:r>
      <w:r w:rsidR="006106EC">
        <w:rPr>
          <w:noProof/>
        </w:rPr>
        <w:t>3</w:t>
      </w:r>
      <w:r w:rsidR="00916AA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106EC">
        <w:rPr>
          <w:noProof/>
        </w:rPr>
        <w:instrText>3</w:instrText>
      </w:r>
      <w:r>
        <w:fldChar w:fldCharType="end"/>
      </w:r>
      <w:r>
        <w:tab/>
        <w:instrText xml:space="preserve">" \l 1 </w:instrText>
      </w:r>
      <w:r>
        <w:fldChar w:fldCharType="end"/>
      </w:r>
      <w:r>
        <w:t> </w:t>
      </w:r>
    </w:p>
    <w:p w:rsidR="00A46E89" w:rsidRDefault="00A46E89">
      <w:pPr>
        <w:pStyle w:val="BodyText"/>
      </w:pPr>
      <w:r>
        <w:t> </w:t>
      </w:r>
      <w:r w:rsidR="00365322">
        <w:t>Should Consolidated</w:t>
      </w:r>
      <w:r w:rsidR="00B330C8">
        <w:t xml:space="preserve"> Service</w:t>
      </w:r>
      <w:r w:rsidR="00365322">
        <w:t>s</w:t>
      </w:r>
      <w:r w:rsidR="00860ECF">
        <w:t>’</w:t>
      </w:r>
      <w:r w:rsidR="00365322">
        <w:t xml:space="preserve"> proposed miscellaneous service charges be approved</w:t>
      </w:r>
      <w:r w:rsidR="002B11B9">
        <w:t>?</w:t>
      </w:r>
    </w:p>
    <w:p w:rsidR="00A46E89" w:rsidRPr="004C3641" w:rsidRDefault="00A46E89">
      <w:pPr>
        <w:pStyle w:val="IssueSubsectionHeading"/>
        <w:rPr>
          <w:vanish/>
          <w:specVanish/>
        </w:rPr>
      </w:pPr>
      <w:r w:rsidRPr="004C3641">
        <w:t>Recommendation: </w:t>
      </w:r>
    </w:p>
    <w:p w:rsidR="00A46E89" w:rsidRDefault="00A46E89">
      <w:pPr>
        <w:pStyle w:val="BodyText"/>
      </w:pPr>
      <w:r>
        <w:t> </w:t>
      </w:r>
      <w:r w:rsidR="000F58C8">
        <w:t>Consolidated</w:t>
      </w:r>
      <w:r w:rsidR="00B330C8">
        <w:t xml:space="preserve"> Service</w:t>
      </w:r>
      <w:r w:rsidR="000F58C8">
        <w:t>s</w:t>
      </w:r>
      <w:r w:rsidR="00B330C8">
        <w:t>’</w:t>
      </w:r>
      <w:r w:rsidR="000F58C8">
        <w:t xml:space="preserve"> proposed miscellaneous service charges should be approved and effective for services rendered on or after the stamped approval date on the tariff sheets pursuant to Rule 25-30.475, F.A.C. Consolidated</w:t>
      </w:r>
      <w:r w:rsidR="00B330C8">
        <w:t xml:space="preserve"> Services</w:t>
      </w:r>
      <w:r w:rsidR="000F58C8">
        <w:t xml:space="preserve"> should be required to charge its approved miscellaneous service charges until authorized to change them by the Commission in a subsequent proceeding.</w:t>
      </w:r>
      <w:r>
        <w:t xml:space="preserve"> </w:t>
      </w:r>
      <w:r w:rsidR="00C767CC">
        <w:t>(Johnson)</w:t>
      </w:r>
    </w:p>
    <w:p w:rsidR="00A46E89" w:rsidRPr="004C3641" w:rsidRDefault="00A46E89">
      <w:pPr>
        <w:pStyle w:val="IssueSubsectionHeading"/>
        <w:rPr>
          <w:vanish/>
          <w:specVanish/>
        </w:rPr>
      </w:pPr>
      <w:r w:rsidRPr="004C3641">
        <w:t>Staff Analysis: </w:t>
      </w:r>
    </w:p>
    <w:p w:rsidR="00A46E89" w:rsidRDefault="00A46E89" w:rsidP="00A52800">
      <w:pPr>
        <w:pStyle w:val="BodyText"/>
        <w:spacing w:after="0"/>
        <w:rPr>
          <w:rFonts w:eastAsia="Calibri"/>
        </w:rPr>
      </w:pPr>
      <w:r>
        <w:t> </w:t>
      </w:r>
      <w:r w:rsidR="00B139C7">
        <w:rPr>
          <w:rFonts w:eastAsia="Calibri"/>
        </w:rPr>
        <w:t xml:space="preserve">Section 367.091(6), F.S., authorizes the Commission to establish, increase, or change a rate or charge other than monthly rates or service availability charges. Rule 25-30.460, F.A.C., defines the various miscellaneous service charges. The purpose of these miscellaneous service charges is to place the cost burden of requesting or causing these services on the cost causer instead of the general body of rate payers. The </w:t>
      </w:r>
      <w:r w:rsidR="00361DCB">
        <w:rPr>
          <w:rFonts w:eastAsia="Calibri"/>
        </w:rPr>
        <w:t>U</w:t>
      </w:r>
      <w:r w:rsidR="00B139C7">
        <w:rPr>
          <w:rFonts w:eastAsia="Calibri"/>
        </w:rPr>
        <w:t>tility’s request for miscellaneous charges was accompanied by its reason for requesting the charge, as well as the cost justification required by Section 367.091(6), F.S. Consolidated</w:t>
      </w:r>
      <w:r w:rsidR="00B330C8">
        <w:rPr>
          <w:rFonts w:eastAsia="Calibri"/>
        </w:rPr>
        <w:t xml:space="preserve"> Service</w:t>
      </w:r>
      <w:r w:rsidR="00B139C7">
        <w:rPr>
          <w:rFonts w:eastAsia="Calibri"/>
        </w:rPr>
        <w:t>s</w:t>
      </w:r>
      <w:r w:rsidR="00B330C8">
        <w:rPr>
          <w:rFonts w:eastAsia="Calibri"/>
        </w:rPr>
        <w:t>’</w:t>
      </w:r>
      <w:r w:rsidR="00B139C7">
        <w:rPr>
          <w:rFonts w:eastAsia="Calibri"/>
        </w:rPr>
        <w:t xml:space="preserve"> proposed miscellaneous service charges are shown in Table 3-1 below.</w:t>
      </w:r>
    </w:p>
    <w:p w:rsidR="001C2505" w:rsidRDefault="001C2505" w:rsidP="00A52800">
      <w:pPr>
        <w:pStyle w:val="BodyText"/>
        <w:spacing w:after="0"/>
        <w:rPr>
          <w:rFonts w:eastAsia="Calibri"/>
        </w:rPr>
      </w:pPr>
    </w:p>
    <w:p w:rsidR="00A52800" w:rsidRDefault="00A52800" w:rsidP="00A52800">
      <w:pPr>
        <w:tabs>
          <w:tab w:val="left" w:pos="2550"/>
        </w:tabs>
        <w:jc w:val="center"/>
        <w:rPr>
          <w:rFonts w:ascii="Arial" w:hAnsi="Arial" w:cs="Arial"/>
          <w:b/>
        </w:rPr>
      </w:pPr>
      <w:r>
        <w:rPr>
          <w:rFonts w:ascii="Arial" w:hAnsi="Arial" w:cs="Arial"/>
          <w:b/>
        </w:rPr>
        <w:t>Table 3-1</w:t>
      </w:r>
    </w:p>
    <w:p w:rsidR="00A52800" w:rsidRDefault="00A52800" w:rsidP="00A52800">
      <w:pPr>
        <w:jc w:val="center"/>
        <w:rPr>
          <w:rFonts w:ascii="Arial" w:hAnsi="Arial" w:cs="Arial"/>
          <w:b/>
        </w:rPr>
      </w:pPr>
      <w:r>
        <w:rPr>
          <w:rFonts w:ascii="Arial" w:hAnsi="Arial" w:cs="Arial"/>
          <w:b/>
        </w:rPr>
        <w:t>Utility’s Requested Miscellaneous Service Charges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3"/>
        <w:gridCol w:w="1286"/>
        <w:gridCol w:w="1271"/>
        <w:gridCol w:w="8"/>
        <w:gridCol w:w="1212"/>
        <w:gridCol w:w="856"/>
      </w:tblGrid>
      <w:tr w:rsidR="00A52800" w:rsidTr="00DF7EE8">
        <w:trPr>
          <w:trHeight w:val="315"/>
          <w:jc w:val="center"/>
        </w:trPr>
        <w:tc>
          <w:tcPr>
            <w:tcW w:w="2623" w:type="pct"/>
            <w:tcBorders>
              <w:top w:val="single" w:sz="4" w:space="0" w:color="auto"/>
              <w:left w:val="single" w:sz="4" w:space="0" w:color="auto"/>
              <w:bottom w:val="single" w:sz="4" w:space="0" w:color="auto"/>
              <w:right w:val="single" w:sz="4" w:space="0" w:color="auto"/>
            </w:tcBorders>
            <w:noWrap/>
            <w:vAlign w:val="bottom"/>
          </w:tcPr>
          <w:p w:rsidR="00A52800" w:rsidRDefault="00A52800" w:rsidP="00A52800">
            <w:pPr>
              <w:jc w:val="center"/>
              <w:rPr>
                <w:color w:val="000000"/>
              </w:rPr>
            </w:pPr>
          </w:p>
        </w:tc>
        <w:tc>
          <w:tcPr>
            <w:tcW w:w="1420" w:type="pct"/>
            <w:gridSpan w:val="2"/>
            <w:tcBorders>
              <w:top w:val="single" w:sz="4" w:space="0" w:color="auto"/>
              <w:left w:val="single" w:sz="4" w:space="0" w:color="auto"/>
              <w:bottom w:val="single" w:sz="4" w:space="0" w:color="auto"/>
              <w:right w:val="single" w:sz="4" w:space="0" w:color="auto"/>
            </w:tcBorders>
            <w:vAlign w:val="bottom"/>
            <w:hideMark/>
          </w:tcPr>
          <w:p w:rsidR="00A52800" w:rsidRDefault="00A52800" w:rsidP="00A52800">
            <w:pPr>
              <w:jc w:val="center"/>
              <w:rPr>
                <w:b/>
                <w:color w:val="000000"/>
              </w:rPr>
            </w:pPr>
            <w:r>
              <w:rPr>
                <w:b/>
                <w:color w:val="000000"/>
              </w:rPr>
              <w:t>Water</w:t>
            </w:r>
          </w:p>
        </w:tc>
        <w:tc>
          <w:tcPr>
            <w:tcW w:w="957" w:type="pct"/>
            <w:gridSpan w:val="3"/>
            <w:tcBorders>
              <w:top w:val="single" w:sz="4" w:space="0" w:color="auto"/>
              <w:left w:val="single" w:sz="4" w:space="0" w:color="auto"/>
              <w:bottom w:val="single" w:sz="4" w:space="0" w:color="auto"/>
              <w:right w:val="single" w:sz="4" w:space="0" w:color="auto"/>
            </w:tcBorders>
            <w:vAlign w:val="bottom"/>
            <w:hideMark/>
          </w:tcPr>
          <w:p w:rsidR="00A52800" w:rsidRDefault="00A52800" w:rsidP="00A52800">
            <w:pPr>
              <w:jc w:val="center"/>
              <w:rPr>
                <w:b/>
                <w:color w:val="000000"/>
              </w:rPr>
            </w:pPr>
            <w:r>
              <w:rPr>
                <w:b/>
                <w:color w:val="000000"/>
              </w:rPr>
              <w:t>Wastewater</w:t>
            </w:r>
          </w:p>
        </w:tc>
      </w:tr>
      <w:tr w:rsidR="00A52800" w:rsidTr="00B27BB8">
        <w:trPr>
          <w:trHeight w:val="315"/>
          <w:jc w:val="center"/>
        </w:trPr>
        <w:tc>
          <w:tcPr>
            <w:tcW w:w="2623" w:type="pct"/>
            <w:tcBorders>
              <w:top w:val="single" w:sz="4" w:space="0" w:color="auto"/>
              <w:left w:val="single" w:sz="4" w:space="0" w:color="auto"/>
              <w:bottom w:val="single" w:sz="4" w:space="0" w:color="auto"/>
              <w:right w:val="single" w:sz="4" w:space="0" w:color="auto"/>
            </w:tcBorders>
            <w:noWrap/>
            <w:vAlign w:val="bottom"/>
            <w:hideMark/>
          </w:tcPr>
          <w:p w:rsidR="00A52800" w:rsidRDefault="00A52800" w:rsidP="00A52800">
            <w:pPr>
              <w:jc w:val="center"/>
              <w:rPr>
                <w:color w:val="000000"/>
              </w:rPr>
            </w:pPr>
            <w:r>
              <w:rPr>
                <w:color w:val="000000"/>
              </w:rPr>
              <w:t>Miscellaneous Service Charges</w:t>
            </w:r>
          </w:p>
        </w:tc>
        <w:tc>
          <w:tcPr>
            <w:tcW w:w="714" w:type="pct"/>
            <w:tcBorders>
              <w:top w:val="single" w:sz="4" w:space="0" w:color="auto"/>
              <w:left w:val="single" w:sz="4" w:space="0" w:color="auto"/>
              <w:bottom w:val="single" w:sz="4" w:space="0" w:color="auto"/>
              <w:right w:val="single" w:sz="4" w:space="0" w:color="auto"/>
            </w:tcBorders>
            <w:vAlign w:val="bottom"/>
            <w:hideMark/>
          </w:tcPr>
          <w:p w:rsidR="00A52800" w:rsidRDefault="00A52800" w:rsidP="00A52800">
            <w:pPr>
              <w:jc w:val="center"/>
              <w:rPr>
                <w:color w:val="000000"/>
              </w:rPr>
            </w:pPr>
            <w:r>
              <w:rPr>
                <w:color w:val="000000"/>
              </w:rPr>
              <w:t>During Hours</w:t>
            </w:r>
          </w:p>
        </w:tc>
        <w:tc>
          <w:tcPr>
            <w:tcW w:w="714" w:type="pct"/>
            <w:gridSpan w:val="2"/>
            <w:tcBorders>
              <w:top w:val="single" w:sz="4" w:space="0" w:color="auto"/>
              <w:left w:val="single" w:sz="4" w:space="0" w:color="auto"/>
              <w:bottom w:val="single" w:sz="4" w:space="0" w:color="auto"/>
              <w:right w:val="single" w:sz="4" w:space="0" w:color="auto"/>
            </w:tcBorders>
            <w:vAlign w:val="bottom"/>
            <w:hideMark/>
          </w:tcPr>
          <w:p w:rsidR="00A52800" w:rsidRDefault="00A52800" w:rsidP="00A52800">
            <w:pPr>
              <w:jc w:val="center"/>
              <w:rPr>
                <w:color w:val="000000"/>
              </w:rPr>
            </w:pPr>
            <w:r>
              <w:rPr>
                <w:color w:val="000000"/>
              </w:rPr>
              <w:t xml:space="preserve">After </w:t>
            </w:r>
          </w:p>
          <w:p w:rsidR="00A52800" w:rsidRDefault="00A52800" w:rsidP="00A52800">
            <w:pPr>
              <w:jc w:val="center"/>
              <w:rPr>
                <w:color w:val="000000"/>
              </w:rPr>
            </w:pPr>
            <w:r>
              <w:rPr>
                <w:color w:val="000000"/>
              </w:rPr>
              <w:t>Hours</w:t>
            </w:r>
          </w:p>
        </w:tc>
        <w:tc>
          <w:tcPr>
            <w:tcW w:w="713" w:type="pct"/>
            <w:tcBorders>
              <w:top w:val="single" w:sz="4" w:space="0" w:color="auto"/>
              <w:left w:val="single" w:sz="4" w:space="0" w:color="auto"/>
              <w:bottom w:val="single" w:sz="4" w:space="0" w:color="auto"/>
              <w:right w:val="single" w:sz="4" w:space="0" w:color="auto"/>
            </w:tcBorders>
            <w:hideMark/>
          </w:tcPr>
          <w:p w:rsidR="00A52800" w:rsidRDefault="00A52800" w:rsidP="00A52800">
            <w:pPr>
              <w:jc w:val="center"/>
            </w:pPr>
            <w:r>
              <w:t>During Hours</w:t>
            </w:r>
          </w:p>
        </w:tc>
        <w:tc>
          <w:tcPr>
            <w:tcW w:w="236" w:type="pct"/>
            <w:tcBorders>
              <w:top w:val="single" w:sz="4" w:space="0" w:color="auto"/>
              <w:left w:val="single" w:sz="4" w:space="0" w:color="auto"/>
              <w:bottom w:val="single" w:sz="4" w:space="0" w:color="auto"/>
              <w:right w:val="single" w:sz="4" w:space="0" w:color="auto"/>
            </w:tcBorders>
            <w:hideMark/>
          </w:tcPr>
          <w:p w:rsidR="00A52800" w:rsidRDefault="00A52800" w:rsidP="00A52800">
            <w:pPr>
              <w:jc w:val="center"/>
            </w:pPr>
            <w:r>
              <w:t xml:space="preserve">After </w:t>
            </w:r>
          </w:p>
          <w:p w:rsidR="00A52800" w:rsidRDefault="00A52800" w:rsidP="00B27BB8">
            <w:pPr>
              <w:jc w:val="center"/>
            </w:pPr>
            <w:r>
              <w:t>Hour</w:t>
            </w:r>
            <w:r w:rsidR="00687288">
              <w:t>s</w:t>
            </w:r>
          </w:p>
        </w:tc>
      </w:tr>
      <w:tr w:rsidR="00A52800" w:rsidTr="00B27BB8">
        <w:trPr>
          <w:trHeight w:val="315"/>
          <w:jc w:val="center"/>
        </w:trPr>
        <w:tc>
          <w:tcPr>
            <w:tcW w:w="2623" w:type="pct"/>
            <w:tcBorders>
              <w:top w:val="single" w:sz="4" w:space="0" w:color="auto"/>
              <w:left w:val="single" w:sz="4" w:space="0" w:color="auto"/>
              <w:bottom w:val="single" w:sz="4" w:space="0" w:color="auto"/>
              <w:right w:val="single" w:sz="4" w:space="0" w:color="auto"/>
            </w:tcBorders>
            <w:noWrap/>
            <w:vAlign w:val="bottom"/>
            <w:hideMark/>
          </w:tcPr>
          <w:p w:rsidR="00A52800" w:rsidRDefault="00A52800">
            <w:pPr>
              <w:rPr>
                <w:color w:val="000000"/>
              </w:rPr>
            </w:pPr>
            <w:r>
              <w:rPr>
                <w:color w:val="000000"/>
              </w:rPr>
              <w:t>Initial Connection Charge</w:t>
            </w:r>
          </w:p>
        </w:tc>
        <w:tc>
          <w:tcPr>
            <w:tcW w:w="714" w:type="pct"/>
            <w:tcBorders>
              <w:top w:val="single" w:sz="4" w:space="0" w:color="auto"/>
              <w:left w:val="single" w:sz="4" w:space="0" w:color="auto"/>
              <w:bottom w:val="single" w:sz="4" w:space="0" w:color="auto"/>
              <w:right w:val="single" w:sz="4" w:space="0" w:color="auto"/>
            </w:tcBorders>
            <w:noWrap/>
            <w:vAlign w:val="bottom"/>
            <w:hideMark/>
          </w:tcPr>
          <w:p w:rsidR="00A52800" w:rsidRDefault="00A52800">
            <w:pPr>
              <w:jc w:val="right"/>
              <w:rPr>
                <w:color w:val="000000"/>
              </w:rPr>
            </w:pPr>
            <w:r>
              <w:rPr>
                <w:color w:val="000000"/>
              </w:rPr>
              <w:t xml:space="preserve">$20 </w:t>
            </w:r>
          </w:p>
        </w:tc>
        <w:tc>
          <w:tcPr>
            <w:tcW w:w="714" w:type="pct"/>
            <w:gridSpan w:val="2"/>
            <w:tcBorders>
              <w:top w:val="single" w:sz="4" w:space="0" w:color="auto"/>
              <w:left w:val="single" w:sz="4" w:space="0" w:color="auto"/>
              <w:bottom w:val="single" w:sz="4" w:space="0" w:color="auto"/>
              <w:right w:val="single" w:sz="4" w:space="0" w:color="auto"/>
            </w:tcBorders>
            <w:noWrap/>
            <w:vAlign w:val="bottom"/>
            <w:hideMark/>
          </w:tcPr>
          <w:p w:rsidR="00A52800" w:rsidRDefault="00A52800">
            <w:pPr>
              <w:jc w:val="right"/>
              <w:rPr>
                <w:color w:val="000000"/>
              </w:rPr>
            </w:pPr>
            <w:r>
              <w:rPr>
                <w:color w:val="000000"/>
              </w:rPr>
              <w:t xml:space="preserve">N/A </w:t>
            </w:r>
          </w:p>
        </w:tc>
        <w:tc>
          <w:tcPr>
            <w:tcW w:w="713" w:type="pct"/>
            <w:tcBorders>
              <w:top w:val="single" w:sz="4" w:space="0" w:color="auto"/>
              <w:left w:val="single" w:sz="4" w:space="0" w:color="auto"/>
              <w:bottom w:val="single" w:sz="4" w:space="0" w:color="auto"/>
              <w:right w:val="single" w:sz="4" w:space="0" w:color="auto"/>
            </w:tcBorders>
            <w:hideMark/>
          </w:tcPr>
          <w:p w:rsidR="00A52800" w:rsidRDefault="00A52800">
            <w:pPr>
              <w:jc w:val="right"/>
            </w:pPr>
            <w:r>
              <w:t xml:space="preserve">$20 </w:t>
            </w:r>
          </w:p>
        </w:tc>
        <w:tc>
          <w:tcPr>
            <w:tcW w:w="236" w:type="pct"/>
            <w:tcBorders>
              <w:top w:val="single" w:sz="4" w:space="0" w:color="auto"/>
              <w:left w:val="single" w:sz="4" w:space="0" w:color="auto"/>
              <w:bottom w:val="single" w:sz="4" w:space="0" w:color="auto"/>
              <w:right w:val="single" w:sz="4" w:space="0" w:color="auto"/>
            </w:tcBorders>
            <w:hideMark/>
          </w:tcPr>
          <w:p w:rsidR="00A52800" w:rsidRDefault="00A52800">
            <w:pPr>
              <w:jc w:val="right"/>
            </w:pPr>
            <w:r>
              <w:t xml:space="preserve">N/A </w:t>
            </w:r>
          </w:p>
        </w:tc>
      </w:tr>
      <w:tr w:rsidR="00A52800" w:rsidTr="00B27BB8">
        <w:trPr>
          <w:trHeight w:val="315"/>
          <w:jc w:val="center"/>
        </w:trPr>
        <w:tc>
          <w:tcPr>
            <w:tcW w:w="2623" w:type="pct"/>
            <w:tcBorders>
              <w:top w:val="single" w:sz="4" w:space="0" w:color="auto"/>
              <w:left w:val="single" w:sz="4" w:space="0" w:color="auto"/>
              <w:bottom w:val="single" w:sz="4" w:space="0" w:color="auto"/>
              <w:right w:val="single" w:sz="4" w:space="0" w:color="auto"/>
            </w:tcBorders>
            <w:noWrap/>
            <w:vAlign w:val="bottom"/>
            <w:hideMark/>
          </w:tcPr>
          <w:p w:rsidR="00A52800" w:rsidRDefault="00A52800">
            <w:pPr>
              <w:rPr>
                <w:color w:val="000000"/>
              </w:rPr>
            </w:pPr>
            <w:r>
              <w:rPr>
                <w:color w:val="000000"/>
              </w:rPr>
              <w:t>Normal Reconnection Charge</w:t>
            </w:r>
          </w:p>
        </w:tc>
        <w:tc>
          <w:tcPr>
            <w:tcW w:w="714" w:type="pct"/>
            <w:tcBorders>
              <w:top w:val="single" w:sz="4" w:space="0" w:color="auto"/>
              <w:left w:val="single" w:sz="4" w:space="0" w:color="auto"/>
              <w:bottom w:val="single" w:sz="4" w:space="0" w:color="auto"/>
              <w:right w:val="single" w:sz="4" w:space="0" w:color="auto"/>
            </w:tcBorders>
            <w:noWrap/>
            <w:vAlign w:val="bottom"/>
            <w:hideMark/>
          </w:tcPr>
          <w:p w:rsidR="00A52800" w:rsidRDefault="00A52800">
            <w:pPr>
              <w:jc w:val="right"/>
              <w:rPr>
                <w:color w:val="000000"/>
              </w:rPr>
            </w:pPr>
            <w:r>
              <w:rPr>
                <w:color w:val="000000"/>
              </w:rPr>
              <w:t xml:space="preserve">$20 </w:t>
            </w:r>
          </w:p>
        </w:tc>
        <w:tc>
          <w:tcPr>
            <w:tcW w:w="714" w:type="pct"/>
            <w:gridSpan w:val="2"/>
            <w:tcBorders>
              <w:top w:val="single" w:sz="4" w:space="0" w:color="auto"/>
              <w:left w:val="single" w:sz="4" w:space="0" w:color="auto"/>
              <w:bottom w:val="single" w:sz="4" w:space="0" w:color="auto"/>
              <w:right w:val="single" w:sz="4" w:space="0" w:color="auto"/>
            </w:tcBorders>
            <w:noWrap/>
            <w:vAlign w:val="bottom"/>
            <w:hideMark/>
          </w:tcPr>
          <w:p w:rsidR="00A52800" w:rsidRDefault="00A52800">
            <w:pPr>
              <w:jc w:val="right"/>
              <w:rPr>
                <w:color w:val="000000"/>
              </w:rPr>
            </w:pPr>
            <w:r>
              <w:rPr>
                <w:color w:val="000000"/>
              </w:rPr>
              <w:t>$40</w:t>
            </w:r>
          </w:p>
        </w:tc>
        <w:tc>
          <w:tcPr>
            <w:tcW w:w="713" w:type="pct"/>
            <w:tcBorders>
              <w:top w:val="single" w:sz="4" w:space="0" w:color="auto"/>
              <w:left w:val="single" w:sz="4" w:space="0" w:color="auto"/>
              <w:bottom w:val="single" w:sz="4" w:space="0" w:color="auto"/>
              <w:right w:val="single" w:sz="4" w:space="0" w:color="auto"/>
            </w:tcBorders>
            <w:hideMark/>
          </w:tcPr>
          <w:p w:rsidR="00A52800" w:rsidRDefault="00A52800">
            <w:pPr>
              <w:jc w:val="right"/>
            </w:pPr>
            <w:r>
              <w:t xml:space="preserve">$20 </w:t>
            </w:r>
          </w:p>
        </w:tc>
        <w:tc>
          <w:tcPr>
            <w:tcW w:w="236" w:type="pct"/>
            <w:tcBorders>
              <w:top w:val="single" w:sz="4" w:space="0" w:color="auto"/>
              <w:left w:val="single" w:sz="4" w:space="0" w:color="auto"/>
              <w:bottom w:val="single" w:sz="4" w:space="0" w:color="auto"/>
              <w:right w:val="single" w:sz="4" w:space="0" w:color="auto"/>
            </w:tcBorders>
            <w:hideMark/>
          </w:tcPr>
          <w:p w:rsidR="00A52800" w:rsidRDefault="00A52800">
            <w:pPr>
              <w:jc w:val="right"/>
            </w:pPr>
            <w:r>
              <w:t>$40</w:t>
            </w:r>
          </w:p>
        </w:tc>
      </w:tr>
      <w:tr w:rsidR="00A52800" w:rsidTr="00B27BB8">
        <w:trPr>
          <w:trHeight w:val="315"/>
          <w:jc w:val="center"/>
        </w:trPr>
        <w:tc>
          <w:tcPr>
            <w:tcW w:w="2623" w:type="pct"/>
            <w:tcBorders>
              <w:top w:val="single" w:sz="4" w:space="0" w:color="auto"/>
              <w:left w:val="single" w:sz="4" w:space="0" w:color="auto"/>
              <w:bottom w:val="single" w:sz="4" w:space="0" w:color="auto"/>
              <w:right w:val="single" w:sz="4" w:space="0" w:color="auto"/>
            </w:tcBorders>
            <w:noWrap/>
            <w:vAlign w:val="bottom"/>
            <w:hideMark/>
          </w:tcPr>
          <w:p w:rsidR="00A52800" w:rsidRDefault="00A52800">
            <w:pPr>
              <w:rPr>
                <w:color w:val="000000"/>
              </w:rPr>
            </w:pPr>
            <w:r>
              <w:rPr>
                <w:color w:val="000000"/>
              </w:rPr>
              <w:t>Violation Reconnection Charge</w:t>
            </w:r>
          </w:p>
        </w:tc>
        <w:tc>
          <w:tcPr>
            <w:tcW w:w="714" w:type="pct"/>
            <w:tcBorders>
              <w:top w:val="single" w:sz="4" w:space="0" w:color="auto"/>
              <w:left w:val="single" w:sz="4" w:space="0" w:color="auto"/>
              <w:bottom w:val="single" w:sz="4" w:space="0" w:color="auto"/>
              <w:right w:val="single" w:sz="4" w:space="0" w:color="auto"/>
            </w:tcBorders>
            <w:noWrap/>
            <w:vAlign w:val="bottom"/>
            <w:hideMark/>
          </w:tcPr>
          <w:p w:rsidR="00A52800" w:rsidRDefault="00A52800">
            <w:pPr>
              <w:jc w:val="right"/>
              <w:rPr>
                <w:color w:val="000000"/>
              </w:rPr>
            </w:pPr>
            <w:r>
              <w:rPr>
                <w:color w:val="000000"/>
              </w:rPr>
              <w:t xml:space="preserve">$20 </w:t>
            </w:r>
          </w:p>
        </w:tc>
        <w:tc>
          <w:tcPr>
            <w:tcW w:w="714" w:type="pct"/>
            <w:gridSpan w:val="2"/>
            <w:tcBorders>
              <w:top w:val="single" w:sz="4" w:space="0" w:color="auto"/>
              <w:left w:val="single" w:sz="4" w:space="0" w:color="auto"/>
              <w:bottom w:val="single" w:sz="4" w:space="0" w:color="auto"/>
              <w:right w:val="single" w:sz="4" w:space="0" w:color="auto"/>
            </w:tcBorders>
            <w:noWrap/>
            <w:vAlign w:val="bottom"/>
            <w:hideMark/>
          </w:tcPr>
          <w:p w:rsidR="00A52800" w:rsidRDefault="00A52800">
            <w:pPr>
              <w:jc w:val="right"/>
              <w:rPr>
                <w:color w:val="000000"/>
              </w:rPr>
            </w:pPr>
            <w:r>
              <w:rPr>
                <w:color w:val="000000"/>
              </w:rPr>
              <w:t>$40</w:t>
            </w:r>
          </w:p>
        </w:tc>
        <w:tc>
          <w:tcPr>
            <w:tcW w:w="713" w:type="pct"/>
            <w:tcBorders>
              <w:top w:val="single" w:sz="4" w:space="0" w:color="auto"/>
              <w:left w:val="single" w:sz="4" w:space="0" w:color="auto"/>
              <w:bottom w:val="single" w:sz="4" w:space="0" w:color="auto"/>
              <w:right w:val="single" w:sz="4" w:space="0" w:color="auto"/>
            </w:tcBorders>
            <w:hideMark/>
          </w:tcPr>
          <w:p w:rsidR="00A52800" w:rsidRDefault="00A52800">
            <w:pPr>
              <w:jc w:val="right"/>
            </w:pPr>
            <w:r>
              <w:t xml:space="preserve">Actual Cost </w:t>
            </w:r>
          </w:p>
        </w:tc>
        <w:tc>
          <w:tcPr>
            <w:tcW w:w="236" w:type="pct"/>
            <w:tcBorders>
              <w:top w:val="single" w:sz="4" w:space="0" w:color="auto"/>
              <w:left w:val="single" w:sz="4" w:space="0" w:color="auto"/>
              <w:bottom w:val="single" w:sz="4" w:space="0" w:color="auto"/>
              <w:right w:val="single" w:sz="4" w:space="0" w:color="auto"/>
            </w:tcBorders>
            <w:hideMark/>
          </w:tcPr>
          <w:p w:rsidR="00A52800" w:rsidRDefault="00A52800">
            <w:pPr>
              <w:jc w:val="right"/>
            </w:pPr>
            <w:r>
              <w:t>Actual Cost</w:t>
            </w:r>
          </w:p>
        </w:tc>
      </w:tr>
      <w:tr w:rsidR="00A52800" w:rsidTr="00B27BB8">
        <w:trPr>
          <w:trHeight w:val="315"/>
          <w:jc w:val="center"/>
        </w:trPr>
        <w:tc>
          <w:tcPr>
            <w:tcW w:w="2623" w:type="pct"/>
            <w:tcBorders>
              <w:top w:val="single" w:sz="4" w:space="0" w:color="auto"/>
              <w:left w:val="single" w:sz="4" w:space="0" w:color="auto"/>
              <w:bottom w:val="single" w:sz="4" w:space="0" w:color="auto"/>
              <w:right w:val="single" w:sz="4" w:space="0" w:color="auto"/>
            </w:tcBorders>
            <w:noWrap/>
            <w:vAlign w:val="bottom"/>
            <w:hideMark/>
          </w:tcPr>
          <w:p w:rsidR="00A52800" w:rsidRDefault="00A52800" w:rsidP="00B27BB8">
            <w:pPr>
              <w:rPr>
                <w:color w:val="000000"/>
              </w:rPr>
            </w:pPr>
            <w:r>
              <w:rPr>
                <w:color w:val="000000"/>
              </w:rPr>
              <w:t>Premises Visit Charge (in lieu of Disconnect</w:t>
            </w:r>
            <w:r w:rsidR="00B27BB8">
              <w:rPr>
                <w:color w:val="000000"/>
              </w:rPr>
              <w:t>)</w:t>
            </w:r>
          </w:p>
        </w:tc>
        <w:tc>
          <w:tcPr>
            <w:tcW w:w="714" w:type="pct"/>
            <w:tcBorders>
              <w:top w:val="single" w:sz="4" w:space="0" w:color="auto"/>
              <w:left w:val="single" w:sz="4" w:space="0" w:color="auto"/>
              <w:bottom w:val="single" w:sz="4" w:space="0" w:color="auto"/>
              <w:right w:val="single" w:sz="4" w:space="0" w:color="auto"/>
            </w:tcBorders>
            <w:noWrap/>
            <w:vAlign w:val="bottom"/>
            <w:hideMark/>
          </w:tcPr>
          <w:p w:rsidR="00A52800" w:rsidRDefault="00A52800" w:rsidP="007B00B7">
            <w:pPr>
              <w:jc w:val="right"/>
              <w:rPr>
                <w:color w:val="000000"/>
              </w:rPr>
            </w:pPr>
            <w:r>
              <w:rPr>
                <w:color w:val="000000"/>
              </w:rPr>
              <w:t xml:space="preserve">$20 </w:t>
            </w:r>
          </w:p>
        </w:tc>
        <w:tc>
          <w:tcPr>
            <w:tcW w:w="714" w:type="pct"/>
            <w:gridSpan w:val="2"/>
            <w:tcBorders>
              <w:top w:val="single" w:sz="4" w:space="0" w:color="auto"/>
              <w:left w:val="single" w:sz="4" w:space="0" w:color="auto"/>
              <w:bottom w:val="single" w:sz="4" w:space="0" w:color="auto"/>
              <w:right w:val="single" w:sz="4" w:space="0" w:color="auto"/>
            </w:tcBorders>
            <w:noWrap/>
            <w:vAlign w:val="bottom"/>
            <w:hideMark/>
          </w:tcPr>
          <w:p w:rsidR="00A52800" w:rsidRDefault="00A52800" w:rsidP="007B00B7">
            <w:pPr>
              <w:jc w:val="right"/>
              <w:rPr>
                <w:color w:val="000000"/>
              </w:rPr>
            </w:pPr>
            <w:r>
              <w:rPr>
                <w:color w:val="000000"/>
              </w:rPr>
              <w:t>$40</w:t>
            </w:r>
          </w:p>
        </w:tc>
        <w:tc>
          <w:tcPr>
            <w:tcW w:w="713" w:type="pct"/>
            <w:tcBorders>
              <w:top w:val="single" w:sz="4" w:space="0" w:color="auto"/>
              <w:left w:val="single" w:sz="4" w:space="0" w:color="auto"/>
              <w:bottom w:val="single" w:sz="4" w:space="0" w:color="auto"/>
              <w:right w:val="single" w:sz="4" w:space="0" w:color="auto"/>
            </w:tcBorders>
            <w:hideMark/>
          </w:tcPr>
          <w:p w:rsidR="00A52800" w:rsidRDefault="00A52800" w:rsidP="007B00B7">
            <w:pPr>
              <w:jc w:val="right"/>
            </w:pPr>
            <w:r>
              <w:t xml:space="preserve">$20 </w:t>
            </w:r>
          </w:p>
        </w:tc>
        <w:tc>
          <w:tcPr>
            <w:tcW w:w="236" w:type="pct"/>
            <w:tcBorders>
              <w:top w:val="single" w:sz="4" w:space="0" w:color="auto"/>
              <w:left w:val="single" w:sz="4" w:space="0" w:color="auto"/>
              <w:bottom w:val="single" w:sz="4" w:space="0" w:color="auto"/>
              <w:right w:val="single" w:sz="4" w:space="0" w:color="auto"/>
            </w:tcBorders>
            <w:hideMark/>
          </w:tcPr>
          <w:p w:rsidR="00A52800" w:rsidRDefault="00A52800" w:rsidP="007B00B7">
            <w:pPr>
              <w:jc w:val="right"/>
            </w:pPr>
            <w:r>
              <w:t>$40</w:t>
            </w:r>
          </w:p>
        </w:tc>
      </w:tr>
    </w:tbl>
    <w:p w:rsidR="00A52800" w:rsidRDefault="00A52800" w:rsidP="00FF4171">
      <w:pPr>
        <w:ind w:left="-90"/>
      </w:pPr>
      <w:r>
        <w:t xml:space="preserve"> Source: Utility’s requested charges</w:t>
      </w:r>
    </w:p>
    <w:p w:rsidR="00A25227" w:rsidRDefault="00A25227" w:rsidP="007B00B7">
      <w:pPr>
        <w:pStyle w:val="BodyText"/>
        <w:spacing w:after="0"/>
      </w:pPr>
    </w:p>
    <w:p w:rsidR="004F527D" w:rsidRDefault="007B00B7" w:rsidP="004F527D">
      <w:pPr>
        <w:jc w:val="both"/>
        <w:rPr>
          <w:rFonts w:eastAsia="Calibri"/>
          <w:color w:val="FF0000"/>
        </w:rPr>
      </w:pPr>
      <w:r>
        <w:rPr>
          <w:rFonts w:eastAsia="Calibri"/>
        </w:rPr>
        <w:t>Since the Utility has not yet begun service,</w:t>
      </w:r>
      <w:r w:rsidR="00922D54">
        <w:rPr>
          <w:rFonts w:eastAsia="Calibri"/>
        </w:rPr>
        <w:t xml:space="preserve"> </w:t>
      </w:r>
      <w:r>
        <w:rPr>
          <w:rFonts w:eastAsia="Calibri"/>
        </w:rPr>
        <w:t>Consolidated</w:t>
      </w:r>
      <w:r w:rsidR="00B330C8">
        <w:rPr>
          <w:rFonts w:eastAsia="Calibri"/>
        </w:rPr>
        <w:t xml:space="preserve"> Service</w:t>
      </w:r>
      <w:r>
        <w:rPr>
          <w:rFonts w:eastAsia="Calibri"/>
        </w:rPr>
        <w:t>s</w:t>
      </w:r>
      <w:r w:rsidR="00B330C8">
        <w:rPr>
          <w:rFonts w:eastAsia="Calibri"/>
        </w:rPr>
        <w:t>’</w:t>
      </w:r>
      <w:r>
        <w:rPr>
          <w:rFonts w:eastAsia="Calibri"/>
        </w:rPr>
        <w:t xml:space="preserve"> proposed charges are based on estimated expenses. When both water and </w:t>
      </w:r>
      <w:r w:rsidR="00A07867">
        <w:rPr>
          <w:rFonts w:eastAsia="Calibri"/>
        </w:rPr>
        <w:t>wastewater</w:t>
      </w:r>
      <w:r>
        <w:rPr>
          <w:rFonts w:eastAsia="Calibri"/>
        </w:rPr>
        <w:t xml:space="preserve"> services are provided, a single charge is appropriate unless circumstances beyond the control of the Utility require multiple actions.</w:t>
      </w:r>
      <w:r w:rsidR="00AE7B4D">
        <w:rPr>
          <w:rFonts w:eastAsia="Calibri"/>
        </w:rPr>
        <w:t xml:space="preserve"> </w:t>
      </w:r>
      <w:r w:rsidR="004F527D" w:rsidRPr="004F527D">
        <w:rPr>
          <w:rFonts w:eastAsia="Calibri"/>
        </w:rPr>
        <w:t>These recommended charges fall within the parameters of other miscellaneous service charges approved by the Commission and appear reasonable.</w:t>
      </w:r>
      <w:r w:rsidR="004F527D" w:rsidRPr="004F527D">
        <w:rPr>
          <w:rStyle w:val="FootnoteReference"/>
          <w:rFonts w:eastAsia="Calibri"/>
        </w:rPr>
        <w:footnoteReference w:id="5"/>
      </w:r>
      <w:r w:rsidR="004F527D" w:rsidRPr="004F527D">
        <w:rPr>
          <w:rFonts w:eastAsia="Calibri"/>
        </w:rPr>
        <w:t xml:space="preserve"> </w:t>
      </w:r>
    </w:p>
    <w:p w:rsidR="004F527D" w:rsidRDefault="004F527D" w:rsidP="004F527D">
      <w:pPr>
        <w:jc w:val="both"/>
        <w:rPr>
          <w:rFonts w:eastAsia="Calibri"/>
          <w:color w:val="FF0000"/>
        </w:rPr>
      </w:pPr>
    </w:p>
    <w:p w:rsidR="007B00B7" w:rsidRDefault="007B00B7" w:rsidP="00922D54">
      <w:pPr>
        <w:jc w:val="both"/>
      </w:pPr>
      <w:r>
        <w:rPr>
          <w:rFonts w:eastAsia="Calibri"/>
        </w:rPr>
        <w:t>Staff recommends that Consolidated</w:t>
      </w:r>
      <w:r w:rsidR="00B330C8">
        <w:rPr>
          <w:rFonts w:eastAsia="Calibri"/>
        </w:rPr>
        <w:t xml:space="preserve"> Service</w:t>
      </w:r>
      <w:r>
        <w:rPr>
          <w:rFonts w:eastAsia="Calibri"/>
        </w:rPr>
        <w:t>s</w:t>
      </w:r>
      <w:r w:rsidR="00B330C8">
        <w:rPr>
          <w:rFonts w:eastAsia="Calibri"/>
        </w:rPr>
        <w:t>’</w:t>
      </w:r>
      <w:r>
        <w:rPr>
          <w:rFonts w:eastAsia="Calibri"/>
        </w:rPr>
        <w:t xml:space="preserve"> proposed miscellaneous service charges should be approved and effective for services rendered on or after the stamped approval date on the tariff sheets, pursuant to Rule 25-30.475, F.A.C. Consolidated </w:t>
      </w:r>
      <w:r w:rsidR="00B330C8">
        <w:rPr>
          <w:rFonts w:eastAsia="Calibri"/>
        </w:rPr>
        <w:t xml:space="preserve">Services </w:t>
      </w:r>
      <w:r>
        <w:rPr>
          <w:rFonts w:eastAsia="Calibri"/>
        </w:rPr>
        <w:t>should be required to charge its approved miscellaneous service charges until authorized to change them by the Commission in a subsequent proceeding.</w:t>
      </w:r>
    </w:p>
    <w:p w:rsidR="004A06A0" w:rsidRDefault="004A06A0">
      <w:pPr>
        <w:pStyle w:val="IssueHeading"/>
        <w:rPr>
          <w:vanish/>
          <w:specVanish/>
        </w:rPr>
      </w:pPr>
      <w:r w:rsidRPr="004C3641">
        <w:rPr>
          <w:b w:val="0"/>
          <w:i w:val="0"/>
        </w:rPr>
        <w:br w:type="page"/>
      </w:r>
      <w:r w:rsidRPr="004C3641">
        <w:lastRenderedPageBreak/>
        <w:t xml:space="preserve">Issue </w:t>
      </w:r>
      <w:r w:rsidR="00916AA7">
        <w:fldChar w:fldCharType="begin"/>
      </w:r>
      <w:r w:rsidR="00916AA7">
        <w:instrText xml:space="preserve"> SEQ Issue \* MERGEFORMAT </w:instrText>
      </w:r>
      <w:r w:rsidR="00916AA7">
        <w:fldChar w:fldCharType="separate"/>
      </w:r>
      <w:r w:rsidR="006106EC">
        <w:rPr>
          <w:noProof/>
        </w:rPr>
        <w:t>4</w:t>
      </w:r>
      <w:r w:rsidR="00916AA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106EC">
        <w:rPr>
          <w:noProof/>
        </w:rPr>
        <w:instrText>4</w:instrText>
      </w:r>
      <w:r>
        <w:fldChar w:fldCharType="end"/>
      </w:r>
      <w:r>
        <w:tab/>
        <w:instrText xml:space="preserve">" \l 1 </w:instrText>
      </w:r>
      <w:r>
        <w:fldChar w:fldCharType="end"/>
      </w:r>
      <w:r>
        <w:t> </w:t>
      </w:r>
    </w:p>
    <w:p w:rsidR="004A06A0" w:rsidRDefault="004A06A0">
      <w:pPr>
        <w:pStyle w:val="BodyText"/>
      </w:pPr>
      <w:r>
        <w:t> </w:t>
      </w:r>
      <w:r w:rsidR="00E5672C">
        <w:t>Should Consolidated</w:t>
      </w:r>
      <w:r w:rsidR="00B330C8">
        <w:t xml:space="preserve"> Service</w:t>
      </w:r>
      <w:r w:rsidR="00E5672C">
        <w:t>s</w:t>
      </w:r>
      <w:r w:rsidR="00764329">
        <w:t>’</w:t>
      </w:r>
      <w:r w:rsidR="00E5672C">
        <w:t xml:space="preserve"> request to implement a late payment charge be approved?</w:t>
      </w:r>
    </w:p>
    <w:p w:rsidR="004A06A0" w:rsidRPr="004C3641" w:rsidRDefault="004A06A0">
      <w:pPr>
        <w:pStyle w:val="IssueSubsectionHeading"/>
        <w:rPr>
          <w:vanish/>
          <w:specVanish/>
        </w:rPr>
      </w:pPr>
      <w:r w:rsidRPr="004C3641">
        <w:t>Recommendation:</w:t>
      </w:r>
    </w:p>
    <w:p w:rsidR="004A06A0" w:rsidRDefault="004A06A0">
      <w:pPr>
        <w:pStyle w:val="BodyText"/>
      </w:pPr>
      <w:r>
        <w:t> </w:t>
      </w:r>
      <w:r w:rsidR="0088636C">
        <w:t> Consolidated</w:t>
      </w:r>
      <w:r w:rsidR="00B330C8">
        <w:t xml:space="preserve"> Service</w:t>
      </w:r>
      <w:r w:rsidR="0088636C">
        <w:t>s</w:t>
      </w:r>
      <w:r w:rsidR="00B330C8">
        <w:t>’</w:t>
      </w:r>
      <w:r w:rsidR="0088636C">
        <w:t xml:space="preserve"> request to implement a late payment charge should be approved. Consolidated</w:t>
      </w:r>
      <w:r w:rsidR="00B330C8">
        <w:t xml:space="preserve"> Services</w:t>
      </w:r>
      <w:r w:rsidR="0088636C">
        <w:t xml:space="preserve"> should be allowed to implement a late payment charge of $5.00. The approved charge should be effective for services rendered on or after the stamped approval date on the tariff sheet pursuant to Rule 25-30.475(1), F.A.C. Consolidated </w:t>
      </w:r>
      <w:r w:rsidR="00B330C8">
        <w:t xml:space="preserve">Services </w:t>
      </w:r>
      <w:r w:rsidR="0088636C">
        <w:t>should be required to charge its approved late payment charge until authorized to change it by the Commission in a subsequent proceeding.</w:t>
      </w:r>
      <w:r>
        <w:t xml:space="preserve"> </w:t>
      </w:r>
      <w:r w:rsidR="00207202">
        <w:t>(Johnson)</w:t>
      </w:r>
    </w:p>
    <w:p w:rsidR="004A06A0" w:rsidRPr="004C3641" w:rsidRDefault="004A06A0">
      <w:pPr>
        <w:pStyle w:val="IssueSubsectionHeading"/>
        <w:rPr>
          <w:vanish/>
          <w:specVanish/>
        </w:rPr>
      </w:pPr>
      <w:r w:rsidRPr="004C3641">
        <w:t>Staff Analysis: </w:t>
      </w:r>
    </w:p>
    <w:p w:rsidR="00D11C14" w:rsidRDefault="004A06A0" w:rsidP="00D11C14">
      <w:pPr>
        <w:pStyle w:val="BodyText"/>
      </w:pPr>
      <w:r>
        <w:t> </w:t>
      </w:r>
      <w:r w:rsidR="00D11C14">
        <w:t>Section 367.091(6), F.S., authorizes the Commission to establish, increase, or change a rate or charge other than monthly rates or service availability charges. The Utility is requesting a $5.00 late payment charge to recover the cost of supplies and labor associated with processing late payment notices. The Utility’s request for a late payment charge was accompanied by its reason for requesting the charge, as well as the cost justification required by Section 367.091(6), F.S. Since the Utility has not yet begun service, Consolidated</w:t>
      </w:r>
      <w:r w:rsidR="00B330C8">
        <w:t xml:space="preserve"> Service</w:t>
      </w:r>
      <w:r w:rsidR="00D11C14">
        <w:t>s</w:t>
      </w:r>
      <w:r w:rsidR="00B330C8">
        <w:t>’</w:t>
      </w:r>
      <w:r w:rsidR="00D11C14">
        <w:t xml:space="preserve"> proposed charges are based on estimated expenses.</w:t>
      </w:r>
    </w:p>
    <w:p w:rsidR="00D11C14" w:rsidRDefault="00D11C14" w:rsidP="00D11C14">
      <w:pPr>
        <w:pStyle w:val="BodyText"/>
      </w:pPr>
      <w:r>
        <w:t>Based on staff’s research, since the late 1990s, the Commission has approved late payment charges ranging from $2.00 to $7.00.</w:t>
      </w:r>
      <w:r>
        <w:rPr>
          <w:vertAlign w:val="superscript"/>
        </w:rPr>
        <w:footnoteReference w:id="6"/>
      </w:r>
      <w:r>
        <w:t xml:space="preserve"> Staff believes the Utility’s late payment charge is consistent with previously approved late payment charges. The purpose of this charge is not only to provide an incentive for customers to make timely payment, thereby reducing the number of delinquent accounts, but also to place the cost burden of processing delinquent accounts solely upon those who are cost causers.</w:t>
      </w:r>
    </w:p>
    <w:p w:rsidR="00D11C14" w:rsidRDefault="00D11C14" w:rsidP="000F078F">
      <w:pPr>
        <w:jc w:val="both"/>
      </w:pPr>
      <w:r>
        <w:t>Based on the above, staff believes Consolidated</w:t>
      </w:r>
      <w:r w:rsidR="00B330C8">
        <w:t xml:space="preserve"> Service</w:t>
      </w:r>
      <w:r>
        <w:t>s</w:t>
      </w:r>
      <w:r w:rsidR="00B330C8">
        <w:t>’</w:t>
      </w:r>
      <w:r>
        <w:t xml:space="preserve"> request to implement a late payment charge should be approved. Consolidated </w:t>
      </w:r>
      <w:r w:rsidR="00B330C8">
        <w:t xml:space="preserve">Services </w:t>
      </w:r>
      <w:r>
        <w:t xml:space="preserve">should be allowed to implement a late payment charge of $5.00. The approved charge should be effective for services rendered on or after the stamped approval date on the tariff sheet pursuant to Rule 25-30.475(1), F.A.C. Consolidated </w:t>
      </w:r>
      <w:r w:rsidR="00B330C8">
        <w:t xml:space="preserve">Services </w:t>
      </w:r>
      <w:r>
        <w:t xml:space="preserve">should be required to charge its approved late payment charge until authorized to change it by the Commission in a subsequent proceeding. </w:t>
      </w:r>
    </w:p>
    <w:p w:rsidR="007D205B" w:rsidRDefault="007D205B">
      <w:pPr>
        <w:pStyle w:val="IssueHeading"/>
        <w:rPr>
          <w:vanish/>
          <w:specVanish/>
        </w:rPr>
      </w:pPr>
      <w:r w:rsidRPr="004C3641">
        <w:rPr>
          <w:b w:val="0"/>
          <w:i w:val="0"/>
        </w:rPr>
        <w:br w:type="page"/>
      </w:r>
      <w:r w:rsidRPr="004C3641">
        <w:lastRenderedPageBreak/>
        <w:t xml:space="preserve">Issue </w:t>
      </w:r>
      <w:r w:rsidR="00916AA7">
        <w:fldChar w:fldCharType="begin"/>
      </w:r>
      <w:r w:rsidR="00916AA7">
        <w:instrText xml:space="preserve"> SEQ Issue \* MERGEFORMAT </w:instrText>
      </w:r>
      <w:r w:rsidR="00916AA7">
        <w:fldChar w:fldCharType="separate"/>
      </w:r>
      <w:r w:rsidR="006106EC">
        <w:rPr>
          <w:noProof/>
        </w:rPr>
        <w:t>5</w:t>
      </w:r>
      <w:r w:rsidR="00916AA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106EC">
        <w:rPr>
          <w:noProof/>
        </w:rPr>
        <w:instrText>5</w:instrText>
      </w:r>
      <w:r>
        <w:fldChar w:fldCharType="end"/>
      </w:r>
      <w:r>
        <w:tab/>
        <w:instrText xml:space="preserve">" \l 1 </w:instrText>
      </w:r>
      <w:r>
        <w:fldChar w:fldCharType="end"/>
      </w:r>
      <w:r>
        <w:t> </w:t>
      </w:r>
    </w:p>
    <w:p w:rsidR="007D205B" w:rsidRDefault="007D205B">
      <w:pPr>
        <w:pStyle w:val="BodyText"/>
      </w:pPr>
      <w:r>
        <w:t> </w:t>
      </w:r>
      <w:r w:rsidR="002D569A">
        <w:t>Should Consolidated</w:t>
      </w:r>
      <w:r w:rsidR="00B330C8">
        <w:t xml:space="preserve"> Services</w:t>
      </w:r>
      <w:r w:rsidR="002D569A">
        <w:t xml:space="preserve"> be authorized to collect Non-Sufficient Funds Charges (NSF)?</w:t>
      </w:r>
    </w:p>
    <w:p w:rsidR="007D205B" w:rsidRPr="004C3641" w:rsidRDefault="007D205B">
      <w:pPr>
        <w:pStyle w:val="IssueSubsectionHeading"/>
        <w:rPr>
          <w:vanish/>
          <w:specVanish/>
        </w:rPr>
      </w:pPr>
      <w:r w:rsidRPr="004C3641">
        <w:t>Recommendation:</w:t>
      </w:r>
    </w:p>
    <w:p w:rsidR="007D205B" w:rsidRDefault="007D205B">
      <w:pPr>
        <w:pStyle w:val="BodyText"/>
      </w:pPr>
      <w:r>
        <w:t> </w:t>
      </w:r>
      <w:r w:rsidR="002E6681">
        <w:t> Consolidated</w:t>
      </w:r>
      <w:r w:rsidR="00B330C8">
        <w:t xml:space="preserve"> Services</w:t>
      </w:r>
      <w:r w:rsidR="002E6681">
        <w:t xml:space="preserve"> should be authorized to collect NSF charges. Staff recommends the NSF charges currently set forth in Section 68.065, F.S.</w:t>
      </w:r>
      <w:r w:rsidR="00B330C8">
        <w:t>,</w:t>
      </w:r>
      <w:r w:rsidR="002E6681">
        <w:t xml:space="preserve"> for Consolidated</w:t>
      </w:r>
      <w:r w:rsidR="00B330C8">
        <w:t xml:space="preserve"> Services</w:t>
      </w:r>
      <w:r w:rsidR="002E6681">
        <w:t xml:space="preserve">. The NSF charges should be effective on or after the stamped approval date on the tariff sheets pursuant to Rule 25-30.475(1), F.A.C. Consolidated </w:t>
      </w:r>
      <w:r w:rsidR="00B330C8">
        <w:t xml:space="preserve">Services </w:t>
      </w:r>
      <w:r w:rsidR="002E6681">
        <w:t>should be required to charge its approved NSF charge until authorized to change it by the Commission in a subsequent proceeding.</w:t>
      </w:r>
      <w:r>
        <w:t xml:space="preserve"> </w:t>
      </w:r>
      <w:r w:rsidR="00207202">
        <w:t>(Johnson)</w:t>
      </w:r>
    </w:p>
    <w:p w:rsidR="007D205B" w:rsidRPr="004C3641" w:rsidRDefault="007D205B">
      <w:pPr>
        <w:pStyle w:val="IssueSubsectionHeading"/>
        <w:rPr>
          <w:vanish/>
          <w:specVanish/>
        </w:rPr>
      </w:pPr>
      <w:r w:rsidRPr="004C3641">
        <w:t>Staff Analysis: </w:t>
      </w:r>
    </w:p>
    <w:p w:rsidR="00C61EE3" w:rsidRDefault="007D205B" w:rsidP="00C61EE3">
      <w:pPr>
        <w:pStyle w:val="BodyText"/>
      </w:pPr>
      <w:r>
        <w:t> </w:t>
      </w:r>
      <w:r w:rsidR="00C61EE3">
        <w:t xml:space="preserve">Section 367.091, F.S., requires rates, charges, and customer service policies to be approved by the Commission. The Commission has authority to establish, increase, or change a rate or charge. Staff believes that Consolidated </w:t>
      </w:r>
      <w:r w:rsidR="00B330C8">
        <w:t xml:space="preserve">Services </w:t>
      </w:r>
      <w:r w:rsidR="00C61EE3">
        <w:t>should be authorized to collect NSF charges consistent with Section 68.065, F.S., which allows for the assessment of charges for the collection of worthless checks, drafts, or orders of payment. As currently set forth in Section 68.065(2), F.S., the following NSF charges may be assessed:</w:t>
      </w:r>
    </w:p>
    <w:p w:rsidR="00C61EE3" w:rsidRDefault="00C61EE3" w:rsidP="00AE7B4D">
      <w:pPr>
        <w:pStyle w:val="BodyText"/>
        <w:ind w:left="720"/>
      </w:pPr>
      <w:r>
        <w:t>(1)</w:t>
      </w:r>
      <w:r>
        <w:tab/>
        <w:t>$25, if the face value does not exceed $50,</w:t>
      </w:r>
    </w:p>
    <w:p w:rsidR="00C61EE3" w:rsidRDefault="00C61EE3" w:rsidP="00AE7B4D">
      <w:pPr>
        <w:pStyle w:val="BodyText"/>
        <w:ind w:left="720"/>
      </w:pPr>
      <w:r>
        <w:t>(2)</w:t>
      </w:r>
      <w:r>
        <w:tab/>
        <w:t>$30, if the face value exceeds $50 but does not exceed $300,</w:t>
      </w:r>
    </w:p>
    <w:p w:rsidR="00C61EE3" w:rsidRDefault="00C61EE3" w:rsidP="00AE7B4D">
      <w:pPr>
        <w:pStyle w:val="BodyText"/>
        <w:ind w:left="720"/>
      </w:pPr>
      <w:r>
        <w:t>(3)</w:t>
      </w:r>
      <w:r>
        <w:tab/>
        <w:t>$40, if the face value exceeds $300,</w:t>
      </w:r>
    </w:p>
    <w:p w:rsidR="00C61EE3" w:rsidRDefault="00C61EE3" w:rsidP="00AE7B4D">
      <w:pPr>
        <w:pStyle w:val="BodyText"/>
        <w:ind w:left="720"/>
      </w:pPr>
      <w:r>
        <w:t>(4)</w:t>
      </w:r>
      <w:r>
        <w:tab/>
        <w:t xml:space="preserve">or five percent of the face amount of the check, whichever is greater. </w:t>
      </w:r>
    </w:p>
    <w:p w:rsidR="00C61EE3" w:rsidRDefault="00C61EE3" w:rsidP="00C61EE3">
      <w:pPr>
        <w:jc w:val="both"/>
      </w:pPr>
      <w:r>
        <w:t>Approval of NSF charges is consistent with prior Commission decisions.</w:t>
      </w:r>
      <w:r>
        <w:rPr>
          <w:vertAlign w:val="superscript"/>
        </w:rPr>
        <w:footnoteReference w:id="7"/>
      </w:r>
      <w:r>
        <w:t xml:space="preserve"> Furthermore, NSF charges place the cost on the cost-causer, rather than requiring that the costs associated with the return of the NSF checks be spread across the general body of ratepayers. As such, Consolidated</w:t>
      </w:r>
      <w:r w:rsidR="00B330C8">
        <w:t xml:space="preserve"> Services</w:t>
      </w:r>
      <w:r>
        <w:t xml:space="preserve"> should be authorized to collect NSF charges. Staff recommends the NSF charges currently set forth in Section 68.065, F.S.</w:t>
      </w:r>
      <w:r w:rsidR="00B330C8">
        <w:t>,</w:t>
      </w:r>
      <w:r>
        <w:t xml:space="preserve"> for Consolidated</w:t>
      </w:r>
      <w:r w:rsidR="00B330C8">
        <w:t xml:space="preserve"> Services</w:t>
      </w:r>
      <w:r>
        <w:t xml:space="preserve">. The NSF charges should be effective on or after the stamped approval date on the tariff sheets pursuant to Rule 25-30.475(1), F.A.C. Consolidated </w:t>
      </w:r>
      <w:r w:rsidR="00B330C8">
        <w:t xml:space="preserve">Services </w:t>
      </w:r>
      <w:r>
        <w:t xml:space="preserve">should be required to charge its approved NSF charge until authorized to change it by the Commission in a subsequent proceeding. </w:t>
      </w:r>
    </w:p>
    <w:p w:rsidR="00CF7BDC" w:rsidRDefault="00CF7BDC" w:rsidP="00C61EE3">
      <w:pPr>
        <w:pStyle w:val="IssueHeading"/>
        <w:rPr>
          <w:vanish/>
          <w:specVanish/>
        </w:rPr>
      </w:pPr>
      <w:r w:rsidRPr="004C3641">
        <w:rPr>
          <w:b w:val="0"/>
          <w:i w:val="0"/>
        </w:rPr>
        <w:br w:type="page"/>
      </w:r>
      <w:r w:rsidRPr="004C3641">
        <w:lastRenderedPageBreak/>
        <w:t xml:space="preserve">Issue </w:t>
      </w:r>
      <w:r w:rsidR="00916AA7">
        <w:fldChar w:fldCharType="begin"/>
      </w:r>
      <w:r w:rsidR="00916AA7">
        <w:instrText xml:space="preserve"> SEQ Issue \* MERGEFORMAT </w:instrText>
      </w:r>
      <w:r w:rsidR="00916AA7">
        <w:fldChar w:fldCharType="separate"/>
      </w:r>
      <w:r w:rsidR="006106EC">
        <w:rPr>
          <w:noProof/>
        </w:rPr>
        <w:t>6</w:t>
      </w:r>
      <w:r w:rsidR="00916AA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106EC">
        <w:rPr>
          <w:noProof/>
        </w:rPr>
        <w:instrText>6</w:instrText>
      </w:r>
      <w:r>
        <w:fldChar w:fldCharType="end"/>
      </w:r>
      <w:r>
        <w:tab/>
        <w:instrText xml:space="preserve">" \l 1 </w:instrText>
      </w:r>
      <w:r>
        <w:fldChar w:fldCharType="end"/>
      </w:r>
      <w:r>
        <w:t> </w:t>
      </w:r>
    </w:p>
    <w:p w:rsidR="00CF7BDC" w:rsidRDefault="00CF7BDC">
      <w:pPr>
        <w:pStyle w:val="BodyText"/>
      </w:pPr>
      <w:r>
        <w:t> </w:t>
      </w:r>
      <w:r w:rsidRPr="00CF7BDC">
        <w:t>What are the appropriate initial customer deposits for Consolidated</w:t>
      </w:r>
      <w:r w:rsidR="00B330C8">
        <w:t xml:space="preserve"> Service</w:t>
      </w:r>
      <w:r w:rsidRPr="00CF7BDC">
        <w:t>s</w:t>
      </w:r>
      <w:r w:rsidR="00B330C8" w:rsidRPr="00CF7BDC">
        <w:t>'</w:t>
      </w:r>
      <w:r w:rsidRPr="00CF7BDC">
        <w:t xml:space="preserve"> water and wastewater services</w:t>
      </w:r>
      <w:r>
        <w:t>?</w:t>
      </w:r>
    </w:p>
    <w:p w:rsidR="00CF7BDC" w:rsidRPr="004C3641" w:rsidRDefault="00CF7BDC">
      <w:pPr>
        <w:pStyle w:val="IssueSubsectionHeading"/>
        <w:rPr>
          <w:vanish/>
          <w:specVanish/>
        </w:rPr>
      </w:pPr>
      <w:r w:rsidRPr="004C3641">
        <w:t>Recommendation: </w:t>
      </w:r>
    </w:p>
    <w:p w:rsidR="00CF7BDC" w:rsidRDefault="00CF7BDC">
      <w:pPr>
        <w:pStyle w:val="BodyText"/>
      </w:pPr>
      <w:r>
        <w:t> </w:t>
      </w:r>
      <w:r w:rsidR="001A55A5">
        <w:t>Based on staff’s recommended rates and estimated average residential demand, the appropriate initial customer deposits for the residential 5/8” x 3/4” meter size should be $63 for water and $54 for wastewater. The initial customer deposits for all other residential meter sizes and all general service meter sizes should be two times the average estimated bill for water and wastewater service. The approved initial customer deposits should be effective for connections made on or after the stamped approval date on the tariff sheet pursuant to Rule 25-30.475, F.A.C. Consolidated</w:t>
      </w:r>
      <w:r w:rsidR="00B330C8">
        <w:t xml:space="preserve"> Services</w:t>
      </w:r>
      <w:r w:rsidR="001A55A5">
        <w:t xml:space="preserve"> should be required to collect its approved customer deposits until authorized to change it by the Commission in a subsequent proceeding.</w:t>
      </w:r>
      <w:r>
        <w:t xml:space="preserve"> </w:t>
      </w:r>
      <w:r w:rsidR="00207202">
        <w:t>(Johnson)</w:t>
      </w:r>
    </w:p>
    <w:p w:rsidR="00CF7BDC" w:rsidRPr="004C3641" w:rsidRDefault="00CF7BDC">
      <w:pPr>
        <w:pStyle w:val="IssueSubsectionHeading"/>
        <w:rPr>
          <w:vanish/>
          <w:specVanish/>
        </w:rPr>
      </w:pPr>
      <w:r w:rsidRPr="004C3641">
        <w:t>Staff Analysis: </w:t>
      </w:r>
    </w:p>
    <w:p w:rsidR="001D06CE" w:rsidRDefault="00CF7BDC" w:rsidP="001D06CE">
      <w:pPr>
        <w:pStyle w:val="BodyText"/>
        <w:spacing w:after="0"/>
      </w:pPr>
      <w:r>
        <w:t> </w:t>
      </w:r>
      <w:r w:rsidR="001D06CE">
        <w:t> Rule 25-30.311, F.A.C., contains the criteria for collecting, administering, and refunding customer deposits. Customer deposits are designed to minimize the exposure of bad debt expense for the Utility and, ultimately, the general body of ratepayers. Historically, the Commission has set initial customer deposits equal to two times the average estimated bill.</w:t>
      </w:r>
      <w:r w:rsidR="001D06CE">
        <w:rPr>
          <w:vertAlign w:val="superscript"/>
        </w:rPr>
        <w:footnoteReference w:id="8"/>
      </w:r>
      <w:r w:rsidR="001D06CE">
        <w:t xml:space="preserve"> Consolidated </w:t>
      </w:r>
      <w:r w:rsidR="00B330C8">
        <w:t xml:space="preserve">Services </w:t>
      </w:r>
      <w:r w:rsidR="001D06CE">
        <w:t xml:space="preserve">does not currently have any customers, therefore, staff believes it is appropriate to calculate customer deposits using an average demand of 3,000 gallons a month. Pursuant to Rule 25-30.311(5), F.A.C., after a customer has established a satisfactory payment record and has had continuous service for a period of 23 months, the Utility shall refund the residential customer’s deposit. </w:t>
      </w:r>
    </w:p>
    <w:p w:rsidR="001D06CE" w:rsidRDefault="001D06CE" w:rsidP="001D06CE">
      <w:pPr>
        <w:pStyle w:val="BodyText"/>
        <w:spacing w:after="0"/>
      </w:pPr>
    </w:p>
    <w:p w:rsidR="001D06CE" w:rsidRDefault="001D06CE" w:rsidP="001D06CE">
      <w:pPr>
        <w:jc w:val="both"/>
      </w:pPr>
      <w:r>
        <w:t>Based on the staff recommended rates and estimated average residential demand, staff recommends the appropriate initial customer deposits for the residential 5/8” x 3/4” meter size should be $63 for water and $54 for wastewater. The initial customer deposits for all other residential meter sizes and all general service meter sizes should be two times the average estimated bill for water and wastewater service. The approved initial customer deposits should be effective for connections made on or after the stamped approval date on the tariff sheet pursuant to Rule 25-30.475, F.A.C. Consolidated</w:t>
      </w:r>
      <w:r w:rsidR="00B330C8">
        <w:t xml:space="preserve"> Services</w:t>
      </w:r>
      <w:r>
        <w:t xml:space="preserve"> should be required to collect its approved customer deposits until authorized to change it by the Commission in a subsequent proceeding. </w:t>
      </w:r>
    </w:p>
    <w:p w:rsidR="00776223" w:rsidRDefault="00776223">
      <w:pPr>
        <w:pStyle w:val="IssueHeading"/>
        <w:rPr>
          <w:vanish/>
          <w:specVanish/>
        </w:rPr>
      </w:pPr>
      <w:r>
        <w:fldChar w:fldCharType="begin"/>
      </w:r>
      <w:r>
        <w:instrText xml:space="preserve"> TC "</w:instrText>
      </w:r>
      <w:r>
        <w:fldChar w:fldCharType="begin"/>
      </w:r>
      <w:r>
        <w:instrText xml:space="preserve"> SEQ issue \c </w:instrText>
      </w:r>
      <w:r>
        <w:fldChar w:fldCharType="separate"/>
      </w:r>
      <w:r w:rsidR="006106EC">
        <w:rPr>
          <w:noProof/>
        </w:rPr>
        <w:instrText>6</w:instrText>
      </w:r>
      <w:r>
        <w:fldChar w:fldCharType="end"/>
      </w:r>
      <w:r>
        <w:tab/>
        <w:instrText xml:space="preserve">" \l 1 </w:instrText>
      </w:r>
      <w:r>
        <w:fldChar w:fldCharType="end"/>
      </w:r>
    </w:p>
    <w:p w:rsidR="00776223" w:rsidRPr="004C3641" w:rsidRDefault="00776223">
      <w:pPr>
        <w:pStyle w:val="IssueSubsectionHeading"/>
        <w:rPr>
          <w:vanish/>
          <w:specVanish/>
        </w:rPr>
      </w:pPr>
    </w:p>
    <w:p w:rsidR="00776223" w:rsidRPr="004C3641" w:rsidRDefault="00776223">
      <w:pPr>
        <w:pStyle w:val="IssueSubsectionHeading"/>
        <w:rPr>
          <w:vanish/>
          <w:specVanish/>
        </w:rPr>
      </w:pPr>
    </w:p>
    <w:p w:rsidR="00776223" w:rsidRDefault="00776223" w:rsidP="00A849AA">
      <w:pPr>
        <w:pStyle w:val="BodyText"/>
      </w:pPr>
    </w:p>
    <w:p w:rsidR="006905B1" w:rsidRDefault="006905B1">
      <w:pPr>
        <w:pStyle w:val="IssueHeading"/>
        <w:rPr>
          <w:b w:val="0"/>
          <w:i w:val="0"/>
        </w:rPr>
        <w:sectPr w:rsidR="006905B1"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A46E89" w:rsidRDefault="00207202">
      <w:pPr>
        <w:pStyle w:val="IssueHeading"/>
        <w:rPr>
          <w:vanish/>
          <w:specVanish/>
        </w:rPr>
      </w:pPr>
      <w:r w:rsidRPr="004C3641">
        <w:lastRenderedPageBreak/>
        <w:t xml:space="preserve">Issue </w:t>
      </w:r>
      <w:r>
        <w:t>7:</w:t>
      </w:r>
      <w:r w:rsidR="00A46E89">
        <w:fldChar w:fldCharType="begin"/>
      </w:r>
      <w:r w:rsidR="00A46E89">
        <w:instrText xml:space="preserve"> TC "</w:instrText>
      </w:r>
      <w:r w:rsidR="00A46E89">
        <w:fldChar w:fldCharType="begin"/>
      </w:r>
      <w:r w:rsidR="00A46E89">
        <w:instrText xml:space="preserve"> SEQ issue \c </w:instrText>
      </w:r>
      <w:r w:rsidR="00A46E89">
        <w:fldChar w:fldCharType="separate"/>
      </w:r>
      <w:r w:rsidR="006106EC">
        <w:rPr>
          <w:noProof/>
        </w:rPr>
        <w:instrText>6</w:instrText>
      </w:r>
      <w:r w:rsidR="00A46E89">
        <w:fldChar w:fldCharType="end"/>
      </w:r>
      <w:r w:rsidR="00A46E89">
        <w:tab/>
        <w:instrText xml:space="preserve">" \l 1 </w:instrText>
      </w:r>
      <w:r w:rsidR="00A46E89">
        <w:fldChar w:fldCharType="end"/>
      </w:r>
      <w:r w:rsidR="00A46E89">
        <w:t> </w:t>
      </w:r>
    </w:p>
    <w:p w:rsidR="00A46E89" w:rsidRDefault="00A46E89">
      <w:pPr>
        <w:pStyle w:val="BodyText"/>
      </w:pPr>
      <w:r>
        <w:t> </w:t>
      </w:r>
      <w:r w:rsidR="00CF7BDC">
        <w:t xml:space="preserve">Should this </w:t>
      </w:r>
      <w:r w:rsidR="00E8622E">
        <w:t>d</w:t>
      </w:r>
      <w:r w:rsidR="00CF7BDC">
        <w:t>ocket be closed</w:t>
      </w:r>
      <w:r>
        <w:t>?</w:t>
      </w:r>
    </w:p>
    <w:p w:rsidR="00A46E89" w:rsidRPr="004C3641" w:rsidRDefault="00A46E89">
      <w:pPr>
        <w:pStyle w:val="IssueSubsectionHeading"/>
        <w:rPr>
          <w:vanish/>
          <w:specVanish/>
        </w:rPr>
      </w:pPr>
      <w:r w:rsidRPr="004C3641">
        <w:t>Recommendation: </w:t>
      </w:r>
    </w:p>
    <w:p w:rsidR="00A46E89" w:rsidRDefault="00A46E89">
      <w:pPr>
        <w:pStyle w:val="BodyText"/>
      </w:pPr>
      <w:r>
        <w:t> </w:t>
      </w:r>
      <w:r w:rsidR="00E8622E" w:rsidRPr="009C72E9">
        <w:t xml:space="preserve"> </w:t>
      </w:r>
      <w:r w:rsidR="001E7E55">
        <w:t>If no timely protest to the proposed agency action regarding initial rates and charges is filed with the Commission by a substantially affected person, a Consummating Order should be issued. This docket should be closed administratively upon issuance of a Consummating Order.</w:t>
      </w:r>
      <w:r>
        <w:t xml:space="preserve"> </w:t>
      </w:r>
      <w:r w:rsidR="00E8622E">
        <w:t>(Janjic)</w:t>
      </w:r>
    </w:p>
    <w:p w:rsidR="00A46E89" w:rsidRPr="004C3641" w:rsidRDefault="00A46E89">
      <w:pPr>
        <w:pStyle w:val="IssueSubsectionHeading"/>
        <w:rPr>
          <w:vanish/>
          <w:specVanish/>
        </w:rPr>
      </w:pPr>
      <w:r w:rsidRPr="004C3641">
        <w:t>Staff Analysis: </w:t>
      </w:r>
    </w:p>
    <w:p w:rsidR="00A46E89" w:rsidRDefault="00A46E89">
      <w:pPr>
        <w:pStyle w:val="BodyText"/>
      </w:pPr>
      <w:r>
        <w:t> </w:t>
      </w:r>
      <w:r w:rsidR="001E7E55">
        <w:t>If no timely protest to the proposed agency action regarding initial rates and charges is filed with the Commission by a substantially affected person, a Consummating Order should be issued. This docket should be closed administratively upon issuance of a Consummating Order.</w:t>
      </w:r>
    </w:p>
    <w:p w:rsidR="00A46E89" w:rsidRDefault="00A46E89" w:rsidP="00E275D8">
      <w:pPr>
        <w:pStyle w:val="BodyText"/>
        <w:sectPr w:rsidR="00A46E89" w:rsidSect="0068481F">
          <w:headerReference w:type="default" r:id="rId15"/>
          <w:pgSz w:w="12240" w:h="15840" w:code="1"/>
          <w:pgMar w:top="1584" w:right="1440" w:bottom="1440" w:left="1440" w:header="720" w:footer="720" w:gutter="0"/>
          <w:cols w:space="720"/>
          <w:formProt w:val="0"/>
          <w:docGrid w:linePitch="360"/>
        </w:sectPr>
      </w:pPr>
    </w:p>
    <w:p w:rsidR="002E4ED2" w:rsidRDefault="002E4ED2" w:rsidP="002E4ED2">
      <w:pPr>
        <w:jc w:val="center"/>
        <w:rPr>
          <w:b/>
        </w:rPr>
      </w:pPr>
      <w:r>
        <w:rPr>
          <w:b/>
        </w:rPr>
        <w:lastRenderedPageBreak/>
        <w:t>Consolidated Services of Hendry &amp; Collier, LLC</w:t>
      </w:r>
    </w:p>
    <w:p w:rsidR="002E4ED2" w:rsidRDefault="002E4ED2" w:rsidP="002E4ED2">
      <w:pPr>
        <w:jc w:val="center"/>
        <w:rPr>
          <w:b/>
        </w:rPr>
      </w:pPr>
      <w:r>
        <w:rPr>
          <w:b/>
        </w:rPr>
        <w:t>WATER SYSTEM</w:t>
      </w:r>
    </w:p>
    <w:p w:rsidR="002E4ED2" w:rsidRDefault="002E4ED2" w:rsidP="002E4ED2">
      <w:pPr>
        <w:jc w:val="center"/>
      </w:pPr>
    </w:p>
    <w:p w:rsidR="002E4ED2" w:rsidRDefault="002E4ED2" w:rsidP="002E4ED2">
      <w:pPr>
        <w:jc w:val="center"/>
        <w:rPr>
          <w:b/>
        </w:rPr>
      </w:pPr>
      <w:r>
        <w:rPr>
          <w:b/>
        </w:rPr>
        <w:t>Water Rate Base</w:t>
      </w:r>
    </w:p>
    <w:p w:rsidR="0035644D" w:rsidRDefault="0035644D" w:rsidP="002E4ED2">
      <w:pPr>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410"/>
      </w:tblGrid>
      <w:tr w:rsidR="0035644D" w:rsidTr="0035644D">
        <w:tc>
          <w:tcPr>
            <w:tcW w:w="4788" w:type="dxa"/>
          </w:tcPr>
          <w:p w:rsidR="0035644D" w:rsidRDefault="0035644D" w:rsidP="0035644D">
            <w:pPr>
              <w:rPr>
                <w:b/>
              </w:rPr>
            </w:pPr>
            <w:bookmarkStart w:id="19" w:name="OLE_LINK6"/>
            <w:bookmarkStart w:id="20" w:name="OLE_LINK7"/>
            <w:bookmarkStart w:id="21" w:name="OLE_LINK8"/>
            <w:bookmarkStart w:id="22" w:name="OLE_LINK12"/>
            <w:r>
              <w:rPr>
                <w:rFonts w:cstheme="minorHAnsi"/>
              </w:rPr>
              <w:t>Utility Plant in Service</w:t>
            </w:r>
          </w:p>
        </w:tc>
        <w:tc>
          <w:tcPr>
            <w:tcW w:w="4410" w:type="dxa"/>
          </w:tcPr>
          <w:p w:rsidR="0035644D" w:rsidRDefault="0035644D" w:rsidP="0035644D">
            <w:pPr>
              <w:jc w:val="right"/>
              <w:rPr>
                <w:b/>
              </w:rPr>
            </w:pPr>
            <w:r>
              <w:rPr>
                <w:rFonts w:cstheme="minorHAnsi"/>
              </w:rPr>
              <w:t>$ 1,899,568</w:t>
            </w:r>
          </w:p>
        </w:tc>
      </w:tr>
      <w:tr w:rsidR="0035644D" w:rsidTr="0035644D">
        <w:tc>
          <w:tcPr>
            <w:tcW w:w="4788" w:type="dxa"/>
          </w:tcPr>
          <w:p w:rsidR="0035644D" w:rsidRDefault="0035644D" w:rsidP="0035644D">
            <w:pPr>
              <w:rPr>
                <w:b/>
              </w:rPr>
            </w:pPr>
            <w:r>
              <w:rPr>
                <w:rFonts w:cstheme="minorHAnsi"/>
              </w:rPr>
              <w:t>Accumulated Depreciation</w:t>
            </w:r>
          </w:p>
        </w:tc>
        <w:tc>
          <w:tcPr>
            <w:tcW w:w="4410" w:type="dxa"/>
          </w:tcPr>
          <w:p w:rsidR="0035644D" w:rsidRDefault="0035644D" w:rsidP="0035644D">
            <w:pPr>
              <w:jc w:val="right"/>
              <w:rPr>
                <w:b/>
              </w:rPr>
            </w:pPr>
            <w:r>
              <w:rPr>
                <w:rFonts w:cstheme="minorHAnsi"/>
              </w:rPr>
              <w:t>(340,159)</w:t>
            </w:r>
          </w:p>
        </w:tc>
      </w:tr>
      <w:tr w:rsidR="0035644D" w:rsidTr="0035644D">
        <w:tc>
          <w:tcPr>
            <w:tcW w:w="4788" w:type="dxa"/>
          </w:tcPr>
          <w:p w:rsidR="0035644D" w:rsidRDefault="0035644D" w:rsidP="0035644D">
            <w:pPr>
              <w:rPr>
                <w:b/>
              </w:rPr>
            </w:pPr>
            <w:r>
              <w:rPr>
                <w:rFonts w:cstheme="minorHAnsi"/>
              </w:rPr>
              <w:t>Contributions in Aid of Construction (CIAC)</w:t>
            </w:r>
          </w:p>
        </w:tc>
        <w:tc>
          <w:tcPr>
            <w:tcW w:w="4410" w:type="dxa"/>
          </w:tcPr>
          <w:p w:rsidR="0035644D" w:rsidRDefault="0035644D" w:rsidP="0035644D">
            <w:pPr>
              <w:jc w:val="right"/>
              <w:rPr>
                <w:b/>
              </w:rPr>
            </w:pPr>
            <w:r>
              <w:rPr>
                <w:rFonts w:cstheme="minorHAnsi"/>
              </w:rPr>
              <w:t>(1,159,872)</w:t>
            </w:r>
          </w:p>
        </w:tc>
      </w:tr>
      <w:tr w:rsidR="0035644D" w:rsidTr="0035644D">
        <w:tc>
          <w:tcPr>
            <w:tcW w:w="4788" w:type="dxa"/>
          </w:tcPr>
          <w:p w:rsidR="0035644D" w:rsidRDefault="0035644D" w:rsidP="0035644D">
            <w:pPr>
              <w:rPr>
                <w:rFonts w:cstheme="minorHAnsi"/>
              </w:rPr>
            </w:pPr>
            <w:r>
              <w:rPr>
                <w:rFonts w:cstheme="minorHAnsi"/>
              </w:rPr>
              <w:t>Accumulated Amortization of CIAC</w:t>
            </w:r>
            <w:r>
              <w:rPr>
                <w:rFonts w:cstheme="minorHAnsi"/>
              </w:rPr>
              <w:tab/>
            </w:r>
          </w:p>
        </w:tc>
        <w:tc>
          <w:tcPr>
            <w:tcW w:w="4410" w:type="dxa"/>
          </w:tcPr>
          <w:p w:rsidR="0035644D" w:rsidRDefault="0035644D" w:rsidP="0035644D">
            <w:pPr>
              <w:jc w:val="right"/>
              <w:rPr>
                <w:b/>
              </w:rPr>
            </w:pPr>
            <w:r>
              <w:rPr>
                <w:rFonts w:cstheme="minorHAnsi"/>
              </w:rPr>
              <w:t>121,590</w:t>
            </w:r>
          </w:p>
        </w:tc>
      </w:tr>
      <w:tr w:rsidR="0035644D" w:rsidTr="0035644D">
        <w:tc>
          <w:tcPr>
            <w:tcW w:w="4788" w:type="dxa"/>
          </w:tcPr>
          <w:p w:rsidR="0035644D" w:rsidRDefault="0035644D" w:rsidP="0035644D">
            <w:pPr>
              <w:rPr>
                <w:rFonts w:cstheme="minorHAnsi"/>
              </w:rPr>
            </w:pPr>
            <w:r>
              <w:rPr>
                <w:rFonts w:cstheme="minorHAnsi"/>
              </w:rPr>
              <w:t>Working Capital Allowance</w:t>
            </w:r>
            <w:r>
              <w:rPr>
                <w:rFonts w:cstheme="minorHAnsi"/>
              </w:rPr>
              <w:tab/>
            </w:r>
          </w:p>
        </w:tc>
        <w:tc>
          <w:tcPr>
            <w:tcW w:w="4410" w:type="dxa"/>
          </w:tcPr>
          <w:p w:rsidR="0035644D" w:rsidRDefault="0035644D" w:rsidP="0035644D">
            <w:pPr>
              <w:jc w:val="right"/>
              <w:rPr>
                <w:b/>
              </w:rPr>
            </w:pPr>
            <w:r>
              <w:rPr>
                <w:rFonts w:cstheme="minorHAnsi"/>
              </w:rPr>
              <w:t xml:space="preserve"> </w:t>
            </w:r>
            <w:r w:rsidRPr="00180254">
              <w:rPr>
                <w:rFonts w:cstheme="minorHAnsi"/>
                <w:u w:val="single"/>
              </w:rPr>
              <w:t xml:space="preserve"> </w:t>
            </w:r>
            <w:r>
              <w:rPr>
                <w:rFonts w:cstheme="minorHAnsi"/>
                <w:u w:val="single"/>
              </w:rPr>
              <w:t xml:space="preserve">        </w:t>
            </w:r>
            <w:r w:rsidRPr="00180254">
              <w:rPr>
                <w:rFonts w:cstheme="minorHAnsi"/>
                <w:u w:val="single"/>
              </w:rPr>
              <w:t>8,212</w:t>
            </w:r>
          </w:p>
        </w:tc>
      </w:tr>
      <w:tr w:rsidR="0035644D" w:rsidTr="0035644D">
        <w:tc>
          <w:tcPr>
            <w:tcW w:w="4788" w:type="dxa"/>
          </w:tcPr>
          <w:p w:rsidR="0035644D" w:rsidRDefault="0035644D" w:rsidP="0035644D">
            <w:pPr>
              <w:rPr>
                <w:rFonts w:cstheme="minorHAnsi"/>
              </w:rPr>
            </w:pPr>
            <w:r w:rsidRPr="009C03DF">
              <w:rPr>
                <w:rFonts w:cstheme="minorHAnsi"/>
                <w:b/>
              </w:rPr>
              <w:t>Water Rate Base</w:t>
            </w:r>
          </w:p>
        </w:tc>
        <w:tc>
          <w:tcPr>
            <w:tcW w:w="4410" w:type="dxa"/>
          </w:tcPr>
          <w:p w:rsidR="0035644D" w:rsidRDefault="0035644D" w:rsidP="0035644D">
            <w:pPr>
              <w:jc w:val="right"/>
              <w:rPr>
                <w:b/>
              </w:rPr>
            </w:pPr>
            <w:r>
              <w:rPr>
                <w:rFonts w:cstheme="minorHAnsi"/>
                <w:b/>
              </w:rPr>
              <w:t>$ 529,339</w:t>
            </w:r>
          </w:p>
        </w:tc>
      </w:tr>
      <w:bookmarkEnd w:id="19"/>
      <w:bookmarkEnd w:id="20"/>
      <w:bookmarkEnd w:id="21"/>
      <w:bookmarkEnd w:id="22"/>
    </w:tbl>
    <w:p w:rsidR="0035644D" w:rsidRDefault="0035644D" w:rsidP="002E4ED2">
      <w:pPr>
        <w:jc w:val="center"/>
        <w:rPr>
          <w:b/>
        </w:rPr>
      </w:pPr>
    </w:p>
    <w:p w:rsidR="002E4ED2" w:rsidRDefault="002E4ED2" w:rsidP="002E4ED2">
      <w:pPr>
        <w:jc w:val="center"/>
        <w:rPr>
          <w:b/>
        </w:rPr>
      </w:pPr>
      <w:r>
        <w:rPr>
          <w:b/>
        </w:rPr>
        <w:t>Water Revenue Requirement</w:t>
      </w:r>
    </w:p>
    <w:p w:rsidR="0035644D" w:rsidRDefault="0035644D" w:rsidP="002E4ED2">
      <w:pPr>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410"/>
      </w:tblGrid>
      <w:tr w:rsidR="0035644D" w:rsidTr="0035644D">
        <w:tc>
          <w:tcPr>
            <w:tcW w:w="4788" w:type="dxa"/>
          </w:tcPr>
          <w:p w:rsidR="0035644D" w:rsidRDefault="0035644D" w:rsidP="009F1902">
            <w:pPr>
              <w:rPr>
                <w:b/>
              </w:rPr>
            </w:pPr>
            <w:bookmarkStart w:id="23" w:name="OLE_LINK13"/>
            <w:bookmarkStart w:id="24" w:name="OLE_LINK14"/>
            <w:r>
              <w:rPr>
                <w:rFonts w:cstheme="minorHAnsi"/>
              </w:rPr>
              <w:t>Revenue Requirement</w:t>
            </w:r>
          </w:p>
        </w:tc>
        <w:tc>
          <w:tcPr>
            <w:tcW w:w="4410" w:type="dxa"/>
          </w:tcPr>
          <w:p w:rsidR="0035644D" w:rsidRDefault="0035644D" w:rsidP="009F1902">
            <w:pPr>
              <w:jc w:val="right"/>
              <w:rPr>
                <w:b/>
              </w:rPr>
            </w:pPr>
            <w:r>
              <w:rPr>
                <w:rFonts w:cstheme="minorHAnsi"/>
              </w:rPr>
              <w:t>$    139,353</w:t>
            </w:r>
          </w:p>
        </w:tc>
      </w:tr>
      <w:tr w:rsidR="0035644D" w:rsidTr="0035644D">
        <w:tc>
          <w:tcPr>
            <w:tcW w:w="4788" w:type="dxa"/>
          </w:tcPr>
          <w:p w:rsidR="0035644D" w:rsidRDefault="0035644D" w:rsidP="009F1902">
            <w:pPr>
              <w:rPr>
                <w:b/>
              </w:rPr>
            </w:pPr>
            <w:r>
              <w:rPr>
                <w:rFonts w:cstheme="minorHAnsi"/>
              </w:rPr>
              <w:t>Operation and Maintenance Expense</w:t>
            </w:r>
          </w:p>
        </w:tc>
        <w:tc>
          <w:tcPr>
            <w:tcW w:w="4410" w:type="dxa"/>
          </w:tcPr>
          <w:p w:rsidR="0035644D" w:rsidRDefault="0035644D" w:rsidP="009F1902">
            <w:pPr>
              <w:jc w:val="right"/>
              <w:rPr>
                <w:b/>
              </w:rPr>
            </w:pPr>
            <w:r>
              <w:rPr>
                <w:rFonts w:cstheme="minorHAnsi"/>
              </w:rPr>
              <w:t>65,694</w:t>
            </w:r>
          </w:p>
        </w:tc>
      </w:tr>
      <w:tr w:rsidR="0035644D" w:rsidTr="0035644D">
        <w:tc>
          <w:tcPr>
            <w:tcW w:w="4788" w:type="dxa"/>
          </w:tcPr>
          <w:p w:rsidR="0035644D" w:rsidRDefault="0035644D" w:rsidP="009F1902">
            <w:pPr>
              <w:rPr>
                <w:b/>
              </w:rPr>
            </w:pPr>
            <w:r>
              <w:rPr>
                <w:rFonts w:cstheme="minorHAnsi"/>
              </w:rPr>
              <w:t>Depreciation Expense</w:t>
            </w:r>
          </w:p>
        </w:tc>
        <w:tc>
          <w:tcPr>
            <w:tcW w:w="4410" w:type="dxa"/>
          </w:tcPr>
          <w:p w:rsidR="0035644D" w:rsidRDefault="0035644D" w:rsidP="009F1902">
            <w:pPr>
              <w:jc w:val="right"/>
              <w:rPr>
                <w:b/>
              </w:rPr>
            </w:pPr>
            <w:r>
              <w:rPr>
                <w:rFonts w:cstheme="minorHAnsi"/>
              </w:rPr>
              <w:t>67,245</w:t>
            </w:r>
          </w:p>
        </w:tc>
      </w:tr>
      <w:tr w:rsidR="0035644D" w:rsidTr="0035644D">
        <w:tc>
          <w:tcPr>
            <w:tcW w:w="4788" w:type="dxa"/>
          </w:tcPr>
          <w:p w:rsidR="0035644D" w:rsidRDefault="0035644D" w:rsidP="009F1902">
            <w:pPr>
              <w:rPr>
                <w:rFonts w:cstheme="minorHAnsi"/>
              </w:rPr>
            </w:pPr>
            <w:r>
              <w:rPr>
                <w:rFonts w:cstheme="minorHAnsi"/>
              </w:rPr>
              <w:t>CIAC Amortization Expense</w:t>
            </w:r>
          </w:p>
        </w:tc>
        <w:tc>
          <w:tcPr>
            <w:tcW w:w="4410" w:type="dxa"/>
          </w:tcPr>
          <w:p w:rsidR="0035644D" w:rsidRDefault="0035644D" w:rsidP="009F1902">
            <w:pPr>
              <w:jc w:val="right"/>
              <w:rPr>
                <w:b/>
              </w:rPr>
            </w:pPr>
            <w:r>
              <w:rPr>
                <w:rFonts w:cstheme="minorHAnsi"/>
              </w:rPr>
              <w:t>(41,059)</w:t>
            </w:r>
          </w:p>
        </w:tc>
      </w:tr>
      <w:tr w:rsidR="0035644D" w:rsidTr="0035644D">
        <w:tc>
          <w:tcPr>
            <w:tcW w:w="4788" w:type="dxa"/>
          </w:tcPr>
          <w:p w:rsidR="0035644D" w:rsidRDefault="0035644D" w:rsidP="009F1902">
            <w:pPr>
              <w:rPr>
                <w:rFonts w:cstheme="minorHAnsi"/>
              </w:rPr>
            </w:pPr>
            <w:r>
              <w:rPr>
                <w:rFonts w:cstheme="minorHAnsi"/>
              </w:rPr>
              <w:t>Taxes Other Than Income</w:t>
            </w:r>
          </w:p>
        </w:tc>
        <w:tc>
          <w:tcPr>
            <w:tcW w:w="4410" w:type="dxa"/>
          </w:tcPr>
          <w:p w:rsidR="0035644D" w:rsidRDefault="000509A8" w:rsidP="009F1902">
            <w:pPr>
              <w:jc w:val="right"/>
              <w:rPr>
                <w:b/>
              </w:rPr>
            </w:pPr>
            <w:r>
              <w:rPr>
                <w:rFonts w:cstheme="minorHAnsi"/>
                <w:u w:val="single"/>
              </w:rPr>
              <w:t xml:space="preserve">       </w:t>
            </w:r>
            <w:r w:rsidR="0035644D" w:rsidRPr="00FC2916">
              <w:rPr>
                <w:rFonts w:cstheme="minorHAnsi"/>
                <w:u w:val="single"/>
              </w:rPr>
              <w:t>8,779</w:t>
            </w:r>
          </w:p>
        </w:tc>
      </w:tr>
      <w:tr w:rsidR="0035644D" w:rsidTr="0035644D">
        <w:tc>
          <w:tcPr>
            <w:tcW w:w="4788" w:type="dxa"/>
          </w:tcPr>
          <w:p w:rsidR="0035644D" w:rsidRDefault="0035644D" w:rsidP="009F1902">
            <w:pPr>
              <w:rPr>
                <w:rFonts w:cstheme="minorHAnsi"/>
              </w:rPr>
            </w:pPr>
            <w:r>
              <w:rPr>
                <w:rFonts w:cstheme="minorHAnsi"/>
              </w:rPr>
              <w:t>Total Operating Expense</w:t>
            </w:r>
          </w:p>
        </w:tc>
        <w:tc>
          <w:tcPr>
            <w:tcW w:w="4410" w:type="dxa"/>
          </w:tcPr>
          <w:p w:rsidR="0035644D" w:rsidRDefault="0035644D" w:rsidP="009F1902">
            <w:pPr>
              <w:jc w:val="right"/>
              <w:rPr>
                <w:b/>
              </w:rPr>
            </w:pPr>
            <w:r>
              <w:rPr>
                <w:rFonts w:cstheme="minorHAnsi"/>
              </w:rPr>
              <w:t>$    100,659</w:t>
            </w:r>
          </w:p>
        </w:tc>
      </w:tr>
      <w:tr w:rsidR="0035644D" w:rsidTr="0035644D">
        <w:tc>
          <w:tcPr>
            <w:tcW w:w="4788" w:type="dxa"/>
          </w:tcPr>
          <w:p w:rsidR="0035644D" w:rsidRDefault="0035644D" w:rsidP="009F1902">
            <w:pPr>
              <w:rPr>
                <w:rFonts w:cstheme="minorHAnsi"/>
              </w:rPr>
            </w:pPr>
            <w:r>
              <w:rPr>
                <w:rFonts w:cstheme="minorHAnsi"/>
              </w:rPr>
              <w:t>Return on Investment</w:t>
            </w:r>
          </w:p>
        </w:tc>
        <w:tc>
          <w:tcPr>
            <w:tcW w:w="4410" w:type="dxa"/>
          </w:tcPr>
          <w:p w:rsidR="0035644D" w:rsidRDefault="0035644D" w:rsidP="009F1902">
            <w:pPr>
              <w:jc w:val="right"/>
              <w:rPr>
                <w:b/>
              </w:rPr>
            </w:pPr>
            <w:r>
              <w:rPr>
                <w:rFonts w:cstheme="minorHAnsi"/>
              </w:rPr>
              <w:t>38,695</w:t>
            </w:r>
          </w:p>
        </w:tc>
      </w:tr>
      <w:tr w:rsidR="0035644D" w:rsidTr="0035644D">
        <w:tc>
          <w:tcPr>
            <w:tcW w:w="4788" w:type="dxa"/>
          </w:tcPr>
          <w:p w:rsidR="0035644D" w:rsidRDefault="0035644D" w:rsidP="009F1902">
            <w:pPr>
              <w:rPr>
                <w:rFonts w:cstheme="minorHAnsi"/>
              </w:rPr>
            </w:pPr>
          </w:p>
        </w:tc>
        <w:tc>
          <w:tcPr>
            <w:tcW w:w="4410" w:type="dxa"/>
          </w:tcPr>
          <w:p w:rsidR="0035644D" w:rsidRDefault="0035644D" w:rsidP="009F1902">
            <w:pPr>
              <w:jc w:val="right"/>
              <w:rPr>
                <w:b/>
              </w:rPr>
            </w:pPr>
          </w:p>
        </w:tc>
      </w:tr>
      <w:tr w:rsidR="0035644D" w:rsidTr="0035644D">
        <w:tc>
          <w:tcPr>
            <w:tcW w:w="4788" w:type="dxa"/>
          </w:tcPr>
          <w:p w:rsidR="0035644D" w:rsidRDefault="0035644D" w:rsidP="009F1902">
            <w:pPr>
              <w:rPr>
                <w:rFonts w:cstheme="minorHAnsi"/>
              </w:rPr>
            </w:pPr>
            <w:r>
              <w:rPr>
                <w:rFonts w:cstheme="minorHAnsi"/>
              </w:rPr>
              <w:t>Water Rate Base</w:t>
            </w:r>
          </w:p>
        </w:tc>
        <w:tc>
          <w:tcPr>
            <w:tcW w:w="4410" w:type="dxa"/>
          </w:tcPr>
          <w:p w:rsidR="0035644D" w:rsidRDefault="0035644D" w:rsidP="009F1902">
            <w:pPr>
              <w:jc w:val="right"/>
              <w:rPr>
                <w:b/>
              </w:rPr>
            </w:pPr>
            <w:r>
              <w:rPr>
                <w:rFonts w:cstheme="minorHAnsi"/>
              </w:rPr>
              <w:t>$    529,339</w:t>
            </w:r>
          </w:p>
        </w:tc>
      </w:tr>
      <w:tr w:rsidR="0035644D" w:rsidTr="0035644D">
        <w:tc>
          <w:tcPr>
            <w:tcW w:w="4788" w:type="dxa"/>
          </w:tcPr>
          <w:p w:rsidR="0035644D" w:rsidRDefault="0035644D" w:rsidP="009F1902">
            <w:pPr>
              <w:rPr>
                <w:rFonts w:cstheme="minorHAnsi"/>
              </w:rPr>
            </w:pPr>
            <w:r>
              <w:rPr>
                <w:rFonts w:cstheme="minorHAnsi"/>
              </w:rPr>
              <w:t>Rate of Return</w:t>
            </w:r>
            <w:r>
              <w:rPr>
                <w:rFonts w:cstheme="minorHAnsi"/>
              </w:rPr>
              <w:tab/>
            </w:r>
          </w:p>
        </w:tc>
        <w:tc>
          <w:tcPr>
            <w:tcW w:w="4410" w:type="dxa"/>
          </w:tcPr>
          <w:p w:rsidR="0035644D" w:rsidRDefault="0035644D" w:rsidP="009F1902">
            <w:pPr>
              <w:jc w:val="right"/>
              <w:rPr>
                <w:b/>
              </w:rPr>
            </w:pPr>
            <w:r>
              <w:rPr>
                <w:rFonts w:cstheme="minorHAnsi"/>
              </w:rPr>
              <w:t>7.31%</w:t>
            </w:r>
          </w:p>
        </w:tc>
      </w:tr>
      <w:bookmarkEnd w:id="23"/>
      <w:bookmarkEnd w:id="24"/>
    </w:tbl>
    <w:p w:rsidR="002E4ED2" w:rsidRDefault="002E4ED2" w:rsidP="002E4ED2"/>
    <w:p w:rsidR="00A266C6" w:rsidRDefault="00A266C6" w:rsidP="00A266C6">
      <w:pPr>
        <w:jc w:val="center"/>
        <w:rPr>
          <w:b/>
        </w:rPr>
      </w:pPr>
      <w:r w:rsidRPr="001D6F98">
        <w:rPr>
          <w:b/>
        </w:rPr>
        <w:t xml:space="preserve">Monthly Water </w:t>
      </w:r>
      <w:r>
        <w:rPr>
          <w:b/>
        </w:rPr>
        <w:t>Service Rates</w:t>
      </w:r>
    </w:p>
    <w:p w:rsidR="00A266C6" w:rsidRDefault="00A266C6" w:rsidP="00A266C6">
      <w:pPr>
        <w:jc w:val="center"/>
        <w:rPr>
          <w:b/>
        </w:rPr>
      </w:pPr>
    </w:p>
    <w:p w:rsidR="00A266C6" w:rsidRPr="001D6F98" w:rsidRDefault="00A266C6" w:rsidP="00A266C6">
      <w:pPr>
        <w:rPr>
          <w:b/>
        </w:rPr>
      </w:pPr>
      <w:r w:rsidRPr="001D6F98">
        <w:rPr>
          <w:b/>
        </w:rPr>
        <w:t>Residential and General Service</w:t>
      </w:r>
    </w:p>
    <w:tbl>
      <w:tblPr>
        <w:tblW w:w="9090" w:type="dxa"/>
        <w:tblInd w:w="18" w:type="dxa"/>
        <w:tblLook w:val="01E0" w:firstRow="1" w:lastRow="1" w:firstColumn="1" w:lastColumn="1" w:noHBand="0" w:noVBand="0"/>
      </w:tblPr>
      <w:tblGrid>
        <w:gridCol w:w="3150"/>
        <w:gridCol w:w="1329"/>
        <w:gridCol w:w="4611"/>
      </w:tblGrid>
      <w:tr w:rsidR="00A266C6" w:rsidTr="009F1902">
        <w:tc>
          <w:tcPr>
            <w:tcW w:w="9090" w:type="dxa"/>
            <w:gridSpan w:val="3"/>
            <w:hideMark/>
          </w:tcPr>
          <w:p w:rsidR="00A266C6" w:rsidRDefault="00A266C6" w:rsidP="009F1902">
            <w:pPr>
              <w:tabs>
                <w:tab w:val="left" w:pos="-720"/>
                <w:tab w:val="left" w:pos="-57"/>
                <w:tab w:val="left" w:pos="0"/>
                <w:tab w:val="left" w:pos="1440"/>
                <w:tab w:val="left" w:pos="4320"/>
                <w:tab w:val="left" w:pos="4851"/>
                <w:tab w:val="left" w:pos="5040"/>
                <w:tab w:val="left" w:pos="5136"/>
                <w:tab w:val="left" w:pos="6480"/>
                <w:tab w:val="left" w:pos="7200"/>
                <w:tab w:val="left" w:pos="7740"/>
                <w:tab w:val="left" w:pos="8640"/>
                <w:tab w:val="left" w:pos="9360"/>
                <w:tab w:val="left" w:pos="10080"/>
              </w:tabs>
            </w:pPr>
            <w:r>
              <w:t>Base Facility Charge by Meter Size</w:t>
            </w:r>
          </w:p>
        </w:tc>
      </w:tr>
      <w:tr w:rsidR="00A266C6" w:rsidTr="009F1902">
        <w:tc>
          <w:tcPr>
            <w:tcW w:w="3150" w:type="dxa"/>
            <w:hideMark/>
          </w:tcPr>
          <w:p w:rsidR="00A266C6" w:rsidRDefault="00A266C6" w:rsidP="009F1902">
            <w:pPr>
              <w:tabs>
                <w:tab w:val="left" w:pos="-720"/>
                <w:tab w:val="left" w:pos="-57"/>
                <w:tab w:val="left" w:pos="0"/>
                <w:tab w:val="left" w:pos="5040"/>
                <w:tab w:val="left" w:pos="5760"/>
                <w:tab w:val="left" w:pos="6480"/>
                <w:tab w:val="left" w:pos="7200"/>
                <w:tab w:val="left" w:pos="7740"/>
                <w:tab w:val="left" w:pos="8640"/>
                <w:tab w:val="left" w:pos="9360"/>
                <w:tab w:val="left" w:pos="10080"/>
              </w:tabs>
              <w:ind w:right="1773"/>
              <w:jc w:val="right"/>
            </w:pPr>
            <w:r>
              <w:t>5/8" x 3/4"</w:t>
            </w:r>
          </w:p>
        </w:tc>
        <w:tc>
          <w:tcPr>
            <w:tcW w:w="5940" w:type="dxa"/>
            <w:gridSpan w:val="2"/>
            <w:hideMark/>
          </w:tcPr>
          <w:p w:rsidR="00A266C6" w:rsidRDefault="00A266C6" w:rsidP="009F1902">
            <w:pPr>
              <w:tabs>
                <w:tab w:val="left" w:pos="-720"/>
                <w:tab w:val="left" w:pos="-57"/>
                <w:tab w:val="left" w:pos="0"/>
                <w:tab w:val="left" w:pos="1440"/>
                <w:tab w:val="left" w:pos="4320"/>
                <w:tab w:val="left" w:pos="4851"/>
                <w:tab w:val="left" w:pos="5040"/>
                <w:tab w:val="left" w:pos="5136"/>
                <w:tab w:val="left" w:pos="6480"/>
                <w:tab w:val="left" w:pos="7200"/>
                <w:tab w:val="left" w:pos="7740"/>
                <w:tab w:val="left" w:pos="8640"/>
                <w:tab w:val="left" w:pos="9360"/>
                <w:tab w:val="left" w:pos="10080"/>
              </w:tabs>
              <w:jc w:val="right"/>
            </w:pPr>
            <w:r>
              <w:t xml:space="preserve">$19.36 </w:t>
            </w:r>
          </w:p>
        </w:tc>
      </w:tr>
      <w:tr w:rsidR="00A266C6" w:rsidTr="009F1902">
        <w:tc>
          <w:tcPr>
            <w:tcW w:w="3150" w:type="dxa"/>
            <w:hideMark/>
          </w:tcPr>
          <w:p w:rsidR="00A266C6" w:rsidRDefault="00A266C6" w:rsidP="009F1902">
            <w:pPr>
              <w:tabs>
                <w:tab w:val="left" w:pos="-720"/>
                <w:tab w:val="left" w:pos="-57"/>
                <w:tab w:val="left" w:pos="0"/>
                <w:tab w:val="left" w:pos="5040"/>
                <w:tab w:val="left" w:pos="5760"/>
                <w:tab w:val="left" w:pos="6480"/>
                <w:tab w:val="left" w:pos="7200"/>
                <w:tab w:val="left" w:pos="7740"/>
                <w:tab w:val="left" w:pos="8640"/>
                <w:tab w:val="left" w:pos="9360"/>
                <w:tab w:val="left" w:pos="10080"/>
              </w:tabs>
              <w:ind w:right="1773"/>
              <w:jc w:val="right"/>
            </w:pPr>
            <w:r>
              <w:t>3/4”</w:t>
            </w:r>
          </w:p>
        </w:tc>
        <w:tc>
          <w:tcPr>
            <w:tcW w:w="5940" w:type="dxa"/>
            <w:gridSpan w:val="2"/>
            <w:hideMark/>
          </w:tcPr>
          <w:p w:rsidR="00A266C6" w:rsidRDefault="00A266C6" w:rsidP="009F1902">
            <w:pPr>
              <w:tabs>
                <w:tab w:val="left" w:pos="-720"/>
                <w:tab w:val="left" w:pos="-57"/>
                <w:tab w:val="left" w:pos="0"/>
                <w:tab w:val="left" w:pos="1440"/>
                <w:tab w:val="left" w:pos="4320"/>
                <w:tab w:val="left" w:pos="4851"/>
                <w:tab w:val="left" w:pos="5040"/>
                <w:tab w:val="left" w:pos="5136"/>
                <w:tab w:val="left" w:pos="6480"/>
                <w:tab w:val="left" w:pos="7200"/>
                <w:tab w:val="left" w:pos="7740"/>
                <w:tab w:val="left" w:pos="8640"/>
                <w:tab w:val="left" w:pos="9360"/>
                <w:tab w:val="left" w:pos="10080"/>
              </w:tabs>
              <w:jc w:val="right"/>
            </w:pPr>
            <w:r>
              <w:t>$29.04</w:t>
            </w:r>
          </w:p>
        </w:tc>
      </w:tr>
      <w:tr w:rsidR="00A266C6" w:rsidTr="009F1902">
        <w:tc>
          <w:tcPr>
            <w:tcW w:w="3150" w:type="dxa"/>
            <w:hideMark/>
          </w:tcPr>
          <w:p w:rsidR="00A266C6" w:rsidRDefault="00A266C6" w:rsidP="009F1902">
            <w:pPr>
              <w:tabs>
                <w:tab w:val="left" w:pos="-720"/>
                <w:tab w:val="left" w:pos="-57"/>
                <w:tab w:val="left" w:pos="0"/>
                <w:tab w:val="left" w:pos="5040"/>
                <w:tab w:val="left" w:pos="5760"/>
                <w:tab w:val="left" w:pos="6480"/>
                <w:tab w:val="left" w:pos="7200"/>
                <w:tab w:val="left" w:pos="7740"/>
                <w:tab w:val="left" w:pos="8640"/>
                <w:tab w:val="left" w:pos="9360"/>
                <w:tab w:val="left" w:pos="10080"/>
              </w:tabs>
              <w:ind w:right="1773"/>
              <w:jc w:val="right"/>
            </w:pPr>
            <w:r>
              <w:t>1"</w:t>
            </w:r>
          </w:p>
        </w:tc>
        <w:tc>
          <w:tcPr>
            <w:tcW w:w="5940" w:type="dxa"/>
            <w:gridSpan w:val="2"/>
            <w:hideMark/>
          </w:tcPr>
          <w:p w:rsidR="00A266C6" w:rsidRDefault="00A266C6" w:rsidP="009F1902">
            <w:pPr>
              <w:tabs>
                <w:tab w:val="left" w:pos="-720"/>
                <w:tab w:val="left" w:pos="-57"/>
                <w:tab w:val="left" w:pos="0"/>
                <w:tab w:val="left" w:pos="1440"/>
                <w:tab w:val="left" w:pos="4320"/>
                <w:tab w:val="left" w:pos="4851"/>
                <w:tab w:val="left" w:pos="5040"/>
                <w:tab w:val="left" w:pos="5136"/>
                <w:tab w:val="left" w:pos="6480"/>
                <w:tab w:val="left" w:pos="7200"/>
                <w:tab w:val="left" w:pos="7740"/>
                <w:tab w:val="left" w:pos="8640"/>
                <w:tab w:val="left" w:pos="9360"/>
                <w:tab w:val="left" w:pos="10080"/>
              </w:tabs>
              <w:jc w:val="right"/>
            </w:pPr>
            <w:r>
              <w:t xml:space="preserve">            $48.40 </w:t>
            </w:r>
          </w:p>
        </w:tc>
      </w:tr>
      <w:tr w:rsidR="00A266C6" w:rsidTr="009F1902">
        <w:tc>
          <w:tcPr>
            <w:tcW w:w="3150" w:type="dxa"/>
            <w:hideMark/>
          </w:tcPr>
          <w:p w:rsidR="00A266C6" w:rsidRDefault="00A266C6" w:rsidP="009F1902">
            <w:pPr>
              <w:tabs>
                <w:tab w:val="left" w:pos="-720"/>
                <w:tab w:val="left" w:pos="-57"/>
                <w:tab w:val="left" w:pos="0"/>
                <w:tab w:val="left" w:pos="5040"/>
                <w:tab w:val="left" w:pos="5760"/>
                <w:tab w:val="left" w:pos="6480"/>
                <w:tab w:val="left" w:pos="7200"/>
                <w:tab w:val="left" w:pos="7740"/>
                <w:tab w:val="left" w:pos="8640"/>
                <w:tab w:val="left" w:pos="9360"/>
                <w:tab w:val="left" w:pos="10080"/>
              </w:tabs>
              <w:ind w:right="1773"/>
              <w:jc w:val="right"/>
            </w:pPr>
            <w:r>
              <w:t>1 1/2”</w:t>
            </w:r>
          </w:p>
        </w:tc>
        <w:tc>
          <w:tcPr>
            <w:tcW w:w="5940" w:type="dxa"/>
            <w:gridSpan w:val="2"/>
            <w:hideMark/>
          </w:tcPr>
          <w:p w:rsidR="00A266C6" w:rsidRDefault="00A266C6" w:rsidP="009F1902">
            <w:pPr>
              <w:tabs>
                <w:tab w:val="left" w:pos="-720"/>
                <w:tab w:val="left" w:pos="-57"/>
                <w:tab w:val="left" w:pos="0"/>
                <w:tab w:val="left" w:pos="1440"/>
                <w:tab w:val="left" w:pos="4320"/>
                <w:tab w:val="left" w:pos="4851"/>
                <w:tab w:val="left" w:pos="5040"/>
                <w:tab w:val="left" w:pos="5136"/>
                <w:tab w:val="left" w:pos="6480"/>
                <w:tab w:val="left" w:pos="7200"/>
                <w:tab w:val="left" w:pos="7740"/>
                <w:tab w:val="left" w:pos="8640"/>
                <w:tab w:val="left" w:pos="9360"/>
                <w:tab w:val="left" w:pos="10080"/>
              </w:tabs>
              <w:jc w:val="right"/>
            </w:pPr>
            <w:r>
              <w:t>           $96.80</w:t>
            </w:r>
          </w:p>
        </w:tc>
      </w:tr>
      <w:tr w:rsidR="00A266C6" w:rsidTr="009F1902">
        <w:tc>
          <w:tcPr>
            <w:tcW w:w="3150" w:type="dxa"/>
            <w:hideMark/>
          </w:tcPr>
          <w:p w:rsidR="00A266C6" w:rsidRDefault="00A266C6" w:rsidP="009F1902">
            <w:pPr>
              <w:tabs>
                <w:tab w:val="left" w:pos="-720"/>
                <w:tab w:val="left" w:pos="-57"/>
                <w:tab w:val="left" w:pos="0"/>
                <w:tab w:val="left" w:pos="5040"/>
                <w:tab w:val="left" w:pos="5760"/>
                <w:tab w:val="left" w:pos="6480"/>
                <w:tab w:val="left" w:pos="7200"/>
                <w:tab w:val="left" w:pos="7740"/>
                <w:tab w:val="left" w:pos="8640"/>
                <w:tab w:val="left" w:pos="9360"/>
                <w:tab w:val="left" w:pos="10080"/>
              </w:tabs>
              <w:ind w:right="1773"/>
              <w:jc w:val="right"/>
            </w:pPr>
            <w:r>
              <w:t>2"</w:t>
            </w:r>
          </w:p>
        </w:tc>
        <w:tc>
          <w:tcPr>
            <w:tcW w:w="5940" w:type="dxa"/>
            <w:gridSpan w:val="2"/>
            <w:hideMark/>
          </w:tcPr>
          <w:p w:rsidR="00A266C6" w:rsidRDefault="00A266C6" w:rsidP="009F1902">
            <w:pPr>
              <w:tabs>
                <w:tab w:val="left" w:pos="-720"/>
                <w:tab w:val="left" w:pos="-57"/>
                <w:tab w:val="left" w:pos="0"/>
                <w:tab w:val="left" w:pos="1440"/>
                <w:tab w:val="left" w:pos="4320"/>
                <w:tab w:val="left" w:pos="4851"/>
                <w:tab w:val="left" w:pos="5040"/>
                <w:tab w:val="left" w:pos="5136"/>
                <w:tab w:val="left" w:pos="6480"/>
                <w:tab w:val="left" w:pos="7200"/>
                <w:tab w:val="left" w:pos="7740"/>
                <w:tab w:val="left" w:pos="8640"/>
                <w:tab w:val="left" w:pos="9360"/>
                <w:tab w:val="left" w:pos="10080"/>
              </w:tabs>
              <w:jc w:val="right"/>
            </w:pPr>
            <w:r>
              <w:t xml:space="preserve">         $154.88 </w:t>
            </w:r>
          </w:p>
        </w:tc>
      </w:tr>
      <w:tr w:rsidR="00A266C6" w:rsidTr="009F1902">
        <w:tc>
          <w:tcPr>
            <w:tcW w:w="3150" w:type="dxa"/>
            <w:hideMark/>
          </w:tcPr>
          <w:p w:rsidR="00A266C6" w:rsidRDefault="00A266C6" w:rsidP="009F1902">
            <w:pPr>
              <w:tabs>
                <w:tab w:val="left" w:pos="-720"/>
                <w:tab w:val="left" w:pos="-57"/>
                <w:tab w:val="left" w:pos="0"/>
                <w:tab w:val="left" w:pos="5040"/>
                <w:tab w:val="left" w:pos="5760"/>
                <w:tab w:val="left" w:pos="6480"/>
                <w:tab w:val="left" w:pos="7200"/>
                <w:tab w:val="left" w:pos="7740"/>
                <w:tab w:val="left" w:pos="8640"/>
                <w:tab w:val="left" w:pos="9360"/>
                <w:tab w:val="left" w:pos="10080"/>
              </w:tabs>
              <w:ind w:right="1773"/>
              <w:jc w:val="right"/>
            </w:pPr>
            <w:r>
              <w:t>3"</w:t>
            </w:r>
          </w:p>
        </w:tc>
        <w:tc>
          <w:tcPr>
            <w:tcW w:w="5940" w:type="dxa"/>
            <w:gridSpan w:val="2"/>
            <w:hideMark/>
          </w:tcPr>
          <w:p w:rsidR="00A266C6" w:rsidRDefault="00A266C6" w:rsidP="009F1902">
            <w:pPr>
              <w:tabs>
                <w:tab w:val="left" w:pos="-720"/>
                <w:tab w:val="left" w:pos="-57"/>
                <w:tab w:val="left" w:pos="0"/>
                <w:tab w:val="left" w:pos="1440"/>
                <w:tab w:val="left" w:pos="4320"/>
                <w:tab w:val="left" w:pos="4851"/>
                <w:tab w:val="left" w:pos="5040"/>
                <w:tab w:val="left" w:pos="5136"/>
                <w:tab w:val="left" w:pos="6480"/>
                <w:tab w:val="left" w:pos="7200"/>
                <w:tab w:val="left" w:pos="7740"/>
                <w:tab w:val="left" w:pos="8640"/>
                <w:tab w:val="left" w:pos="9360"/>
                <w:tab w:val="left" w:pos="10080"/>
              </w:tabs>
              <w:jc w:val="right"/>
            </w:pPr>
            <w:r>
              <w:t xml:space="preserve">          $309.76 </w:t>
            </w:r>
          </w:p>
        </w:tc>
      </w:tr>
      <w:tr w:rsidR="00A266C6" w:rsidTr="009F1902">
        <w:tc>
          <w:tcPr>
            <w:tcW w:w="3150" w:type="dxa"/>
            <w:hideMark/>
          </w:tcPr>
          <w:p w:rsidR="00A266C6" w:rsidRDefault="00A266C6" w:rsidP="009F1902">
            <w:pPr>
              <w:tabs>
                <w:tab w:val="left" w:pos="-720"/>
                <w:tab w:val="left" w:pos="-57"/>
                <w:tab w:val="left" w:pos="0"/>
                <w:tab w:val="left" w:pos="5040"/>
                <w:tab w:val="left" w:pos="5760"/>
                <w:tab w:val="left" w:pos="6480"/>
                <w:tab w:val="left" w:pos="7200"/>
                <w:tab w:val="left" w:pos="7740"/>
                <w:tab w:val="left" w:pos="8640"/>
                <w:tab w:val="left" w:pos="9360"/>
                <w:tab w:val="left" w:pos="10080"/>
              </w:tabs>
              <w:ind w:right="1773"/>
              <w:jc w:val="right"/>
            </w:pPr>
            <w:r>
              <w:t>4”</w:t>
            </w:r>
          </w:p>
        </w:tc>
        <w:tc>
          <w:tcPr>
            <w:tcW w:w="5940" w:type="dxa"/>
            <w:gridSpan w:val="2"/>
            <w:hideMark/>
          </w:tcPr>
          <w:p w:rsidR="00A266C6" w:rsidRDefault="00A266C6" w:rsidP="009F1902">
            <w:pPr>
              <w:tabs>
                <w:tab w:val="left" w:pos="-720"/>
                <w:tab w:val="left" w:pos="-57"/>
                <w:tab w:val="left" w:pos="0"/>
                <w:tab w:val="left" w:pos="1440"/>
                <w:tab w:val="left" w:pos="4320"/>
                <w:tab w:val="left" w:pos="4851"/>
                <w:tab w:val="left" w:pos="5040"/>
                <w:tab w:val="left" w:pos="5136"/>
                <w:tab w:val="left" w:pos="6480"/>
                <w:tab w:val="left" w:pos="7200"/>
                <w:tab w:val="left" w:pos="7740"/>
                <w:tab w:val="left" w:pos="8640"/>
                <w:tab w:val="left" w:pos="9360"/>
                <w:tab w:val="left" w:pos="10080"/>
              </w:tabs>
              <w:jc w:val="right"/>
            </w:pPr>
            <w:r>
              <w:t>$484.00</w:t>
            </w:r>
          </w:p>
        </w:tc>
      </w:tr>
      <w:tr w:rsidR="00A266C6" w:rsidTr="009F1902">
        <w:tc>
          <w:tcPr>
            <w:tcW w:w="4479" w:type="dxa"/>
            <w:gridSpan w:val="2"/>
            <w:hideMark/>
          </w:tcPr>
          <w:p w:rsidR="00A266C6" w:rsidRDefault="00A266C6" w:rsidP="009F1902">
            <w:pPr>
              <w:tabs>
                <w:tab w:val="left" w:pos="-720"/>
                <w:tab w:val="left" w:pos="-57"/>
                <w:tab w:val="left" w:pos="0"/>
                <w:tab w:val="left" w:pos="1440"/>
                <w:tab w:val="left" w:pos="5040"/>
                <w:tab w:val="left" w:pos="5760"/>
                <w:tab w:val="left" w:pos="6480"/>
                <w:tab w:val="left" w:pos="7200"/>
                <w:tab w:val="left" w:pos="7740"/>
                <w:tab w:val="left" w:pos="8640"/>
                <w:tab w:val="left" w:pos="9360"/>
                <w:tab w:val="left" w:pos="10080"/>
              </w:tabs>
            </w:pPr>
            <w:r>
              <w:t>Charge per 1,000 gallons</w:t>
            </w:r>
          </w:p>
        </w:tc>
        <w:tc>
          <w:tcPr>
            <w:tcW w:w="4611" w:type="dxa"/>
            <w:hideMark/>
          </w:tcPr>
          <w:p w:rsidR="00A266C6" w:rsidRDefault="00A266C6" w:rsidP="009F1902">
            <w:pPr>
              <w:tabs>
                <w:tab w:val="left" w:pos="-720"/>
                <w:tab w:val="left" w:pos="-57"/>
                <w:tab w:val="left" w:pos="0"/>
                <w:tab w:val="left" w:pos="1440"/>
                <w:tab w:val="left" w:pos="4320"/>
                <w:tab w:val="left" w:pos="4965"/>
                <w:tab w:val="left" w:pos="5040"/>
                <w:tab w:val="left" w:pos="5136"/>
                <w:tab w:val="left" w:pos="6480"/>
                <w:tab w:val="left" w:pos="7200"/>
                <w:tab w:val="left" w:pos="7740"/>
                <w:tab w:val="left" w:pos="8640"/>
                <w:tab w:val="left" w:pos="9360"/>
                <w:tab w:val="left" w:pos="10080"/>
              </w:tabs>
              <w:jc w:val="right"/>
            </w:pPr>
            <w:r>
              <w:t xml:space="preserve">$3.93 </w:t>
            </w:r>
          </w:p>
        </w:tc>
      </w:tr>
    </w:tbl>
    <w:p w:rsidR="00A266C6" w:rsidRDefault="00A266C6" w:rsidP="00A266C6">
      <w:pPr>
        <w:jc w:val="center"/>
        <w:rPr>
          <w:b/>
          <w:highlight w:val="yellow"/>
        </w:rPr>
      </w:pPr>
    </w:p>
    <w:p w:rsidR="00A266C6" w:rsidRDefault="00A266C6" w:rsidP="00A266C6">
      <w:pPr>
        <w:jc w:val="center"/>
        <w:rPr>
          <w:b/>
        </w:rPr>
      </w:pPr>
      <w:r w:rsidRPr="001D6F98">
        <w:rPr>
          <w:b/>
        </w:rPr>
        <w:t>Water Service Availability Charges</w:t>
      </w:r>
    </w:p>
    <w:p w:rsidR="00A266C6" w:rsidRDefault="00A266C6" w:rsidP="00A266C6">
      <w:pPr>
        <w:jc w:val="center"/>
        <w:rPr>
          <w:b/>
        </w:rPr>
      </w:pPr>
    </w:p>
    <w:tbl>
      <w:tblPr>
        <w:tblW w:w="9108" w:type="dxa"/>
        <w:tblLook w:val="01E0" w:firstRow="1" w:lastRow="1" w:firstColumn="1" w:lastColumn="1" w:noHBand="0" w:noVBand="0"/>
      </w:tblPr>
      <w:tblGrid>
        <w:gridCol w:w="5287"/>
        <w:gridCol w:w="3821"/>
      </w:tblGrid>
      <w:tr w:rsidR="00A266C6" w:rsidTr="009F1902">
        <w:trPr>
          <w:trHeight w:val="144"/>
        </w:trPr>
        <w:tc>
          <w:tcPr>
            <w:tcW w:w="5287" w:type="dxa"/>
            <w:hideMark/>
          </w:tcPr>
          <w:p w:rsidR="00A266C6" w:rsidRDefault="00A266C6" w:rsidP="009F1902">
            <w:pPr>
              <w:ind w:right="120"/>
            </w:pPr>
            <w:r>
              <w:t>Plant Capacity Charge (ERC = 243 gpd)</w:t>
            </w:r>
          </w:p>
        </w:tc>
        <w:tc>
          <w:tcPr>
            <w:tcW w:w="3821" w:type="dxa"/>
            <w:hideMark/>
          </w:tcPr>
          <w:p w:rsidR="00A266C6" w:rsidRDefault="00A266C6" w:rsidP="009F1902">
            <w:pPr>
              <w:ind w:right="6"/>
              <w:jc w:val="right"/>
            </w:pPr>
            <w:r>
              <w:t xml:space="preserve">$1,600.00 </w:t>
            </w:r>
          </w:p>
        </w:tc>
      </w:tr>
      <w:tr w:rsidR="00A266C6" w:rsidTr="009F1902">
        <w:trPr>
          <w:trHeight w:val="144"/>
        </w:trPr>
        <w:tc>
          <w:tcPr>
            <w:tcW w:w="5287" w:type="dxa"/>
            <w:hideMark/>
          </w:tcPr>
          <w:p w:rsidR="00A266C6" w:rsidRDefault="00A266C6" w:rsidP="009F1902">
            <w:pPr>
              <w:ind w:right="-108"/>
            </w:pPr>
            <w:r>
              <w:t>Main Extension Charge (ERC = 243 gpd)</w:t>
            </w:r>
          </w:p>
        </w:tc>
        <w:tc>
          <w:tcPr>
            <w:tcW w:w="3821" w:type="dxa"/>
            <w:hideMark/>
          </w:tcPr>
          <w:p w:rsidR="00A266C6" w:rsidRDefault="00A266C6" w:rsidP="009F1902">
            <w:pPr>
              <w:ind w:right="6"/>
              <w:jc w:val="right"/>
            </w:pPr>
            <w:r>
              <w:t xml:space="preserve">$2,933.00 </w:t>
            </w:r>
          </w:p>
        </w:tc>
      </w:tr>
      <w:tr w:rsidR="00A266C6" w:rsidTr="009F1902">
        <w:trPr>
          <w:trHeight w:val="144"/>
        </w:trPr>
        <w:tc>
          <w:tcPr>
            <w:tcW w:w="5287" w:type="dxa"/>
            <w:hideMark/>
          </w:tcPr>
          <w:p w:rsidR="00A266C6" w:rsidRDefault="00A266C6" w:rsidP="009F1902">
            <w:pPr>
              <w:ind w:right="-108"/>
            </w:pPr>
            <w:r>
              <w:t xml:space="preserve">Meter Installation Charge – </w:t>
            </w:r>
          </w:p>
          <w:p w:rsidR="00A266C6" w:rsidRDefault="00A266C6" w:rsidP="009F1902">
            <w:pPr>
              <w:ind w:right="-108"/>
            </w:pPr>
            <w:r>
              <w:t>5/8” x 3/4"</w:t>
            </w:r>
          </w:p>
        </w:tc>
        <w:tc>
          <w:tcPr>
            <w:tcW w:w="3821" w:type="dxa"/>
            <w:hideMark/>
          </w:tcPr>
          <w:p w:rsidR="00A266C6" w:rsidRDefault="00A266C6" w:rsidP="009F1902">
            <w:pPr>
              <w:ind w:right="6"/>
              <w:jc w:val="right"/>
            </w:pPr>
          </w:p>
          <w:p w:rsidR="00A266C6" w:rsidRDefault="00A266C6" w:rsidP="009F1902">
            <w:pPr>
              <w:ind w:right="6"/>
              <w:jc w:val="right"/>
            </w:pPr>
            <w:r>
              <w:t xml:space="preserve">$300.00 </w:t>
            </w:r>
          </w:p>
        </w:tc>
      </w:tr>
      <w:tr w:rsidR="00A266C6" w:rsidTr="009F1902">
        <w:trPr>
          <w:trHeight w:val="144"/>
        </w:trPr>
        <w:tc>
          <w:tcPr>
            <w:tcW w:w="5287" w:type="dxa"/>
            <w:hideMark/>
          </w:tcPr>
          <w:p w:rsidR="00A266C6" w:rsidRDefault="00A266C6" w:rsidP="009F1902">
            <w:pPr>
              <w:ind w:right="-108"/>
            </w:pPr>
            <w:r>
              <w:t>All other meter sizes</w:t>
            </w:r>
          </w:p>
        </w:tc>
        <w:tc>
          <w:tcPr>
            <w:tcW w:w="3821" w:type="dxa"/>
            <w:hideMark/>
          </w:tcPr>
          <w:p w:rsidR="00A266C6" w:rsidRDefault="00A266C6" w:rsidP="009F1902">
            <w:pPr>
              <w:ind w:right="6"/>
              <w:jc w:val="right"/>
            </w:pPr>
            <w:r>
              <w:t>Actual Cost</w:t>
            </w:r>
          </w:p>
        </w:tc>
      </w:tr>
    </w:tbl>
    <w:p w:rsidR="00A46E89" w:rsidRDefault="00A46E89" w:rsidP="00E275D8">
      <w:pPr>
        <w:pStyle w:val="BodyText"/>
        <w:sectPr w:rsidR="00A46E89" w:rsidSect="0068481F">
          <w:headerReference w:type="default" r:id="rId16"/>
          <w:pgSz w:w="12240" w:h="15840" w:code="1"/>
          <w:pgMar w:top="1584" w:right="1440" w:bottom="1440" w:left="1440" w:header="720" w:footer="720" w:gutter="0"/>
          <w:cols w:space="720"/>
          <w:formProt w:val="0"/>
          <w:docGrid w:linePitch="360"/>
        </w:sectPr>
      </w:pPr>
    </w:p>
    <w:p w:rsidR="00380FE2" w:rsidRDefault="00380FE2" w:rsidP="00380FE2">
      <w:pPr>
        <w:jc w:val="center"/>
        <w:rPr>
          <w:b/>
        </w:rPr>
      </w:pPr>
      <w:r>
        <w:rPr>
          <w:b/>
        </w:rPr>
        <w:lastRenderedPageBreak/>
        <w:t>Consolidated Services of Hendry &amp; Collier, LLC</w:t>
      </w:r>
    </w:p>
    <w:p w:rsidR="00380FE2" w:rsidRDefault="00380FE2" w:rsidP="00B95F79">
      <w:pPr>
        <w:ind w:right="-90"/>
        <w:jc w:val="center"/>
        <w:rPr>
          <w:b/>
        </w:rPr>
      </w:pPr>
      <w:r>
        <w:rPr>
          <w:b/>
        </w:rPr>
        <w:t>WASTEWATER SYSTEM</w:t>
      </w:r>
    </w:p>
    <w:p w:rsidR="00380FE2" w:rsidRPr="00A63F26" w:rsidRDefault="00380FE2" w:rsidP="00380FE2">
      <w:pPr>
        <w:jc w:val="center"/>
        <w:rPr>
          <w:sz w:val="18"/>
        </w:rPr>
      </w:pPr>
    </w:p>
    <w:p w:rsidR="00380FE2" w:rsidRDefault="00380FE2" w:rsidP="00380FE2">
      <w:pPr>
        <w:jc w:val="center"/>
        <w:rPr>
          <w:b/>
        </w:rPr>
      </w:pPr>
      <w:r>
        <w:rPr>
          <w:b/>
        </w:rPr>
        <w:t>Wastewater Rate Base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410"/>
      </w:tblGrid>
      <w:tr w:rsidR="0035644D" w:rsidTr="00317CBB">
        <w:tc>
          <w:tcPr>
            <w:tcW w:w="4788" w:type="dxa"/>
          </w:tcPr>
          <w:p w:rsidR="0035644D" w:rsidRDefault="0035644D" w:rsidP="009F1902">
            <w:pPr>
              <w:rPr>
                <w:b/>
              </w:rPr>
            </w:pPr>
            <w:r>
              <w:rPr>
                <w:rFonts w:cstheme="minorHAnsi"/>
              </w:rPr>
              <w:t>Utility Plant in Service</w:t>
            </w:r>
          </w:p>
        </w:tc>
        <w:tc>
          <w:tcPr>
            <w:tcW w:w="4410" w:type="dxa"/>
          </w:tcPr>
          <w:p w:rsidR="0035644D" w:rsidRDefault="0035644D" w:rsidP="009F1902">
            <w:pPr>
              <w:jc w:val="right"/>
              <w:rPr>
                <w:b/>
              </w:rPr>
            </w:pPr>
            <w:r>
              <w:rPr>
                <w:rFonts w:cstheme="minorHAnsi"/>
              </w:rPr>
              <w:t xml:space="preserve">$ </w:t>
            </w:r>
            <w:r>
              <w:t>2,051,698</w:t>
            </w:r>
          </w:p>
        </w:tc>
      </w:tr>
      <w:tr w:rsidR="0035644D" w:rsidTr="00317CBB">
        <w:tc>
          <w:tcPr>
            <w:tcW w:w="4788" w:type="dxa"/>
          </w:tcPr>
          <w:p w:rsidR="0035644D" w:rsidRDefault="0035644D" w:rsidP="009F1902">
            <w:pPr>
              <w:rPr>
                <w:b/>
              </w:rPr>
            </w:pPr>
            <w:r>
              <w:rPr>
                <w:rFonts w:cstheme="minorHAnsi"/>
              </w:rPr>
              <w:t>Accumulated Depreciation</w:t>
            </w:r>
          </w:p>
        </w:tc>
        <w:tc>
          <w:tcPr>
            <w:tcW w:w="4410" w:type="dxa"/>
          </w:tcPr>
          <w:p w:rsidR="0035644D" w:rsidRDefault="0035644D" w:rsidP="009F1902">
            <w:pPr>
              <w:jc w:val="right"/>
              <w:rPr>
                <w:b/>
              </w:rPr>
            </w:pPr>
            <w:r>
              <w:t>(292,668)</w:t>
            </w:r>
          </w:p>
        </w:tc>
      </w:tr>
      <w:tr w:rsidR="0035644D" w:rsidTr="00317CBB">
        <w:tc>
          <w:tcPr>
            <w:tcW w:w="4788" w:type="dxa"/>
          </w:tcPr>
          <w:p w:rsidR="0035644D" w:rsidRDefault="0035644D" w:rsidP="009F1902">
            <w:pPr>
              <w:rPr>
                <w:b/>
              </w:rPr>
            </w:pPr>
            <w:r>
              <w:rPr>
                <w:rFonts w:cstheme="minorHAnsi"/>
              </w:rPr>
              <w:t>Contributions in Aid of Construction (CIAC)</w:t>
            </w:r>
          </w:p>
        </w:tc>
        <w:tc>
          <w:tcPr>
            <w:tcW w:w="4410" w:type="dxa"/>
          </w:tcPr>
          <w:p w:rsidR="0035644D" w:rsidRDefault="0035644D" w:rsidP="009F1902">
            <w:pPr>
              <w:jc w:val="right"/>
              <w:rPr>
                <w:b/>
              </w:rPr>
            </w:pPr>
            <w:r>
              <w:t>(1,434,540)</w:t>
            </w:r>
          </w:p>
        </w:tc>
      </w:tr>
      <w:tr w:rsidR="0035644D" w:rsidTr="00317CBB">
        <w:tc>
          <w:tcPr>
            <w:tcW w:w="4788" w:type="dxa"/>
          </w:tcPr>
          <w:p w:rsidR="0035644D" w:rsidRDefault="0035644D" w:rsidP="009F1902">
            <w:pPr>
              <w:rPr>
                <w:rFonts w:cstheme="minorHAnsi"/>
              </w:rPr>
            </w:pPr>
            <w:r>
              <w:rPr>
                <w:rFonts w:cstheme="minorHAnsi"/>
              </w:rPr>
              <w:t>Accumulated Amortization of CIAC</w:t>
            </w:r>
            <w:r>
              <w:rPr>
                <w:rFonts w:cstheme="minorHAnsi"/>
              </w:rPr>
              <w:tab/>
            </w:r>
          </w:p>
        </w:tc>
        <w:tc>
          <w:tcPr>
            <w:tcW w:w="4410" w:type="dxa"/>
          </w:tcPr>
          <w:p w:rsidR="0035644D" w:rsidRDefault="00317CBB" w:rsidP="009F1902">
            <w:pPr>
              <w:jc w:val="right"/>
              <w:rPr>
                <w:b/>
              </w:rPr>
            </w:pPr>
            <w:r>
              <w:t>137,342</w:t>
            </w:r>
          </w:p>
        </w:tc>
      </w:tr>
      <w:tr w:rsidR="0035644D" w:rsidTr="00317CBB">
        <w:tc>
          <w:tcPr>
            <w:tcW w:w="4788" w:type="dxa"/>
          </w:tcPr>
          <w:p w:rsidR="0035644D" w:rsidRDefault="0035644D" w:rsidP="009F1902">
            <w:pPr>
              <w:rPr>
                <w:rFonts w:cstheme="minorHAnsi"/>
              </w:rPr>
            </w:pPr>
            <w:r>
              <w:rPr>
                <w:rFonts w:cstheme="minorHAnsi"/>
              </w:rPr>
              <w:t>Working Capital Allowance</w:t>
            </w:r>
            <w:r>
              <w:rPr>
                <w:rFonts w:cstheme="minorHAnsi"/>
              </w:rPr>
              <w:tab/>
            </w:r>
          </w:p>
        </w:tc>
        <w:tc>
          <w:tcPr>
            <w:tcW w:w="4410" w:type="dxa"/>
          </w:tcPr>
          <w:p w:rsidR="0035644D" w:rsidRDefault="0035644D" w:rsidP="009F1902">
            <w:pPr>
              <w:jc w:val="right"/>
              <w:rPr>
                <w:b/>
              </w:rPr>
            </w:pPr>
            <w:r>
              <w:rPr>
                <w:rFonts w:cstheme="minorHAnsi"/>
              </w:rPr>
              <w:t xml:space="preserve"> </w:t>
            </w:r>
            <w:r w:rsidRPr="00180254">
              <w:rPr>
                <w:rFonts w:cstheme="minorHAnsi"/>
                <w:u w:val="single"/>
              </w:rPr>
              <w:t xml:space="preserve"> </w:t>
            </w:r>
            <w:r>
              <w:rPr>
                <w:rFonts w:cstheme="minorHAnsi"/>
                <w:u w:val="single"/>
              </w:rPr>
              <w:t xml:space="preserve">        </w:t>
            </w:r>
            <w:r w:rsidR="00317CBB">
              <w:rPr>
                <w:u w:val="single"/>
              </w:rPr>
              <w:t>7,295</w:t>
            </w:r>
          </w:p>
        </w:tc>
      </w:tr>
      <w:tr w:rsidR="0035644D" w:rsidTr="00317CBB">
        <w:tc>
          <w:tcPr>
            <w:tcW w:w="4788" w:type="dxa"/>
          </w:tcPr>
          <w:p w:rsidR="0035644D" w:rsidRDefault="0035644D" w:rsidP="009F1902">
            <w:pPr>
              <w:rPr>
                <w:rFonts w:cstheme="minorHAnsi"/>
              </w:rPr>
            </w:pPr>
            <w:r w:rsidRPr="009C03DF">
              <w:rPr>
                <w:rFonts w:cstheme="minorHAnsi"/>
                <w:b/>
              </w:rPr>
              <w:t>W</w:t>
            </w:r>
            <w:r>
              <w:rPr>
                <w:rFonts w:cstheme="minorHAnsi"/>
                <w:b/>
              </w:rPr>
              <w:t>astew</w:t>
            </w:r>
            <w:r w:rsidRPr="009C03DF">
              <w:rPr>
                <w:rFonts w:cstheme="minorHAnsi"/>
                <w:b/>
              </w:rPr>
              <w:t>ater Rate Base</w:t>
            </w:r>
          </w:p>
        </w:tc>
        <w:tc>
          <w:tcPr>
            <w:tcW w:w="4410" w:type="dxa"/>
          </w:tcPr>
          <w:p w:rsidR="0035644D" w:rsidRDefault="00317CBB" w:rsidP="009F1902">
            <w:pPr>
              <w:jc w:val="right"/>
              <w:rPr>
                <w:b/>
              </w:rPr>
            </w:pPr>
            <w:r>
              <w:rPr>
                <w:b/>
              </w:rPr>
              <w:t>$ 469,127</w:t>
            </w:r>
          </w:p>
        </w:tc>
      </w:tr>
    </w:tbl>
    <w:p w:rsidR="0035644D" w:rsidRDefault="0035644D" w:rsidP="00380FE2"/>
    <w:p w:rsidR="00380FE2" w:rsidRDefault="00380FE2" w:rsidP="00380FE2">
      <w:pPr>
        <w:jc w:val="center"/>
        <w:rPr>
          <w:b/>
        </w:rPr>
      </w:pPr>
      <w:r>
        <w:rPr>
          <w:b/>
        </w:rPr>
        <w:t>Wastewater Revenue Requirement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410"/>
      </w:tblGrid>
      <w:tr w:rsidR="00317CBB" w:rsidTr="00317CBB">
        <w:tc>
          <w:tcPr>
            <w:tcW w:w="4788" w:type="dxa"/>
          </w:tcPr>
          <w:p w:rsidR="00317CBB" w:rsidRDefault="00317CBB" w:rsidP="009F1902">
            <w:pPr>
              <w:rPr>
                <w:b/>
              </w:rPr>
            </w:pPr>
            <w:r>
              <w:rPr>
                <w:rFonts w:cstheme="minorHAnsi"/>
              </w:rPr>
              <w:t>Revenue Requirement</w:t>
            </w:r>
          </w:p>
        </w:tc>
        <w:tc>
          <w:tcPr>
            <w:tcW w:w="4410" w:type="dxa"/>
          </w:tcPr>
          <w:p w:rsidR="00317CBB" w:rsidRDefault="00317CBB" w:rsidP="00A307B5">
            <w:pPr>
              <w:jc w:val="right"/>
              <w:rPr>
                <w:b/>
              </w:rPr>
            </w:pPr>
            <w:r>
              <w:rPr>
                <w:rFonts w:cstheme="minorHAnsi"/>
              </w:rPr>
              <w:t>$    1</w:t>
            </w:r>
            <w:r>
              <w:t>20,5</w:t>
            </w:r>
            <w:r w:rsidR="00A307B5">
              <w:t>81</w:t>
            </w:r>
          </w:p>
        </w:tc>
      </w:tr>
      <w:tr w:rsidR="00317CBB" w:rsidTr="00317CBB">
        <w:tc>
          <w:tcPr>
            <w:tcW w:w="4788" w:type="dxa"/>
          </w:tcPr>
          <w:p w:rsidR="00317CBB" w:rsidRDefault="00317CBB" w:rsidP="009F1902">
            <w:pPr>
              <w:rPr>
                <w:b/>
              </w:rPr>
            </w:pPr>
            <w:r>
              <w:rPr>
                <w:rFonts w:cstheme="minorHAnsi"/>
              </w:rPr>
              <w:t>Operation and Maintenance Expense</w:t>
            </w:r>
          </w:p>
        </w:tc>
        <w:tc>
          <w:tcPr>
            <w:tcW w:w="4410" w:type="dxa"/>
          </w:tcPr>
          <w:p w:rsidR="00317CBB" w:rsidRDefault="00317CBB" w:rsidP="009F1902">
            <w:pPr>
              <w:jc w:val="right"/>
              <w:rPr>
                <w:b/>
              </w:rPr>
            </w:pPr>
            <w:bookmarkStart w:id="25" w:name="OLE_LINK15"/>
            <w:bookmarkStart w:id="26" w:name="OLE_LINK16"/>
            <w:r>
              <w:t>58,357</w:t>
            </w:r>
            <w:bookmarkEnd w:id="25"/>
            <w:bookmarkEnd w:id="26"/>
          </w:p>
        </w:tc>
      </w:tr>
      <w:tr w:rsidR="00317CBB" w:rsidTr="00317CBB">
        <w:tc>
          <w:tcPr>
            <w:tcW w:w="4788" w:type="dxa"/>
          </w:tcPr>
          <w:p w:rsidR="00317CBB" w:rsidRDefault="00317CBB" w:rsidP="009F1902">
            <w:pPr>
              <w:rPr>
                <w:b/>
              </w:rPr>
            </w:pPr>
            <w:r>
              <w:rPr>
                <w:rFonts w:cstheme="minorHAnsi"/>
              </w:rPr>
              <w:t>Depreciation Expense</w:t>
            </w:r>
          </w:p>
        </w:tc>
        <w:tc>
          <w:tcPr>
            <w:tcW w:w="4410" w:type="dxa"/>
          </w:tcPr>
          <w:p w:rsidR="00317CBB" w:rsidRDefault="00317CBB" w:rsidP="009F1902">
            <w:pPr>
              <w:jc w:val="right"/>
              <w:rPr>
                <w:b/>
              </w:rPr>
            </w:pPr>
            <w:r>
              <w:t>66,475</w:t>
            </w:r>
          </w:p>
        </w:tc>
      </w:tr>
      <w:tr w:rsidR="00317CBB" w:rsidTr="00317CBB">
        <w:tc>
          <w:tcPr>
            <w:tcW w:w="4788" w:type="dxa"/>
          </w:tcPr>
          <w:p w:rsidR="00317CBB" w:rsidRDefault="00317CBB" w:rsidP="009F1902">
            <w:pPr>
              <w:rPr>
                <w:rFonts w:cstheme="minorHAnsi"/>
              </w:rPr>
            </w:pPr>
            <w:r>
              <w:rPr>
                <w:rFonts w:cstheme="minorHAnsi"/>
              </w:rPr>
              <w:t>CIAC Amortization Expense</w:t>
            </w:r>
          </w:p>
        </w:tc>
        <w:tc>
          <w:tcPr>
            <w:tcW w:w="4410" w:type="dxa"/>
          </w:tcPr>
          <w:p w:rsidR="00317CBB" w:rsidRDefault="00317CBB" w:rsidP="009F1902">
            <w:pPr>
              <w:jc w:val="right"/>
              <w:rPr>
                <w:b/>
              </w:rPr>
            </w:pPr>
            <w:r>
              <w:t>(46,479)</w:t>
            </w:r>
          </w:p>
        </w:tc>
      </w:tr>
      <w:tr w:rsidR="00317CBB" w:rsidTr="00317CBB">
        <w:tc>
          <w:tcPr>
            <w:tcW w:w="4788" w:type="dxa"/>
          </w:tcPr>
          <w:p w:rsidR="00317CBB" w:rsidRDefault="00317CBB" w:rsidP="009F1902">
            <w:pPr>
              <w:rPr>
                <w:rFonts w:cstheme="minorHAnsi"/>
              </w:rPr>
            </w:pPr>
            <w:r>
              <w:rPr>
                <w:rFonts w:cstheme="minorHAnsi"/>
              </w:rPr>
              <w:t>Taxes Other Than Income</w:t>
            </w:r>
          </w:p>
        </w:tc>
        <w:tc>
          <w:tcPr>
            <w:tcW w:w="4410" w:type="dxa"/>
          </w:tcPr>
          <w:p w:rsidR="00317CBB" w:rsidRDefault="000509A8" w:rsidP="009F1902">
            <w:pPr>
              <w:jc w:val="right"/>
              <w:rPr>
                <w:b/>
              </w:rPr>
            </w:pPr>
            <w:r>
              <w:rPr>
                <w:u w:val="single"/>
              </w:rPr>
              <w:t xml:space="preserve">  </w:t>
            </w:r>
            <w:r w:rsidR="00317CBB">
              <w:rPr>
                <w:u w:val="single"/>
              </w:rPr>
              <w:t xml:space="preserve">      7,935</w:t>
            </w:r>
          </w:p>
        </w:tc>
      </w:tr>
      <w:tr w:rsidR="00317CBB" w:rsidTr="00317CBB">
        <w:tc>
          <w:tcPr>
            <w:tcW w:w="4788" w:type="dxa"/>
          </w:tcPr>
          <w:p w:rsidR="00317CBB" w:rsidRDefault="00317CBB" w:rsidP="009F1902">
            <w:pPr>
              <w:rPr>
                <w:rFonts w:cstheme="minorHAnsi"/>
              </w:rPr>
            </w:pPr>
            <w:r>
              <w:rPr>
                <w:rFonts w:cstheme="minorHAnsi"/>
              </w:rPr>
              <w:t>Total Operating Expense</w:t>
            </w:r>
          </w:p>
        </w:tc>
        <w:tc>
          <w:tcPr>
            <w:tcW w:w="4410" w:type="dxa"/>
          </w:tcPr>
          <w:p w:rsidR="00317CBB" w:rsidRDefault="00317CBB" w:rsidP="009F1902">
            <w:pPr>
              <w:jc w:val="right"/>
              <w:rPr>
                <w:b/>
              </w:rPr>
            </w:pPr>
            <w:r>
              <w:rPr>
                <w:rFonts w:cstheme="minorHAnsi"/>
              </w:rPr>
              <w:t xml:space="preserve">$      </w:t>
            </w:r>
            <w:r>
              <w:t>86,288</w:t>
            </w:r>
          </w:p>
        </w:tc>
      </w:tr>
      <w:tr w:rsidR="00317CBB" w:rsidTr="00317CBB">
        <w:tc>
          <w:tcPr>
            <w:tcW w:w="4788" w:type="dxa"/>
          </w:tcPr>
          <w:p w:rsidR="00317CBB" w:rsidRDefault="00317CBB" w:rsidP="009F1902">
            <w:pPr>
              <w:rPr>
                <w:rFonts w:cstheme="minorHAnsi"/>
              </w:rPr>
            </w:pPr>
            <w:r>
              <w:rPr>
                <w:rFonts w:cstheme="minorHAnsi"/>
              </w:rPr>
              <w:t>Return on Investment</w:t>
            </w:r>
          </w:p>
        </w:tc>
        <w:tc>
          <w:tcPr>
            <w:tcW w:w="4410" w:type="dxa"/>
          </w:tcPr>
          <w:p w:rsidR="00317CBB" w:rsidRDefault="00317CBB" w:rsidP="00A307B5">
            <w:pPr>
              <w:jc w:val="right"/>
              <w:rPr>
                <w:b/>
              </w:rPr>
            </w:pPr>
            <w:r>
              <w:t>34,</w:t>
            </w:r>
            <w:r w:rsidR="00A307B5">
              <w:t>29</w:t>
            </w:r>
            <w:r>
              <w:t>3</w:t>
            </w:r>
          </w:p>
        </w:tc>
      </w:tr>
      <w:tr w:rsidR="00317CBB" w:rsidTr="00317CBB">
        <w:tc>
          <w:tcPr>
            <w:tcW w:w="4788" w:type="dxa"/>
          </w:tcPr>
          <w:p w:rsidR="00317CBB" w:rsidRDefault="00317CBB" w:rsidP="009F1902">
            <w:pPr>
              <w:rPr>
                <w:rFonts w:cstheme="minorHAnsi"/>
              </w:rPr>
            </w:pPr>
          </w:p>
        </w:tc>
        <w:tc>
          <w:tcPr>
            <w:tcW w:w="4410" w:type="dxa"/>
          </w:tcPr>
          <w:p w:rsidR="00317CBB" w:rsidRDefault="00317CBB" w:rsidP="009F1902">
            <w:pPr>
              <w:jc w:val="right"/>
              <w:rPr>
                <w:b/>
              </w:rPr>
            </w:pPr>
          </w:p>
        </w:tc>
      </w:tr>
      <w:tr w:rsidR="00317CBB" w:rsidTr="00317CBB">
        <w:tc>
          <w:tcPr>
            <w:tcW w:w="4788" w:type="dxa"/>
          </w:tcPr>
          <w:p w:rsidR="00317CBB" w:rsidRDefault="00317CBB" w:rsidP="009F1902">
            <w:pPr>
              <w:rPr>
                <w:rFonts w:cstheme="minorHAnsi"/>
              </w:rPr>
            </w:pPr>
            <w:r>
              <w:rPr>
                <w:rFonts w:cstheme="minorHAnsi"/>
              </w:rPr>
              <w:t>Wastewater Rate Base</w:t>
            </w:r>
          </w:p>
        </w:tc>
        <w:tc>
          <w:tcPr>
            <w:tcW w:w="4410" w:type="dxa"/>
          </w:tcPr>
          <w:p w:rsidR="00317CBB" w:rsidRDefault="00317CBB" w:rsidP="009F1902">
            <w:pPr>
              <w:jc w:val="right"/>
              <w:rPr>
                <w:b/>
              </w:rPr>
            </w:pPr>
            <w:r>
              <w:rPr>
                <w:rFonts w:cstheme="minorHAnsi"/>
              </w:rPr>
              <w:t xml:space="preserve">$    </w:t>
            </w:r>
            <w:r>
              <w:t>469,127</w:t>
            </w:r>
          </w:p>
        </w:tc>
      </w:tr>
      <w:tr w:rsidR="00317CBB" w:rsidTr="00317CBB">
        <w:tc>
          <w:tcPr>
            <w:tcW w:w="4788" w:type="dxa"/>
          </w:tcPr>
          <w:p w:rsidR="00317CBB" w:rsidRDefault="00317CBB" w:rsidP="009F1902">
            <w:pPr>
              <w:rPr>
                <w:rFonts w:cstheme="minorHAnsi"/>
              </w:rPr>
            </w:pPr>
            <w:r>
              <w:rPr>
                <w:rFonts w:cstheme="minorHAnsi"/>
              </w:rPr>
              <w:t>Rate of Return</w:t>
            </w:r>
            <w:r>
              <w:rPr>
                <w:rFonts w:cstheme="minorHAnsi"/>
              </w:rPr>
              <w:tab/>
            </w:r>
          </w:p>
        </w:tc>
        <w:tc>
          <w:tcPr>
            <w:tcW w:w="4410" w:type="dxa"/>
          </w:tcPr>
          <w:p w:rsidR="00317CBB" w:rsidRDefault="00317CBB" w:rsidP="009F1902">
            <w:pPr>
              <w:jc w:val="right"/>
              <w:rPr>
                <w:b/>
              </w:rPr>
            </w:pPr>
            <w:r>
              <w:t>7.31%</w:t>
            </w:r>
          </w:p>
        </w:tc>
      </w:tr>
    </w:tbl>
    <w:p w:rsidR="00380FE2" w:rsidRPr="00A63F26" w:rsidRDefault="00380FE2" w:rsidP="00380FE2">
      <w:pPr>
        <w:rPr>
          <w:sz w:val="18"/>
        </w:rPr>
      </w:pPr>
    </w:p>
    <w:p w:rsidR="00A266C6" w:rsidRDefault="00A266C6" w:rsidP="00A266C6">
      <w:pPr>
        <w:jc w:val="center"/>
        <w:rPr>
          <w:b/>
        </w:rPr>
      </w:pPr>
      <w:r w:rsidRPr="004B38B8">
        <w:rPr>
          <w:b/>
        </w:rPr>
        <w:t>Monthly Wastewater Service Rates</w:t>
      </w:r>
    </w:p>
    <w:p w:rsidR="00A266C6" w:rsidRDefault="00A266C6" w:rsidP="00A266C6">
      <w:pPr>
        <w:jc w:val="center"/>
        <w:rPr>
          <w:b/>
        </w:rPr>
      </w:pPr>
    </w:p>
    <w:p w:rsidR="00A266C6" w:rsidRDefault="00A266C6" w:rsidP="00A266C6">
      <w:r w:rsidRPr="004B38B8">
        <w:rPr>
          <w:b/>
        </w:rPr>
        <w:t>Residential Service</w:t>
      </w:r>
    </w:p>
    <w:tbl>
      <w:tblPr>
        <w:tblW w:w="9360" w:type="dxa"/>
        <w:tblInd w:w="18" w:type="dxa"/>
        <w:tblLayout w:type="fixed"/>
        <w:tblLook w:val="01E0" w:firstRow="1" w:lastRow="1" w:firstColumn="1" w:lastColumn="1" w:noHBand="0" w:noVBand="0"/>
      </w:tblPr>
      <w:tblGrid>
        <w:gridCol w:w="3420"/>
        <w:gridCol w:w="5940"/>
      </w:tblGrid>
      <w:tr w:rsidR="00A266C6" w:rsidTr="009F1902">
        <w:tc>
          <w:tcPr>
            <w:tcW w:w="9360" w:type="dxa"/>
            <w:gridSpan w:val="2"/>
            <w:hideMark/>
          </w:tcPr>
          <w:p w:rsidR="00A266C6" w:rsidRDefault="00A266C6" w:rsidP="009F1902">
            <w:pPr>
              <w:tabs>
                <w:tab w:val="left" w:pos="-720"/>
                <w:tab w:val="left" w:pos="6"/>
                <w:tab w:val="left" w:pos="5040"/>
                <w:tab w:val="left" w:pos="5760"/>
                <w:tab w:val="left" w:pos="6480"/>
                <w:tab w:val="left" w:pos="7200"/>
                <w:tab w:val="left" w:pos="7740"/>
                <w:tab w:val="left" w:pos="8640"/>
                <w:tab w:val="left" w:pos="9360"/>
                <w:tab w:val="left" w:pos="10080"/>
              </w:tabs>
              <w:ind w:right="1832"/>
            </w:pPr>
            <w:r>
              <w:t>Base Facility Charge by Meter Size</w:t>
            </w:r>
          </w:p>
        </w:tc>
      </w:tr>
      <w:tr w:rsidR="00A266C6" w:rsidTr="009F1902">
        <w:tc>
          <w:tcPr>
            <w:tcW w:w="3420" w:type="dxa"/>
            <w:hideMark/>
          </w:tcPr>
          <w:p w:rsidR="00A266C6" w:rsidRDefault="00A266C6" w:rsidP="009F1902">
            <w:pPr>
              <w:tabs>
                <w:tab w:val="left" w:pos="-720"/>
                <w:tab w:val="left" w:pos="-57"/>
                <w:tab w:val="left" w:pos="0"/>
                <w:tab w:val="left" w:pos="1032"/>
                <w:tab w:val="left" w:pos="5040"/>
                <w:tab w:val="left" w:pos="5760"/>
                <w:tab w:val="left" w:pos="6480"/>
                <w:tab w:val="left" w:pos="7200"/>
                <w:tab w:val="left" w:pos="7740"/>
                <w:tab w:val="left" w:pos="8640"/>
                <w:tab w:val="left" w:pos="9360"/>
                <w:tab w:val="left" w:pos="10080"/>
              </w:tabs>
              <w:ind w:right="1747"/>
              <w:jc w:val="right"/>
            </w:pPr>
            <w:r>
              <w:t>All meter sizes</w:t>
            </w:r>
          </w:p>
        </w:tc>
        <w:tc>
          <w:tcPr>
            <w:tcW w:w="5940" w:type="dxa"/>
            <w:hideMark/>
          </w:tcPr>
          <w:p w:rsidR="00A266C6" w:rsidRDefault="00A266C6" w:rsidP="009F1902">
            <w:pPr>
              <w:tabs>
                <w:tab w:val="left" w:pos="-720"/>
                <w:tab w:val="left" w:pos="-57"/>
                <w:tab w:val="left" w:pos="0"/>
                <w:tab w:val="left" w:pos="1317"/>
                <w:tab w:val="left" w:pos="5292"/>
                <w:tab w:val="left" w:pos="5760"/>
                <w:tab w:val="left" w:pos="6480"/>
                <w:tab w:val="left" w:pos="7200"/>
                <w:tab w:val="left" w:pos="7740"/>
                <w:tab w:val="left" w:pos="8640"/>
                <w:tab w:val="left" w:pos="9360"/>
                <w:tab w:val="left" w:pos="10080"/>
              </w:tabs>
              <w:ind w:right="177"/>
              <w:jc w:val="right"/>
            </w:pPr>
            <w:r>
              <w:t>$16.75</w:t>
            </w:r>
          </w:p>
        </w:tc>
      </w:tr>
      <w:tr w:rsidR="00A266C6" w:rsidTr="009F1902">
        <w:tc>
          <w:tcPr>
            <w:tcW w:w="3420" w:type="dxa"/>
          </w:tcPr>
          <w:p w:rsidR="00A266C6" w:rsidRDefault="00A266C6" w:rsidP="009F1902">
            <w:pPr>
              <w:tabs>
                <w:tab w:val="left" w:pos="-720"/>
                <w:tab w:val="left" w:pos="-57"/>
                <w:tab w:val="left" w:pos="0"/>
                <w:tab w:val="left" w:pos="1317"/>
                <w:tab w:val="left" w:pos="5040"/>
                <w:tab w:val="left" w:pos="5760"/>
                <w:tab w:val="left" w:pos="6480"/>
                <w:tab w:val="left" w:pos="7200"/>
                <w:tab w:val="left" w:pos="7740"/>
                <w:tab w:val="left" w:pos="8640"/>
                <w:tab w:val="left" w:pos="9360"/>
                <w:tab w:val="left" w:pos="10080"/>
              </w:tabs>
              <w:ind w:right="177"/>
            </w:pPr>
          </w:p>
        </w:tc>
        <w:tc>
          <w:tcPr>
            <w:tcW w:w="5940" w:type="dxa"/>
          </w:tcPr>
          <w:p w:rsidR="00A266C6" w:rsidRDefault="00A266C6" w:rsidP="009F1902">
            <w:pPr>
              <w:tabs>
                <w:tab w:val="left" w:pos="-720"/>
                <w:tab w:val="left" w:pos="-57"/>
                <w:tab w:val="left" w:pos="0"/>
                <w:tab w:val="left" w:pos="1317"/>
                <w:tab w:val="left" w:pos="5108"/>
                <w:tab w:val="left" w:pos="5760"/>
                <w:tab w:val="left" w:pos="6480"/>
                <w:tab w:val="left" w:pos="7200"/>
                <w:tab w:val="left" w:pos="7740"/>
                <w:tab w:val="left" w:pos="8640"/>
                <w:tab w:val="left" w:pos="9360"/>
                <w:tab w:val="left" w:pos="10080"/>
              </w:tabs>
              <w:ind w:right="177"/>
              <w:jc w:val="right"/>
            </w:pPr>
          </w:p>
        </w:tc>
      </w:tr>
      <w:tr w:rsidR="00A266C6" w:rsidTr="009F1902">
        <w:tc>
          <w:tcPr>
            <w:tcW w:w="3420" w:type="dxa"/>
            <w:hideMark/>
          </w:tcPr>
          <w:p w:rsidR="00A266C6" w:rsidRDefault="00A266C6" w:rsidP="009F1902">
            <w:pPr>
              <w:tabs>
                <w:tab w:val="left" w:pos="-720"/>
                <w:tab w:val="left" w:pos="-57"/>
                <w:tab w:val="left" w:pos="0"/>
                <w:tab w:val="left" w:pos="1317"/>
                <w:tab w:val="left" w:pos="5040"/>
                <w:tab w:val="left" w:pos="5760"/>
                <w:tab w:val="left" w:pos="6480"/>
                <w:tab w:val="left" w:pos="7200"/>
                <w:tab w:val="left" w:pos="7740"/>
                <w:tab w:val="left" w:pos="8640"/>
                <w:tab w:val="left" w:pos="9360"/>
                <w:tab w:val="left" w:pos="10080"/>
              </w:tabs>
              <w:ind w:right="177"/>
            </w:pPr>
            <w:r>
              <w:t>Charge per 1,000 gallons</w:t>
            </w:r>
          </w:p>
        </w:tc>
        <w:tc>
          <w:tcPr>
            <w:tcW w:w="5940" w:type="dxa"/>
            <w:hideMark/>
          </w:tcPr>
          <w:p w:rsidR="00A266C6" w:rsidRDefault="00A266C6" w:rsidP="009F1902">
            <w:pPr>
              <w:tabs>
                <w:tab w:val="left" w:pos="-720"/>
                <w:tab w:val="left" w:pos="-57"/>
                <w:tab w:val="left" w:pos="0"/>
                <w:tab w:val="left" w:pos="1317"/>
                <w:tab w:val="left" w:pos="5292"/>
                <w:tab w:val="left" w:pos="5760"/>
                <w:tab w:val="left" w:pos="6480"/>
                <w:tab w:val="left" w:pos="7200"/>
                <w:tab w:val="left" w:pos="7740"/>
                <w:tab w:val="left" w:pos="8640"/>
                <w:tab w:val="left" w:pos="9360"/>
                <w:tab w:val="left" w:pos="10080"/>
              </w:tabs>
              <w:ind w:right="177"/>
              <w:jc w:val="right"/>
            </w:pPr>
            <w:r>
              <w:t>$3.40</w:t>
            </w:r>
          </w:p>
        </w:tc>
      </w:tr>
    </w:tbl>
    <w:p w:rsidR="00A266C6" w:rsidRPr="003E5EAF" w:rsidRDefault="00A266C6" w:rsidP="00A266C6">
      <w:pPr>
        <w:rPr>
          <w:sz w:val="18"/>
        </w:rPr>
      </w:pPr>
    </w:p>
    <w:p w:rsidR="00A266C6" w:rsidRPr="004B38B8" w:rsidRDefault="00A266C6" w:rsidP="00A266C6">
      <w:pPr>
        <w:rPr>
          <w:b/>
        </w:rPr>
      </w:pPr>
      <w:r w:rsidRPr="004B38B8">
        <w:rPr>
          <w:b/>
        </w:rPr>
        <w:t>General Service</w:t>
      </w:r>
    </w:p>
    <w:tbl>
      <w:tblPr>
        <w:tblW w:w="10920" w:type="dxa"/>
        <w:tblInd w:w="18" w:type="dxa"/>
        <w:tblLayout w:type="fixed"/>
        <w:tblLook w:val="01E0" w:firstRow="1" w:lastRow="1" w:firstColumn="1" w:lastColumn="1" w:noHBand="0" w:noVBand="0"/>
      </w:tblPr>
      <w:tblGrid>
        <w:gridCol w:w="3060"/>
        <w:gridCol w:w="4261"/>
        <w:gridCol w:w="2039"/>
        <w:gridCol w:w="1560"/>
      </w:tblGrid>
      <w:tr w:rsidR="00A266C6" w:rsidTr="009F1902">
        <w:tc>
          <w:tcPr>
            <w:tcW w:w="7321" w:type="dxa"/>
            <w:gridSpan w:val="2"/>
            <w:hideMark/>
          </w:tcPr>
          <w:p w:rsidR="00A266C6" w:rsidRDefault="00A266C6" w:rsidP="009F1902">
            <w:pPr>
              <w:tabs>
                <w:tab w:val="left" w:pos="-720"/>
                <w:tab w:val="left" w:pos="6"/>
                <w:tab w:val="left" w:pos="5040"/>
                <w:tab w:val="left" w:pos="5760"/>
                <w:tab w:val="left" w:pos="6480"/>
                <w:tab w:val="left" w:pos="7200"/>
                <w:tab w:val="left" w:pos="7740"/>
                <w:tab w:val="left" w:pos="8640"/>
                <w:tab w:val="left" w:pos="9360"/>
                <w:tab w:val="left" w:pos="10080"/>
              </w:tabs>
              <w:ind w:right="1832"/>
            </w:pPr>
            <w:r>
              <w:t>Base Facility Charge by Meter Size</w:t>
            </w:r>
          </w:p>
        </w:tc>
        <w:tc>
          <w:tcPr>
            <w:tcW w:w="3599" w:type="dxa"/>
            <w:gridSpan w:val="2"/>
          </w:tcPr>
          <w:p w:rsidR="00A266C6" w:rsidRDefault="00A266C6" w:rsidP="009F1902">
            <w:pPr>
              <w:tabs>
                <w:tab w:val="left" w:pos="-57"/>
                <w:tab w:val="left" w:pos="0"/>
                <w:tab w:val="left" w:pos="1481"/>
                <w:tab w:val="left" w:pos="4320"/>
                <w:tab w:val="left" w:pos="4851"/>
                <w:tab w:val="left" w:pos="5040"/>
                <w:tab w:val="left" w:pos="5136"/>
                <w:tab w:val="left" w:pos="6480"/>
                <w:tab w:val="left" w:pos="7200"/>
                <w:tab w:val="left" w:pos="7740"/>
                <w:tab w:val="left" w:pos="8640"/>
                <w:tab w:val="left" w:pos="9360"/>
                <w:tab w:val="left" w:pos="10080"/>
              </w:tabs>
              <w:jc w:val="right"/>
            </w:pPr>
          </w:p>
        </w:tc>
      </w:tr>
      <w:tr w:rsidR="00A266C6" w:rsidTr="009F1902">
        <w:trPr>
          <w:gridAfter w:val="1"/>
          <w:wAfter w:w="1560" w:type="dxa"/>
        </w:trPr>
        <w:tc>
          <w:tcPr>
            <w:tcW w:w="3060" w:type="dxa"/>
            <w:hideMark/>
          </w:tcPr>
          <w:p w:rsidR="00A266C6" w:rsidRDefault="00A266C6" w:rsidP="009F1902">
            <w:pPr>
              <w:tabs>
                <w:tab w:val="left" w:pos="-720"/>
                <w:tab w:val="left" w:pos="-57"/>
                <w:tab w:val="left" w:pos="0"/>
                <w:tab w:val="left" w:pos="1032"/>
                <w:tab w:val="left" w:pos="5040"/>
                <w:tab w:val="left" w:pos="5760"/>
                <w:tab w:val="left" w:pos="6480"/>
                <w:tab w:val="left" w:pos="7200"/>
                <w:tab w:val="left" w:pos="7740"/>
                <w:tab w:val="left" w:pos="8640"/>
                <w:tab w:val="left" w:pos="9360"/>
                <w:tab w:val="left" w:pos="10080"/>
              </w:tabs>
              <w:ind w:right="1747"/>
              <w:jc w:val="right"/>
            </w:pPr>
            <w:r>
              <w:t>5/8" x 3/4"</w:t>
            </w:r>
          </w:p>
        </w:tc>
        <w:tc>
          <w:tcPr>
            <w:tcW w:w="6300" w:type="dxa"/>
            <w:gridSpan w:val="2"/>
            <w:hideMark/>
          </w:tcPr>
          <w:p w:rsidR="00A266C6" w:rsidRDefault="00A266C6" w:rsidP="009F1902">
            <w:pPr>
              <w:tabs>
                <w:tab w:val="left" w:pos="-720"/>
                <w:tab w:val="left" w:pos="-57"/>
                <w:tab w:val="left" w:pos="0"/>
                <w:tab w:val="left" w:pos="1317"/>
                <w:tab w:val="left" w:pos="4320"/>
                <w:tab w:val="left" w:pos="4851"/>
                <w:tab w:val="left" w:pos="5040"/>
                <w:tab w:val="left" w:pos="5136"/>
                <w:tab w:val="left" w:pos="5442"/>
                <w:tab w:val="left" w:pos="6480"/>
                <w:tab w:val="left" w:pos="7200"/>
                <w:tab w:val="left" w:pos="7740"/>
                <w:tab w:val="left" w:pos="8640"/>
                <w:tab w:val="left" w:pos="9360"/>
                <w:tab w:val="left" w:pos="10080"/>
              </w:tabs>
              <w:ind w:right="177"/>
              <w:jc w:val="right"/>
            </w:pPr>
            <w:r>
              <w:t xml:space="preserve">$16.75 </w:t>
            </w:r>
          </w:p>
        </w:tc>
      </w:tr>
      <w:tr w:rsidR="00A266C6" w:rsidTr="009F1902">
        <w:trPr>
          <w:gridAfter w:val="1"/>
          <w:wAfter w:w="1560" w:type="dxa"/>
        </w:trPr>
        <w:tc>
          <w:tcPr>
            <w:tcW w:w="3060" w:type="dxa"/>
            <w:hideMark/>
          </w:tcPr>
          <w:p w:rsidR="00A266C6" w:rsidRDefault="00A266C6" w:rsidP="009F1902">
            <w:pPr>
              <w:tabs>
                <w:tab w:val="left" w:pos="-720"/>
                <w:tab w:val="left" w:pos="-57"/>
                <w:tab w:val="left" w:pos="0"/>
                <w:tab w:val="left" w:pos="684"/>
                <w:tab w:val="left" w:pos="5040"/>
                <w:tab w:val="left" w:pos="5760"/>
                <w:tab w:val="left" w:pos="6480"/>
                <w:tab w:val="left" w:pos="7200"/>
                <w:tab w:val="left" w:pos="7740"/>
                <w:tab w:val="left" w:pos="8640"/>
                <w:tab w:val="left" w:pos="9360"/>
                <w:tab w:val="left" w:pos="10080"/>
              </w:tabs>
              <w:ind w:right="1747"/>
              <w:jc w:val="right"/>
            </w:pPr>
            <w:r>
              <w:t>3/4”</w:t>
            </w:r>
          </w:p>
        </w:tc>
        <w:tc>
          <w:tcPr>
            <w:tcW w:w="6300" w:type="dxa"/>
            <w:gridSpan w:val="2"/>
            <w:hideMark/>
          </w:tcPr>
          <w:p w:rsidR="00A266C6" w:rsidRDefault="00A266C6" w:rsidP="009F1902">
            <w:pPr>
              <w:tabs>
                <w:tab w:val="left" w:pos="-720"/>
                <w:tab w:val="left" w:pos="-57"/>
                <w:tab w:val="left" w:pos="0"/>
                <w:tab w:val="left" w:pos="1317"/>
                <w:tab w:val="left" w:pos="4320"/>
                <w:tab w:val="left" w:pos="4851"/>
                <w:tab w:val="left" w:pos="5040"/>
                <w:tab w:val="left" w:pos="5136"/>
                <w:tab w:val="left" w:pos="6480"/>
                <w:tab w:val="left" w:pos="7200"/>
                <w:tab w:val="left" w:pos="7740"/>
                <w:tab w:val="left" w:pos="8640"/>
                <w:tab w:val="left" w:pos="9360"/>
                <w:tab w:val="left" w:pos="10080"/>
              </w:tabs>
              <w:ind w:right="177"/>
              <w:jc w:val="right"/>
            </w:pPr>
            <w:r>
              <w:t>$25.12</w:t>
            </w:r>
          </w:p>
        </w:tc>
      </w:tr>
      <w:tr w:rsidR="00A266C6" w:rsidTr="009F1902">
        <w:trPr>
          <w:gridAfter w:val="1"/>
          <w:wAfter w:w="1560" w:type="dxa"/>
        </w:trPr>
        <w:tc>
          <w:tcPr>
            <w:tcW w:w="3060" w:type="dxa"/>
            <w:hideMark/>
          </w:tcPr>
          <w:p w:rsidR="00A266C6" w:rsidRDefault="00A266C6" w:rsidP="009F1902">
            <w:pPr>
              <w:tabs>
                <w:tab w:val="left" w:pos="-720"/>
                <w:tab w:val="left" w:pos="-57"/>
                <w:tab w:val="left" w:pos="0"/>
                <w:tab w:val="left" w:pos="684"/>
                <w:tab w:val="left" w:pos="5040"/>
                <w:tab w:val="left" w:pos="5760"/>
                <w:tab w:val="left" w:pos="6480"/>
                <w:tab w:val="left" w:pos="7200"/>
                <w:tab w:val="left" w:pos="7740"/>
                <w:tab w:val="left" w:pos="8640"/>
                <w:tab w:val="left" w:pos="9360"/>
                <w:tab w:val="left" w:pos="10080"/>
              </w:tabs>
              <w:ind w:right="1747"/>
              <w:jc w:val="right"/>
            </w:pPr>
            <w:r>
              <w:t>1"</w:t>
            </w:r>
          </w:p>
        </w:tc>
        <w:tc>
          <w:tcPr>
            <w:tcW w:w="6300" w:type="dxa"/>
            <w:gridSpan w:val="2"/>
            <w:hideMark/>
          </w:tcPr>
          <w:p w:rsidR="00A266C6" w:rsidRDefault="00A266C6" w:rsidP="009F1902">
            <w:pPr>
              <w:tabs>
                <w:tab w:val="left" w:pos="-720"/>
                <w:tab w:val="left" w:pos="-57"/>
                <w:tab w:val="left" w:pos="0"/>
                <w:tab w:val="left" w:pos="1317"/>
                <w:tab w:val="left" w:pos="4320"/>
                <w:tab w:val="left" w:pos="4851"/>
                <w:tab w:val="left" w:pos="5040"/>
                <w:tab w:val="left" w:pos="5136"/>
                <w:tab w:val="left" w:pos="6480"/>
                <w:tab w:val="left" w:pos="7200"/>
                <w:tab w:val="left" w:pos="7740"/>
                <w:tab w:val="left" w:pos="8640"/>
                <w:tab w:val="left" w:pos="9360"/>
                <w:tab w:val="left" w:pos="10080"/>
              </w:tabs>
              <w:ind w:right="177"/>
              <w:jc w:val="right"/>
            </w:pPr>
            <w:r>
              <w:t xml:space="preserve">$41.88 </w:t>
            </w:r>
          </w:p>
        </w:tc>
      </w:tr>
      <w:tr w:rsidR="00A266C6" w:rsidTr="009F1902">
        <w:trPr>
          <w:gridAfter w:val="1"/>
          <w:wAfter w:w="1560" w:type="dxa"/>
        </w:trPr>
        <w:tc>
          <w:tcPr>
            <w:tcW w:w="3060" w:type="dxa"/>
            <w:hideMark/>
          </w:tcPr>
          <w:p w:rsidR="00A266C6" w:rsidRDefault="00A266C6" w:rsidP="009F1902">
            <w:pPr>
              <w:tabs>
                <w:tab w:val="left" w:pos="-720"/>
                <w:tab w:val="left" w:pos="-57"/>
                <w:tab w:val="left" w:pos="0"/>
                <w:tab w:val="left" w:pos="684"/>
                <w:tab w:val="left" w:pos="5040"/>
                <w:tab w:val="left" w:pos="5760"/>
                <w:tab w:val="left" w:pos="6480"/>
                <w:tab w:val="left" w:pos="7200"/>
                <w:tab w:val="left" w:pos="7740"/>
                <w:tab w:val="left" w:pos="8640"/>
                <w:tab w:val="left" w:pos="9360"/>
                <w:tab w:val="left" w:pos="10080"/>
              </w:tabs>
              <w:ind w:right="1747"/>
              <w:jc w:val="right"/>
            </w:pPr>
            <w:r>
              <w:t>1 1/2"</w:t>
            </w:r>
          </w:p>
        </w:tc>
        <w:tc>
          <w:tcPr>
            <w:tcW w:w="6300" w:type="dxa"/>
            <w:gridSpan w:val="2"/>
            <w:hideMark/>
          </w:tcPr>
          <w:p w:rsidR="00A266C6" w:rsidRDefault="00A266C6" w:rsidP="009F1902">
            <w:pPr>
              <w:tabs>
                <w:tab w:val="left" w:pos="-720"/>
                <w:tab w:val="left" w:pos="-57"/>
                <w:tab w:val="left" w:pos="0"/>
                <w:tab w:val="left" w:pos="1317"/>
                <w:tab w:val="left" w:pos="4320"/>
                <w:tab w:val="left" w:pos="4851"/>
                <w:tab w:val="left" w:pos="5040"/>
                <w:tab w:val="left" w:pos="5136"/>
                <w:tab w:val="left" w:pos="6480"/>
                <w:tab w:val="left" w:pos="7200"/>
                <w:tab w:val="left" w:pos="7740"/>
                <w:tab w:val="left" w:pos="8640"/>
                <w:tab w:val="left" w:pos="9360"/>
                <w:tab w:val="left" w:pos="10080"/>
              </w:tabs>
              <w:ind w:right="177"/>
              <w:jc w:val="right"/>
            </w:pPr>
            <w:r>
              <w:t>$83.75</w:t>
            </w:r>
          </w:p>
        </w:tc>
      </w:tr>
      <w:tr w:rsidR="00A266C6" w:rsidTr="009F1902">
        <w:trPr>
          <w:gridAfter w:val="1"/>
          <w:wAfter w:w="1560" w:type="dxa"/>
        </w:trPr>
        <w:tc>
          <w:tcPr>
            <w:tcW w:w="3060" w:type="dxa"/>
            <w:hideMark/>
          </w:tcPr>
          <w:p w:rsidR="00A266C6" w:rsidRDefault="00A266C6" w:rsidP="009F1902">
            <w:pPr>
              <w:tabs>
                <w:tab w:val="left" w:pos="-720"/>
                <w:tab w:val="left" w:pos="-57"/>
                <w:tab w:val="left" w:pos="0"/>
                <w:tab w:val="left" w:pos="684"/>
                <w:tab w:val="left" w:pos="5040"/>
                <w:tab w:val="left" w:pos="5760"/>
                <w:tab w:val="left" w:pos="6480"/>
                <w:tab w:val="left" w:pos="7200"/>
                <w:tab w:val="left" w:pos="7740"/>
                <w:tab w:val="left" w:pos="8640"/>
                <w:tab w:val="left" w:pos="9360"/>
                <w:tab w:val="left" w:pos="10080"/>
              </w:tabs>
              <w:ind w:right="1747"/>
              <w:jc w:val="right"/>
            </w:pPr>
            <w:r>
              <w:t>2"</w:t>
            </w:r>
          </w:p>
        </w:tc>
        <w:tc>
          <w:tcPr>
            <w:tcW w:w="6300" w:type="dxa"/>
            <w:gridSpan w:val="2"/>
            <w:hideMark/>
          </w:tcPr>
          <w:p w:rsidR="00A266C6" w:rsidRDefault="00A266C6" w:rsidP="009F1902">
            <w:pPr>
              <w:tabs>
                <w:tab w:val="left" w:pos="-720"/>
                <w:tab w:val="left" w:pos="-57"/>
                <w:tab w:val="left" w:pos="0"/>
                <w:tab w:val="left" w:pos="1317"/>
                <w:tab w:val="left" w:pos="4320"/>
                <w:tab w:val="left" w:pos="4851"/>
                <w:tab w:val="left" w:pos="5040"/>
                <w:tab w:val="left" w:pos="5136"/>
                <w:tab w:val="left" w:pos="6480"/>
                <w:tab w:val="left" w:pos="7200"/>
                <w:tab w:val="left" w:pos="7740"/>
                <w:tab w:val="left" w:pos="8640"/>
                <w:tab w:val="left" w:pos="9360"/>
                <w:tab w:val="left" w:pos="10080"/>
              </w:tabs>
              <w:ind w:right="177"/>
              <w:jc w:val="right"/>
            </w:pPr>
            <w:r>
              <w:t xml:space="preserve">$134.00 </w:t>
            </w:r>
          </w:p>
        </w:tc>
      </w:tr>
      <w:tr w:rsidR="00A266C6" w:rsidTr="009F1902">
        <w:trPr>
          <w:gridAfter w:val="1"/>
          <w:wAfter w:w="1560" w:type="dxa"/>
        </w:trPr>
        <w:tc>
          <w:tcPr>
            <w:tcW w:w="3060" w:type="dxa"/>
            <w:hideMark/>
          </w:tcPr>
          <w:p w:rsidR="00A266C6" w:rsidRDefault="00A266C6" w:rsidP="009F1902">
            <w:pPr>
              <w:tabs>
                <w:tab w:val="left" w:pos="-720"/>
                <w:tab w:val="left" w:pos="-57"/>
                <w:tab w:val="left" w:pos="0"/>
                <w:tab w:val="left" w:pos="684"/>
                <w:tab w:val="left" w:pos="5040"/>
                <w:tab w:val="left" w:pos="5760"/>
                <w:tab w:val="left" w:pos="6480"/>
                <w:tab w:val="left" w:pos="7200"/>
                <w:tab w:val="left" w:pos="7740"/>
                <w:tab w:val="left" w:pos="8640"/>
                <w:tab w:val="left" w:pos="9360"/>
                <w:tab w:val="left" w:pos="10080"/>
              </w:tabs>
              <w:ind w:right="1742"/>
              <w:jc w:val="right"/>
            </w:pPr>
            <w:r>
              <w:t>3"</w:t>
            </w:r>
          </w:p>
        </w:tc>
        <w:tc>
          <w:tcPr>
            <w:tcW w:w="6300" w:type="dxa"/>
            <w:gridSpan w:val="2"/>
            <w:hideMark/>
          </w:tcPr>
          <w:p w:rsidR="00A266C6" w:rsidRDefault="00A266C6" w:rsidP="009F1902">
            <w:pPr>
              <w:tabs>
                <w:tab w:val="left" w:pos="-720"/>
                <w:tab w:val="left" w:pos="-57"/>
                <w:tab w:val="left" w:pos="0"/>
                <w:tab w:val="left" w:pos="1317"/>
                <w:tab w:val="left" w:pos="4320"/>
                <w:tab w:val="left" w:pos="4851"/>
                <w:tab w:val="left" w:pos="5040"/>
                <w:tab w:val="left" w:pos="5136"/>
                <w:tab w:val="left" w:pos="6480"/>
                <w:tab w:val="left" w:pos="7200"/>
                <w:tab w:val="left" w:pos="7740"/>
                <w:tab w:val="left" w:pos="8640"/>
                <w:tab w:val="left" w:pos="9360"/>
                <w:tab w:val="left" w:pos="10080"/>
              </w:tabs>
              <w:ind w:right="173"/>
              <w:jc w:val="right"/>
            </w:pPr>
            <w:r>
              <w:t xml:space="preserve">$268.00 </w:t>
            </w:r>
          </w:p>
        </w:tc>
      </w:tr>
      <w:tr w:rsidR="00A266C6" w:rsidTr="009F1902">
        <w:trPr>
          <w:gridAfter w:val="1"/>
          <w:wAfter w:w="1560" w:type="dxa"/>
        </w:trPr>
        <w:tc>
          <w:tcPr>
            <w:tcW w:w="3060" w:type="dxa"/>
            <w:hideMark/>
          </w:tcPr>
          <w:p w:rsidR="00A266C6" w:rsidRDefault="00A266C6" w:rsidP="009F1902">
            <w:pPr>
              <w:tabs>
                <w:tab w:val="left" w:pos="-720"/>
                <w:tab w:val="left" w:pos="-57"/>
                <w:tab w:val="left" w:pos="0"/>
                <w:tab w:val="left" w:pos="684"/>
                <w:tab w:val="left" w:pos="5040"/>
                <w:tab w:val="left" w:pos="5760"/>
                <w:tab w:val="left" w:pos="6480"/>
                <w:tab w:val="left" w:pos="7200"/>
                <w:tab w:val="left" w:pos="7740"/>
                <w:tab w:val="left" w:pos="8640"/>
                <w:tab w:val="left" w:pos="9360"/>
                <w:tab w:val="left" w:pos="10080"/>
              </w:tabs>
              <w:ind w:right="1742"/>
              <w:jc w:val="right"/>
            </w:pPr>
            <w:r>
              <w:t>4”</w:t>
            </w:r>
          </w:p>
        </w:tc>
        <w:tc>
          <w:tcPr>
            <w:tcW w:w="6300" w:type="dxa"/>
            <w:gridSpan w:val="2"/>
            <w:hideMark/>
          </w:tcPr>
          <w:p w:rsidR="00A266C6" w:rsidRDefault="00A266C6" w:rsidP="009F1902">
            <w:pPr>
              <w:tabs>
                <w:tab w:val="left" w:pos="-720"/>
                <w:tab w:val="left" w:pos="-57"/>
                <w:tab w:val="left" w:pos="0"/>
                <w:tab w:val="left" w:pos="1317"/>
                <w:tab w:val="left" w:pos="4320"/>
                <w:tab w:val="left" w:pos="4851"/>
                <w:tab w:val="left" w:pos="5040"/>
                <w:tab w:val="left" w:pos="5136"/>
                <w:tab w:val="left" w:pos="6480"/>
                <w:tab w:val="left" w:pos="7200"/>
                <w:tab w:val="left" w:pos="7740"/>
                <w:tab w:val="left" w:pos="8640"/>
                <w:tab w:val="left" w:pos="9360"/>
                <w:tab w:val="left" w:pos="10080"/>
              </w:tabs>
              <w:ind w:right="173"/>
              <w:jc w:val="right"/>
            </w:pPr>
            <w:r>
              <w:t>$418.75</w:t>
            </w:r>
          </w:p>
        </w:tc>
      </w:tr>
      <w:tr w:rsidR="00A266C6" w:rsidTr="009F1902">
        <w:trPr>
          <w:gridAfter w:val="1"/>
          <w:wAfter w:w="1560" w:type="dxa"/>
        </w:trPr>
        <w:tc>
          <w:tcPr>
            <w:tcW w:w="3060" w:type="dxa"/>
          </w:tcPr>
          <w:p w:rsidR="00A266C6" w:rsidRDefault="00A266C6" w:rsidP="009F1902">
            <w:pPr>
              <w:tabs>
                <w:tab w:val="left" w:pos="-720"/>
                <w:tab w:val="left" w:pos="-57"/>
                <w:tab w:val="left" w:pos="0"/>
                <w:tab w:val="left" w:pos="1317"/>
                <w:tab w:val="left" w:pos="5040"/>
                <w:tab w:val="left" w:pos="5760"/>
                <w:tab w:val="left" w:pos="6480"/>
                <w:tab w:val="left" w:pos="7200"/>
                <w:tab w:val="left" w:pos="7740"/>
                <w:tab w:val="left" w:pos="8640"/>
                <w:tab w:val="left" w:pos="9360"/>
                <w:tab w:val="left" w:pos="10080"/>
              </w:tabs>
              <w:ind w:right="177"/>
            </w:pPr>
          </w:p>
        </w:tc>
        <w:tc>
          <w:tcPr>
            <w:tcW w:w="6300" w:type="dxa"/>
            <w:gridSpan w:val="2"/>
          </w:tcPr>
          <w:p w:rsidR="00A266C6" w:rsidRDefault="00A266C6" w:rsidP="009F1902">
            <w:pPr>
              <w:tabs>
                <w:tab w:val="left" w:pos="-720"/>
                <w:tab w:val="left" w:pos="-57"/>
                <w:tab w:val="left" w:pos="0"/>
                <w:tab w:val="left" w:pos="1317"/>
                <w:tab w:val="left" w:pos="5108"/>
                <w:tab w:val="left" w:pos="5760"/>
                <w:tab w:val="left" w:pos="6480"/>
                <w:tab w:val="left" w:pos="7200"/>
                <w:tab w:val="left" w:pos="7740"/>
                <w:tab w:val="left" w:pos="8640"/>
                <w:tab w:val="left" w:pos="9360"/>
                <w:tab w:val="left" w:pos="10080"/>
              </w:tabs>
              <w:ind w:right="177"/>
              <w:jc w:val="right"/>
            </w:pPr>
          </w:p>
        </w:tc>
      </w:tr>
      <w:tr w:rsidR="00A266C6" w:rsidTr="009F1902">
        <w:trPr>
          <w:gridAfter w:val="1"/>
          <w:wAfter w:w="1560" w:type="dxa"/>
        </w:trPr>
        <w:tc>
          <w:tcPr>
            <w:tcW w:w="3060" w:type="dxa"/>
            <w:hideMark/>
          </w:tcPr>
          <w:p w:rsidR="00A266C6" w:rsidRDefault="00A266C6" w:rsidP="009F1902">
            <w:pPr>
              <w:tabs>
                <w:tab w:val="left" w:pos="-720"/>
                <w:tab w:val="left" w:pos="-57"/>
                <w:tab w:val="left" w:pos="0"/>
                <w:tab w:val="left" w:pos="1317"/>
                <w:tab w:val="left" w:pos="5040"/>
                <w:tab w:val="left" w:pos="5760"/>
                <w:tab w:val="left" w:pos="6480"/>
                <w:tab w:val="left" w:pos="7200"/>
                <w:tab w:val="left" w:pos="7740"/>
                <w:tab w:val="left" w:pos="8640"/>
                <w:tab w:val="left" w:pos="9360"/>
                <w:tab w:val="left" w:pos="10080"/>
              </w:tabs>
              <w:ind w:right="177"/>
            </w:pPr>
            <w:r>
              <w:t>Charge per 1,000 gallons</w:t>
            </w:r>
          </w:p>
        </w:tc>
        <w:tc>
          <w:tcPr>
            <w:tcW w:w="6300" w:type="dxa"/>
            <w:gridSpan w:val="2"/>
            <w:hideMark/>
          </w:tcPr>
          <w:p w:rsidR="00A266C6" w:rsidRDefault="00A266C6" w:rsidP="009F1902">
            <w:pPr>
              <w:tabs>
                <w:tab w:val="left" w:pos="-720"/>
                <w:tab w:val="left" w:pos="-57"/>
                <w:tab w:val="left" w:pos="0"/>
                <w:tab w:val="left" w:pos="1317"/>
                <w:tab w:val="left" w:pos="5108"/>
                <w:tab w:val="left" w:pos="5760"/>
                <w:tab w:val="left" w:pos="6480"/>
                <w:tab w:val="left" w:pos="7200"/>
                <w:tab w:val="left" w:pos="7740"/>
                <w:tab w:val="left" w:pos="8640"/>
                <w:tab w:val="left" w:pos="9360"/>
                <w:tab w:val="left" w:pos="10080"/>
              </w:tabs>
              <w:ind w:right="177"/>
              <w:jc w:val="right"/>
            </w:pPr>
            <w:r>
              <w:t xml:space="preserve">$3.40 </w:t>
            </w:r>
          </w:p>
        </w:tc>
      </w:tr>
    </w:tbl>
    <w:p w:rsidR="00A266C6" w:rsidRPr="003E5EAF" w:rsidRDefault="00A266C6" w:rsidP="00A266C6">
      <w:pPr>
        <w:rPr>
          <w:sz w:val="20"/>
          <w:highlight w:val="yellow"/>
        </w:rPr>
      </w:pPr>
    </w:p>
    <w:p w:rsidR="00A266C6" w:rsidRDefault="00A266C6" w:rsidP="00A266C6">
      <w:pPr>
        <w:jc w:val="center"/>
        <w:rPr>
          <w:b/>
        </w:rPr>
      </w:pPr>
      <w:r w:rsidRPr="004B38B8">
        <w:rPr>
          <w:b/>
        </w:rPr>
        <w:t>Wastewater Service Availability Charges</w:t>
      </w:r>
    </w:p>
    <w:p w:rsidR="00A266C6" w:rsidRDefault="00A266C6" w:rsidP="00A266C6">
      <w:pPr>
        <w:jc w:val="center"/>
        <w:rPr>
          <w:b/>
        </w:rPr>
      </w:pPr>
    </w:p>
    <w:tbl>
      <w:tblPr>
        <w:tblW w:w="9378" w:type="dxa"/>
        <w:tblLook w:val="01E0" w:firstRow="1" w:lastRow="1" w:firstColumn="1" w:lastColumn="1" w:noHBand="0" w:noVBand="0"/>
      </w:tblPr>
      <w:tblGrid>
        <w:gridCol w:w="5122"/>
        <w:gridCol w:w="582"/>
        <w:gridCol w:w="3674"/>
      </w:tblGrid>
      <w:tr w:rsidR="00A266C6" w:rsidTr="009F1902">
        <w:tc>
          <w:tcPr>
            <w:tcW w:w="5122" w:type="dxa"/>
            <w:hideMark/>
          </w:tcPr>
          <w:p w:rsidR="00A266C6" w:rsidRDefault="00A266C6" w:rsidP="009F1902">
            <w:r>
              <w:t>Main Extension Charge (ERC = 243 gpd)</w:t>
            </w:r>
          </w:p>
        </w:tc>
        <w:tc>
          <w:tcPr>
            <w:tcW w:w="582" w:type="dxa"/>
          </w:tcPr>
          <w:p w:rsidR="00A266C6" w:rsidRDefault="00A266C6" w:rsidP="009F1902">
            <w:pPr>
              <w:jc w:val="right"/>
            </w:pPr>
          </w:p>
        </w:tc>
        <w:tc>
          <w:tcPr>
            <w:tcW w:w="3674" w:type="dxa"/>
            <w:hideMark/>
          </w:tcPr>
          <w:p w:rsidR="00A266C6" w:rsidRDefault="00A266C6" w:rsidP="009F1902">
            <w:pPr>
              <w:ind w:right="72"/>
              <w:jc w:val="right"/>
            </w:pPr>
            <w:r>
              <w:t>$5,977.00</w:t>
            </w:r>
          </w:p>
        </w:tc>
      </w:tr>
    </w:tbl>
    <w:p w:rsidR="002858EC" w:rsidRPr="002858EC" w:rsidRDefault="002858EC" w:rsidP="002858EC">
      <w:pPr>
        <w:pStyle w:val="BodyText"/>
        <w:sectPr w:rsidR="002858EC" w:rsidRPr="002858EC" w:rsidSect="0068481F">
          <w:headerReference w:type="default" r:id="rId17"/>
          <w:pgSz w:w="12240" w:h="15840" w:code="1"/>
          <w:pgMar w:top="1584" w:right="1440" w:bottom="1440" w:left="1440" w:header="720" w:footer="720" w:gutter="0"/>
          <w:cols w:space="720"/>
          <w:formProt w:val="0"/>
          <w:docGrid w:linePitch="360"/>
        </w:sectPr>
      </w:pPr>
    </w:p>
    <w:tbl>
      <w:tblPr>
        <w:tblStyle w:val="TableGrid"/>
        <w:tblW w:w="0" w:type="auto"/>
        <w:tblLook w:val="04A0" w:firstRow="1" w:lastRow="0" w:firstColumn="1" w:lastColumn="0" w:noHBand="0" w:noVBand="1"/>
      </w:tblPr>
      <w:tblGrid>
        <w:gridCol w:w="1908"/>
        <w:gridCol w:w="2340"/>
        <w:gridCol w:w="5328"/>
      </w:tblGrid>
      <w:tr w:rsidR="001C284E" w:rsidTr="009F1902">
        <w:tc>
          <w:tcPr>
            <w:tcW w:w="1908" w:type="dxa"/>
          </w:tcPr>
          <w:p w:rsidR="001C284E" w:rsidRDefault="001C284E" w:rsidP="009F1902">
            <w:pPr>
              <w:jc w:val="center"/>
            </w:pPr>
            <w:r>
              <w:lastRenderedPageBreak/>
              <w:t>Old Rule</w:t>
            </w:r>
          </w:p>
        </w:tc>
        <w:tc>
          <w:tcPr>
            <w:tcW w:w="2340" w:type="dxa"/>
          </w:tcPr>
          <w:p w:rsidR="001C284E" w:rsidRDefault="001C284E" w:rsidP="009F1902">
            <w:pPr>
              <w:jc w:val="center"/>
            </w:pPr>
            <w:r>
              <w:t>New Rule</w:t>
            </w:r>
          </w:p>
        </w:tc>
        <w:tc>
          <w:tcPr>
            <w:tcW w:w="5328" w:type="dxa"/>
          </w:tcPr>
          <w:p w:rsidR="001C284E" w:rsidRDefault="001C284E" w:rsidP="009F1902">
            <w:pPr>
              <w:jc w:val="center"/>
            </w:pPr>
            <w:r>
              <w:t>Short Description</w:t>
            </w:r>
          </w:p>
        </w:tc>
      </w:tr>
      <w:tr w:rsidR="001C284E" w:rsidTr="009F1902">
        <w:tc>
          <w:tcPr>
            <w:tcW w:w="1908" w:type="dxa"/>
          </w:tcPr>
          <w:p w:rsidR="001C284E" w:rsidRDefault="001C284E" w:rsidP="009F1902">
            <w:pPr>
              <w:jc w:val="both"/>
            </w:pPr>
            <w:r w:rsidRPr="00162841">
              <w:t>25-30.033(1)</w:t>
            </w:r>
            <w:r w:rsidRPr="0002470C">
              <w:rPr>
                <w:b/>
              </w:rPr>
              <w:t>(h)</w:t>
            </w:r>
          </w:p>
        </w:tc>
        <w:tc>
          <w:tcPr>
            <w:tcW w:w="2340" w:type="dxa"/>
          </w:tcPr>
          <w:p w:rsidR="001C284E" w:rsidRDefault="001C284E" w:rsidP="009F1902">
            <w:r w:rsidRPr="00EA5D55">
              <w:t>25-30.033(1)</w:t>
            </w:r>
            <w:r w:rsidRPr="0002470C">
              <w:rPr>
                <w:b/>
              </w:rPr>
              <w:t>(k)1.</w:t>
            </w:r>
          </w:p>
        </w:tc>
        <w:tc>
          <w:tcPr>
            <w:tcW w:w="5328" w:type="dxa"/>
          </w:tcPr>
          <w:p w:rsidR="001C284E" w:rsidRPr="00EA5D55" w:rsidRDefault="001C284E" w:rsidP="009F1902">
            <w:r>
              <w:t>No. customers to be served by class\meter size</w:t>
            </w:r>
          </w:p>
        </w:tc>
      </w:tr>
      <w:tr w:rsidR="001C284E" w:rsidTr="009F1902">
        <w:tc>
          <w:tcPr>
            <w:tcW w:w="1908" w:type="dxa"/>
          </w:tcPr>
          <w:p w:rsidR="001C284E" w:rsidRDefault="001C284E" w:rsidP="009F1902">
            <w:pPr>
              <w:jc w:val="both"/>
            </w:pPr>
            <w:r w:rsidRPr="00162841">
              <w:t>25-30.033(1)</w:t>
            </w:r>
            <w:r w:rsidRPr="0002470C">
              <w:rPr>
                <w:b/>
              </w:rPr>
              <w:t>(m)</w:t>
            </w:r>
          </w:p>
        </w:tc>
        <w:tc>
          <w:tcPr>
            <w:tcW w:w="2340" w:type="dxa"/>
          </w:tcPr>
          <w:p w:rsidR="001C284E" w:rsidRDefault="001C284E" w:rsidP="009F1902">
            <w:r w:rsidRPr="00EA5D55">
              <w:t>25-30.033(1)</w:t>
            </w:r>
            <w:r w:rsidRPr="0002470C">
              <w:rPr>
                <w:b/>
              </w:rPr>
              <w:t>(j)2.</w:t>
            </w:r>
          </w:p>
        </w:tc>
        <w:tc>
          <w:tcPr>
            <w:tcW w:w="5328" w:type="dxa"/>
          </w:tcPr>
          <w:p w:rsidR="001C284E" w:rsidRPr="00EA5D55" w:rsidRDefault="001C284E" w:rsidP="009F1902">
            <w:r>
              <w:t>Detailed system map</w:t>
            </w:r>
          </w:p>
        </w:tc>
      </w:tr>
      <w:tr w:rsidR="001C284E" w:rsidTr="009F1902">
        <w:tc>
          <w:tcPr>
            <w:tcW w:w="1908" w:type="dxa"/>
          </w:tcPr>
          <w:p w:rsidR="001C284E" w:rsidRDefault="001C284E" w:rsidP="009F1902">
            <w:r w:rsidRPr="008E735D">
              <w:t>25-30.033(1)</w:t>
            </w:r>
            <w:r w:rsidRPr="0002470C">
              <w:rPr>
                <w:b/>
              </w:rPr>
              <w:t>(o)</w:t>
            </w:r>
          </w:p>
        </w:tc>
        <w:tc>
          <w:tcPr>
            <w:tcW w:w="2340" w:type="dxa"/>
          </w:tcPr>
          <w:p w:rsidR="001C284E" w:rsidRDefault="001C284E" w:rsidP="009F1902">
            <w:r w:rsidRPr="00EA5D55">
              <w:t>25-30.033(1)</w:t>
            </w:r>
            <w:r w:rsidRPr="0002470C">
              <w:rPr>
                <w:b/>
              </w:rPr>
              <w:t>(n)</w:t>
            </w:r>
          </w:p>
        </w:tc>
        <w:tc>
          <w:tcPr>
            <w:tcW w:w="5328" w:type="dxa"/>
          </w:tcPr>
          <w:p w:rsidR="001C284E" w:rsidRPr="00EA5D55" w:rsidRDefault="001C284E" w:rsidP="009F1902">
            <w:r>
              <w:t>Capacities of lines/treatment facilities in ERCs, gpd</w:t>
            </w:r>
          </w:p>
        </w:tc>
      </w:tr>
      <w:tr w:rsidR="001C284E" w:rsidTr="009F1902">
        <w:tc>
          <w:tcPr>
            <w:tcW w:w="1908" w:type="dxa"/>
          </w:tcPr>
          <w:p w:rsidR="001C284E" w:rsidRDefault="001C284E" w:rsidP="009F1902">
            <w:r w:rsidRPr="008E735D">
              <w:t>25-30.033(1)</w:t>
            </w:r>
            <w:r w:rsidRPr="0002470C">
              <w:rPr>
                <w:b/>
              </w:rPr>
              <w:t>(t)</w:t>
            </w:r>
          </w:p>
        </w:tc>
        <w:tc>
          <w:tcPr>
            <w:tcW w:w="2340" w:type="dxa"/>
          </w:tcPr>
          <w:p w:rsidR="001C284E" w:rsidRDefault="001C284E" w:rsidP="009F1902">
            <w:r w:rsidRPr="00EA5D55">
              <w:t>25-30.033(1)</w:t>
            </w:r>
            <w:r w:rsidRPr="0002470C">
              <w:rPr>
                <w:b/>
              </w:rPr>
              <w:t>(p)1.-7</w:t>
            </w:r>
            <w:r>
              <w:t>.</w:t>
            </w:r>
          </w:p>
        </w:tc>
        <w:tc>
          <w:tcPr>
            <w:tcW w:w="5328" w:type="dxa"/>
          </w:tcPr>
          <w:p w:rsidR="001C284E" w:rsidRPr="00EA5D55" w:rsidRDefault="001C284E" w:rsidP="009F1902">
            <w:r>
              <w:t>Cost study</w:t>
            </w:r>
          </w:p>
        </w:tc>
      </w:tr>
      <w:tr w:rsidR="001C284E" w:rsidTr="009F1902">
        <w:tc>
          <w:tcPr>
            <w:tcW w:w="1908" w:type="dxa"/>
          </w:tcPr>
          <w:p w:rsidR="001C284E" w:rsidRDefault="001C284E" w:rsidP="009F1902">
            <w:r w:rsidRPr="008E735D">
              <w:t>25-30.033(1)</w:t>
            </w:r>
            <w:r w:rsidRPr="0002470C">
              <w:rPr>
                <w:b/>
              </w:rPr>
              <w:t>(u)</w:t>
            </w:r>
          </w:p>
        </w:tc>
        <w:tc>
          <w:tcPr>
            <w:tcW w:w="2340" w:type="dxa"/>
          </w:tcPr>
          <w:p w:rsidR="001C284E" w:rsidRDefault="001C284E" w:rsidP="009F1902">
            <w:r w:rsidRPr="00EA5D55">
              <w:t>25-30.033(1)</w:t>
            </w:r>
            <w:r w:rsidRPr="0002470C">
              <w:rPr>
                <w:b/>
              </w:rPr>
              <w:t>(p)1.</w:t>
            </w:r>
          </w:p>
        </w:tc>
        <w:tc>
          <w:tcPr>
            <w:tcW w:w="5328" w:type="dxa"/>
          </w:tcPr>
          <w:p w:rsidR="001C284E" w:rsidRPr="00EA5D55" w:rsidRDefault="001C284E" w:rsidP="009F1902">
            <w:r>
              <w:t>Schedule of projected system cost</w:t>
            </w:r>
          </w:p>
        </w:tc>
      </w:tr>
      <w:tr w:rsidR="001C284E" w:rsidTr="009F1902">
        <w:tc>
          <w:tcPr>
            <w:tcW w:w="1908" w:type="dxa"/>
          </w:tcPr>
          <w:p w:rsidR="001C284E" w:rsidRDefault="001C284E" w:rsidP="009F1902">
            <w:r w:rsidRPr="008E735D">
              <w:t>25-30.033(1)</w:t>
            </w:r>
            <w:r w:rsidRPr="0002470C">
              <w:rPr>
                <w:b/>
              </w:rPr>
              <w:t>(v)</w:t>
            </w:r>
          </w:p>
        </w:tc>
        <w:tc>
          <w:tcPr>
            <w:tcW w:w="2340" w:type="dxa"/>
          </w:tcPr>
          <w:p w:rsidR="001C284E" w:rsidRDefault="001C284E" w:rsidP="009F1902">
            <w:r w:rsidRPr="00EA5D55">
              <w:t>25-30.033(1)</w:t>
            </w:r>
            <w:r w:rsidRPr="0002470C">
              <w:rPr>
                <w:b/>
              </w:rPr>
              <w:t>(p)4.</w:t>
            </w:r>
          </w:p>
        </w:tc>
        <w:tc>
          <w:tcPr>
            <w:tcW w:w="5328" w:type="dxa"/>
          </w:tcPr>
          <w:p w:rsidR="001C284E" w:rsidRPr="00EA5D55" w:rsidRDefault="001C284E" w:rsidP="009F1902">
            <w:r>
              <w:t>Schedule of projected operating expenses</w:t>
            </w:r>
          </w:p>
        </w:tc>
      </w:tr>
      <w:tr w:rsidR="001C284E" w:rsidTr="009F1902">
        <w:tc>
          <w:tcPr>
            <w:tcW w:w="1908" w:type="dxa"/>
          </w:tcPr>
          <w:p w:rsidR="001C284E" w:rsidRDefault="001C284E" w:rsidP="009F1902">
            <w:r w:rsidRPr="008E735D">
              <w:t>25-30.033(1)</w:t>
            </w:r>
            <w:r w:rsidRPr="0002470C">
              <w:rPr>
                <w:b/>
              </w:rPr>
              <w:t>(w)</w:t>
            </w:r>
          </w:p>
        </w:tc>
        <w:tc>
          <w:tcPr>
            <w:tcW w:w="2340" w:type="dxa"/>
          </w:tcPr>
          <w:p w:rsidR="001C284E" w:rsidRDefault="001C284E" w:rsidP="009F1902">
            <w:r w:rsidRPr="00EA5D55">
              <w:t>25-30.033(1)</w:t>
            </w:r>
            <w:r w:rsidRPr="0002470C">
              <w:rPr>
                <w:b/>
              </w:rPr>
              <w:t>(p)3.</w:t>
            </w:r>
          </w:p>
        </w:tc>
        <w:tc>
          <w:tcPr>
            <w:tcW w:w="5328" w:type="dxa"/>
          </w:tcPr>
          <w:p w:rsidR="001C284E" w:rsidRPr="00EA5D55" w:rsidRDefault="001C284E" w:rsidP="009F1902">
            <w:r>
              <w:t>Schedule of projected capital structure</w:t>
            </w:r>
          </w:p>
        </w:tc>
      </w:tr>
    </w:tbl>
    <w:p w:rsidR="00E06484" w:rsidRDefault="00E06484" w:rsidP="003E5EAF">
      <w:pPr>
        <w:pStyle w:val="IssueHeading"/>
      </w:pPr>
    </w:p>
    <w:sectPr w:rsidR="00E06484"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6EC" w:rsidRDefault="006106EC">
      <w:r>
        <w:separator/>
      </w:r>
    </w:p>
  </w:endnote>
  <w:endnote w:type="continuationSeparator" w:id="0">
    <w:p w:rsidR="006106EC" w:rsidRDefault="00610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EC" w:rsidRDefault="006106E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72A20">
      <w:rPr>
        <w:rStyle w:val="PageNumber"/>
        <w:noProof/>
      </w:rPr>
      <w:t>15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EC" w:rsidRDefault="006106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6EC" w:rsidRDefault="006106EC">
      <w:r>
        <w:separator/>
      </w:r>
    </w:p>
  </w:footnote>
  <w:footnote w:type="continuationSeparator" w:id="0">
    <w:p w:rsidR="006106EC" w:rsidRDefault="006106EC">
      <w:r>
        <w:continuationSeparator/>
      </w:r>
    </w:p>
  </w:footnote>
  <w:footnote w:id="1">
    <w:p w:rsidR="006106EC" w:rsidRPr="00976DBF" w:rsidRDefault="006106EC" w:rsidP="00077ADD">
      <w:pPr>
        <w:pStyle w:val="FootnoteText"/>
        <w:rPr>
          <w:i/>
        </w:rPr>
      </w:pPr>
      <w:r>
        <w:rPr>
          <w:rStyle w:val="FootnoteReference"/>
        </w:rPr>
        <w:footnoteRef/>
      </w:r>
      <w:r>
        <w:t xml:space="preserve">Order No. </w:t>
      </w:r>
      <w:r w:rsidRPr="00976DBF">
        <w:t>PSC-13-0324-PAA-WS</w:t>
      </w:r>
      <w:r>
        <w:t xml:space="preserve">, issued on July 15, 2013, in Docket No. 130105-WS, </w:t>
      </w:r>
      <w:r>
        <w:rPr>
          <w:i/>
        </w:rPr>
        <w:t xml:space="preserve">In re: </w:t>
      </w:r>
      <w:r w:rsidRPr="00517EB6">
        <w:rPr>
          <w:i/>
        </w:rPr>
        <w:t>Application for certificates to provide water and wastewater service in Hendry and Collier Counties, by Consolidated Services of Hendry &amp; Collier, LLC.</w:t>
      </w:r>
    </w:p>
  </w:footnote>
  <w:footnote w:id="2">
    <w:p w:rsidR="006106EC" w:rsidRDefault="006106EC" w:rsidP="00077ADD">
      <w:pPr>
        <w:pStyle w:val="FootnoteText"/>
      </w:pPr>
      <w:r>
        <w:rPr>
          <w:rStyle w:val="FootnoteReference"/>
        </w:rPr>
        <w:footnoteRef/>
      </w:r>
      <w:r>
        <w:t xml:space="preserve">Order No. </w:t>
      </w:r>
      <w:r w:rsidRPr="00517EB6">
        <w:t>PSC-13-0484-FOF-WS</w:t>
      </w:r>
      <w:r>
        <w:t xml:space="preserve">, issued on October 15, 2013, in Docket No. 130105-WS, </w:t>
      </w:r>
      <w:r>
        <w:rPr>
          <w:i/>
        </w:rPr>
        <w:t xml:space="preserve">In re: </w:t>
      </w:r>
      <w:r w:rsidRPr="00517EB6">
        <w:rPr>
          <w:i/>
        </w:rPr>
        <w:t>Application for certificates to provide water and wastewater service in Hendry and Collier Counties, by Consolidated Services of Hendry &amp; Collier, LLC.</w:t>
      </w:r>
    </w:p>
  </w:footnote>
  <w:footnote w:id="3">
    <w:p w:rsidR="006106EC" w:rsidRDefault="006106EC" w:rsidP="008B550B">
      <w:pPr>
        <w:pStyle w:val="FootnoteText"/>
      </w:pPr>
      <w:r>
        <w:rPr>
          <w:rStyle w:val="FootnoteReference"/>
        </w:rPr>
        <w:footnoteRef/>
      </w:r>
      <w:r>
        <w:t xml:space="preserve">Order No. PSC-16-0254-PAA-WS, issued June 29, 2016, in Docket No. 160006-WS, </w:t>
      </w:r>
      <w:r w:rsidRPr="003454BE">
        <w:rPr>
          <w:i/>
        </w:rPr>
        <w:t>In re: W</w:t>
      </w:r>
      <w:r w:rsidRPr="00FC71D5">
        <w:rPr>
          <w:i/>
        </w:rPr>
        <w:t>ater and wastewater industry annual reestablishment of authorized range of return on common equity for water and wastewater utilities pursuant to Section 367.081(4)(f), F.S.</w:t>
      </w:r>
      <w:r>
        <w:t xml:space="preserve"> </w:t>
      </w:r>
    </w:p>
  </w:footnote>
  <w:footnote w:id="4">
    <w:p w:rsidR="006106EC" w:rsidRDefault="006106EC" w:rsidP="00107E0C">
      <w:pPr>
        <w:autoSpaceDE w:val="0"/>
        <w:autoSpaceDN w:val="0"/>
        <w:adjustRightInd w:val="0"/>
        <w:jc w:val="both"/>
      </w:pPr>
      <w:r>
        <w:rPr>
          <w:rStyle w:val="FootnoteReference"/>
        </w:rPr>
        <w:footnoteRef/>
      </w:r>
      <w:r w:rsidRPr="00C3287F">
        <w:rPr>
          <w:sz w:val="20"/>
          <w:szCs w:val="20"/>
        </w:rPr>
        <w:t xml:space="preserve">Order No. PSC-16-0370-PAA-WS, </w:t>
      </w:r>
      <w:r>
        <w:rPr>
          <w:sz w:val="20"/>
          <w:szCs w:val="20"/>
        </w:rPr>
        <w:t xml:space="preserve">p.11, </w:t>
      </w:r>
      <w:r w:rsidRPr="00C3287F">
        <w:rPr>
          <w:sz w:val="20"/>
          <w:szCs w:val="20"/>
        </w:rPr>
        <w:t>issued September 14, 2016, in Docket No. 150149-WS</w:t>
      </w:r>
      <w:r w:rsidRPr="000D7D72">
        <w:rPr>
          <w:i/>
          <w:sz w:val="20"/>
          <w:szCs w:val="20"/>
        </w:rPr>
        <w:t>, In re: Application for staff-assisted rate case in Glades and Highlands Counties by Silver Lake Utilities, Inc.</w:t>
      </w:r>
    </w:p>
  </w:footnote>
  <w:footnote w:id="5">
    <w:p w:rsidR="006106EC" w:rsidRDefault="006106EC" w:rsidP="004F527D">
      <w:pPr>
        <w:pStyle w:val="FootnoteText"/>
      </w:pPr>
      <w:r>
        <w:rPr>
          <w:rStyle w:val="FootnoteReference"/>
        </w:rPr>
        <w:footnoteRef/>
      </w:r>
      <w:r>
        <w:t xml:space="preserve">See Order Nos. </w:t>
      </w:r>
      <w:bookmarkStart w:id="17" w:name="OrderNo0583"/>
      <w:r>
        <w:t>PSC-16-0583-PAA-WS</w:t>
      </w:r>
      <w:bookmarkEnd w:id="17"/>
      <w:r>
        <w:t xml:space="preserve">, issued December 29, 2016, in Docket No. 150010-WS, </w:t>
      </w:r>
      <w:r>
        <w:rPr>
          <w:i/>
        </w:rPr>
        <w:t>In re: Application for staff-assisted rate case in Brevard County by Aquarina Utilities, Inc.</w:t>
      </w:r>
      <w:r>
        <w:t xml:space="preserve"> and PSC-07-0983-PAA-WS, issued December 10, 2007, in Docket No. 060726-WS, </w:t>
      </w:r>
      <w:r>
        <w:rPr>
          <w:i/>
        </w:rPr>
        <w:t>In re: Application for certificates to provide water and wastewater service in Glades County and water service in Highlands County by Silver Lake Utilities, Inc.</w:t>
      </w:r>
    </w:p>
  </w:footnote>
  <w:footnote w:id="6">
    <w:p w:rsidR="006106EC" w:rsidRDefault="006106EC" w:rsidP="00D11C14">
      <w:pPr>
        <w:pStyle w:val="FootnoteText"/>
      </w:pPr>
      <w:r>
        <w:rPr>
          <w:rStyle w:val="FootnoteReference"/>
        </w:rPr>
        <w:footnoteRef/>
      </w:r>
      <w:r>
        <w:t>See Order Nos. PSC-14-0335-PAA-WS, in Docket No. 130243-WS, issued June 30, 2014,</w:t>
      </w:r>
      <w:r>
        <w:rPr>
          <w:i/>
        </w:rPr>
        <w:t xml:space="preserve"> In re: </w:t>
      </w:r>
      <w:bookmarkStart w:id="18" w:name="SSInRe"/>
      <w:bookmarkEnd w:id="18"/>
      <w:r>
        <w:rPr>
          <w:i/>
        </w:rPr>
        <w:t>Application for staff-assisted rate case in Highlands County by Lake Placid Utilities Inc.</w:t>
      </w:r>
      <w:r>
        <w:t xml:space="preserve">; PSC-14-0105-TRF-WS, in Docket No. 130288-WS, issued February 20, 2014, </w:t>
      </w:r>
      <w:r>
        <w:rPr>
          <w:i/>
        </w:rPr>
        <w:t>In re: Request for approval of late payment charge in Brevard County by Aquarina Utilities, Inc.</w:t>
      </w:r>
      <w:r>
        <w:t xml:space="preserve">; PSC-13-0177-PAA-WU, in Docket No. 130052-WU, issued April 29, 2013, </w:t>
      </w:r>
      <w:r>
        <w:rPr>
          <w:i/>
        </w:rPr>
        <w:t>In re: Application for grandfather certificate to operate water utility in Charlotte County by Little Gasparilla Water Utility, Inc.</w:t>
      </w:r>
      <w:r>
        <w:t xml:space="preserve">; PSC-10-0257-TRF-WU, in Docket No. 090429-WU, issued April 26, 2010, </w:t>
      </w:r>
      <w:r>
        <w:rPr>
          <w:i/>
        </w:rPr>
        <w:t>In re: Request for approval of imposition of miscellaneous service charges, delinquent payment charge and meter tampering charge in Lake County, by Pine Harbour Water Utilities, LLC</w:t>
      </w:r>
      <w:r>
        <w:t xml:space="preserve">.; and  PSC-11-0204-TRF-SU, in Docket No. 100413-SU, issued April 25, 2011, </w:t>
      </w:r>
      <w:r>
        <w:rPr>
          <w:i/>
        </w:rPr>
        <w:t>In re: Request for approval of tariff amendment to include a late fee of $14.00 in Polk County by West Lakeland Wastewater.</w:t>
      </w:r>
    </w:p>
  </w:footnote>
  <w:footnote w:id="7">
    <w:p w:rsidR="006106EC" w:rsidRDefault="006106EC" w:rsidP="00C61EE3">
      <w:pPr>
        <w:pStyle w:val="FootnoteText"/>
      </w:pPr>
      <w:r>
        <w:rPr>
          <w:rStyle w:val="FootnoteReference"/>
        </w:rPr>
        <w:footnoteRef/>
      </w:r>
      <w:r>
        <w:t xml:space="preserve">Order Nos. PSC-14-0198-TRF-SU, issued May 2, 2014, in Docket No. 140030-SU, </w:t>
      </w:r>
      <w:r>
        <w:rPr>
          <w:i/>
        </w:rPr>
        <w:t>In re: Request for approval to amend Miscellaneous Service charges to include all NSF charges by Environmental Protection Systems of Pine Island, Inc.;</w:t>
      </w:r>
      <w:r>
        <w:t xml:space="preserve"> and PSC-13-0646-PAA-WU, issued December 5, 2013, in Docket No. 130025-WU, </w:t>
      </w:r>
      <w:r>
        <w:rPr>
          <w:i/>
        </w:rPr>
        <w:t>In re: Application for increase in water rates in Highlands County by Placid Lakes Utilities, Inc.</w:t>
      </w:r>
    </w:p>
  </w:footnote>
  <w:footnote w:id="8">
    <w:p w:rsidR="006106EC" w:rsidRDefault="006106EC" w:rsidP="001D06CE">
      <w:pPr>
        <w:pStyle w:val="FootnoteText"/>
      </w:pPr>
      <w:r>
        <w:rPr>
          <w:rStyle w:val="FootnoteReference"/>
        </w:rPr>
        <w:footnoteRef/>
      </w:r>
      <w:r>
        <w:t xml:space="preserve">Order Nos. PSC-13-0611-PAA-WS, issued November 19, 2013, in Docket No. 130010-WS, </w:t>
      </w:r>
      <w:r>
        <w:rPr>
          <w:i/>
        </w:rPr>
        <w:t>In re: Application for increase in water rates in Lee County and wastewater rates in Pasco County by Ni Florida, LLC</w:t>
      </w:r>
      <w:r>
        <w:t xml:space="preserve">. and PSC-14-0016-TRF-WU, issued January 6, 2014, in Docket No. 130251-WU, </w:t>
      </w:r>
      <w:r>
        <w:rPr>
          <w:i/>
        </w:rPr>
        <w:t>In re: Application for approval of miscellaneous service charges in Pasco County, by Crestridge Utility Corporation.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EC" w:rsidRDefault="006106EC" w:rsidP="00220732">
    <w:pPr>
      <w:pStyle w:val="Header"/>
      <w:tabs>
        <w:tab w:val="clear" w:pos="4320"/>
        <w:tab w:val="clear" w:pos="8640"/>
        <w:tab w:val="right" w:pos="9360"/>
      </w:tabs>
    </w:pPr>
    <w:bookmarkStart w:id="14" w:name="DocketLabel"/>
    <w:r>
      <w:t>Docket No.</w:t>
    </w:r>
    <w:bookmarkEnd w:id="14"/>
    <w:r>
      <w:t xml:space="preserve"> </w:t>
    </w:r>
    <w:bookmarkStart w:id="15" w:name="DocketList"/>
    <w:r>
      <w:t>130105-WS</w:t>
    </w:r>
    <w:bookmarkEnd w:id="15"/>
  </w:p>
  <w:p w:rsidR="006106EC" w:rsidRDefault="006106EC">
    <w:pPr>
      <w:pStyle w:val="Header"/>
    </w:pPr>
    <w:r>
      <w:t xml:space="preserve">Date: </w:t>
    </w:r>
    <w:r w:rsidR="00916AA7">
      <w:fldChar w:fldCharType="begin"/>
    </w:r>
    <w:r w:rsidR="00916AA7">
      <w:instrText xml:space="preserve"> REF FilingDate </w:instrText>
    </w:r>
    <w:r w:rsidR="00916AA7">
      <w:fldChar w:fldCharType="separate"/>
    </w:r>
    <w:r>
      <w:t>February 23, 2017</w:t>
    </w:r>
    <w:r w:rsidR="00916AA7">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EC" w:rsidRDefault="006106EC" w:rsidP="00A46E89">
    <w:pPr>
      <w:pStyle w:val="Header"/>
      <w:tabs>
        <w:tab w:val="clear" w:pos="4320"/>
        <w:tab w:val="clear" w:pos="8640"/>
        <w:tab w:val="left" w:pos="4185"/>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130105-WS</w:t>
    </w:r>
    <w:r>
      <w:fldChar w:fldCharType="end"/>
    </w:r>
    <w:r>
      <w:tab/>
    </w:r>
    <w:r>
      <w:tab/>
      <w:t xml:space="preserve">Issue </w:t>
    </w:r>
    <w:r w:rsidR="00916AA7">
      <w:fldChar w:fldCharType="begin"/>
    </w:r>
    <w:r w:rsidR="00916AA7">
      <w:instrText xml:space="preserve"> Seq Issue \c \* Arabic </w:instrText>
    </w:r>
    <w:r w:rsidR="00916AA7">
      <w:fldChar w:fldCharType="separate"/>
    </w:r>
    <w:r w:rsidR="00C72A20">
      <w:rPr>
        <w:noProof/>
      </w:rPr>
      <w:t>6</w:t>
    </w:r>
    <w:r w:rsidR="00916AA7">
      <w:rPr>
        <w:noProof/>
      </w:rPr>
      <w:fldChar w:fldCharType="end"/>
    </w:r>
  </w:p>
  <w:p w:rsidR="006106EC" w:rsidRDefault="006106EC">
    <w:pPr>
      <w:pStyle w:val="Header"/>
    </w:pPr>
    <w:r>
      <w:t xml:space="preserve">Date: </w:t>
    </w:r>
    <w:r w:rsidR="00916AA7">
      <w:fldChar w:fldCharType="begin"/>
    </w:r>
    <w:r w:rsidR="00916AA7">
      <w:instrText xml:space="preserve"> REF FilingDate </w:instrText>
    </w:r>
    <w:r w:rsidR="00916AA7">
      <w:fldChar w:fldCharType="separate"/>
    </w:r>
    <w:r>
      <w:t>February 23, 2017</w:t>
    </w:r>
    <w:r w:rsidR="00916AA7">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EC" w:rsidRDefault="006106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EC" w:rsidRDefault="006106EC" w:rsidP="00A46E89">
    <w:pPr>
      <w:pStyle w:val="Header"/>
      <w:tabs>
        <w:tab w:val="clear" w:pos="4320"/>
        <w:tab w:val="clear" w:pos="8640"/>
        <w:tab w:val="left" w:pos="4185"/>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130105-WS</w:t>
    </w:r>
    <w:r>
      <w:fldChar w:fldCharType="end"/>
    </w:r>
    <w:r>
      <w:tab/>
    </w:r>
    <w:r>
      <w:tab/>
      <w:t>Issue 7</w:t>
    </w:r>
  </w:p>
  <w:p w:rsidR="006106EC" w:rsidRDefault="006106EC">
    <w:pPr>
      <w:pStyle w:val="Header"/>
    </w:pPr>
    <w:r>
      <w:t xml:space="preserve">Date: </w:t>
    </w:r>
    <w:r w:rsidR="00916AA7">
      <w:fldChar w:fldCharType="begin"/>
    </w:r>
    <w:r w:rsidR="00916AA7">
      <w:instrText xml:space="preserve"> REF FilingDate </w:instrText>
    </w:r>
    <w:r w:rsidR="00916AA7">
      <w:fldChar w:fldCharType="separate"/>
    </w:r>
    <w:r>
      <w:t>February 23, 2017</w:t>
    </w:r>
    <w:r w:rsidR="00916AA7">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EC" w:rsidRDefault="006106EC" w:rsidP="00A46E89">
    <w:pPr>
      <w:pStyle w:val="Header"/>
      <w:tabs>
        <w:tab w:val="clear" w:pos="4320"/>
        <w:tab w:val="clear" w:pos="8640"/>
        <w:tab w:val="left" w:pos="4185"/>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130105-WS</w:t>
    </w:r>
    <w:r>
      <w:fldChar w:fldCharType="end"/>
    </w:r>
    <w:r>
      <w:tab/>
    </w:r>
    <w:r>
      <w:tab/>
      <w:t>Schedule No. 1</w:t>
    </w:r>
  </w:p>
  <w:p w:rsidR="006106EC" w:rsidRDefault="006106EC" w:rsidP="0002377F">
    <w:pPr>
      <w:pStyle w:val="Header"/>
      <w:tabs>
        <w:tab w:val="clear" w:pos="4320"/>
        <w:tab w:val="clear" w:pos="8640"/>
        <w:tab w:val="left" w:pos="8625"/>
      </w:tabs>
    </w:pPr>
    <w:r>
      <w:t xml:space="preserve">Date: </w:t>
    </w:r>
    <w:r w:rsidR="00916AA7">
      <w:fldChar w:fldCharType="begin"/>
    </w:r>
    <w:r w:rsidR="00916AA7">
      <w:instrText xml:space="preserve"> REF FilingDate </w:instrText>
    </w:r>
    <w:r w:rsidR="00916AA7">
      <w:fldChar w:fldCharType="separate"/>
    </w:r>
    <w:r>
      <w:t>February 23, 2017</w:t>
    </w:r>
    <w:r w:rsidR="00916AA7">
      <w:fldChar w:fldCharType="end"/>
    </w:r>
    <w:r>
      <w:t xml:space="preserve">                                                                                                 Page  1 of 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EC" w:rsidRDefault="006106EC" w:rsidP="001C284E">
    <w:pPr>
      <w:pStyle w:val="Header"/>
      <w:tabs>
        <w:tab w:val="clear" w:pos="8640"/>
        <w:tab w:val="right" w:pos="9360"/>
      </w:tabs>
    </w:pPr>
    <w:r>
      <w:t>Docket No. 130105-WS</w:t>
    </w:r>
    <w:r>
      <w:tab/>
    </w:r>
    <w:r>
      <w:tab/>
      <w:t xml:space="preserve">  Schedule No. 2</w:t>
    </w:r>
  </w:p>
  <w:p w:rsidR="006106EC" w:rsidRPr="00360051" w:rsidRDefault="006106EC" w:rsidP="001C284E">
    <w:pPr>
      <w:pStyle w:val="Header"/>
      <w:tabs>
        <w:tab w:val="clear" w:pos="8640"/>
        <w:tab w:val="right" w:pos="9360"/>
      </w:tabs>
    </w:pPr>
    <w:r>
      <w:t>Date: February 23, 2017</w:t>
    </w:r>
    <w:r>
      <w:tab/>
      <w:t xml:space="preserve">                                                                                                 Page  1 of 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EC" w:rsidRDefault="006106EC" w:rsidP="00694E42">
    <w:pPr>
      <w:pStyle w:val="Header"/>
      <w:tabs>
        <w:tab w:val="clear" w:pos="8640"/>
        <w:tab w:val="left" w:pos="8130"/>
        <w:tab w:val="right" w:pos="9360"/>
      </w:tabs>
    </w:pPr>
    <w:r>
      <w:t>Docket No. 130105-WS</w:t>
    </w:r>
    <w:r>
      <w:tab/>
    </w:r>
    <w:r>
      <w:tab/>
      <w:t xml:space="preserve">   Appendix</w:t>
    </w:r>
  </w:p>
  <w:p w:rsidR="006106EC" w:rsidRPr="00360051" w:rsidRDefault="006106EC" w:rsidP="00360051">
    <w:pPr>
      <w:pStyle w:val="Header"/>
      <w:tabs>
        <w:tab w:val="clear" w:pos="4320"/>
        <w:tab w:val="clear" w:pos="8640"/>
        <w:tab w:val="left" w:pos="7800"/>
      </w:tabs>
    </w:pPr>
    <w:r>
      <w:t>Date: February 23, 2017</w:t>
    </w:r>
    <w:r>
      <w:tab/>
      <w:t xml:space="preserve">      Page  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ctiveWritingStyle w:appName="MSWord" w:lang="en-CA"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372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46E89"/>
    <w:rsid w:val="000043D5"/>
    <w:rsid w:val="00010E37"/>
    <w:rsid w:val="000172DA"/>
    <w:rsid w:val="0002377F"/>
    <w:rsid w:val="000247C5"/>
    <w:rsid w:val="000277C2"/>
    <w:rsid w:val="00035B48"/>
    <w:rsid w:val="00036CE2"/>
    <w:rsid w:val="00040172"/>
    <w:rsid w:val="000437FE"/>
    <w:rsid w:val="000509A8"/>
    <w:rsid w:val="00050C0E"/>
    <w:rsid w:val="000513BE"/>
    <w:rsid w:val="00065A06"/>
    <w:rsid w:val="000666F3"/>
    <w:rsid w:val="00070DCB"/>
    <w:rsid w:val="00073120"/>
    <w:rsid w:val="000764D0"/>
    <w:rsid w:val="00077ADD"/>
    <w:rsid w:val="000828D3"/>
    <w:rsid w:val="00086933"/>
    <w:rsid w:val="000A2B57"/>
    <w:rsid w:val="000A418B"/>
    <w:rsid w:val="000C4431"/>
    <w:rsid w:val="000C6FEE"/>
    <w:rsid w:val="000D1C06"/>
    <w:rsid w:val="000D4319"/>
    <w:rsid w:val="000F078F"/>
    <w:rsid w:val="000F374A"/>
    <w:rsid w:val="000F58C8"/>
    <w:rsid w:val="00103BC4"/>
    <w:rsid w:val="00107E0C"/>
    <w:rsid w:val="00112205"/>
    <w:rsid w:val="00117C8C"/>
    <w:rsid w:val="00124E2E"/>
    <w:rsid w:val="00125ED4"/>
    <w:rsid w:val="001305E9"/>
    <w:rsid w:val="001307AF"/>
    <w:rsid w:val="00135687"/>
    <w:rsid w:val="00154B7F"/>
    <w:rsid w:val="0015506E"/>
    <w:rsid w:val="00163031"/>
    <w:rsid w:val="00171A90"/>
    <w:rsid w:val="00174189"/>
    <w:rsid w:val="00180254"/>
    <w:rsid w:val="00191E1F"/>
    <w:rsid w:val="00192943"/>
    <w:rsid w:val="001A55A5"/>
    <w:rsid w:val="001A7406"/>
    <w:rsid w:val="001B4FEE"/>
    <w:rsid w:val="001B51C5"/>
    <w:rsid w:val="001B6F3F"/>
    <w:rsid w:val="001C2505"/>
    <w:rsid w:val="001C284E"/>
    <w:rsid w:val="001C52B5"/>
    <w:rsid w:val="001D06CE"/>
    <w:rsid w:val="001D0D3E"/>
    <w:rsid w:val="001D6F98"/>
    <w:rsid w:val="001E7E55"/>
    <w:rsid w:val="001F2245"/>
    <w:rsid w:val="001F6DA1"/>
    <w:rsid w:val="002044E6"/>
    <w:rsid w:val="00205C82"/>
    <w:rsid w:val="00205DC2"/>
    <w:rsid w:val="00207202"/>
    <w:rsid w:val="00212B17"/>
    <w:rsid w:val="002163B6"/>
    <w:rsid w:val="00220732"/>
    <w:rsid w:val="00221D32"/>
    <w:rsid w:val="00225C3F"/>
    <w:rsid w:val="00231057"/>
    <w:rsid w:val="00241C3F"/>
    <w:rsid w:val="00263D44"/>
    <w:rsid w:val="002702AD"/>
    <w:rsid w:val="002858EC"/>
    <w:rsid w:val="00292D82"/>
    <w:rsid w:val="00295946"/>
    <w:rsid w:val="002963CB"/>
    <w:rsid w:val="002B11B9"/>
    <w:rsid w:val="002C62C8"/>
    <w:rsid w:val="002C7140"/>
    <w:rsid w:val="002D02D7"/>
    <w:rsid w:val="002D226D"/>
    <w:rsid w:val="002D569A"/>
    <w:rsid w:val="002E4ED2"/>
    <w:rsid w:val="002E6681"/>
    <w:rsid w:val="002F6030"/>
    <w:rsid w:val="003037E1"/>
    <w:rsid w:val="00306BCB"/>
    <w:rsid w:val="00307E51"/>
    <w:rsid w:val="003103EC"/>
    <w:rsid w:val="003144EF"/>
    <w:rsid w:val="00317CBB"/>
    <w:rsid w:val="00322F74"/>
    <w:rsid w:val="003335E7"/>
    <w:rsid w:val="00340073"/>
    <w:rsid w:val="0035644D"/>
    <w:rsid w:val="00360051"/>
    <w:rsid w:val="00361DCB"/>
    <w:rsid w:val="00365322"/>
    <w:rsid w:val="003662AC"/>
    <w:rsid w:val="00372805"/>
    <w:rsid w:val="00373180"/>
    <w:rsid w:val="00375AB9"/>
    <w:rsid w:val="00380FE2"/>
    <w:rsid w:val="003821A0"/>
    <w:rsid w:val="00385B04"/>
    <w:rsid w:val="003864CF"/>
    <w:rsid w:val="003A22A6"/>
    <w:rsid w:val="003A5494"/>
    <w:rsid w:val="003B2510"/>
    <w:rsid w:val="003C2CC4"/>
    <w:rsid w:val="003D5084"/>
    <w:rsid w:val="003E0EFC"/>
    <w:rsid w:val="003E4A2B"/>
    <w:rsid w:val="003E5EAF"/>
    <w:rsid w:val="003E76C2"/>
    <w:rsid w:val="003F1679"/>
    <w:rsid w:val="003F4A35"/>
    <w:rsid w:val="003F7FDD"/>
    <w:rsid w:val="00402481"/>
    <w:rsid w:val="004042B4"/>
    <w:rsid w:val="00412DAE"/>
    <w:rsid w:val="00431598"/>
    <w:rsid w:val="004319AD"/>
    <w:rsid w:val="004426B8"/>
    <w:rsid w:val="00444432"/>
    <w:rsid w:val="00471860"/>
    <w:rsid w:val="004A06A0"/>
    <w:rsid w:val="004A2BE8"/>
    <w:rsid w:val="004A3E41"/>
    <w:rsid w:val="004B38B8"/>
    <w:rsid w:val="004B4724"/>
    <w:rsid w:val="004B60BD"/>
    <w:rsid w:val="004C01BE"/>
    <w:rsid w:val="004C3150"/>
    <w:rsid w:val="004C3641"/>
    <w:rsid w:val="004C4390"/>
    <w:rsid w:val="004C4AF7"/>
    <w:rsid w:val="004C4C1A"/>
    <w:rsid w:val="004D2881"/>
    <w:rsid w:val="004D385F"/>
    <w:rsid w:val="004D5B39"/>
    <w:rsid w:val="004E330D"/>
    <w:rsid w:val="004E5147"/>
    <w:rsid w:val="004F527D"/>
    <w:rsid w:val="004F55B0"/>
    <w:rsid w:val="004F5C43"/>
    <w:rsid w:val="0050652D"/>
    <w:rsid w:val="00506C03"/>
    <w:rsid w:val="00511A11"/>
    <w:rsid w:val="00516496"/>
    <w:rsid w:val="0052572A"/>
    <w:rsid w:val="00543CB3"/>
    <w:rsid w:val="00560FF0"/>
    <w:rsid w:val="005614BD"/>
    <w:rsid w:val="0057154F"/>
    <w:rsid w:val="00581CA3"/>
    <w:rsid w:val="00587A44"/>
    <w:rsid w:val="00597730"/>
    <w:rsid w:val="005977EC"/>
    <w:rsid w:val="00597DE7"/>
    <w:rsid w:val="005A00A7"/>
    <w:rsid w:val="005A4AA2"/>
    <w:rsid w:val="005B2F30"/>
    <w:rsid w:val="005B34B6"/>
    <w:rsid w:val="005B6C8F"/>
    <w:rsid w:val="005B6EC3"/>
    <w:rsid w:val="005D0F74"/>
    <w:rsid w:val="005D2E7D"/>
    <w:rsid w:val="005D4A8F"/>
    <w:rsid w:val="005D561B"/>
    <w:rsid w:val="005D5ECF"/>
    <w:rsid w:val="005D64E2"/>
    <w:rsid w:val="005F468D"/>
    <w:rsid w:val="005F69A3"/>
    <w:rsid w:val="00604CC7"/>
    <w:rsid w:val="00606173"/>
    <w:rsid w:val="006106EC"/>
    <w:rsid w:val="00615423"/>
    <w:rsid w:val="006165B2"/>
    <w:rsid w:val="00617276"/>
    <w:rsid w:val="0062527B"/>
    <w:rsid w:val="00625D97"/>
    <w:rsid w:val="00625F1C"/>
    <w:rsid w:val="006279E1"/>
    <w:rsid w:val="00630CEB"/>
    <w:rsid w:val="00632264"/>
    <w:rsid w:val="0064546C"/>
    <w:rsid w:val="006470BC"/>
    <w:rsid w:val="006554D3"/>
    <w:rsid w:val="00667036"/>
    <w:rsid w:val="00673BDB"/>
    <w:rsid w:val="006771B8"/>
    <w:rsid w:val="006843B6"/>
    <w:rsid w:val="0068481F"/>
    <w:rsid w:val="00687288"/>
    <w:rsid w:val="006905B1"/>
    <w:rsid w:val="00694E42"/>
    <w:rsid w:val="00696F5D"/>
    <w:rsid w:val="00697249"/>
    <w:rsid w:val="006B3947"/>
    <w:rsid w:val="006B4293"/>
    <w:rsid w:val="006B624F"/>
    <w:rsid w:val="006C31E3"/>
    <w:rsid w:val="006C69F7"/>
    <w:rsid w:val="006D18D3"/>
    <w:rsid w:val="006E08CB"/>
    <w:rsid w:val="006E598D"/>
    <w:rsid w:val="0070437D"/>
    <w:rsid w:val="00704CF1"/>
    <w:rsid w:val="00705B04"/>
    <w:rsid w:val="00734820"/>
    <w:rsid w:val="007349DC"/>
    <w:rsid w:val="0074365E"/>
    <w:rsid w:val="007515FD"/>
    <w:rsid w:val="00760D80"/>
    <w:rsid w:val="00764329"/>
    <w:rsid w:val="00776223"/>
    <w:rsid w:val="00780C09"/>
    <w:rsid w:val="00780DDF"/>
    <w:rsid w:val="007834E9"/>
    <w:rsid w:val="00787DBC"/>
    <w:rsid w:val="0079019A"/>
    <w:rsid w:val="00792935"/>
    <w:rsid w:val="007A04A1"/>
    <w:rsid w:val="007A1840"/>
    <w:rsid w:val="007B00B7"/>
    <w:rsid w:val="007C0528"/>
    <w:rsid w:val="007C0B15"/>
    <w:rsid w:val="007C174A"/>
    <w:rsid w:val="007C3D38"/>
    <w:rsid w:val="007D0F35"/>
    <w:rsid w:val="007D205B"/>
    <w:rsid w:val="007D4384"/>
    <w:rsid w:val="007D46EE"/>
    <w:rsid w:val="007D4FEB"/>
    <w:rsid w:val="007D6146"/>
    <w:rsid w:val="007E0CE7"/>
    <w:rsid w:val="007F1193"/>
    <w:rsid w:val="007F417F"/>
    <w:rsid w:val="008042BD"/>
    <w:rsid w:val="008059F2"/>
    <w:rsid w:val="00814A02"/>
    <w:rsid w:val="00816624"/>
    <w:rsid w:val="00822427"/>
    <w:rsid w:val="00822562"/>
    <w:rsid w:val="00823663"/>
    <w:rsid w:val="00832DDC"/>
    <w:rsid w:val="00850BAC"/>
    <w:rsid w:val="00852610"/>
    <w:rsid w:val="00854A3E"/>
    <w:rsid w:val="00855D08"/>
    <w:rsid w:val="00860ECF"/>
    <w:rsid w:val="00874344"/>
    <w:rsid w:val="00882155"/>
    <w:rsid w:val="0088233B"/>
    <w:rsid w:val="0088599E"/>
    <w:rsid w:val="0088636C"/>
    <w:rsid w:val="00886C37"/>
    <w:rsid w:val="00892D99"/>
    <w:rsid w:val="008A5F9D"/>
    <w:rsid w:val="008B550B"/>
    <w:rsid w:val="008B62AE"/>
    <w:rsid w:val="008C04B5"/>
    <w:rsid w:val="008C14FA"/>
    <w:rsid w:val="008D4057"/>
    <w:rsid w:val="008E1F19"/>
    <w:rsid w:val="008F2262"/>
    <w:rsid w:val="008F7736"/>
    <w:rsid w:val="0090019E"/>
    <w:rsid w:val="00901086"/>
    <w:rsid w:val="00901C8A"/>
    <w:rsid w:val="00905886"/>
    <w:rsid w:val="009070D6"/>
    <w:rsid w:val="009076C6"/>
    <w:rsid w:val="0091019E"/>
    <w:rsid w:val="009106F1"/>
    <w:rsid w:val="00912404"/>
    <w:rsid w:val="009145D6"/>
    <w:rsid w:val="00920E64"/>
    <w:rsid w:val="00922002"/>
    <w:rsid w:val="00922D54"/>
    <w:rsid w:val="00924020"/>
    <w:rsid w:val="009271A7"/>
    <w:rsid w:val="0093658B"/>
    <w:rsid w:val="009429FF"/>
    <w:rsid w:val="00945BD6"/>
    <w:rsid w:val="009479FB"/>
    <w:rsid w:val="00951C45"/>
    <w:rsid w:val="00954B61"/>
    <w:rsid w:val="009656F2"/>
    <w:rsid w:val="00966A08"/>
    <w:rsid w:val="00971207"/>
    <w:rsid w:val="00975CB4"/>
    <w:rsid w:val="00977CAE"/>
    <w:rsid w:val="009863B0"/>
    <w:rsid w:val="00987DE1"/>
    <w:rsid w:val="00990571"/>
    <w:rsid w:val="0099673A"/>
    <w:rsid w:val="0099710B"/>
    <w:rsid w:val="009A3330"/>
    <w:rsid w:val="009A7C96"/>
    <w:rsid w:val="009C3DB9"/>
    <w:rsid w:val="009C5010"/>
    <w:rsid w:val="009C508E"/>
    <w:rsid w:val="009D46E5"/>
    <w:rsid w:val="009D568A"/>
    <w:rsid w:val="009E4A3D"/>
    <w:rsid w:val="009F04EC"/>
    <w:rsid w:val="009F1902"/>
    <w:rsid w:val="009F2A7C"/>
    <w:rsid w:val="009F3B36"/>
    <w:rsid w:val="00A00977"/>
    <w:rsid w:val="00A019B9"/>
    <w:rsid w:val="00A07867"/>
    <w:rsid w:val="00A07AF6"/>
    <w:rsid w:val="00A12508"/>
    <w:rsid w:val="00A1282B"/>
    <w:rsid w:val="00A13A27"/>
    <w:rsid w:val="00A175B6"/>
    <w:rsid w:val="00A21835"/>
    <w:rsid w:val="00A2374B"/>
    <w:rsid w:val="00A24CDE"/>
    <w:rsid w:val="00A25227"/>
    <w:rsid w:val="00A266C6"/>
    <w:rsid w:val="00A27D6E"/>
    <w:rsid w:val="00A307B5"/>
    <w:rsid w:val="00A328EC"/>
    <w:rsid w:val="00A33A51"/>
    <w:rsid w:val="00A34B4E"/>
    <w:rsid w:val="00A41CA6"/>
    <w:rsid w:val="00A46B48"/>
    <w:rsid w:val="00A46E89"/>
    <w:rsid w:val="00A47927"/>
    <w:rsid w:val="00A47FFC"/>
    <w:rsid w:val="00A52800"/>
    <w:rsid w:val="00A5442F"/>
    <w:rsid w:val="00A54FF9"/>
    <w:rsid w:val="00A564B9"/>
    <w:rsid w:val="00A56765"/>
    <w:rsid w:val="00A6186F"/>
    <w:rsid w:val="00A63F26"/>
    <w:rsid w:val="00A675AC"/>
    <w:rsid w:val="00A7581F"/>
    <w:rsid w:val="00A80128"/>
    <w:rsid w:val="00A849AA"/>
    <w:rsid w:val="00A86E8D"/>
    <w:rsid w:val="00A91B06"/>
    <w:rsid w:val="00A92FB1"/>
    <w:rsid w:val="00A95A0C"/>
    <w:rsid w:val="00AA0CF0"/>
    <w:rsid w:val="00AA2765"/>
    <w:rsid w:val="00AA5310"/>
    <w:rsid w:val="00AA77B5"/>
    <w:rsid w:val="00AB6C5D"/>
    <w:rsid w:val="00AC51A7"/>
    <w:rsid w:val="00AD444B"/>
    <w:rsid w:val="00AD6C78"/>
    <w:rsid w:val="00AE1780"/>
    <w:rsid w:val="00AE2EAB"/>
    <w:rsid w:val="00AE7B4D"/>
    <w:rsid w:val="00AF5F89"/>
    <w:rsid w:val="00AF73CB"/>
    <w:rsid w:val="00B002D6"/>
    <w:rsid w:val="00B05B51"/>
    <w:rsid w:val="00B06E04"/>
    <w:rsid w:val="00B139C7"/>
    <w:rsid w:val="00B14E5A"/>
    <w:rsid w:val="00B15370"/>
    <w:rsid w:val="00B16DA4"/>
    <w:rsid w:val="00B17BEB"/>
    <w:rsid w:val="00B21A3C"/>
    <w:rsid w:val="00B223C0"/>
    <w:rsid w:val="00B234ED"/>
    <w:rsid w:val="00B249B2"/>
    <w:rsid w:val="00B25CA3"/>
    <w:rsid w:val="00B2765A"/>
    <w:rsid w:val="00B27BB8"/>
    <w:rsid w:val="00B330C8"/>
    <w:rsid w:val="00B57A6A"/>
    <w:rsid w:val="00B620FC"/>
    <w:rsid w:val="00B760F1"/>
    <w:rsid w:val="00B7669E"/>
    <w:rsid w:val="00B77DA1"/>
    <w:rsid w:val="00B85180"/>
    <w:rsid w:val="00B858AE"/>
    <w:rsid w:val="00B85964"/>
    <w:rsid w:val="00B95E46"/>
    <w:rsid w:val="00B95F79"/>
    <w:rsid w:val="00B96250"/>
    <w:rsid w:val="00BA0D55"/>
    <w:rsid w:val="00BA37B3"/>
    <w:rsid w:val="00BA4CC6"/>
    <w:rsid w:val="00BB3493"/>
    <w:rsid w:val="00BB7468"/>
    <w:rsid w:val="00BC188A"/>
    <w:rsid w:val="00BD0F48"/>
    <w:rsid w:val="00BD372E"/>
    <w:rsid w:val="00BF0849"/>
    <w:rsid w:val="00BF5010"/>
    <w:rsid w:val="00C03D5F"/>
    <w:rsid w:val="00C13791"/>
    <w:rsid w:val="00C23092"/>
    <w:rsid w:val="00C235C0"/>
    <w:rsid w:val="00C25632"/>
    <w:rsid w:val="00C26F86"/>
    <w:rsid w:val="00C31BB3"/>
    <w:rsid w:val="00C36977"/>
    <w:rsid w:val="00C467DA"/>
    <w:rsid w:val="00C477D9"/>
    <w:rsid w:val="00C52830"/>
    <w:rsid w:val="00C60BA3"/>
    <w:rsid w:val="00C61EE3"/>
    <w:rsid w:val="00C623F7"/>
    <w:rsid w:val="00C72A20"/>
    <w:rsid w:val="00C75BC5"/>
    <w:rsid w:val="00C767CC"/>
    <w:rsid w:val="00C81670"/>
    <w:rsid w:val="00C81773"/>
    <w:rsid w:val="00C82861"/>
    <w:rsid w:val="00C86896"/>
    <w:rsid w:val="00C907A8"/>
    <w:rsid w:val="00C93112"/>
    <w:rsid w:val="00C93211"/>
    <w:rsid w:val="00C942EC"/>
    <w:rsid w:val="00C96047"/>
    <w:rsid w:val="00C979D0"/>
    <w:rsid w:val="00CA0818"/>
    <w:rsid w:val="00CA2C8F"/>
    <w:rsid w:val="00CA30DA"/>
    <w:rsid w:val="00CA3A24"/>
    <w:rsid w:val="00CB1777"/>
    <w:rsid w:val="00CB33E9"/>
    <w:rsid w:val="00CC10A9"/>
    <w:rsid w:val="00CD66E0"/>
    <w:rsid w:val="00CE2BF8"/>
    <w:rsid w:val="00CE484E"/>
    <w:rsid w:val="00CE656F"/>
    <w:rsid w:val="00CF0DA8"/>
    <w:rsid w:val="00CF2E25"/>
    <w:rsid w:val="00CF4453"/>
    <w:rsid w:val="00CF5D94"/>
    <w:rsid w:val="00CF76E8"/>
    <w:rsid w:val="00CF7BDC"/>
    <w:rsid w:val="00CF7E0F"/>
    <w:rsid w:val="00D034D7"/>
    <w:rsid w:val="00D04BE4"/>
    <w:rsid w:val="00D11C14"/>
    <w:rsid w:val="00D12565"/>
    <w:rsid w:val="00D14127"/>
    <w:rsid w:val="00D32719"/>
    <w:rsid w:val="00D514E0"/>
    <w:rsid w:val="00D60B16"/>
    <w:rsid w:val="00D60F02"/>
    <w:rsid w:val="00D66E49"/>
    <w:rsid w:val="00D70D71"/>
    <w:rsid w:val="00D72F74"/>
    <w:rsid w:val="00D81563"/>
    <w:rsid w:val="00D85907"/>
    <w:rsid w:val="00D9073E"/>
    <w:rsid w:val="00D907FF"/>
    <w:rsid w:val="00D9221D"/>
    <w:rsid w:val="00D958DF"/>
    <w:rsid w:val="00D96DA1"/>
    <w:rsid w:val="00DA0E0A"/>
    <w:rsid w:val="00DA3384"/>
    <w:rsid w:val="00DA3C2E"/>
    <w:rsid w:val="00DA51E7"/>
    <w:rsid w:val="00DB1C78"/>
    <w:rsid w:val="00DB7D96"/>
    <w:rsid w:val="00DC23FE"/>
    <w:rsid w:val="00DC59E6"/>
    <w:rsid w:val="00DD150B"/>
    <w:rsid w:val="00DD5025"/>
    <w:rsid w:val="00DF1510"/>
    <w:rsid w:val="00DF7EE8"/>
    <w:rsid w:val="00E02F1F"/>
    <w:rsid w:val="00E06484"/>
    <w:rsid w:val="00E16FB1"/>
    <w:rsid w:val="00E20A7D"/>
    <w:rsid w:val="00E275D8"/>
    <w:rsid w:val="00E30F6A"/>
    <w:rsid w:val="00E33986"/>
    <w:rsid w:val="00E375CA"/>
    <w:rsid w:val="00E5672C"/>
    <w:rsid w:val="00E567E8"/>
    <w:rsid w:val="00E61B08"/>
    <w:rsid w:val="00E64679"/>
    <w:rsid w:val="00E65EBC"/>
    <w:rsid w:val="00E73432"/>
    <w:rsid w:val="00E77B0C"/>
    <w:rsid w:val="00E77FB8"/>
    <w:rsid w:val="00E838B0"/>
    <w:rsid w:val="00E8622E"/>
    <w:rsid w:val="00E86A7C"/>
    <w:rsid w:val="00E86DB1"/>
    <w:rsid w:val="00E878E1"/>
    <w:rsid w:val="00E87F2C"/>
    <w:rsid w:val="00E95278"/>
    <w:rsid w:val="00EA0188"/>
    <w:rsid w:val="00EA2273"/>
    <w:rsid w:val="00EB2DB3"/>
    <w:rsid w:val="00EB37DA"/>
    <w:rsid w:val="00EC369D"/>
    <w:rsid w:val="00EC3FBB"/>
    <w:rsid w:val="00EC5C22"/>
    <w:rsid w:val="00EC6533"/>
    <w:rsid w:val="00EC6B7A"/>
    <w:rsid w:val="00ED3A87"/>
    <w:rsid w:val="00ED5B67"/>
    <w:rsid w:val="00EF264C"/>
    <w:rsid w:val="00EF3FEE"/>
    <w:rsid w:val="00F04B59"/>
    <w:rsid w:val="00F11741"/>
    <w:rsid w:val="00F12B1C"/>
    <w:rsid w:val="00F13506"/>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3A93"/>
    <w:rsid w:val="00F94B7A"/>
    <w:rsid w:val="00FA17AC"/>
    <w:rsid w:val="00FA32DE"/>
    <w:rsid w:val="00FA3382"/>
    <w:rsid w:val="00FA59CD"/>
    <w:rsid w:val="00FB1740"/>
    <w:rsid w:val="00FB32BA"/>
    <w:rsid w:val="00FC5469"/>
    <w:rsid w:val="00FC6D7D"/>
    <w:rsid w:val="00FD16B0"/>
    <w:rsid w:val="00FD4FED"/>
    <w:rsid w:val="00FE0577"/>
    <w:rsid w:val="00FE59EC"/>
    <w:rsid w:val="00FE5B67"/>
    <w:rsid w:val="00FF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CBB"/>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077ADD"/>
    <w:rPr>
      <w:vertAlign w:val="superscript"/>
    </w:rPr>
  </w:style>
  <w:style w:type="character" w:customStyle="1" w:styleId="FootnoteTextChar">
    <w:name w:val="Footnote Text Char"/>
    <w:basedOn w:val="DefaultParagraphFont"/>
    <w:link w:val="FootnoteText"/>
    <w:uiPriority w:val="99"/>
    <w:rsid w:val="00D11C14"/>
  </w:style>
  <w:style w:type="numbering" w:styleId="111111">
    <w:name w:val="Outline List 2"/>
    <w:basedOn w:val="NoList"/>
    <w:rsid w:val="008B550B"/>
    <w:pPr>
      <w:numPr>
        <w:numId w:val="11"/>
      </w:numPr>
    </w:pPr>
  </w:style>
  <w:style w:type="table" w:customStyle="1" w:styleId="TableGrid1">
    <w:name w:val="Table Grid1"/>
    <w:basedOn w:val="TableNormal"/>
    <w:next w:val="TableGrid"/>
    <w:rsid w:val="008B55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CBB"/>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077ADD"/>
    <w:rPr>
      <w:vertAlign w:val="superscript"/>
    </w:rPr>
  </w:style>
  <w:style w:type="character" w:customStyle="1" w:styleId="FootnoteTextChar">
    <w:name w:val="Footnote Text Char"/>
    <w:basedOn w:val="DefaultParagraphFont"/>
    <w:link w:val="FootnoteText"/>
    <w:uiPriority w:val="99"/>
    <w:rsid w:val="00D11C14"/>
  </w:style>
  <w:style w:type="numbering" w:styleId="111111">
    <w:name w:val="Outline List 2"/>
    <w:basedOn w:val="NoList"/>
    <w:rsid w:val="008B550B"/>
    <w:pPr>
      <w:numPr>
        <w:numId w:val="11"/>
      </w:numPr>
    </w:pPr>
  </w:style>
  <w:style w:type="table" w:customStyle="1" w:styleId="TableGrid1">
    <w:name w:val="Table Grid1"/>
    <w:basedOn w:val="TableNormal"/>
    <w:next w:val="TableGrid"/>
    <w:rsid w:val="008B55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03957">
      <w:bodyDiv w:val="1"/>
      <w:marLeft w:val="0"/>
      <w:marRight w:val="0"/>
      <w:marTop w:val="0"/>
      <w:marBottom w:val="0"/>
      <w:divBdr>
        <w:top w:val="none" w:sz="0" w:space="0" w:color="auto"/>
        <w:left w:val="none" w:sz="0" w:space="0" w:color="auto"/>
        <w:bottom w:val="none" w:sz="0" w:space="0" w:color="auto"/>
        <w:right w:val="none" w:sz="0" w:space="0" w:color="auto"/>
      </w:divBdr>
    </w:div>
    <w:div w:id="389425082">
      <w:bodyDiv w:val="1"/>
      <w:marLeft w:val="0"/>
      <w:marRight w:val="0"/>
      <w:marTop w:val="0"/>
      <w:marBottom w:val="0"/>
      <w:divBdr>
        <w:top w:val="none" w:sz="0" w:space="0" w:color="auto"/>
        <w:left w:val="none" w:sz="0" w:space="0" w:color="auto"/>
        <w:bottom w:val="none" w:sz="0" w:space="0" w:color="auto"/>
        <w:right w:val="none" w:sz="0" w:space="0" w:color="auto"/>
      </w:divBdr>
    </w:div>
    <w:div w:id="396515817">
      <w:bodyDiv w:val="1"/>
      <w:marLeft w:val="0"/>
      <w:marRight w:val="0"/>
      <w:marTop w:val="0"/>
      <w:marBottom w:val="0"/>
      <w:divBdr>
        <w:top w:val="none" w:sz="0" w:space="0" w:color="auto"/>
        <w:left w:val="none" w:sz="0" w:space="0" w:color="auto"/>
        <w:bottom w:val="none" w:sz="0" w:space="0" w:color="auto"/>
        <w:right w:val="none" w:sz="0" w:space="0" w:color="auto"/>
      </w:divBdr>
    </w:div>
    <w:div w:id="417289816">
      <w:bodyDiv w:val="1"/>
      <w:marLeft w:val="0"/>
      <w:marRight w:val="0"/>
      <w:marTop w:val="0"/>
      <w:marBottom w:val="0"/>
      <w:divBdr>
        <w:top w:val="none" w:sz="0" w:space="0" w:color="auto"/>
        <w:left w:val="none" w:sz="0" w:space="0" w:color="auto"/>
        <w:bottom w:val="none" w:sz="0" w:space="0" w:color="auto"/>
        <w:right w:val="none" w:sz="0" w:space="0" w:color="auto"/>
      </w:divBdr>
    </w:div>
    <w:div w:id="544222520">
      <w:bodyDiv w:val="1"/>
      <w:marLeft w:val="0"/>
      <w:marRight w:val="0"/>
      <w:marTop w:val="0"/>
      <w:marBottom w:val="0"/>
      <w:divBdr>
        <w:top w:val="none" w:sz="0" w:space="0" w:color="auto"/>
        <w:left w:val="none" w:sz="0" w:space="0" w:color="auto"/>
        <w:bottom w:val="none" w:sz="0" w:space="0" w:color="auto"/>
        <w:right w:val="none" w:sz="0" w:space="0" w:color="auto"/>
      </w:divBdr>
    </w:div>
    <w:div w:id="931820905">
      <w:bodyDiv w:val="1"/>
      <w:marLeft w:val="0"/>
      <w:marRight w:val="0"/>
      <w:marTop w:val="0"/>
      <w:marBottom w:val="0"/>
      <w:divBdr>
        <w:top w:val="none" w:sz="0" w:space="0" w:color="auto"/>
        <w:left w:val="none" w:sz="0" w:space="0" w:color="auto"/>
        <w:bottom w:val="none" w:sz="0" w:space="0" w:color="auto"/>
        <w:right w:val="none" w:sz="0" w:space="0" w:color="auto"/>
      </w:divBdr>
    </w:div>
    <w:div w:id="1119494646">
      <w:bodyDiv w:val="1"/>
      <w:marLeft w:val="0"/>
      <w:marRight w:val="0"/>
      <w:marTop w:val="0"/>
      <w:marBottom w:val="0"/>
      <w:divBdr>
        <w:top w:val="none" w:sz="0" w:space="0" w:color="auto"/>
        <w:left w:val="none" w:sz="0" w:space="0" w:color="auto"/>
        <w:bottom w:val="none" w:sz="0" w:space="0" w:color="auto"/>
        <w:right w:val="none" w:sz="0" w:space="0" w:color="auto"/>
      </w:divBdr>
    </w:div>
    <w:div w:id="1483545128">
      <w:bodyDiv w:val="1"/>
      <w:marLeft w:val="0"/>
      <w:marRight w:val="0"/>
      <w:marTop w:val="0"/>
      <w:marBottom w:val="0"/>
      <w:divBdr>
        <w:top w:val="none" w:sz="0" w:space="0" w:color="auto"/>
        <w:left w:val="none" w:sz="0" w:space="0" w:color="auto"/>
        <w:bottom w:val="none" w:sz="0" w:space="0" w:color="auto"/>
        <w:right w:val="none" w:sz="0" w:space="0" w:color="auto"/>
      </w:divBdr>
    </w:div>
    <w:div w:id="1550342331">
      <w:bodyDiv w:val="1"/>
      <w:marLeft w:val="0"/>
      <w:marRight w:val="0"/>
      <w:marTop w:val="0"/>
      <w:marBottom w:val="0"/>
      <w:divBdr>
        <w:top w:val="none" w:sz="0" w:space="0" w:color="auto"/>
        <w:left w:val="none" w:sz="0" w:space="0" w:color="auto"/>
        <w:bottom w:val="none" w:sz="0" w:space="0" w:color="auto"/>
        <w:right w:val="none" w:sz="0" w:space="0" w:color="auto"/>
      </w:divBdr>
    </w:div>
    <w:div w:id="1906722803">
      <w:bodyDiv w:val="1"/>
      <w:marLeft w:val="0"/>
      <w:marRight w:val="0"/>
      <w:marTop w:val="0"/>
      <w:marBottom w:val="0"/>
      <w:divBdr>
        <w:top w:val="none" w:sz="0" w:space="0" w:color="auto"/>
        <w:left w:val="none" w:sz="0" w:space="0" w:color="auto"/>
        <w:bottom w:val="none" w:sz="0" w:space="0" w:color="auto"/>
        <w:right w:val="none" w:sz="0" w:space="0" w:color="auto"/>
      </w:divBdr>
    </w:div>
    <w:div w:id="201715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0D19F-DD36-4784-8953-5DA67636D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15</Pages>
  <Words>4069</Words>
  <Characters>24298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2017-02-23T12:55:00Z</cp:lastPrinted>
  <dcterms:created xsi:type="dcterms:W3CDTF">2017-02-23T14:54:00Z</dcterms:created>
  <dcterms:modified xsi:type="dcterms:W3CDTF">2017-02-23T14:54:00Z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130105-WS</vt:lpwstr>
  </property>
  <property fmtid="{D5CDD505-2E9C-101B-9397-08002B2CF9AE}" pid="3" name="MasterDocument">
    <vt:bool>false</vt:bool>
  </property>
</Properties>
</file>