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26A7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76E49">
            <w:pPr>
              <w:pStyle w:val="MemoHeading"/>
            </w:pPr>
            <w:bookmarkStart w:id="1" w:name="FilingDate"/>
            <w:r>
              <w:t>January 25,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76E49" w:rsidRDefault="00876E49">
            <w:pPr>
              <w:pStyle w:val="MemoHeading"/>
            </w:pPr>
            <w:bookmarkStart w:id="2" w:name="From"/>
            <w:r>
              <w:t>Division of Accounting and Finance (Barrett, Galloway)</w:t>
            </w:r>
          </w:p>
          <w:p w:rsidR="00876E49" w:rsidRDefault="00876E49">
            <w:pPr>
              <w:pStyle w:val="MemoHeading"/>
            </w:pPr>
            <w:r>
              <w:t>Division of Economics (Draper, Guffey)</w:t>
            </w:r>
          </w:p>
          <w:p w:rsidR="00876E49" w:rsidRDefault="00876E49">
            <w:pPr>
              <w:pStyle w:val="MemoHeading"/>
            </w:pPr>
            <w:r>
              <w:t>Division of Engineering (Lee)</w:t>
            </w:r>
          </w:p>
          <w:p w:rsidR="007C0528" w:rsidRDefault="00876E49">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76E49">
            <w:pPr>
              <w:pStyle w:val="MemoHeadingRe"/>
            </w:pPr>
            <w:bookmarkStart w:id="3" w:name="Re"/>
            <w:r>
              <w:t>Docket No. 20180001-EI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76E49">
            <w:pPr>
              <w:pStyle w:val="MemoHeading"/>
            </w:pPr>
            <w:bookmarkStart w:id="4" w:name="AgendaDate"/>
            <w:r>
              <w:t>02/06/18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76E4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76E49">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76E4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76E4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76E49" w:rsidRPr="001B61FB" w:rsidRDefault="00876E49" w:rsidP="00876E49">
      <w:pPr>
        <w:pStyle w:val="BodyText"/>
      </w:pPr>
      <w:r>
        <w:t>O</w:t>
      </w:r>
      <w:r w:rsidRPr="00C42E1C">
        <w:t xml:space="preserve">n </w:t>
      </w:r>
      <w:r>
        <w:t>November 17</w:t>
      </w:r>
      <w:r w:rsidRPr="001B61FB">
        <w:t>, 201</w:t>
      </w:r>
      <w:r>
        <w:t>7</w:t>
      </w:r>
      <w:r w:rsidRPr="001B61FB">
        <w:t>, Florida Power &amp; Light Company (</w:t>
      </w:r>
      <w:smartTag w:uri="urn:schemas-microsoft-com:office:smarttags" w:element="stockticker">
        <w:r w:rsidRPr="001B61FB">
          <w:t>FPL</w:t>
        </w:r>
      </w:smartTag>
      <w:r w:rsidRPr="001B61FB">
        <w:t>) filed a Petition for Mid-Course Correction to its 201</w:t>
      </w:r>
      <w:r>
        <w:t>8</w:t>
      </w:r>
      <w:r w:rsidRPr="001B61FB">
        <w:t xml:space="preserve"> Fuel </w:t>
      </w:r>
      <w:r>
        <w:t>Cost Recovery and Capacity Cost Recovery Factors and GPIF Targets</w:t>
      </w:r>
      <w:r w:rsidRPr="001B61FB">
        <w:t xml:space="preserve"> (FPL Petition). </w:t>
      </w:r>
    </w:p>
    <w:p w:rsidR="00876E49" w:rsidRPr="001B61FB" w:rsidRDefault="00876E49" w:rsidP="00876E49">
      <w:pPr>
        <w:pStyle w:val="BodyText"/>
        <w:sectPr w:rsidR="00876E49" w:rsidRPr="001B61FB" w:rsidSect="001F1ED5">
          <w:footerReference w:type="default" r:id="rId9"/>
          <w:headerReference w:type="first" r:id="rId10"/>
          <w:type w:val="continuous"/>
          <w:pgSz w:w="12240" w:h="15840" w:code="1"/>
          <w:pgMar w:top="1584" w:right="1440" w:bottom="1440" w:left="1440" w:header="720" w:footer="720" w:gutter="0"/>
          <w:cols w:space="720"/>
          <w:formProt w:val="0"/>
          <w:docGrid w:linePitch="360"/>
        </w:sectPr>
      </w:pPr>
    </w:p>
    <w:p w:rsidR="00876E49" w:rsidRDefault="00876E49" w:rsidP="00876E49">
      <w:pPr>
        <w:pStyle w:val="BodyText"/>
      </w:pPr>
      <w:r w:rsidRPr="00DB52F9">
        <w:lastRenderedPageBreak/>
        <w:t xml:space="preserve">The FPL Petition seeks </w:t>
      </w:r>
      <w:r>
        <w:t>three things:</w:t>
      </w:r>
      <w:r w:rsidRPr="00DB52F9">
        <w:t xml:space="preserve"> first to reduce the respective 2018 fuel cost recovery factors approved in Order No. PSC-201</w:t>
      </w:r>
      <w:r>
        <w:t>8-0028</w:t>
      </w:r>
      <w:r w:rsidRPr="00DB52F9">
        <w:t>-AS-EI</w:t>
      </w:r>
      <w:r>
        <w:t>;</w:t>
      </w:r>
      <w:r w:rsidRPr="00DB52F9">
        <w:rPr>
          <w:vertAlign w:val="superscript"/>
        </w:rPr>
        <w:footnoteReference w:id="1"/>
      </w:r>
      <w:r>
        <w:t xml:space="preserve"> </w:t>
      </w:r>
      <w:r w:rsidRPr="00DB52F9">
        <w:t>second, to approve the capacity factors</w:t>
      </w:r>
      <w:r>
        <w:t>;</w:t>
      </w:r>
      <w:r w:rsidRPr="00DB52F9">
        <w:t xml:space="preserve"> and third, to approve the revisions to FPL’s generating performance incentive fac</w:t>
      </w:r>
      <w:r>
        <w:t xml:space="preserve">tor (GPIF) performance metrics. </w:t>
      </w:r>
      <w:r w:rsidRPr="00DB52F9">
        <w:t xml:space="preserve">The requested approvals reflect the impact of the Commission-approved </w:t>
      </w:r>
      <w:r w:rsidRPr="00DB52F9">
        <w:lastRenderedPageBreak/>
        <w:t>St. John’s River Power Park</w:t>
      </w:r>
      <w:r>
        <w:t xml:space="preserve"> (SJRPP)</w:t>
      </w:r>
      <w:r w:rsidRPr="00DB52F9">
        <w:t xml:space="preserve"> transaction, pursuant to Order No. PSC-2017</w:t>
      </w:r>
      <w:r>
        <w:t>-</w:t>
      </w:r>
      <w:r w:rsidRPr="00DB52F9">
        <w:t>0415-AS-EI.</w:t>
      </w:r>
      <w:r w:rsidRPr="00DB52F9">
        <w:rPr>
          <w:vertAlign w:val="superscript"/>
        </w:rPr>
        <w:footnoteReference w:id="2"/>
      </w:r>
    </w:p>
    <w:p w:rsidR="00876E49" w:rsidRDefault="00876E49" w:rsidP="00876E49">
      <w:pPr>
        <w:pStyle w:val="BodyText"/>
      </w:pPr>
      <w:r w:rsidRPr="00C42E1C">
        <w:t>Mid-course corrections are part of the fuel and purchased power cost recovery clause (fuel clause) proceeding, and such corrections are used by the Commission between fuel clause hearings whenever costs deviate from revenues by a significant margin</w:t>
      </w:r>
      <w:r>
        <w:t xml:space="preserve">. </w:t>
      </w:r>
      <w:r w:rsidRPr="00C42E1C">
        <w:t xml:space="preserve">Petitions for mid-course corrections to fuel factors are addressed by Rule </w:t>
      </w:r>
      <w:r w:rsidRPr="00B76CD6">
        <w:t>25-6.0424,</w:t>
      </w:r>
      <w:r w:rsidRPr="00C42E1C">
        <w:t xml:space="preserve"> Florida Administrative Code (F.A.C.).</w:t>
      </w:r>
      <w:r>
        <w:t xml:space="preserve"> </w:t>
      </w:r>
      <w:r w:rsidRPr="00C42E1C">
        <w:t>Under this rule, a utility must notify the Commission whenever it expects to experience an under-recovery or over-recovery greater than 10 percent.</w:t>
      </w:r>
      <w:r w:rsidRPr="00E05949">
        <w:t xml:space="preserve"> </w:t>
      </w:r>
      <w:r>
        <w:t xml:space="preserve">Pursuant to </w:t>
      </w:r>
      <w:r w:rsidRPr="00E05949">
        <w:t>Rule 25-6.0424, F.A.C., the mid-course percentage is the estimated end-of-period total net true-up amount divided by the current period’s total actual and estimated jurisdictional fuel revenue applicable to period amount.</w:t>
      </w:r>
    </w:p>
    <w:p w:rsidR="00876E49" w:rsidRDefault="00876E49" w:rsidP="00876E49">
      <w:pPr>
        <w:pStyle w:val="BodyText"/>
      </w:pPr>
      <w:r w:rsidRPr="00C42E1C">
        <w:t xml:space="preserve">Mid-course corrections are considered preliminary procedural decisions, and any over-recoveries or under-recoveries caused by or resulting from the </w:t>
      </w:r>
      <w:r>
        <w:t xml:space="preserve">Commission-approved adjusted </w:t>
      </w:r>
      <w:r w:rsidRPr="00C42E1C">
        <w:t>fuel factors may be included in the following year’s fuel factors.</w:t>
      </w:r>
    </w:p>
    <w:p w:rsidR="00876E49" w:rsidRPr="00C42E1C" w:rsidRDefault="00876E49" w:rsidP="00876E49">
      <w:pPr>
        <w:pStyle w:val="BodyText"/>
      </w:pPr>
      <w:r>
        <w:t xml:space="preserve">If approved by the Commission, this mid-course correction will result in lower cost recovery factors for FPL’s customers. </w:t>
      </w:r>
      <w:r w:rsidRPr="00C42E1C">
        <w:t xml:space="preserve">This </w:t>
      </w:r>
      <w:r>
        <w:t xml:space="preserve">mid-course correction was filed by FPL with the intention of the proposed decrease in rates becoming effective March 1, 2018. </w:t>
      </w:r>
      <w:r w:rsidRPr="00A6487F">
        <w:t xml:space="preserve">Typically, effective dates are set a minimum of 30 days after a Commission vote modifying </w:t>
      </w:r>
      <w:r>
        <w:t xml:space="preserve">the </w:t>
      </w:r>
      <w:r w:rsidRPr="00A6487F">
        <w:t>charges as the result of a mid-course correction.</w:t>
      </w:r>
      <w:r w:rsidRPr="00A6487F">
        <w:rPr>
          <w:vertAlign w:val="superscript"/>
        </w:rPr>
        <w:footnoteReference w:id="3"/>
      </w:r>
      <w:r w:rsidRPr="00A6487F">
        <w:t xml:space="preserve"> This time limit is imposed in order to not have new rates applied to energy consumed before the effective date of the Commission’s action, i.e., the date of the vote. However, the Commission has also implemented charges in less than 30 days when circumstances warrant.</w:t>
      </w:r>
      <w:r w:rsidRPr="00A6487F">
        <w:rPr>
          <w:vertAlign w:val="superscript"/>
        </w:rPr>
        <w:footnoteReference w:id="4"/>
      </w:r>
      <w:r w:rsidRPr="00A6487F">
        <w:t xml:space="preserve"> In this instance, the interval between the Commission’s vote on this matter (February 6, 2018) and the proposed implementation date (expected to be March 1, 2018) is 22 days</w:t>
      </w:r>
      <w:r>
        <w:t xml:space="preserve">. Since this filing, if approved, results in a decrease to rates, staff believes the 22 day interval is sufficient.  </w:t>
      </w:r>
    </w:p>
    <w:p w:rsidR="00876E49" w:rsidRDefault="00876E49" w:rsidP="00876E49">
      <w:pPr>
        <w:pStyle w:val="BodyText"/>
      </w:pPr>
      <w:r w:rsidRPr="00C42E1C">
        <w:lastRenderedPageBreak/>
        <w:t>The Commission’s jurisdiction to consider fuel clause proceedings derives from the Commission’s authority to set fair and reasonable rates, found in Section 366.05, Florida Statut</w:t>
      </w:r>
      <w:r>
        <w:t>es.</w:t>
      </w:r>
    </w:p>
    <w:p w:rsidR="0068481F" w:rsidRDefault="0068481F">
      <w:pPr>
        <w:pStyle w:val="BodyText"/>
      </w:pPr>
    </w:p>
    <w:p w:rsidR="00876E49" w:rsidRDefault="00876E49">
      <w:pPr>
        <w:pStyle w:val="BodyText"/>
      </w:pPr>
    </w:p>
    <w:p w:rsidR="007C0528" w:rsidRDefault="007C0528" w:rsidP="0068481F"/>
    <w:bookmarkEnd w:id="12"/>
    <w:p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76E49" w:rsidRDefault="00876E49">
      <w:pPr>
        <w:pStyle w:val="IssueHeading"/>
        <w:rPr>
          <w:vanish/>
          <w:specVanish/>
        </w:rPr>
      </w:pPr>
      <w:r w:rsidRPr="004C3641">
        <w:t xml:space="preserve">Issue </w:t>
      </w:r>
      <w:r w:rsidR="003C4584">
        <w:fldChar w:fldCharType="begin"/>
      </w:r>
      <w:r w:rsidR="003C4584">
        <w:instrText xml:space="preserve"> SEQ Issue \* MERGEFORMAT </w:instrText>
      </w:r>
      <w:r w:rsidR="003C4584">
        <w:fldChar w:fldCharType="separate"/>
      </w:r>
      <w:r w:rsidR="001F1ED5">
        <w:rPr>
          <w:noProof/>
        </w:rPr>
        <w:t>1</w:t>
      </w:r>
      <w:r w:rsidR="003C458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1ED5">
        <w:rPr>
          <w:noProof/>
        </w:rPr>
        <w:instrText>1</w:instrText>
      </w:r>
      <w:r>
        <w:fldChar w:fldCharType="end"/>
      </w:r>
      <w:r>
        <w:tab/>
        <w:instrText xml:space="preserve">(Barrett, Galloway, Lee, Draper, Guffey)" \l 1 </w:instrText>
      </w:r>
      <w:r>
        <w:fldChar w:fldCharType="end"/>
      </w:r>
      <w:r>
        <w:t> </w:t>
      </w:r>
    </w:p>
    <w:p w:rsidR="00876E49" w:rsidRDefault="00876E49">
      <w:pPr>
        <w:pStyle w:val="BodyText"/>
      </w:pPr>
      <w:r>
        <w:t> Should the Commission approve FPL's Petition for mid-course correction to its fuel and capacity cost recover factors, associated tariff sheets, and revised GPIF Targets and Ranges?</w:t>
      </w:r>
    </w:p>
    <w:p w:rsidR="00876E49" w:rsidRPr="004C3641" w:rsidRDefault="00876E49">
      <w:pPr>
        <w:pStyle w:val="IssueSubsectionHeading"/>
        <w:rPr>
          <w:vanish/>
          <w:specVanish/>
        </w:rPr>
      </w:pPr>
      <w:r w:rsidRPr="004C3641">
        <w:t>Recommendation: </w:t>
      </w:r>
    </w:p>
    <w:p w:rsidR="00876E49" w:rsidRDefault="00876E49">
      <w:pPr>
        <w:pStyle w:val="BodyText"/>
      </w:pPr>
      <w:r>
        <w:t xml:space="preserve"> Yes. </w:t>
      </w:r>
      <w:smartTag w:uri="urn:schemas-microsoft-com:office:smarttags" w:element="stockticker">
        <w:r w:rsidRPr="00A305D3">
          <w:t>FP</w:t>
        </w:r>
        <w:r>
          <w:t>L</w:t>
        </w:r>
      </w:smartTag>
      <w:r>
        <w:t>’s</w:t>
      </w:r>
      <w:r w:rsidRPr="00A305D3">
        <w:t xml:space="preserve"> </w:t>
      </w:r>
      <w:r>
        <w:t xml:space="preserve">request for mid-course correction to its 2018 fuel and capacity cost recovery factors, associated tariff sheets, and revised 2018 GPIF Target and Ranges should be approved. </w:t>
      </w:r>
      <w:r w:rsidRPr="00A305D3">
        <w:t>The recommended fuel</w:t>
      </w:r>
      <w:r>
        <w:t xml:space="preserve"> and capacity</w:t>
      </w:r>
      <w:r w:rsidRPr="00A305D3">
        <w:t xml:space="preserve"> </w:t>
      </w:r>
      <w:r>
        <w:t xml:space="preserve">cost recovery </w:t>
      </w:r>
      <w:r w:rsidRPr="00A305D3">
        <w:t>factors are presented in Attachment</w:t>
      </w:r>
      <w:r>
        <w:t>s</w:t>
      </w:r>
      <w:r w:rsidRPr="00A305D3">
        <w:t xml:space="preserve"> </w:t>
      </w:r>
      <w:r>
        <w:t>A and B, respectively,</w:t>
      </w:r>
      <w:r w:rsidRPr="00A6487F">
        <w:t xml:space="preserve"> </w:t>
      </w:r>
      <w:r>
        <w:t xml:space="preserve">and the revised 2018 GPIF Targets and Ranges are presented in Attachment C. </w:t>
      </w:r>
      <w:r w:rsidRPr="00A305D3">
        <w:t xml:space="preserve">The </w:t>
      </w:r>
      <w:r>
        <w:t>associated tariff sheets</w:t>
      </w:r>
      <w:r w:rsidRPr="00A305D3">
        <w:t xml:space="preserve"> </w:t>
      </w:r>
      <w:r>
        <w:t>are</w:t>
      </w:r>
      <w:r w:rsidRPr="00A305D3">
        <w:t xml:space="preserve"> presented in Attachment</w:t>
      </w:r>
      <w:r>
        <w:t xml:space="preserve"> D. T</w:t>
      </w:r>
      <w:r w:rsidRPr="000E7D60">
        <w:t xml:space="preserve">he revised fuel </w:t>
      </w:r>
      <w:r>
        <w:t>and cost recovery factors, the associated tariff sheets, and the revised GPIF Target and Ranges</w:t>
      </w:r>
      <w:r w:rsidRPr="000E7D60">
        <w:t xml:space="preserve"> should become effective </w:t>
      </w:r>
      <w:r>
        <w:t>with the March 2018 billing cycle, which begins on March 1, 2018. (Barrett, Galloway, Lee, Draper, Guffey)</w:t>
      </w:r>
    </w:p>
    <w:p w:rsidR="00876E49" w:rsidRPr="004C3641" w:rsidRDefault="00876E49">
      <w:pPr>
        <w:pStyle w:val="IssueSubsectionHeading"/>
        <w:rPr>
          <w:vanish/>
          <w:specVanish/>
        </w:rPr>
      </w:pPr>
      <w:r w:rsidRPr="004C3641">
        <w:t>Staff Analysis: </w:t>
      </w:r>
    </w:p>
    <w:p w:rsidR="00876E49" w:rsidRDefault="00876E49" w:rsidP="00876E49">
      <w:pPr>
        <w:pStyle w:val="BodyText"/>
      </w:pPr>
      <w:r>
        <w:t> F</w:t>
      </w:r>
      <w:r w:rsidRPr="002526B4">
        <w:t xml:space="preserve">PL’s projection testimony and schedules for </w:t>
      </w:r>
      <w:r>
        <w:t>2018</w:t>
      </w:r>
      <w:r w:rsidRPr="002526B4">
        <w:t xml:space="preserve"> were filed on August 24, 2017</w:t>
      </w:r>
      <w:r>
        <w:t xml:space="preserve">, which came before the Commission had considered a separately-docketed matter to </w:t>
      </w:r>
      <w:r w:rsidRPr="002526B4">
        <w:t>approv</w:t>
      </w:r>
      <w:r>
        <w:t>e</w:t>
      </w:r>
      <w:r w:rsidRPr="002526B4">
        <w:t xml:space="preserve"> </w:t>
      </w:r>
      <w:r>
        <w:t>an</w:t>
      </w:r>
      <w:r w:rsidRPr="002526B4">
        <w:t xml:space="preserve"> arrangement to mitigate unfavorable impacts stemming from its partial ownership of the St. Johns River Power Park (SJRPP</w:t>
      </w:r>
      <w:r>
        <w:t xml:space="preserve"> Transaction</w:t>
      </w:r>
      <w:r w:rsidRPr="002526B4">
        <w:t>). The impact of the SJRPP Transaction was not reflected in FPL’s calculations included in its projection testimony and schedules filed on August 24, 2017. On September 25, 2017, the Commission approved FPL’s and OPC’s stipulation and settlement resolving all issues concerning the SJRPP Transaction.</w:t>
      </w:r>
      <w:r w:rsidRPr="002526B4">
        <w:rPr>
          <w:rStyle w:val="FootnoteReference"/>
        </w:rPr>
        <w:footnoteReference w:id="5"/>
      </w:r>
      <w:r w:rsidRPr="002526B4">
        <w:t xml:space="preserve"> </w:t>
      </w:r>
      <w:r>
        <w:t>Order No. PSC-2018-FOF-EI,</w:t>
      </w:r>
      <w:r>
        <w:rPr>
          <w:rStyle w:val="FootnoteReference"/>
        </w:rPr>
        <w:footnoteReference w:id="6"/>
      </w:r>
      <w:r>
        <w:t xml:space="preserve"> approved the stipulation requiring FPL to file a mid-course correction to reflect the impacts of the SJRPP Transaction no later than November 17, 2017, and FPL did so.</w:t>
      </w:r>
    </w:p>
    <w:p w:rsidR="00876E49" w:rsidRDefault="00876E49" w:rsidP="00876E49">
      <w:pPr>
        <w:pStyle w:val="BodyText"/>
        <w:spacing w:after="0"/>
        <w:rPr>
          <w:rFonts w:ascii="Arial" w:hAnsi="Arial" w:cs="Arial"/>
          <w:b/>
        </w:rPr>
      </w:pPr>
      <w:r>
        <w:rPr>
          <w:rFonts w:ascii="Arial" w:hAnsi="Arial" w:cs="Arial"/>
          <w:b/>
        </w:rPr>
        <w:t>Midcourse Adjustment for Fuel Cost Recovery (FCR) Factors</w:t>
      </w:r>
    </w:p>
    <w:p w:rsidR="00876E49" w:rsidRDefault="00876E49" w:rsidP="00876E49">
      <w:pPr>
        <w:pStyle w:val="BodyText"/>
      </w:pPr>
      <w:smartTag w:uri="urn:schemas-microsoft-com:office:smarttags" w:element="stockticker">
        <w:r w:rsidRPr="00C42E1C">
          <w:t>FPL</w:t>
        </w:r>
      </w:smartTag>
      <w:r w:rsidRPr="00C42E1C">
        <w:t>’s currently authori</w:t>
      </w:r>
      <w:r w:rsidRPr="002526B4">
        <w:t xml:space="preserve">zed 2018 fuel factors were set by the Commission following the October 25, 2017 fuel hearing, and codified in </w:t>
      </w:r>
      <w:r>
        <w:t xml:space="preserve">the 2017 </w:t>
      </w:r>
      <w:r w:rsidRPr="002526B4">
        <w:t>Order</w:t>
      </w:r>
      <w:r>
        <w:t xml:space="preserve">. </w:t>
      </w:r>
      <w:r w:rsidRPr="002526B4">
        <w:t>These factors are based on FPL’s projected fuel costs for 2018, plus the true-up amount</w:t>
      </w:r>
      <w:r>
        <w:t>s</w:t>
      </w:r>
      <w:r w:rsidRPr="002526B4">
        <w:t xml:space="preserve"> from 201</w:t>
      </w:r>
      <w:r>
        <w:t>7. Given the timing</w:t>
      </w:r>
      <w:r w:rsidRPr="002526B4">
        <w:t xml:space="preserve"> of the Commission’s approval of the SJRPP</w:t>
      </w:r>
      <w:r>
        <w:t xml:space="preserve"> Transaction</w:t>
      </w:r>
      <w:r w:rsidRPr="002526B4">
        <w:t xml:space="preserve">, </w:t>
      </w:r>
      <w:r>
        <w:t xml:space="preserve">FPL is requesting </w:t>
      </w:r>
      <w:r w:rsidRPr="002526B4">
        <w:t>the current m</w:t>
      </w:r>
      <w:r>
        <w:t>id-course correction to reflect its 2018 cost recovery factors. The Company notes, however, that its mid-course correction is limited to only the impact of the SJRPP Transaction. The accounting treatment approved in the SJRPP Order authorizes FPL to recover fuel-related costs associated with the SJRPP Transaction through the fuel cost recovery (FCR) clause.</w:t>
      </w:r>
    </w:p>
    <w:p w:rsidR="00876E49" w:rsidRDefault="00876E49" w:rsidP="00876E49">
      <w:pPr>
        <w:autoSpaceDE w:val="0"/>
        <w:autoSpaceDN w:val="0"/>
        <w:adjustRightInd w:val="0"/>
        <w:jc w:val="both"/>
      </w:pPr>
      <w:r>
        <w:t>The SJRPP Transaction closed and the plant was retired on January 5, 2018.</w:t>
      </w:r>
      <w:r>
        <w:rPr>
          <w:rStyle w:val="FootnoteReference"/>
        </w:rPr>
        <w:footnoteReference w:id="7"/>
      </w:r>
      <w:r>
        <w:t xml:space="preserve"> As a result, purchased power payments and coal inventory balances will reflect decreases. FPL states in its mid-course correction filing that “these decreases are partially offset by an increase in natural gas consumption.” (FPL Petition, page 4, paragraph 9) </w:t>
      </w:r>
    </w:p>
    <w:p w:rsidR="00876E49" w:rsidRDefault="00876E49" w:rsidP="00876E49">
      <w:pPr>
        <w:autoSpaceDE w:val="0"/>
        <w:autoSpaceDN w:val="0"/>
        <w:adjustRightInd w:val="0"/>
        <w:jc w:val="both"/>
      </w:pPr>
      <w:r>
        <w:lastRenderedPageBreak/>
        <w:t xml:space="preserve">The accounting changes result in a total variance from the original 2018 projection filing of $22,933,601, or 7.99 percent. If FPL’s Petition is granted, this amount would be recovered through reduced fuel and capacity cost recovery factors for March–December 2018. The March-December 2018 FCR factor decreased from 2.630 cents per kWh to 2.606 cents per kWh, and results in a reduction of $0.24 for a residential customer using 1,000 kWh of electricity. The revised fuel cost recovery factors are reflected on Attachment A.  </w:t>
      </w:r>
    </w:p>
    <w:p w:rsidR="00876E49" w:rsidRDefault="00876E49" w:rsidP="00876E49">
      <w:pPr>
        <w:pStyle w:val="BodyText"/>
        <w:spacing w:after="0"/>
        <w:rPr>
          <w:rFonts w:ascii="Arial" w:hAnsi="Arial" w:cs="Arial"/>
          <w:b/>
        </w:rPr>
      </w:pPr>
    </w:p>
    <w:p w:rsidR="00876E49" w:rsidRDefault="00876E49" w:rsidP="00876E49">
      <w:pPr>
        <w:pStyle w:val="BodyText"/>
        <w:spacing w:after="0"/>
        <w:rPr>
          <w:rFonts w:ascii="Arial" w:hAnsi="Arial" w:cs="Arial"/>
          <w:b/>
        </w:rPr>
      </w:pPr>
      <w:r>
        <w:rPr>
          <w:rFonts w:ascii="Arial" w:hAnsi="Arial" w:cs="Arial"/>
          <w:b/>
        </w:rPr>
        <w:t>Midcourse Adjustment for Capacity Cost Recovery (CCR) Factors</w:t>
      </w:r>
    </w:p>
    <w:p w:rsidR="00876E49" w:rsidRDefault="00876E49" w:rsidP="00876E49">
      <w:pPr>
        <w:pStyle w:val="FootnoteText"/>
        <w:rPr>
          <w:sz w:val="24"/>
          <w:szCs w:val="24"/>
        </w:rPr>
      </w:pPr>
      <w:r w:rsidRPr="008A08F5">
        <w:rPr>
          <w:sz w:val="24"/>
          <w:szCs w:val="24"/>
        </w:rPr>
        <w:t xml:space="preserve">Pursuant to </w:t>
      </w:r>
      <w:r>
        <w:rPr>
          <w:sz w:val="24"/>
          <w:szCs w:val="24"/>
        </w:rPr>
        <w:t xml:space="preserve">the SJRPP </w:t>
      </w:r>
      <w:r w:rsidRPr="008A08F5">
        <w:rPr>
          <w:sz w:val="24"/>
          <w:szCs w:val="24"/>
        </w:rPr>
        <w:t xml:space="preserve">Order, </w:t>
      </w:r>
      <w:r>
        <w:rPr>
          <w:sz w:val="24"/>
          <w:szCs w:val="24"/>
        </w:rPr>
        <w:t xml:space="preserve">the SJRPP Transaction settlement authorized FPL to recover certain costs associated with the SJRPP shutdown through the Capacity Cost Recovery (CCR) clause.  </w:t>
      </w:r>
    </w:p>
    <w:p w:rsidR="00876E49" w:rsidRDefault="00876E49" w:rsidP="00876E49">
      <w:pPr>
        <w:pStyle w:val="FootnoteText"/>
        <w:rPr>
          <w:sz w:val="24"/>
          <w:szCs w:val="24"/>
        </w:rPr>
      </w:pPr>
    </w:p>
    <w:p w:rsidR="00876E49" w:rsidRPr="00796F6C" w:rsidRDefault="00876E49" w:rsidP="00876E49">
      <w:pPr>
        <w:pStyle w:val="FootnoteText"/>
        <w:rPr>
          <w:sz w:val="24"/>
          <w:szCs w:val="24"/>
        </w:rPr>
      </w:pPr>
      <w:r w:rsidRPr="00796F6C">
        <w:rPr>
          <w:sz w:val="24"/>
          <w:szCs w:val="24"/>
        </w:rPr>
        <w:t>As stated in th</w:t>
      </w:r>
      <w:r>
        <w:rPr>
          <w:sz w:val="24"/>
          <w:szCs w:val="24"/>
        </w:rPr>
        <w:t xml:space="preserve">e SJRPP </w:t>
      </w:r>
      <w:r w:rsidRPr="00796F6C">
        <w:rPr>
          <w:sz w:val="24"/>
          <w:szCs w:val="24"/>
        </w:rPr>
        <w:t>Order, FPL will create a Shutdown Payment Regulatory Asset in the amount of $90.4 million</w:t>
      </w:r>
      <w:r>
        <w:rPr>
          <w:sz w:val="24"/>
          <w:szCs w:val="24"/>
        </w:rPr>
        <w:t xml:space="preserve"> as </w:t>
      </w:r>
      <w:r w:rsidRPr="00796F6C">
        <w:rPr>
          <w:sz w:val="24"/>
          <w:szCs w:val="24"/>
        </w:rPr>
        <w:t>FP</w:t>
      </w:r>
      <w:r>
        <w:rPr>
          <w:sz w:val="24"/>
          <w:szCs w:val="24"/>
        </w:rPr>
        <w:t>L’s payment to JEA.</w:t>
      </w:r>
      <w:r w:rsidRPr="00796F6C">
        <w:rPr>
          <w:sz w:val="24"/>
          <w:szCs w:val="24"/>
        </w:rPr>
        <w:t xml:space="preserve"> As such, FPL is allowed to recover</w:t>
      </w:r>
      <w:r>
        <w:rPr>
          <w:sz w:val="24"/>
          <w:szCs w:val="24"/>
        </w:rPr>
        <w:t>:</w:t>
      </w:r>
      <w:r w:rsidRPr="00796F6C">
        <w:rPr>
          <w:sz w:val="24"/>
          <w:szCs w:val="24"/>
        </w:rPr>
        <w:t xml:space="preserve"> 1) </w:t>
      </w:r>
      <w:r>
        <w:rPr>
          <w:sz w:val="24"/>
          <w:szCs w:val="24"/>
        </w:rPr>
        <w:t>a</w:t>
      </w:r>
      <w:r w:rsidRPr="00796F6C">
        <w:rPr>
          <w:sz w:val="24"/>
          <w:szCs w:val="24"/>
        </w:rPr>
        <w:t xml:space="preserve">mortization of the regulatory asset over the remaining Power Purchase Agreement (PPA) </w:t>
      </w:r>
      <w:r>
        <w:rPr>
          <w:sz w:val="24"/>
          <w:szCs w:val="24"/>
        </w:rPr>
        <w:t xml:space="preserve">it has with JEA, through its term (October </w:t>
      </w:r>
      <w:r w:rsidRPr="00796F6C">
        <w:rPr>
          <w:sz w:val="24"/>
          <w:szCs w:val="24"/>
        </w:rPr>
        <w:t>2021); and 2) a return on the unamortized balance calculated at FPL</w:t>
      </w:r>
      <w:r>
        <w:rPr>
          <w:sz w:val="24"/>
          <w:szCs w:val="24"/>
        </w:rPr>
        <w:t>’</w:t>
      </w:r>
      <w:r w:rsidRPr="00796F6C">
        <w:rPr>
          <w:sz w:val="24"/>
          <w:szCs w:val="24"/>
        </w:rPr>
        <w:t>s weighted cost of capital used for adjustment clause proceedings.</w:t>
      </w:r>
    </w:p>
    <w:p w:rsidR="00876E49" w:rsidRPr="00796F6C" w:rsidRDefault="00876E49" w:rsidP="00876E49">
      <w:pPr>
        <w:pStyle w:val="FootnoteText"/>
        <w:rPr>
          <w:sz w:val="24"/>
          <w:szCs w:val="24"/>
        </w:rPr>
      </w:pPr>
    </w:p>
    <w:p w:rsidR="00876E49" w:rsidRPr="00796F6C" w:rsidRDefault="00876E49" w:rsidP="00876E49">
      <w:pPr>
        <w:pStyle w:val="FootnoteText"/>
        <w:rPr>
          <w:sz w:val="24"/>
          <w:szCs w:val="24"/>
        </w:rPr>
      </w:pPr>
      <w:r>
        <w:rPr>
          <w:sz w:val="24"/>
          <w:szCs w:val="24"/>
        </w:rPr>
        <w:t xml:space="preserve">The SJRPP Order also authorized </w:t>
      </w:r>
      <w:r w:rsidRPr="00796F6C">
        <w:rPr>
          <w:sz w:val="24"/>
          <w:szCs w:val="24"/>
        </w:rPr>
        <w:t>FPL to eliminate the annual capacity payment that would be due under the SJRPP PPA, and refund through the CCR clause the costs incurred for suspension liability and a return on the unamortized balance, which is calculated as above using FPL</w:t>
      </w:r>
      <w:r>
        <w:rPr>
          <w:sz w:val="24"/>
          <w:szCs w:val="24"/>
        </w:rPr>
        <w:t>’</w:t>
      </w:r>
      <w:r w:rsidRPr="00796F6C">
        <w:rPr>
          <w:sz w:val="24"/>
          <w:szCs w:val="24"/>
        </w:rPr>
        <w:t>s weighted cost of capital used for adjustment clause proceed</w:t>
      </w:r>
      <w:r>
        <w:rPr>
          <w:sz w:val="24"/>
          <w:szCs w:val="24"/>
        </w:rPr>
        <w:t>ings.</w:t>
      </w:r>
      <w:r w:rsidRPr="00796F6C">
        <w:rPr>
          <w:sz w:val="24"/>
          <w:szCs w:val="24"/>
        </w:rPr>
        <w:t xml:space="preserve"> As such</w:t>
      </w:r>
      <w:r>
        <w:rPr>
          <w:sz w:val="24"/>
          <w:szCs w:val="24"/>
        </w:rPr>
        <w:t>,</w:t>
      </w:r>
      <w:r w:rsidRPr="00796F6C">
        <w:rPr>
          <w:sz w:val="24"/>
          <w:szCs w:val="24"/>
        </w:rPr>
        <w:t xml:space="preserve"> FPL </w:t>
      </w:r>
      <w:r w:rsidRPr="00B52752">
        <w:rPr>
          <w:sz w:val="24"/>
          <w:szCs w:val="24"/>
        </w:rPr>
        <w:t xml:space="preserve">will </w:t>
      </w:r>
      <w:r w:rsidRPr="00796F6C">
        <w:rPr>
          <w:sz w:val="24"/>
          <w:szCs w:val="24"/>
        </w:rPr>
        <w:t>refund the costs incurred f</w:t>
      </w:r>
      <w:r>
        <w:rPr>
          <w:sz w:val="24"/>
          <w:szCs w:val="24"/>
        </w:rPr>
        <w:t>or deferred interest liability and</w:t>
      </w:r>
      <w:r w:rsidRPr="00796F6C">
        <w:rPr>
          <w:sz w:val="24"/>
          <w:szCs w:val="24"/>
        </w:rPr>
        <w:t xml:space="preserve"> dismantlement accrual, none of which FPL will be required to pay upon termination of the PPA.</w:t>
      </w:r>
    </w:p>
    <w:p w:rsidR="00876E49" w:rsidRPr="00796F6C" w:rsidRDefault="00876E49" w:rsidP="00876E49">
      <w:pPr>
        <w:pStyle w:val="FootnoteText"/>
        <w:rPr>
          <w:sz w:val="24"/>
          <w:szCs w:val="24"/>
        </w:rPr>
      </w:pPr>
    </w:p>
    <w:p w:rsidR="00876E49" w:rsidRPr="00796F6C" w:rsidRDefault="00876E49" w:rsidP="00876E49">
      <w:pPr>
        <w:pStyle w:val="FootnoteText"/>
        <w:rPr>
          <w:sz w:val="24"/>
          <w:szCs w:val="24"/>
        </w:rPr>
      </w:pPr>
      <w:r w:rsidRPr="00796F6C">
        <w:rPr>
          <w:sz w:val="24"/>
          <w:szCs w:val="24"/>
        </w:rPr>
        <w:t>This CCR mid-course correction reflects the SJRPP-related adjustments and also credits to customers the carrying charges associated with Nuclear Cost Recovery Clause 2015 and 2016 Final True-ups, approved by the Commission as the over-recovery for those periods</w:t>
      </w:r>
      <w:r>
        <w:rPr>
          <w:sz w:val="24"/>
          <w:szCs w:val="24"/>
        </w:rPr>
        <w:t>.</w:t>
      </w:r>
      <w:r w:rsidRPr="00796F6C">
        <w:rPr>
          <w:sz w:val="24"/>
          <w:szCs w:val="24"/>
        </w:rPr>
        <w:t xml:space="preserve"> As a result, the total capacity cost over-recovery is appr</w:t>
      </w:r>
      <w:r>
        <w:rPr>
          <w:sz w:val="24"/>
          <w:szCs w:val="24"/>
        </w:rPr>
        <w:t xml:space="preserve">oximately $20,410,866 or 7.2 percent. </w:t>
      </w:r>
      <w:r w:rsidRPr="00796F6C">
        <w:rPr>
          <w:sz w:val="24"/>
          <w:szCs w:val="24"/>
        </w:rPr>
        <w:t>This amount reduces the CCR factors for each rate group</w:t>
      </w:r>
      <w:r>
        <w:rPr>
          <w:sz w:val="24"/>
          <w:szCs w:val="24"/>
        </w:rPr>
        <w:t xml:space="preserve"> for the period March-December 2018. The revised capacity cost recovery factors are</w:t>
      </w:r>
      <w:r w:rsidRPr="00796F6C">
        <w:rPr>
          <w:sz w:val="24"/>
          <w:szCs w:val="24"/>
        </w:rPr>
        <w:t xml:space="preserve"> reflected on Attachment B.</w:t>
      </w:r>
    </w:p>
    <w:p w:rsidR="00876E49" w:rsidRDefault="00876E49" w:rsidP="00876E49">
      <w:pPr>
        <w:pStyle w:val="BodyText"/>
        <w:spacing w:after="0"/>
        <w:rPr>
          <w:rFonts w:ascii="Arial" w:hAnsi="Arial" w:cs="Arial"/>
          <w:b/>
        </w:rPr>
      </w:pPr>
    </w:p>
    <w:p w:rsidR="00876E49" w:rsidRDefault="00876E49" w:rsidP="00876E49">
      <w:pPr>
        <w:pStyle w:val="BodyText"/>
        <w:spacing w:after="0"/>
        <w:rPr>
          <w:rFonts w:ascii="Arial" w:hAnsi="Arial" w:cs="Arial"/>
          <w:b/>
        </w:rPr>
      </w:pPr>
      <w:r>
        <w:rPr>
          <w:rFonts w:ascii="Arial" w:hAnsi="Arial" w:cs="Arial"/>
          <w:b/>
        </w:rPr>
        <w:t>Revision of the GPIF Targets and Ranges for 2018</w:t>
      </w:r>
    </w:p>
    <w:p w:rsidR="00876E49" w:rsidRPr="00C4646E" w:rsidRDefault="00876E49" w:rsidP="00876E49">
      <w:pPr>
        <w:pStyle w:val="BodyText"/>
        <w:spacing w:after="0"/>
      </w:pPr>
      <w:r w:rsidRPr="00C4646E">
        <w:t>Consistent with the discussion on the revised fuel cost projection, a</w:t>
      </w:r>
      <w:r w:rsidRPr="00C4646E">
        <w:rPr>
          <w:bCs/>
        </w:rPr>
        <w:t>ppro</w:t>
      </w:r>
      <w:r w:rsidRPr="00C4646E">
        <w:rPr>
          <w:rStyle w:val="Strong"/>
          <w:b w:val="0"/>
        </w:rPr>
        <w:t>priate adjustments to FPL’s GPIF targets/ranges</w:t>
      </w:r>
      <w:r w:rsidRPr="00C4646E">
        <w:t xml:space="preserve"> for heat rate are needed due to the effects of the SJRPP transaction. The revised GPIF targets and ranges for the 12 GPIF units provided in Appendix 4 of FPL’s petition show a slightly lower average heat rate value, reflecting a higher performance target. Availabilities of the GPIF units are not changed by the SJRPP transaction, thus no revisions are needed for the GPIF targets/ranges for equivalent availabilities.</w:t>
      </w:r>
      <w:r>
        <w:t xml:space="preserve"> T</w:t>
      </w:r>
      <w:r w:rsidRPr="00C4646E">
        <w:t>he revised 2018 GPIF Targets and Ranges are reflected on Attachment C.</w:t>
      </w:r>
    </w:p>
    <w:p w:rsidR="00876E49" w:rsidRDefault="00876E49" w:rsidP="00876E49">
      <w:pPr>
        <w:pStyle w:val="BodyText"/>
        <w:spacing w:after="0"/>
      </w:pPr>
    </w:p>
    <w:p w:rsidR="00876E49" w:rsidRPr="009D104D" w:rsidRDefault="00876E49" w:rsidP="00876E49">
      <w:pPr>
        <w:pStyle w:val="BodyText"/>
        <w:spacing w:after="0"/>
        <w:rPr>
          <w:rFonts w:ascii="Arial" w:hAnsi="Arial" w:cs="Arial"/>
          <w:b/>
        </w:rPr>
      </w:pPr>
      <w:r w:rsidRPr="009D104D">
        <w:rPr>
          <w:rFonts w:ascii="Arial" w:hAnsi="Arial" w:cs="Arial"/>
          <w:b/>
        </w:rPr>
        <w:t>Bill Impact and Customer Notifications</w:t>
      </w:r>
    </w:p>
    <w:p w:rsidR="00876E49" w:rsidRDefault="00876E49" w:rsidP="00876E49">
      <w:pPr>
        <w:pStyle w:val="BodyText"/>
        <w:spacing w:after="0"/>
      </w:pPr>
      <w:r>
        <w:t>Consistent with the 2017 Fuel Order, the</w:t>
      </w:r>
      <w:r w:rsidRPr="007B0571">
        <w:t xml:space="preserve"> </w:t>
      </w:r>
      <w:r>
        <w:t xml:space="preserve">bill for a residential customer using </w:t>
      </w:r>
      <w:r w:rsidRPr="007B0571">
        <w:t>1,000 kilowatt hour</w:t>
      </w:r>
      <w:r>
        <w:t>s</w:t>
      </w:r>
      <w:r w:rsidRPr="007B0571">
        <w:t xml:space="preserve"> (kWh) </w:t>
      </w:r>
      <w:r>
        <w:t>of electricity</w:t>
      </w:r>
      <w:r w:rsidRPr="007B0571">
        <w:t xml:space="preserve"> </w:t>
      </w:r>
      <w:r>
        <w:t>for the period March-December, 2018, was projected to be $99.75</w:t>
      </w:r>
      <w:r w:rsidRPr="007B0571">
        <w:t xml:space="preserve"> per month</w:t>
      </w:r>
      <w:r>
        <w:t>,</w:t>
      </w:r>
      <w:r w:rsidRPr="007B0571">
        <w:t xml:space="preserve"> with a fuel co</w:t>
      </w:r>
      <w:r>
        <w:t>st recovery co</w:t>
      </w:r>
      <w:r w:rsidRPr="007B0571">
        <w:t>mponent</w:t>
      </w:r>
      <w:r>
        <w:t xml:space="preserve"> of $22.97 per month, and a capacity cost recovery </w:t>
      </w:r>
      <w:r>
        <w:lastRenderedPageBreak/>
        <w:t>component of $2.81 per month</w:t>
      </w:r>
      <w:r w:rsidRPr="007B0571">
        <w:t>.</w:t>
      </w:r>
      <w:r>
        <w:rPr>
          <w:rStyle w:val="FootnoteReference"/>
        </w:rPr>
        <w:footnoteReference w:id="8"/>
      </w:r>
      <w:r w:rsidRPr="007B0571">
        <w:t xml:space="preserve"> </w:t>
      </w:r>
      <w:r>
        <w:t xml:space="preserve">As proposed, the fuel cost recovery component will be reduced by $0.24 per month, and a similar reduction will be applicable to capacity cost recovery factors as well. Both reductions are reflected in the </w:t>
      </w:r>
      <w:r w:rsidRPr="00D07B37">
        <w:t xml:space="preserve">typical bill comparison </w:t>
      </w:r>
      <w:r>
        <w:t xml:space="preserve">that </w:t>
      </w:r>
      <w:r w:rsidRPr="00D07B37">
        <w:t>is presen</w:t>
      </w:r>
      <w:r>
        <w:t xml:space="preserve">ted in Table 1 of Attachment E. </w:t>
      </w:r>
    </w:p>
    <w:p w:rsidR="00876E49" w:rsidRDefault="00876E49" w:rsidP="00876E49">
      <w:pPr>
        <w:pStyle w:val="BodyText"/>
        <w:spacing w:after="0"/>
      </w:pPr>
    </w:p>
    <w:p w:rsidR="00876E49" w:rsidRDefault="00876E49" w:rsidP="00876E49">
      <w:pPr>
        <w:pStyle w:val="BodyText"/>
        <w:spacing w:after="0"/>
      </w:pPr>
      <w:r>
        <w:t>Staff believes implementing reduced fuel cost recovery factors is in the best interests of FPL’s customers</w:t>
      </w:r>
      <w:r w:rsidRPr="00C42E1C">
        <w:t xml:space="preserve"> </w:t>
      </w:r>
      <w:r>
        <w:t>because</w:t>
      </w:r>
      <w:r w:rsidRPr="00C42E1C">
        <w:t xml:space="preserve"> </w:t>
      </w:r>
      <w:r>
        <w:t>the factors</w:t>
      </w:r>
      <w:r w:rsidRPr="00C42E1C">
        <w:t xml:space="preserve"> would</w:t>
      </w:r>
      <w:r>
        <w:t xml:space="preserve"> be decreasing, and</w:t>
      </w:r>
      <w:r w:rsidRPr="00C42E1C">
        <w:t xml:space="preserve"> customers would </w:t>
      </w:r>
      <w:r>
        <w:t>receive</w:t>
      </w:r>
      <w:r w:rsidRPr="00C42E1C">
        <w:t xml:space="preserve"> the benefit of reduced rates as quickly as administratively possible.</w:t>
      </w:r>
      <w:r>
        <w:t xml:space="preserve"> </w:t>
      </w:r>
    </w:p>
    <w:p w:rsidR="00876E49" w:rsidRDefault="00876E49" w:rsidP="00876E49">
      <w:pPr>
        <w:jc w:val="both"/>
      </w:pPr>
    </w:p>
    <w:p w:rsidR="00876E49" w:rsidRPr="00834B6F" w:rsidRDefault="00876E49" w:rsidP="00876E49">
      <w:pPr>
        <w:jc w:val="both"/>
      </w:pPr>
      <w:r>
        <w:t>At a noticed informal conference between staff and interested parties held January 4, 2018, FPL stated that it initially notified customers with bill inserts regarding this matter about the time its Petition was filed. In the January 2018 bill, the Company sent customers a quarterly newsletter that addressed the pending action in this matter. Beginning in February, FPL’s website will include links to show the proposed rate schedules for residential and business rate classes that are proposed to become effective March 1, 2018. The Company stated that physical restrictions on bill inserts limit the amount of detail that can be included in such notifications, but noted its customers can access detailed billing information from links on the Company’s website.</w:t>
      </w:r>
      <w:r>
        <w:rPr>
          <w:rStyle w:val="FootnoteReference"/>
        </w:rPr>
        <w:footnoteReference w:id="9"/>
      </w:r>
    </w:p>
    <w:p w:rsidR="00876E49" w:rsidRDefault="00876E49" w:rsidP="00876E49">
      <w:pPr>
        <w:pStyle w:val="BodyText"/>
        <w:spacing w:after="0"/>
        <w:rPr>
          <w:rFonts w:ascii="Arial" w:hAnsi="Arial" w:cs="Arial"/>
          <w:b/>
        </w:rPr>
      </w:pPr>
    </w:p>
    <w:p w:rsidR="00876E49" w:rsidRDefault="00876E49" w:rsidP="00876E49">
      <w:pPr>
        <w:pStyle w:val="BodyText"/>
        <w:spacing w:after="0"/>
        <w:rPr>
          <w:rFonts w:ascii="Arial" w:hAnsi="Arial" w:cs="Arial"/>
          <w:b/>
        </w:rPr>
      </w:pPr>
      <w:r w:rsidRPr="00CC1D12">
        <w:rPr>
          <w:rFonts w:ascii="Arial" w:hAnsi="Arial" w:cs="Arial"/>
          <w:b/>
        </w:rPr>
        <w:t>Conclusion</w:t>
      </w:r>
    </w:p>
    <w:p w:rsidR="00876E49" w:rsidRDefault="00876E49" w:rsidP="00876E49">
      <w:pPr>
        <w:pStyle w:val="BodyText"/>
      </w:pPr>
      <w:r w:rsidRPr="00D07B37">
        <w:t xml:space="preserve">Staff recommends the Commission approve </w:t>
      </w:r>
      <w:smartTag w:uri="urn:schemas-microsoft-com:office:smarttags" w:element="stockticker">
        <w:r w:rsidRPr="00D07B37">
          <w:t>FPL</w:t>
        </w:r>
      </w:smartTag>
      <w:r w:rsidRPr="00D07B37">
        <w:t xml:space="preserve">’s </w:t>
      </w:r>
      <w:r>
        <w:t xml:space="preserve">request </w:t>
      </w:r>
      <w:r w:rsidRPr="00D07B37">
        <w:t>for mid-course correction to its 2018 fuel and capacity cost recovery factors</w:t>
      </w:r>
      <w:r>
        <w:t>,</w:t>
      </w:r>
      <w:r w:rsidRPr="00D07B37">
        <w:t xml:space="preserve"> associated tariff sheets, and a revis</w:t>
      </w:r>
      <w:r>
        <w:t>ed</w:t>
      </w:r>
      <w:r w:rsidRPr="00D07B37">
        <w:t xml:space="preserve"> 2018 GPIF Target and Ranges</w:t>
      </w:r>
      <w:r>
        <w:t xml:space="preserve">. </w:t>
      </w:r>
      <w:r w:rsidRPr="00D07B37">
        <w:t>The revised fuel and capacity cost recovery factors and associated tariffs should become effective March 1, 2018. The recommended fuel cost recovery factors are presented in Attachment A, the capacity cost recovery factors are presented in Attachment B, the GPIF Targets and Ranges are presented in Attachment C, the associated tariff sheets are shown as Attachment D, and, finally, a typical bill comparison is presen</w:t>
      </w:r>
      <w:r>
        <w:t>ted in Attachment E.</w:t>
      </w:r>
    </w:p>
    <w:p w:rsidR="00876E49" w:rsidRDefault="00876E49">
      <w:pPr>
        <w:pStyle w:val="IssueHeading"/>
        <w:rPr>
          <w:vanish/>
          <w:specVanish/>
        </w:rPr>
      </w:pPr>
      <w:r w:rsidRPr="004C3641">
        <w:rPr>
          <w:b w:val="0"/>
          <w:i w:val="0"/>
        </w:rPr>
        <w:br w:type="page"/>
      </w:r>
      <w:r w:rsidRPr="004C3641">
        <w:lastRenderedPageBreak/>
        <w:t xml:space="preserve">Issue </w:t>
      </w:r>
      <w:r w:rsidR="003C4584">
        <w:fldChar w:fldCharType="begin"/>
      </w:r>
      <w:r w:rsidR="003C4584">
        <w:instrText xml:space="preserve"> SEQ Issue \* MERGEFORMAT </w:instrText>
      </w:r>
      <w:r w:rsidR="003C4584">
        <w:fldChar w:fldCharType="separate"/>
      </w:r>
      <w:r w:rsidR="001F1ED5">
        <w:rPr>
          <w:noProof/>
        </w:rPr>
        <w:t>2</w:t>
      </w:r>
      <w:r w:rsidR="003C458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1ED5">
        <w:rPr>
          <w:noProof/>
        </w:rPr>
        <w:instrText>2</w:instrText>
      </w:r>
      <w:r>
        <w:fldChar w:fldCharType="end"/>
      </w:r>
      <w:r>
        <w:tab/>
        <w:instrText xml:space="preserve">(Brownless)" \l 1 </w:instrText>
      </w:r>
      <w:r>
        <w:fldChar w:fldCharType="end"/>
      </w:r>
      <w:r>
        <w:t> </w:t>
      </w:r>
    </w:p>
    <w:p w:rsidR="00876E49" w:rsidRDefault="00876E49">
      <w:pPr>
        <w:pStyle w:val="BodyText"/>
      </w:pPr>
      <w:r>
        <w:t> Should this docket be closed?</w:t>
      </w:r>
    </w:p>
    <w:p w:rsidR="00876E49" w:rsidRPr="004C3641" w:rsidRDefault="00876E49">
      <w:pPr>
        <w:pStyle w:val="IssueSubsectionHeading"/>
        <w:rPr>
          <w:vanish/>
          <w:specVanish/>
        </w:rPr>
      </w:pPr>
      <w:r w:rsidRPr="004C3641">
        <w:t>Recommendation: </w:t>
      </w:r>
    </w:p>
    <w:p w:rsidR="00876E49" w:rsidRDefault="00876E49">
      <w:pPr>
        <w:pStyle w:val="BodyText"/>
      </w:pPr>
      <w:r>
        <w:t> </w:t>
      </w:r>
      <w:r w:rsidR="00A26A7F">
        <w:t>T</w:t>
      </w:r>
      <w:r w:rsidR="00A26A7F" w:rsidRPr="00C42E1C">
        <w:t>he fuel docket is on-going and should remain ope</w:t>
      </w:r>
      <w:r w:rsidR="00A26A7F">
        <w:t>n.</w:t>
      </w:r>
      <w:r>
        <w:t xml:space="preserve"> (Brownless)</w:t>
      </w:r>
    </w:p>
    <w:p w:rsidR="00876E49" w:rsidRPr="004C3641" w:rsidRDefault="00876E49">
      <w:pPr>
        <w:pStyle w:val="IssueSubsectionHeading"/>
        <w:rPr>
          <w:vanish/>
          <w:specVanish/>
        </w:rPr>
      </w:pPr>
      <w:r w:rsidRPr="004C3641">
        <w:t>Staff Analysis: </w:t>
      </w:r>
    </w:p>
    <w:p w:rsidR="00876E49" w:rsidRDefault="00876E49">
      <w:pPr>
        <w:pStyle w:val="BodyText"/>
      </w:pPr>
      <w:r>
        <w:t> </w:t>
      </w:r>
      <w:r w:rsidR="00A26A7F">
        <w:t>T</w:t>
      </w:r>
      <w:r w:rsidR="00A26A7F" w:rsidRPr="00C42E1C">
        <w:t>he fuel docket is on-going and should remain ope</w:t>
      </w:r>
      <w:r w:rsidR="00A26A7F">
        <w:t>n.</w:t>
      </w:r>
    </w:p>
    <w:p w:rsidR="00882FD6" w:rsidRDefault="00882FD6">
      <w:pPr>
        <w:sectPr w:rsidR="00882FD6"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pPr>
      <w:r>
        <w:br w:type="page"/>
      </w:r>
    </w:p>
    <w:p w:rsidR="00882FD6" w:rsidRPr="00952579" w:rsidRDefault="00882FD6" w:rsidP="00882FD6">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1</w:t>
      </w:r>
    </w:p>
    <w:p w:rsidR="00882FD6" w:rsidRDefault="00882FD6" w:rsidP="00882FD6">
      <w:pPr>
        <w:ind w:left="1440" w:hanging="1440"/>
        <w:jc w:val="center"/>
        <w:rPr>
          <w:rFonts w:ascii="Arial" w:hAnsi="Arial" w:cs="Arial"/>
          <w:b/>
        </w:rPr>
      </w:pPr>
      <w:r>
        <w:rPr>
          <w:rFonts w:ascii="Arial" w:hAnsi="Arial" w:cs="Arial"/>
          <w:b/>
        </w:rPr>
        <w:t xml:space="preserve">FPL Revised </w:t>
      </w:r>
      <w:r w:rsidRPr="00952579">
        <w:rPr>
          <w:rFonts w:ascii="Arial" w:hAnsi="Arial" w:cs="Arial"/>
          <w:b/>
        </w:rPr>
        <w:t>Fu</w:t>
      </w:r>
      <w:r>
        <w:rPr>
          <w:rFonts w:ascii="Arial" w:hAnsi="Arial" w:cs="Arial"/>
          <w:b/>
        </w:rPr>
        <w:t>el Cost Recovery Factors</w:t>
      </w:r>
    </w:p>
    <w:p w:rsidR="00882FD6" w:rsidRPr="00952579" w:rsidRDefault="00882FD6" w:rsidP="00882FD6">
      <w:pPr>
        <w:ind w:left="1440" w:hanging="1440"/>
        <w:jc w:val="center"/>
        <w:rPr>
          <w:rFonts w:ascii="Arial" w:hAnsi="Arial" w:cs="Arial"/>
        </w:rPr>
      </w:pPr>
      <w:r>
        <w:rPr>
          <w:rFonts w:ascii="Arial" w:hAnsi="Arial" w:cs="Arial"/>
          <w:b/>
        </w:rPr>
        <w:t>for the Period March-December, 2018</w:t>
      </w:r>
    </w:p>
    <w:tbl>
      <w:tblPr>
        <w:tblStyle w:val="TableGrid"/>
        <w:tblW w:w="0" w:type="auto"/>
        <w:tblInd w:w="108" w:type="dxa"/>
        <w:tblLayout w:type="fixed"/>
        <w:tblLook w:val="04A0" w:firstRow="1" w:lastRow="0" w:firstColumn="1" w:lastColumn="0" w:noHBand="0" w:noVBand="1"/>
      </w:tblPr>
      <w:tblGrid>
        <w:gridCol w:w="900"/>
        <w:gridCol w:w="4860"/>
        <w:gridCol w:w="1170"/>
        <w:gridCol w:w="1350"/>
        <w:gridCol w:w="1188"/>
      </w:tblGrid>
      <w:tr w:rsidR="00882FD6" w:rsidTr="001F1ED5">
        <w:tc>
          <w:tcPr>
            <w:tcW w:w="900" w:type="dxa"/>
            <w:vAlign w:val="center"/>
          </w:tcPr>
          <w:p w:rsidR="00882FD6" w:rsidRPr="00437223" w:rsidRDefault="00882FD6" w:rsidP="001F1ED5">
            <w:pPr>
              <w:jc w:val="center"/>
              <w:rPr>
                <w:b/>
              </w:rPr>
            </w:pPr>
            <w:r w:rsidRPr="00437223">
              <w:rPr>
                <w:b/>
              </w:rPr>
              <w:t>Rate Group</w:t>
            </w:r>
          </w:p>
        </w:tc>
        <w:tc>
          <w:tcPr>
            <w:tcW w:w="4860" w:type="dxa"/>
            <w:vAlign w:val="center"/>
          </w:tcPr>
          <w:p w:rsidR="00882FD6" w:rsidRPr="00437223" w:rsidRDefault="00882FD6" w:rsidP="001F1ED5">
            <w:pPr>
              <w:jc w:val="center"/>
              <w:rPr>
                <w:b/>
              </w:rPr>
            </w:pPr>
            <w:r w:rsidRPr="00437223">
              <w:rPr>
                <w:b/>
              </w:rPr>
              <w:t>Rate Schedule</w:t>
            </w:r>
          </w:p>
        </w:tc>
        <w:tc>
          <w:tcPr>
            <w:tcW w:w="1170" w:type="dxa"/>
            <w:vAlign w:val="center"/>
          </w:tcPr>
          <w:p w:rsidR="00882FD6" w:rsidRPr="00437223" w:rsidRDefault="00882FD6" w:rsidP="001F1ED5">
            <w:pPr>
              <w:jc w:val="center"/>
              <w:rPr>
                <w:b/>
              </w:rPr>
            </w:pPr>
            <w:r>
              <w:rPr>
                <w:b/>
              </w:rPr>
              <w:t>Average</w:t>
            </w:r>
            <w:r w:rsidRPr="00437223">
              <w:rPr>
                <w:b/>
              </w:rPr>
              <w:t xml:space="preserve"> Factor</w:t>
            </w:r>
          </w:p>
        </w:tc>
        <w:tc>
          <w:tcPr>
            <w:tcW w:w="1350" w:type="dxa"/>
            <w:vAlign w:val="center"/>
          </w:tcPr>
          <w:p w:rsidR="00882FD6" w:rsidRPr="00437223" w:rsidRDefault="00882FD6" w:rsidP="001F1ED5">
            <w:pPr>
              <w:jc w:val="center"/>
              <w:rPr>
                <w:b/>
              </w:rPr>
            </w:pPr>
            <w:r w:rsidRPr="00437223">
              <w:rPr>
                <w:b/>
              </w:rPr>
              <w:t>Loss Multiplier</w:t>
            </w:r>
          </w:p>
        </w:tc>
        <w:tc>
          <w:tcPr>
            <w:tcW w:w="1188" w:type="dxa"/>
            <w:vAlign w:val="center"/>
          </w:tcPr>
          <w:p w:rsidR="00882FD6" w:rsidRPr="00437223" w:rsidRDefault="00882FD6" w:rsidP="001F1ED5">
            <w:pPr>
              <w:jc w:val="center"/>
              <w:rPr>
                <w:b/>
              </w:rPr>
            </w:pPr>
            <w:r w:rsidRPr="00437223">
              <w:rPr>
                <w:b/>
              </w:rPr>
              <w:t>Fuel Recovery Factor</w:t>
            </w:r>
          </w:p>
        </w:tc>
      </w:tr>
      <w:tr w:rsidR="00882FD6" w:rsidRPr="006749D2" w:rsidTr="001F1ED5">
        <w:tc>
          <w:tcPr>
            <w:tcW w:w="900" w:type="dxa"/>
            <w:vMerge w:val="restart"/>
            <w:vAlign w:val="center"/>
          </w:tcPr>
          <w:p w:rsidR="00882FD6" w:rsidRPr="00437223" w:rsidRDefault="00882FD6" w:rsidP="001F1ED5">
            <w:pPr>
              <w:jc w:val="center"/>
            </w:pPr>
            <w:r w:rsidRPr="00437223">
              <w:t>A</w:t>
            </w:r>
          </w:p>
        </w:tc>
        <w:tc>
          <w:tcPr>
            <w:tcW w:w="4860" w:type="dxa"/>
          </w:tcPr>
          <w:p w:rsidR="00882FD6" w:rsidRPr="00437223" w:rsidRDefault="00882FD6" w:rsidP="001F1ED5">
            <w:pPr>
              <w:jc w:val="center"/>
            </w:pPr>
            <w:r w:rsidRPr="00437223">
              <w:t>RS-1 first 1,000 kWh</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2.273</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RS-1, all addl. kWh</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3.273</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GS-1, SL-2, GSCU-1, WIES-1</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2.611</w:t>
            </w:r>
          </w:p>
        </w:tc>
      </w:tr>
      <w:tr w:rsidR="00882FD6" w:rsidRPr="006749D2" w:rsidTr="001F1ED5">
        <w:tc>
          <w:tcPr>
            <w:tcW w:w="900" w:type="dxa"/>
          </w:tcPr>
          <w:p w:rsidR="00882FD6" w:rsidRPr="00437223" w:rsidRDefault="00882FD6" w:rsidP="001F1ED5">
            <w:pPr>
              <w:jc w:val="center"/>
            </w:pPr>
            <w:r w:rsidRPr="00437223">
              <w:t>A-1</w:t>
            </w:r>
          </w:p>
        </w:tc>
        <w:tc>
          <w:tcPr>
            <w:tcW w:w="4860" w:type="dxa"/>
          </w:tcPr>
          <w:p w:rsidR="00882FD6" w:rsidRPr="00437223" w:rsidRDefault="00882FD6" w:rsidP="001F1ED5">
            <w:pPr>
              <w:jc w:val="center"/>
            </w:pPr>
            <w:r w:rsidRPr="00437223">
              <w:t>SL-1, OL-1, PL-1</w:t>
            </w:r>
            <w:r>
              <w:rPr>
                <w:rStyle w:val="FootnoteReference"/>
              </w:rPr>
              <w:footnoteReference w:id="10"/>
            </w:r>
          </w:p>
        </w:tc>
        <w:tc>
          <w:tcPr>
            <w:tcW w:w="1170" w:type="dxa"/>
          </w:tcPr>
          <w:p w:rsidR="00882FD6" w:rsidRPr="00437223" w:rsidRDefault="00882FD6" w:rsidP="001F1ED5">
            <w:pPr>
              <w:jc w:val="center"/>
            </w:pPr>
            <w:r w:rsidRPr="00437223">
              <w:t>2.523</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2.528</w:t>
            </w:r>
          </w:p>
        </w:tc>
      </w:tr>
      <w:tr w:rsidR="00882FD6" w:rsidRPr="006749D2" w:rsidTr="001F1ED5">
        <w:tc>
          <w:tcPr>
            <w:tcW w:w="900" w:type="dxa"/>
          </w:tcPr>
          <w:p w:rsidR="00882FD6" w:rsidRPr="00437223" w:rsidRDefault="00882FD6" w:rsidP="001F1ED5">
            <w:pPr>
              <w:jc w:val="center"/>
            </w:pPr>
            <w:r w:rsidRPr="00437223">
              <w:t>B</w:t>
            </w:r>
          </w:p>
        </w:tc>
        <w:tc>
          <w:tcPr>
            <w:tcW w:w="4860" w:type="dxa"/>
          </w:tcPr>
          <w:p w:rsidR="00882FD6" w:rsidRPr="00437223" w:rsidRDefault="00882FD6" w:rsidP="001F1ED5">
            <w:pPr>
              <w:jc w:val="center"/>
            </w:pPr>
            <w:r w:rsidRPr="00437223">
              <w:t>GSD-1</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1.00202</w:t>
            </w:r>
          </w:p>
        </w:tc>
        <w:tc>
          <w:tcPr>
            <w:tcW w:w="1188" w:type="dxa"/>
          </w:tcPr>
          <w:p w:rsidR="00882FD6" w:rsidRPr="00437223" w:rsidRDefault="00882FD6" w:rsidP="001F1ED5">
            <w:pPr>
              <w:jc w:val="center"/>
            </w:pPr>
            <w:r w:rsidRPr="00437223">
              <w:t>2.611</w:t>
            </w:r>
          </w:p>
        </w:tc>
      </w:tr>
      <w:tr w:rsidR="00882FD6" w:rsidRPr="006749D2" w:rsidTr="001F1ED5">
        <w:tc>
          <w:tcPr>
            <w:tcW w:w="900" w:type="dxa"/>
          </w:tcPr>
          <w:p w:rsidR="00882FD6" w:rsidRPr="00437223" w:rsidRDefault="00882FD6" w:rsidP="001F1ED5">
            <w:pPr>
              <w:jc w:val="center"/>
            </w:pPr>
            <w:r w:rsidRPr="00437223">
              <w:t>C</w:t>
            </w:r>
          </w:p>
        </w:tc>
        <w:tc>
          <w:tcPr>
            <w:tcW w:w="4860" w:type="dxa"/>
          </w:tcPr>
          <w:p w:rsidR="00882FD6" w:rsidRPr="00437223" w:rsidRDefault="00882FD6" w:rsidP="001F1ED5">
            <w:pPr>
              <w:jc w:val="center"/>
            </w:pPr>
            <w:r w:rsidRPr="00437223">
              <w:t>GSLD-1, CS-1</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1.00150</w:t>
            </w:r>
          </w:p>
        </w:tc>
        <w:tc>
          <w:tcPr>
            <w:tcW w:w="1188" w:type="dxa"/>
          </w:tcPr>
          <w:p w:rsidR="00882FD6" w:rsidRPr="00437223" w:rsidRDefault="00882FD6" w:rsidP="001F1ED5">
            <w:pPr>
              <w:jc w:val="center"/>
            </w:pPr>
            <w:r w:rsidRPr="00437223">
              <w:t>2.610</w:t>
            </w:r>
          </w:p>
        </w:tc>
      </w:tr>
      <w:tr w:rsidR="00882FD6" w:rsidRPr="006749D2" w:rsidTr="001F1ED5">
        <w:tc>
          <w:tcPr>
            <w:tcW w:w="900" w:type="dxa"/>
          </w:tcPr>
          <w:p w:rsidR="00882FD6" w:rsidRPr="00437223" w:rsidRDefault="00882FD6" w:rsidP="001F1ED5">
            <w:pPr>
              <w:jc w:val="center"/>
            </w:pPr>
            <w:r w:rsidRPr="00437223">
              <w:t>D</w:t>
            </w:r>
          </w:p>
        </w:tc>
        <w:tc>
          <w:tcPr>
            <w:tcW w:w="4860" w:type="dxa"/>
          </w:tcPr>
          <w:p w:rsidR="00882FD6" w:rsidRPr="00437223" w:rsidRDefault="00882FD6" w:rsidP="001F1ED5">
            <w:pPr>
              <w:jc w:val="center"/>
            </w:pPr>
            <w:r w:rsidRPr="00437223">
              <w:t>GSLD-2, CS-2, OS-2, MET</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0.99635</w:t>
            </w:r>
          </w:p>
        </w:tc>
        <w:tc>
          <w:tcPr>
            <w:tcW w:w="1188" w:type="dxa"/>
          </w:tcPr>
          <w:p w:rsidR="00882FD6" w:rsidRPr="00437223" w:rsidRDefault="00882FD6" w:rsidP="001F1ED5">
            <w:pPr>
              <w:jc w:val="center"/>
            </w:pPr>
            <w:r w:rsidRPr="00437223">
              <w:t>2.596</w:t>
            </w:r>
          </w:p>
        </w:tc>
      </w:tr>
      <w:tr w:rsidR="00882FD6" w:rsidRPr="006749D2" w:rsidTr="001F1ED5">
        <w:tc>
          <w:tcPr>
            <w:tcW w:w="900" w:type="dxa"/>
          </w:tcPr>
          <w:p w:rsidR="00882FD6" w:rsidRPr="00437223" w:rsidRDefault="00882FD6" w:rsidP="001F1ED5">
            <w:pPr>
              <w:jc w:val="center"/>
            </w:pPr>
            <w:r w:rsidRPr="00437223">
              <w:t>E</w:t>
            </w:r>
          </w:p>
        </w:tc>
        <w:tc>
          <w:tcPr>
            <w:tcW w:w="4860" w:type="dxa"/>
          </w:tcPr>
          <w:p w:rsidR="00882FD6" w:rsidRPr="00437223" w:rsidRDefault="00882FD6" w:rsidP="001F1ED5">
            <w:pPr>
              <w:jc w:val="center"/>
            </w:pPr>
            <w:r w:rsidRPr="00437223">
              <w:t>GSLD-3, CS-3</w:t>
            </w:r>
          </w:p>
        </w:tc>
        <w:tc>
          <w:tcPr>
            <w:tcW w:w="1170" w:type="dxa"/>
          </w:tcPr>
          <w:p w:rsidR="00882FD6" w:rsidRPr="00437223" w:rsidRDefault="00882FD6" w:rsidP="001F1ED5">
            <w:pPr>
              <w:jc w:val="center"/>
            </w:pPr>
            <w:r w:rsidRPr="00437223">
              <w:t>2.606</w:t>
            </w:r>
          </w:p>
        </w:tc>
        <w:tc>
          <w:tcPr>
            <w:tcW w:w="1350" w:type="dxa"/>
          </w:tcPr>
          <w:p w:rsidR="00882FD6" w:rsidRPr="00437223" w:rsidRDefault="00882FD6" w:rsidP="001F1ED5">
            <w:pPr>
              <w:jc w:val="center"/>
            </w:pPr>
            <w:r w:rsidRPr="00437223">
              <w:t>0.97646</w:t>
            </w:r>
          </w:p>
        </w:tc>
        <w:tc>
          <w:tcPr>
            <w:tcW w:w="1188" w:type="dxa"/>
          </w:tcPr>
          <w:p w:rsidR="00882FD6" w:rsidRPr="00437223" w:rsidRDefault="00882FD6" w:rsidP="001F1ED5">
            <w:pPr>
              <w:jc w:val="center"/>
            </w:pPr>
            <w:r w:rsidRPr="00437223">
              <w:t>2.545</w:t>
            </w:r>
          </w:p>
        </w:tc>
      </w:tr>
      <w:tr w:rsidR="00882FD6" w:rsidRPr="006749D2" w:rsidTr="001F1ED5">
        <w:tc>
          <w:tcPr>
            <w:tcW w:w="900" w:type="dxa"/>
            <w:vMerge w:val="restart"/>
            <w:vAlign w:val="center"/>
          </w:tcPr>
          <w:p w:rsidR="00882FD6" w:rsidRPr="00437223" w:rsidRDefault="00882FD6" w:rsidP="001F1ED5">
            <w:pPr>
              <w:jc w:val="center"/>
            </w:pPr>
            <w:r w:rsidRPr="00437223">
              <w:t>A</w:t>
            </w:r>
          </w:p>
        </w:tc>
        <w:tc>
          <w:tcPr>
            <w:tcW w:w="4860" w:type="dxa"/>
          </w:tcPr>
          <w:p w:rsidR="00882FD6" w:rsidRPr="00437223" w:rsidRDefault="00882FD6" w:rsidP="001F1ED5">
            <w:pPr>
              <w:jc w:val="center"/>
            </w:pPr>
            <w:r w:rsidRPr="00437223">
              <w:t>GST-1 On-Peak</w:t>
            </w:r>
          </w:p>
        </w:tc>
        <w:tc>
          <w:tcPr>
            <w:tcW w:w="1170" w:type="dxa"/>
          </w:tcPr>
          <w:p w:rsidR="00882FD6" w:rsidRPr="00437223" w:rsidRDefault="00882FD6" w:rsidP="001F1ED5">
            <w:pPr>
              <w:jc w:val="center"/>
            </w:pPr>
            <w:r w:rsidRPr="00437223">
              <w:t>3.046</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3.052</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GST-1 Off Peak</w:t>
            </w:r>
          </w:p>
        </w:tc>
        <w:tc>
          <w:tcPr>
            <w:tcW w:w="1170" w:type="dxa"/>
          </w:tcPr>
          <w:p w:rsidR="00882FD6" w:rsidRPr="00437223" w:rsidRDefault="00882FD6" w:rsidP="001F1ED5">
            <w:pPr>
              <w:jc w:val="center"/>
            </w:pPr>
            <w:r w:rsidRPr="00437223">
              <w:t>2.424</w:t>
            </w:r>
          </w:p>
        </w:tc>
        <w:tc>
          <w:tcPr>
            <w:tcW w:w="1350" w:type="dxa"/>
          </w:tcPr>
          <w:p w:rsidR="00882FD6" w:rsidRPr="00437223" w:rsidRDefault="00882FD6" w:rsidP="001F1ED5">
            <w:pPr>
              <w:jc w:val="center"/>
            </w:pPr>
            <w:r w:rsidRPr="00437223">
              <w:t>1.00206</w:t>
            </w:r>
          </w:p>
        </w:tc>
        <w:tc>
          <w:tcPr>
            <w:tcW w:w="1188" w:type="dxa"/>
          </w:tcPr>
          <w:p w:rsidR="00882FD6" w:rsidRPr="00437223" w:rsidRDefault="00882FD6" w:rsidP="001F1ED5">
            <w:pPr>
              <w:jc w:val="center"/>
            </w:pPr>
            <w:r w:rsidRPr="00437223">
              <w:t>2.429</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RTR-1 On-Peak</w:t>
            </w:r>
          </w:p>
        </w:tc>
        <w:tc>
          <w:tcPr>
            <w:tcW w:w="1170" w:type="dxa"/>
          </w:tcPr>
          <w:p w:rsidR="00882FD6" w:rsidRPr="00437223" w:rsidRDefault="00882FD6" w:rsidP="001F1ED5">
            <w:pPr>
              <w:jc w:val="center"/>
            </w:pPr>
            <w:r w:rsidRPr="00437223">
              <w:t>-</w:t>
            </w:r>
          </w:p>
        </w:tc>
        <w:tc>
          <w:tcPr>
            <w:tcW w:w="1350" w:type="dxa"/>
          </w:tcPr>
          <w:p w:rsidR="00882FD6" w:rsidRPr="00437223" w:rsidRDefault="00882FD6" w:rsidP="001F1ED5">
            <w:pPr>
              <w:jc w:val="center"/>
            </w:pPr>
            <w:r w:rsidRPr="00437223">
              <w:t>-</w:t>
            </w:r>
          </w:p>
        </w:tc>
        <w:tc>
          <w:tcPr>
            <w:tcW w:w="1188" w:type="dxa"/>
          </w:tcPr>
          <w:p w:rsidR="00882FD6" w:rsidRPr="00437223" w:rsidRDefault="00882FD6" w:rsidP="001F1ED5">
            <w:pPr>
              <w:jc w:val="center"/>
            </w:pPr>
            <w:r w:rsidRPr="00437223">
              <w:t>0.441</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RTR-1 Off-Peak</w:t>
            </w:r>
          </w:p>
        </w:tc>
        <w:tc>
          <w:tcPr>
            <w:tcW w:w="1170" w:type="dxa"/>
          </w:tcPr>
          <w:p w:rsidR="00882FD6" w:rsidRPr="00437223" w:rsidRDefault="00882FD6" w:rsidP="001F1ED5">
            <w:pPr>
              <w:jc w:val="center"/>
            </w:pPr>
            <w:r w:rsidRPr="00437223">
              <w:t>-</w:t>
            </w:r>
          </w:p>
        </w:tc>
        <w:tc>
          <w:tcPr>
            <w:tcW w:w="1350" w:type="dxa"/>
          </w:tcPr>
          <w:p w:rsidR="00882FD6" w:rsidRPr="00437223" w:rsidRDefault="00882FD6" w:rsidP="001F1ED5">
            <w:pPr>
              <w:jc w:val="center"/>
            </w:pPr>
            <w:r w:rsidRPr="00437223">
              <w:t>-</w:t>
            </w:r>
          </w:p>
        </w:tc>
        <w:tc>
          <w:tcPr>
            <w:tcW w:w="1188" w:type="dxa"/>
          </w:tcPr>
          <w:p w:rsidR="00882FD6" w:rsidRPr="00437223" w:rsidRDefault="00882FD6" w:rsidP="001F1ED5">
            <w:pPr>
              <w:jc w:val="center"/>
            </w:pPr>
            <w:r w:rsidRPr="00437223">
              <w:t>(0.182)</w:t>
            </w:r>
          </w:p>
        </w:tc>
      </w:tr>
      <w:tr w:rsidR="00882FD6" w:rsidRPr="006749D2" w:rsidTr="001F1ED5">
        <w:tc>
          <w:tcPr>
            <w:tcW w:w="900" w:type="dxa"/>
            <w:vMerge w:val="restart"/>
            <w:vAlign w:val="center"/>
          </w:tcPr>
          <w:p w:rsidR="00882FD6" w:rsidRPr="00437223" w:rsidRDefault="00882FD6" w:rsidP="001F1ED5">
            <w:pPr>
              <w:jc w:val="center"/>
            </w:pPr>
            <w:r w:rsidRPr="00437223">
              <w:t>B</w:t>
            </w:r>
          </w:p>
        </w:tc>
        <w:tc>
          <w:tcPr>
            <w:tcW w:w="4860" w:type="dxa"/>
          </w:tcPr>
          <w:p w:rsidR="00882FD6" w:rsidRPr="00437223" w:rsidRDefault="00882FD6" w:rsidP="001F1ED5">
            <w:pPr>
              <w:jc w:val="center"/>
            </w:pPr>
            <w:r w:rsidRPr="00437223">
              <w:t>GSDT-1, CILC-1(G), HLFT-1 (21-499 kW) On Peak</w:t>
            </w:r>
          </w:p>
        </w:tc>
        <w:tc>
          <w:tcPr>
            <w:tcW w:w="1170" w:type="dxa"/>
            <w:vAlign w:val="center"/>
          </w:tcPr>
          <w:p w:rsidR="00882FD6" w:rsidRPr="00437223" w:rsidRDefault="00882FD6" w:rsidP="001F1ED5">
            <w:pPr>
              <w:jc w:val="center"/>
            </w:pPr>
            <w:r w:rsidRPr="00437223">
              <w:t>3.046</w:t>
            </w:r>
          </w:p>
        </w:tc>
        <w:tc>
          <w:tcPr>
            <w:tcW w:w="1350" w:type="dxa"/>
            <w:vAlign w:val="center"/>
          </w:tcPr>
          <w:p w:rsidR="00882FD6" w:rsidRPr="00437223" w:rsidRDefault="00882FD6" w:rsidP="001F1ED5">
            <w:pPr>
              <w:jc w:val="center"/>
            </w:pPr>
            <w:r w:rsidRPr="00437223">
              <w:t>1.00202</w:t>
            </w:r>
          </w:p>
        </w:tc>
        <w:tc>
          <w:tcPr>
            <w:tcW w:w="1188" w:type="dxa"/>
            <w:vAlign w:val="center"/>
          </w:tcPr>
          <w:p w:rsidR="00882FD6" w:rsidRPr="00437223" w:rsidRDefault="00882FD6" w:rsidP="001F1ED5">
            <w:pPr>
              <w:jc w:val="center"/>
            </w:pPr>
            <w:r w:rsidRPr="00437223">
              <w:t>3.052</w:t>
            </w:r>
          </w:p>
        </w:tc>
      </w:tr>
      <w:tr w:rsidR="00882FD6" w:rsidRPr="006749D2" w:rsidTr="001F1ED5">
        <w:tc>
          <w:tcPr>
            <w:tcW w:w="900" w:type="dxa"/>
            <w:vMerge/>
            <w:vAlign w:val="center"/>
          </w:tcPr>
          <w:p w:rsidR="00882FD6" w:rsidRPr="00437223" w:rsidRDefault="00882FD6" w:rsidP="001F1ED5">
            <w:pPr>
              <w:jc w:val="center"/>
            </w:pPr>
          </w:p>
        </w:tc>
        <w:tc>
          <w:tcPr>
            <w:tcW w:w="4860" w:type="dxa"/>
          </w:tcPr>
          <w:p w:rsidR="00882FD6" w:rsidRPr="00437223" w:rsidRDefault="00882FD6" w:rsidP="001F1ED5">
            <w:pPr>
              <w:jc w:val="center"/>
            </w:pPr>
            <w:r w:rsidRPr="00437223">
              <w:t>GSDT-1, CILC-1(G), HLFT-1 (21-499 kW) Off Peak</w:t>
            </w:r>
          </w:p>
        </w:tc>
        <w:tc>
          <w:tcPr>
            <w:tcW w:w="1170" w:type="dxa"/>
            <w:vAlign w:val="center"/>
          </w:tcPr>
          <w:p w:rsidR="00882FD6" w:rsidRPr="00437223" w:rsidRDefault="00882FD6" w:rsidP="001F1ED5">
            <w:pPr>
              <w:jc w:val="center"/>
            </w:pPr>
            <w:r w:rsidRPr="00437223">
              <w:t>2.424</w:t>
            </w:r>
          </w:p>
        </w:tc>
        <w:tc>
          <w:tcPr>
            <w:tcW w:w="1350" w:type="dxa"/>
            <w:vAlign w:val="center"/>
          </w:tcPr>
          <w:p w:rsidR="00882FD6" w:rsidRPr="00437223" w:rsidRDefault="00882FD6" w:rsidP="001F1ED5">
            <w:pPr>
              <w:jc w:val="center"/>
            </w:pPr>
            <w:r w:rsidRPr="00437223">
              <w:t>1.00202</w:t>
            </w:r>
          </w:p>
        </w:tc>
        <w:tc>
          <w:tcPr>
            <w:tcW w:w="1188" w:type="dxa"/>
            <w:vAlign w:val="center"/>
          </w:tcPr>
          <w:p w:rsidR="00882FD6" w:rsidRPr="00437223" w:rsidRDefault="00882FD6" w:rsidP="001F1ED5">
            <w:pPr>
              <w:jc w:val="center"/>
            </w:pPr>
            <w:r w:rsidRPr="00437223">
              <w:t>2.429</w:t>
            </w:r>
          </w:p>
        </w:tc>
      </w:tr>
      <w:tr w:rsidR="00882FD6" w:rsidRPr="006749D2" w:rsidTr="001F1ED5">
        <w:tc>
          <w:tcPr>
            <w:tcW w:w="900" w:type="dxa"/>
            <w:vMerge w:val="restart"/>
            <w:vAlign w:val="center"/>
          </w:tcPr>
          <w:p w:rsidR="00882FD6" w:rsidRPr="00437223" w:rsidRDefault="00882FD6" w:rsidP="001F1ED5">
            <w:pPr>
              <w:jc w:val="center"/>
            </w:pPr>
            <w:r w:rsidRPr="00437223">
              <w:t>C</w:t>
            </w:r>
          </w:p>
        </w:tc>
        <w:tc>
          <w:tcPr>
            <w:tcW w:w="4860" w:type="dxa"/>
          </w:tcPr>
          <w:p w:rsidR="00882FD6" w:rsidRPr="00437223" w:rsidRDefault="00882FD6" w:rsidP="001F1ED5">
            <w:pPr>
              <w:jc w:val="center"/>
            </w:pPr>
            <w:r w:rsidRPr="00437223">
              <w:t>GSDLT-1, CST-1, HLFT-2 (500-1,9999 kW) On Peak</w:t>
            </w:r>
          </w:p>
        </w:tc>
        <w:tc>
          <w:tcPr>
            <w:tcW w:w="1170" w:type="dxa"/>
            <w:vAlign w:val="center"/>
          </w:tcPr>
          <w:p w:rsidR="00882FD6" w:rsidRPr="00437223" w:rsidRDefault="00882FD6" w:rsidP="001F1ED5">
            <w:pPr>
              <w:jc w:val="center"/>
            </w:pPr>
            <w:r w:rsidRPr="00437223">
              <w:t>3.046</w:t>
            </w:r>
          </w:p>
        </w:tc>
        <w:tc>
          <w:tcPr>
            <w:tcW w:w="1350" w:type="dxa"/>
            <w:vAlign w:val="center"/>
          </w:tcPr>
          <w:p w:rsidR="00882FD6" w:rsidRPr="00437223" w:rsidRDefault="00882FD6" w:rsidP="001F1ED5">
            <w:pPr>
              <w:jc w:val="center"/>
            </w:pPr>
            <w:r w:rsidRPr="00437223">
              <w:t>1.00150</w:t>
            </w:r>
          </w:p>
        </w:tc>
        <w:tc>
          <w:tcPr>
            <w:tcW w:w="1188" w:type="dxa"/>
            <w:vAlign w:val="center"/>
          </w:tcPr>
          <w:p w:rsidR="00882FD6" w:rsidRPr="00437223" w:rsidRDefault="00882FD6" w:rsidP="001F1ED5">
            <w:pPr>
              <w:jc w:val="center"/>
            </w:pPr>
            <w:r w:rsidRPr="00437223">
              <w:t>3.051</w:t>
            </w:r>
          </w:p>
        </w:tc>
      </w:tr>
      <w:tr w:rsidR="00882FD6" w:rsidRPr="006749D2" w:rsidTr="001F1ED5">
        <w:tc>
          <w:tcPr>
            <w:tcW w:w="900" w:type="dxa"/>
            <w:vMerge/>
            <w:vAlign w:val="center"/>
          </w:tcPr>
          <w:p w:rsidR="00882FD6" w:rsidRPr="00437223" w:rsidRDefault="00882FD6" w:rsidP="001F1ED5">
            <w:pPr>
              <w:jc w:val="center"/>
            </w:pPr>
          </w:p>
        </w:tc>
        <w:tc>
          <w:tcPr>
            <w:tcW w:w="4860" w:type="dxa"/>
          </w:tcPr>
          <w:p w:rsidR="00882FD6" w:rsidRPr="00437223" w:rsidRDefault="00882FD6" w:rsidP="001F1ED5">
            <w:pPr>
              <w:jc w:val="center"/>
            </w:pPr>
            <w:r w:rsidRPr="00437223">
              <w:t>GSDLT-1, CST-1, HLFT-2 (500-1,9999 kW) Off Peak</w:t>
            </w:r>
          </w:p>
        </w:tc>
        <w:tc>
          <w:tcPr>
            <w:tcW w:w="1170" w:type="dxa"/>
            <w:vAlign w:val="center"/>
          </w:tcPr>
          <w:p w:rsidR="00882FD6" w:rsidRPr="00437223" w:rsidRDefault="00882FD6" w:rsidP="001F1ED5">
            <w:pPr>
              <w:jc w:val="center"/>
            </w:pPr>
            <w:r w:rsidRPr="00437223">
              <w:t>2.424</w:t>
            </w:r>
          </w:p>
        </w:tc>
        <w:tc>
          <w:tcPr>
            <w:tcW w:w="1350" w:type="dxa"/>
            <w:vAlign w:val="center"/>
          </w:tcPr>
          <w:p w:rsidR="00882FD6" w:rsidRPr="00437223" w:rsidRDefault="00882FD6" w:rsidP="001F1ED5">
            <w:pPr>
              <w:jc w:val="center"/>
            </w:pPr>
            <w:r w:rsidRPr="00437223">
              <w:t>1.00150</w:t>
            </w:r>
          </w:p>
        </w:tc>
        <w:tc>
          <w:tcPr>
            <w:tcW w:w="1188" w:type="dxa"/>
            <w:vAlign w:val="center"/>
          </w:tcPr>
          <w:p w:rsidR="00882FD6" w:rsidRPr="00437223" w:rsidRDefault="00882FD6" w:rsidP="001F1ED5">
            <w:pPr>
              <w:jc w:val="center"/>
            </w:pPr>
            <w:r w:rsidRPr="00437223">
              <w:t>2.428</w:t>
            </w:r>
          </w:p>
        </w:tc>
      </w:tr>
      <w:tr w:rsidR="00882FD6" w:rsidRPr="006749D2" w:rsidTr="001F1ED5">
        <w:tc>
          <w:tcPr>
            <w:tcW w:w="900" w:type="dxa"/>
            <w:vMerge w:val="restart"/>
            <w:vAlign w:val="center"/>
          </w:tcPr>
          <w:p w:rsidR="00882FD6" w:rsidRPr="00437223" w:rsidRDefault="00882FD6" w:rsidP="001F1ED5">
            <w:pPr>
              <w:jc w:val="center"/>
            </w:pPr>
            <w:r w:rsidRPr="00437223">
              <w:t>D</w:t>
            </w:r>
          </w:p>
        </w:tc>
        <w:tc>
          <w:tcPr>
            <w:tcW w:w="4860" w:type="dxa"/>
          </w:tcPr>
          <w:p w:rsidR="00882FD6" w:rsidRPr="00437223" w:rsidRDefault="00882FD6" w:rsidP="001F1ED5">
            <w:pPr>
              <w:jc w:val="center"/>
            </w:pPr>
            <w:r w:rsidRPr="00437223">
              <w:t>GSDLT-2, CST-2, HLFT-3 (2,000+ kW) On Peak</w:t>
            </w:r>
          </w:p>
        </w:tc>
        <w:tc>
          <w:tcPr>
            <w:tcW w:w="1170" w:type="dxa"/>
            <w:vAlign w:val="center"/>
          </w:tcPr>
          <w:p w:rsidR="00882FD6" w:rsidRPr="00437223" w:rsidRDefault="00882FD6" w:rsidP="001F1ED5">
            <w:pPr>
              <w:jc w:val="center"/>
            </w:pPr>
            <w:r w:rsidRPr="00437223">
              <w:t>3.046</w:t>
            </w:r>
          </w:p>
        </w:tc>
        <w:tc>
          <w:tcPr>
            <w:tcW w:w="1350" w:type="dxa"/>
            <w:vAlign w:val="center"/>
          </w:tcPr>
          <w:p w:rsidR="00882FD6" w:rsidRPr="00437223" w:rsidRDefault="00882FD6" w:rsidP="001F1ED5">
            <w:pPr>
              <w:jc w:val="center"/>
            </w:pPr>
            <w:r w:rsidRPr="00437223">
              <w:t>0.99672</w:t>
            </w:r>
          </w:p>
        </w:tc>
        <w:tc>
          <w:tcPr>
            <w:tcW w:w="1188" w:type="dxa"/>
            <w:vAlign w:val="center"/>
          </w:tcPr>
          <w:p w:rsidR="00882FD6" w:rsidRPr="00437223" w:rsidRDefault="00882FD6" w:rsidP="001F1ED5">
            <w:pPr>
              <w:jc w:val="center"/>
            </w:pPr>
            <w:r w:rsidRPr="00437223">
              <w:t>3.036</w:t>
            </w:r>
          </w:p>
        </w:tc>
      </w:tr>
      <w:tr w:rsidR="00882FD6" w:rsidRPr="006749D2" w:rsidTr="001F1ED5">
        <w:tc>
          <w:tcPr>
            <w:tcW w:w="900" w:type="dxa"/>
            <w:vMerge/>
            <w:vAlign w:val="center"/>
          </w:tcPr>
          <w:p w:rsidR="00882FD6" w:rsidRPr="00437223" w:rsidRDefault="00882FD6" w:rsidP="001F1ED5">
            <w:pPr>
              <w:jc w:val="center"/>
            </w:pPr>
          </w:p>
        </w:tc>
        <w:tc>
          <w:tcPr>
            <w:tcW w:w="4860" w:type="dxa"/>
          </w:tcPr>
          <w:p w:rsidR="00882FD6" w:rsidRPr="00437223" w:rsidRDefault="00882FD6" w:rsidP="001F1ED5">
            <w:pPr>
              <w:jc w:val="center"/>
            </w:pPr>
            <w:r w:rsidRPr="00437223">
              <w:t>GSDLT-2, CST-2, HLFT-3 (2,000+ kW) On Peak</w:t>
            </w:r>
          </w:p>
        </w:tc>
        <w:tc>
          <w:tcPr>
            <w:tcW w:w="1170" w:type="dxa"/>
            <w:vAlign w:val="center"/>
          </w:tcPr>
          <w:p w:rsidR="00882FD6" w:rsidRPr="00437223" w:rsidRDefault="00882FD6" w:rsidP="001F1ED5">
            <w:pPr>
              <w:jc w:val="center"/>
            </w:pPr>
            <w:r w:rsidRPr="00437223">
              <w:t>2.424</w:t>
            </w:r>
          </w:p>
        </w:tc>
        <w:tc>
          <w:tcPr>
            <w:tcW w:w="1350" w:type="dxa"/>
            <w:vAlign w:val="center"/>
          </w:tcPr>
          <w:p w:rsidR="00882FD6" w:rsidRPr="00437223" w:rsidRDefault="00882FD6" w:rsidP="001F1ED5">
            <w:pPr>
              <w:jc w:val="center"/>
            </w:pPr>
            <w:r w:rsidRPr="00437223">
              <w:t>0.99672</w:t>
            </w:r>
          </w:p>
        </w:tc>
        <w:tc>
          <w:tcPr>
            <w:tcW w:w="1188" w:type="dxa"/>
            <w:vAlign w:val="center"/>
          </w:tcPr>
          <w:p w:rsidR="00882FD6" w:rsidRPr="00437223" w:rsidRDefault="00882FD6" w:rsidP="001F1ED5">
            <w:pPr>
              <w:jc w:val="center"/>
            </w:pPr>
            <w:r w:rsidRPr="00437223">
              <w:t>2.416</w:t>
            </w:r>
          </w:p>
        </w:tc>
      </w:tr>
      <w:tr w:rsidR="00882FD6" w:rsidRPr="006749D2" w:rsidTr="001F1ED5">
        <w:tc>
          <w:tcPr>
            <w:tcW w:w="900" w:type="dxa"/>
            <w:vMerge w:val="restart"/>
            <w:vAlign w:val="center"/>
          </w:tcPr>
          <w:p w:rsidR="00882FD6" w:rsidRPr="00437223" w:rsidRDefault="00882FD6" w:rsidP="001F1ED5">
            <w:pPr>
              <w:jc w:val="center"/>
            </w:pPr>
            <w:r w:rsidRPr="00437223">
              <w:t>E</w:t>
            </w:r>
          </w:p>
        </w:tc>
        <w:tc>
          <w:tcPr>
            <w:tcW w:w="4860" w:type="dxa"/>
          </w:tcPr>
          <w:p w:rsidR="00882FD6" w:rsidRPr="00437223" w:rsidRDefault="00882FD6" w:rsidP="001F1ED5">
            <w:pPr>
              <w:jc w:val="center"/>
            </w:pPr>
            <w:r w:rsidRPr="00437223">
              <w:t>GSDLT-3, CST-3, CILC-1(T), ISST-1(T) On Peak</w:t>
            </w:r>
          </w:p>
        </w:tc>
        <w:tc>
          <w:tcPr>
            <w:tcW w:w="1170" w:type="dxa"/>
            <w:vAlign w:val="center"/>
          </w:tcPr>
          <w:p w:rsidR="00882FD6" w:rsidRPr="00437223" w:rsidRDefault="00882FD6" w:rsidP="001F1ED5">
            <w:pPr>
              <w:jc w:val="center"/>
            </w:pPr>
            <w:r w:rsidRPr="00437223">
              <w:t>3.046</w:t>
            </w:r>
          </w:p>
        </w:tc>
        <w:tc>
          <w:tcPr>
            <w:tcW w:w="1350" w:type="dxa"/>
            <w:vAlign w:val="center"/>
          </w:tcPr>
          <w:p w:rsidR="00882FD6" w:rsidRPr="00437223" w:rsidRDefault="00882FD6" w:rsidP="001F1ED5">
            <w:pPr>
              <w:jc w:val="center"/>
            </w:pPr>
            <w:r w:rsidRPr="00437223">
              <w:t>0.97646</w:t>
            </w:r>
          </w:p>
        </w:tc>
        <w:tc>
          <w:tcPr>
            <w:tcW w:w="1188" w:type="dxa"/>
            <w:vAlign w:val="center"/>
          </w:tcPr>
          <w:p w:rsidR="00882FD6" w:rsidRPr="00437223" w:rsidRDefault="00882FD6" w:rsidP="001F1ED5">
            <w:pPr>
              <w:jc w:val="center"/>
            </w:pPr>
            <w:r w:rsidRPr="00437223">
              <w:t>2.974</w:t>
            </w:r>
          </w:p>
        </w:tc>
      </w:tr>
      <w:tr w:rsidR="00882FD6" w:rsidRPr="006749D2" w:rsidTr="001F1ED5">
        <w:tc>
          <w:tcPr>
            <w:tcW w:w="900" w:type="dxa"/>
            <w:vMerge/>
            <w:vAlign w:val="center"/>
          </w:tcPr>
          <w:p w:rsidR="00882FD6" w:rsidRPr="00437223" w:rsidRDefault="00882FD6" w:rsidP="001F1ED5">
            <w:pPr>
              <w:jc w:val="center"/>
            </w:pPr>
          </w:p>
        </w:tc>
        <w:tc>
          <w:tcPr>
            <w:tcW w:w="4860" w:type="dxa"/>
          </w:tcPr>
          <w:p w:rsidR="00882FD6" w:rsidRPr="00437223" w:rsidRDefault="00882FD6" w:rsidP="001F1ED5">
            <w:pPr>
              <w:jc w:val="center"/>
            </w:pPr>
            <w:r w:rsidRPr="00437223">
              <w:t>GSDLT-3, CST-3, CILC-1(T), ISST-1(T) Off Peak</w:t>
            </w:r>
          </w:p>
        </w:tc>
        <w:tc>
          <w:tcPr>
            <w:tcW w:w="1170" w:type="dxa"/>
            <w:vAlign w:val="center"/>
          </w:tcPr>
          <w:p w:rsidR="00882FD6" w:rsidRPr="00437223" w:rsidRDefault="00882FD6" w:rsidP="001F1ED5">
            <w:pPr>
              <w:jc w:val="center"/>
            </w:pPr>
            <w:r w:rsidRPr="00437223">
              <w:t>2.424</w:t>
            </w:r>
          </w:p>
        </w:tc>
        <w:tc>
          <w:tcPr>
            <w:tcW w:w="1350" w:type="dxa"/>
            <w:vAlign w:val="center"/>
          </w:tcPr>
          <w:p w:rsidR="00882FD6" w:rsidRPr="00437223" w:rsidRDefault="00882FD6" w:rsidP="001F1ED5">
            <w:pPr>
              <w:jc w:val="center"/>
            </w:pPr>
            <w:r w:rsidRPr="00437223">
              <w:t>0.97646</w:t>
            </w:r>
          </w:p>
        </w:tc>
        <w:tc>
          <w:tcPr>
            <w:tcW w:w="1188" w:type="dxa"/>
            <w:vAlign w:val="center"/>
          </w:tcPr>
          <w:p w:rsidR="00882FD6" w:rsidRPr="00437223" w:rsidRDefault="00882FD6" w:rsidP="001F1ED5">
            <w:pPr>
              <w:jc w:val="center"/>
            </w:pPr>
            <w:r w:rsidRPr="00437223">
              <w:t>2.367</w:t>
            </w:r>
          </w:p>
        </w:tc>
      </w:tr>
      <w:tr w:rsidR="00882FD6" w:rsidRPr="006749D2" w:rsidTr="001F1ED5">
        <w:tc>
          <w:tcPr>
            <w:tcW w:w="900" w:type="dxa"/>
            <w:vMerge w:val="restart"/>
            <w:vAlign w:val="center"/>
          </w:tcPr>
          <w:p w:rsidR="00882FD6" w:rsidRPr="00437223" w:rsidRDefault="00882FD6" w:rsidP="001F1ED5">
            <w:pPr>
              <w:jc w:val="center"/>
            </w:pPr>
            <w:r w:rsidRPr="00437223">
              <w:t>F</w:t>
            </w:r>
          </w:p>
        </w:tc>
        <w:tc>
          <w:tcPr>
            <w:tcW w:w="4860" w:type="dxa"/>
          </w:tcPr>
          <w:p w:rsidR="00882FD6" w:rsidRPr="00437223" w:rsidRDefault="00882FD6" w:rsidP="001F1ED5">
            <w:pPr>
              <w:jc w:val="center"/>
            </w:pPr>
            <w:r w:rsidRPr="00437223">
              <w:t>CILC-1(D), ISST-1(D) On Peak</w:t>
            </w:r>
          </w:p>
        </w:tc>
        <w:tc>
          <w:tcPr>
            <w:tcW w:w="1170" w:type="dxa"/>
          </w:tcPr>
          <w:p w:rsidR="00882FD6" w:rsidRPr="00437223" w:rsidRDefault="00882FD6" w:rsidP="001F1ED5">
            <w:pPr>
              <w:jc w:val="center"/>
            </w:pPr>
            <w:r w:rsidRPr="00437223">
              <w:t>3.046</w:t>
            </w:r>
          </w:p>
        </w:tc>
        <w:tc>
          <w:tcPr>
            <w:tcW w:w="1350" w:type="dxa"/>
          </w:tcPr>
          <w:p w:rsidR="00882FD6" w:rsidRPr="00437223" w:rsidRDefault="00882FD6" w:rsidP="001F1ED5">
            <w:pPr>
              <w:jc w:val="center"/>
            </w:pPr>
            <w:r w:rsidRPr="00437223">
              <w:t>0.99627</w:t>
            </w:r>
          </w:p>
        </w:tc>
        <w:tc>
          <w:tcPr>
            <w:tcW w:w="1188" w:type="dxa"/>
          </w:tcPr>
          <w:p w:rsidR="00882FD6" w:rsidRPr="00437223" w:rsidRDefault="00882FD6" w:rsidP="001F1ED5">
            <w:pPr>
              <w:jc w:val="center"/>
            </w:pPr>
            <w:r w:rsidRPr="00437223">
              <w:t>3.035</w:t>
            </w:r>
          </w:p>
        </w:tc>
      </w:tr>
      <w:tr w:rsidR="00882FD6" w:rsidRPr="006749D2"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CILC-1(D), ISST-1(D) Off Peak</w:t>
            </w:r>
          </w:p>
        </w:tc>
        <w:tc>
          <w:tcPr>
            <w:tcW w:w="1170" w:type="dxa"/>
          </w:tcPr>
          <w:p w:rsidR="00882FD6" w:rsidRPr="00437223" w:rsidRDefault="00882FD6" w:rsidP="001F1ED5">
            <w:pPr>
              <w:jc w:val="center"/>
            </w:pPr>
            <w:r w:rsidRPr="00437223">
              <w:t>2.424</w:t>
            </w:r>
          </w:p>
        </w:tc>
        <w:tc>
          <w:tcPr>
            <w:tcW w:w="1350" w:type="dxa"/>
          </w:tcPr>
          <w:p w:rsidR="00882FD6" w:rsidRPr="00437223" w:rsidRDefault="00882FD6" w:rsidP="001F1ED5">
            <w:pPr>
              <w:jc w:val="center"/>
            </w:pPr>
            <w:r w:rsidRPr="00437223">
              <w:t>0.99627</w:t>
            </w:r>
          </w:p>
        </w:tc>
        <w:tc>
          <w:tcPr>
            <w:tcW w:w="1188" w:type="dxa"/>
          </w:tcPr>
          <w:p w:rsidR="00882FD6" w:rsidRPr="00437223" w:rsidRDefault="00882FD6" w:rsidP="001F1ED5">
            <w:pPr>
              <w:jc w:val="center"/>
            </w:pPr>
            <w:r w:rsidRPr="00437223">
              <w:t>2.415</w:t>
            </w:r>
          </w:p>
        </w:tc>
      </w:tr>
    </w:tbl>
    <w:p w:rsidR="00882FD6" w:rsidRPr="00437223" w:rsidRDefault="00882FD6" w:rsidP="00882FD6">
      <w:pPr>
        <w:rPr>
          <w:sz w:val="20"/>
          <w:szCs w:val="20"/>
        </w:rPr>
      </w:pPr>
      <w:r>
        <w:rPr>
          <w:sz w:val="22"/>
          <w:szCs w:val="22"/>
        </w:rPr>
        <w:t xml:space="preserve">    </w:t>
      </w:r>
      <w:r w:rsidRPr="00437223">
        <w:rPr>
          <w:sz w:val="20"/>
          <w:szCs w:val="20"/>
        </w:rPr>
        <w:t>Source: Schedule E1-E, Page 1 of 2 (Appendix I, Page 6 of 81)</w:t>
      </w:r>
    </w:p>
    <w:p w:rsidR="00882FD6" w:rsidRDefault="00882FD6" w:rsidP="00882FD6">
      <w:pPr>
        <w:spacing w:after="200" w:line="276" w:lineRule="auto"/>
        <w:rPr>
          <w:rFonts w:ascii="Arial" w:hAnsi="Arial" w:cs="Arial"/>
          <w:b/>
        </w:rPr>
      </w:pPr>
      <w:r>
        <w:rPr>
          <w:rFonts w:ascii="Arial" w:hAnsi="Arial" w:cs="Arial"/>
          <w:b/>
        </w:rPr>
        <w:br w:type="page"/>
      </w:r>
    </w:p>
    <w:p w:rsidR="00882FD6" w:rsidRPr="00952579" w:rsidRDefault="00882FD6" w:rsidP="00882FD6">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w:t>
      </w:r>
    </w:p>
    <w:p w:rsidR="00882FD6" w:rsidRDefault="00882FD6" w:rsidP="00882FD6">
      <w:pPr>
        <w:jc w:val="center"/>
        <w:rPr>
          <w:rFonts w:ascii="Arial" w:hAnsi="Arial" w:cs="Arial"/>
          <w:b/>
        </w:rPr>
      </w:pPr>
      <w:r w:rsidRPr="00952579">
        <w:rPr>
          <w:rFonts w:ascii="Arial" w:hAnsi="Arial" w:cs="Arial"/>
          <w:b/>
        </w:rPr>
        <w:t>F</w:t>
      </w:r>
      <w:r>
        <w:rPr>
          <w:rFonts w:ascii="Arial" w:hAnsi="Arial" w:cs="Arial"/>
          <w:b/>
        </w:rPr>
        <w:t xml:space="preserve">PL Revised Seasonal Demand Time of Use Rider </w:t>
      </w:r>
    </w:p>
    <w:p w:rsidR="00882FD6" w:rsidRDefault="00882FD6" w:rsidP="00882FD6">
      <w:pPr>
        <w:jc w:val="center"/>
      </w:pPr>
      <w:r>
        <w:rPr>
          <w:rFonts w:ascii="Arial" w:hAnsi="Arial" w:cs="Arial"/>
          <w:b/>
        </w:rPr>
        <w:t>F</w:t>
      </w:r>
      <w:r w:rsidRPr="00952579">
        <w:rPr>
          <w:rFonts w:ascii="Arial" w:hAnsi="Arial" w:cs="Arial"/>
          <w:b/>
        </w:rPr>
        <w:t xml:space="preserve">uel Cost </w:t>
      </w:r>
      <w:r>
        <w:rPr>
          <w:rFonts w:ascii="Arial" w:hAnsi="Arial" w:cs="Arial"/>
          <w:b/>
        </w:rPr>
        <w:t>Recovery Factors for the Period June-September, 2018</w:t>
      </w:r>
    </w:p>
    <w:tbl>
      <w:tblPr>
        <w:tblStyle w:val="TableGrid"/>
        <w:tblW w:w="0" w:type="auto"/>
        <w:tblInd w:w="108" w:type="dxa"/>
        <w:tblLayout w:type="fixed"/>
        <w:tblLook w:val="04A0" w:firstRow="1" w:lastRow="0" w:firstColumn="1" w:lastColumn="0" w:noHBand="0" w:noVBand="1"/>
      </w:tblPr>
      <w:tblGrid>
        <w:gridCol w:w="900"/>
        <w:gridCol w:w="4860"/>
        <w:gridCol w:w="1170"/>
        <w:gridCol w:w="1350"/>
        <w:gridCol w:w="1188"/>
      </w:tblGrid>
      <w:tr w:rsidR="00882FD6" w:rsidTr="001F1ED5">
        <w:tc>
          <w:tcPr>
            <w:tcW w:w="900" w:type="dxa"/>
            <w:vAlign w:val="center"/>
          </w:tcPr>
          <w:p w:rsidR="00882FD6" w:rsidRPr="00437223" w:rsidRDefault="00882FD6" w:rsidP="001F1ED5">
            <w:pPr>
              <w:jc w:val="center"/>
              <w:rPr>
                <w:b/>
              </w:rPr>
            </w:pPr>
            <w:r w:rsidRPr="00437223">
              <w:rPr>
                <w:b/>
              </w:rPr>
              <w:t>Rate Group</w:t>
            </w:r>
          </w:p>
        </w:tc>
        <w:tc>
          <w:tcPr>
            <w:tcW w:w="4860" w:type="dxa"/>
            <w:vAlign w:val="center"/>
          </w:tcPr>
          <w:p w:rsidR="00882FD6" w:rsidRPr="00437223" w:rsidRDefault="00882FD6" w:rsidP="001F1ED5">
            <w:pPr>
              <w:jc w:val="center"/>
              <w:rPr>
                <w:b/>
              </w:rPr>
            </w:pPr>
            <w:r w:rsidRPr="00437223">
              <w:rPr>
                <w:b/>
              </w:rPr>
              <w:t>Rate Schedule</w:t>
            </w:r>
          </w:p>
        </w:tc>
        <w:tc>
          <w:tcPr>
            <w:tcW w:w="1170" w:type="dxa"/>
            <w:vAlign w:val="center"/>
          </w:tcPr>
          <w:p w:rsidR="00882FD6" w:rsidRPr="00437223" w:rsidRDefault="00882FD6" w:rsidP="001F1ED5">
            <w:pPr>
              <w:jc w:val="center"/>
              <w:rPr>
                <w:b/>
              </w:rPr>
            </w:pPr>
            <w:r>
              <w:rPr>
                <w:b/>
              </w:rPr>
              <w:t>Average</w:t>
            </w:r>
            <w:r w:rsidRPr="00437223">
              <w:rPr>
                <w:b/>
              </w:rPr>
              <w:t xml:space="preserve"> Factor</w:t>
            </w:r>
          </w:p>
        </w:tc>
        <w:tc>
          <w:tcPr>
            <w:tcW w:w="1350" w:type="dxa"/>
            <w:vAlign w:val="center"/>
          </w:tcPr>
          <w:p w:rsidR="00882FD6" w:rsidRPr="00437223" w:rsidRDefault="00882FD6" w:rsidP="001F1ED5">
            <w:pPr>
              <w:jc w:val="center"/>
              <w:rPr>
                <w:b/>
              </w:rPr>
            </w:pPr>
            <w:r w:rsidRPr="00437223">
              <w:rPr>
                <w:b/>
              </w:rPr>
              <w:t>Loss Multiplier</w:t>
            </w:r>
          </w:p>
        </w:tc>
        <w:tc>
          <w:tcPr>
            <w:tcW w:w="1188" w:type="dxa"/>
            <w:vAlign w:val="center"/>
          </w:tcPr>
          <w:p w:rsidR="00882FD6" w:rsidRPr="00437223" w:rsidRDefault="00882FD6" w:rsidP="001F1ED5">
            <w:pPr>
              <w:jc w:val="center"/>
              <w:rPr>
                <w:b/>
              </w:rPr>
            </w:pPr>
            <w:r w:rsidRPr="00437223">
              <w:rPr>
                <w:b/>
              </w:rPr>
              <w:t>Fuel Recovery Factor</w:t>
            </w:r>
          </w:p>
        </w:tc>
      </w:tr>
      <w:tr w:rsidR="00882FD6" w:rsidTr="001F1ED5">
        <w:tc>
          <w:tcPr>
            <w:tcW w:w="900" w:type="dxa"/>
            <w:vMerge w:val="restart"/>
            <w:vAlign w:val="center"/>
          </w:tcPr>
          <w:p w:rsidR="00882FD6" w:rsidRPr="00437223" w:rsidRDefault="00882FD6" w:rsidP="001F1ED5">
            <w:pPr>
              <w:jc w:val="center"/>
            </w:pPr>
            <w:r w:rsidRPr="00437223">
              <w:t>B</w:t>
            </w:r>
          </w:p>
        </w:tc>
        <w:tc>
          <w:tcPr>
            <w:tcW w:w="4860" w:type="dxa"/>
          </w:tcPr>
          <w:p w:rsidR="00882FD6" w:rsidRPr="00437223" w:rsidRDefault="00882FD6" w:rsidP="001F1ED5">
            <w:pPr>
              <w:jc w:val="center"/>
            </w:pPr>
            <w:r w:rsidRPr="00437223">
              <w:t>GSD(T)-1 On-Peak</w:t>
            </w:r>
          </w:p>
        </w:tc>
        <w:tc>
          <w:tcPr>
            <w:tcW w:w="1170" w:type="dxa"/>
          </w:tcPr>
          <w:p w:rsidR="00882FD6" w:rsidRPr="00437223" w:rsidRDefault="00882FD6" w:rsidP="001F1ED5">
            <w:pPr>
              <w:jc w:val="center"/>
            </w:pPr>
            <w:r w:rsidRPr="00437223">
              <w:t>3.784</w:t>
            </w:r>
          </w:p>
        </w:tc>
        <w:tc>
          <w:tcPr>
            <w:tcW w:w="1350" w:type="dxa"/>
          </w:tcPr>
          <w:p w:rsidR="00882FD6" w:rsidRPr="00437223" w:rsidRDefault="00882FD6" w:rsidP="001F1ED5">
            <w:pPr>
              <w:jc w:val="center"/>
            </w:pPr>
            <w:r w:rsidRPr="00437223">
              <w:t>1.00202</w:t>
            </w:r>
          </w:p>
        </w:tc>
        <w:tc>
          <w:tcPr>
            <w:tcW w:w="1188" w:type="dxa"/>
          </w:tcPr>
          <w:p w:rsidR="00882FD6" w:rsidRPr="00437223" w:rsidRDefault="00882FD6" w:rsidP="001F1ED5">
            <w:pPr>
              <w:jc w:val="center"/>
            </w:pPr>
            <w:r w:rsidRPr="00437223">
              <w:t>3.792</w:t>
            </w:r>
          </w:p>
        </w:tc>
      </w:tr>
      <w:tr w:rsidR="00882FD6"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GSD(T)-1 Off-Peak</w:t>
            </w:r>
          </w:p>
        </w:tc>
        <w:tc>
          <w:tcPr>
            <w:tcW w:w="1170" w:type="dxa"/>
          </w:tcPr>
          <w:p w:rsidR="00882FD6" w:rsidRPr="00437223" w:rsidRDefault="00882FD6" w:rsidP="001F1ED5">
            <w:pPr>
              <w:jc w:val="center"/>
            </w:pPr>
            <w:r w:rsidRPr="00437223">
              <w:t>2.457</w:t>
            </w:r>
          </w:p>
        </w:tc>
        <w:tc>
          <w:tcPr>
            <w:tcW w:w="1350" w:type="dxa"/>
          </w:tcPr>
          <w:p w:rsidR="00882FD6" w:rsidRPr="00437223" w:rsidRDefault="00882FD6" w:rsidP="001F1ED5">
            <w:pPr>
              <w:jc w:val="center"/>
            </w:pPr>
            <w:r w:rsidRPr="00437223">
              <w:t>1.00202</w:t>
            </w:r>
          </w:p>
        </w:tc>
        <w:tc>
          <w:tcPr>
            <w:tcW w:w="1188" w:type="dxa"/>
          </w:tcPr>
          <w:p w:rsidR="00882FD6" w:rsidRPr="00437223" w:rsidRDefault="00882FD6" w:rsidP="001F1ED5">
            <w:pPr>
              <w:jc w:val="center"/>
            </w:pPr>
            <w:r w:rsidRPr="00437223">
              <w:t>2.462</w:t>
            </w:r>
          </w:p>
        </w:tc>
      </w:tr>
      <w:tr w:rsidR="00882FD6" w:rsidTr="001F1ED5">
        <w:tc>
          <w:tcPr>
            <w:tcW w:w="900" w:type="dxa"/>
            <w:vMerge w:val="restart"/>
            <w:vAlign w:val="center"/>
          </w:tcPr>
          <w:p w:rsidR="00882FD6" w:rsidRPr="00437223" w:rsidRDefault="00882FD6" w:rsidP="001F1ED5">
            <w:pPr>
              <w:jc w:val="center"/>
            </w:pPr>
            <w:r w:rsidRPr="00437223">
              <w:t>C</w:t>
            </w:r>
          </w:p>
        </w:tc>
        <w:tc>
          <w:tcPr>
            <w:tcW w:w="4860" w:type="dxa"/>
          </w:tcPr>
          <w:p w:rsidR="00882FD6" w:rsidRPr="00437223" w:rsidRDefault="00882FD6" w:rsidP="001F1ED5">
            <w:pPr>
              <w:jc w:val="center"/>
            </w:pPr>
            <w:r w:rsidRPr="00437223">
              <w:t>GSLD(T)-1 On-Peak</w:t>
            </w:r>
          </w:p>
        </w:tc>
        <w:tc>
          <w:tcPr>
            <w:tcW w:w="1170" w:type="dxa"/>
          </w:tcPr>
          <w:p w:rsidR="00882FD6" w:rsidRPr="00437223" w:rsidRDefault="00882FD6" w:rsidP="001F1ED5">
            <w:pPr>
              <w:jc w:val="center"/>
            </w:pPr>
            <w:r w:rsidRPr="00437223">
              <w:t>3.784</w:t>
            </w:r>
          </w:p>
        </w:tc>
        <w:tc>
          <w:tcPr>
            <w:tcW w:w="1350" w:type="dxa"/>
          </w:tcPr>
          <w:p w:rsidR="00882FD6" w:rsidRPr="00437223" w:rsidRDefault="00882FD6" w:rsidP="001F1ED5">
            <w:pPr>
              <w:jc w:val="center"/>
            </w:pPr>
            <w:r w:rsidRPr="00437223">
              <w:t>1.00150</w:t>
            </w:r>
          </w:p>
        </w:tc>
        <w:tc>
          <w:tcPr>
            <w:tcW w:w="1188" w:type="dxa"/>
          </w:tcPr>
          <w:p w:rsidR="00882FD6" w:rsidRPr="00437223" w:rsidRDefault="00882FD6" w:rsidP="001F1ED5">
            <w:pPr>
              <w:jc w:val="center"/>
            </w:pPr>
            <w:r w:rsidRPr="00437223">
              <w:t>3.790</w:t>
            </w:r>
          </w:p>
        </w:tc>
      </w:tr>
      <w:tr w:rsidR="00882FD6"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GSLD(T)-1 Off-Peak</w:t>
            </w:r>
          </w:p>
        </w:tc>
        <w:tc>
          <w:tcPr>
            <w:tcW w:w="1170" w:type="dxa"/>
          </w:tcPr>
          <w:p w:rsidR="00882FD6" w:rsidRPr="00437223" w:rsidRDefault="00882FD6" w:rsidP="001F1ED5">
            <w:pPr>
              <w:jc w:val="center"/>
            </w:pPr>
            <w:r w:rsidRPr="00437223">
              <w:t>2.457</w:t>
            </w:r>
          </w:p>
        </w:tc>
        <w:tc>
          <w:tcPr>
            <w:tcW w:w="1350" w:type="dxa"/>
          </w:tcPr>
          <w:p w:rsidR="00882FD6" w:rsidRPr="00437223" w:rsidRDefault="00882FD6" w:rsidP="001F1ED5">
            <w:pPr>
              <w:jc w:val="center"/>
            </w:pPr>
            <w:r w:rsidRPr="00437223">
              <w:t>1.00150</w:t>
            </w:r>
          </w:p>
        </w:tc>
        <w:tc>
          <w:tcPr>
            <w:tcW w:w="1188" w:type="dxa"/>
          </w:tcPr>
          <w:p w:rsidR="00882FD6" w:rsidRPr="00437223" w:rsidRDefault="00882FD6" w:rsidP="001F1ED5">
            <w:pPr>
              <w:jc w:val="center"/>
            </w:pPr>
            <w:r w:rsidRPr="00437223">
              <w:t>2.461</w:t>
            </w:r>
          </w:p>
        </w:tc>
      </w:tr>
      <w:tr w:rsidR="00882FD6" w:rsidTr="001F1ED5">
        <w:tc>
          <w:tcPr>
            <w:tcW w:w="900" w:type="dxa"/>
            <w:vMerge w:val="restart"/>
            <w:vAlign w:val="center"/>
          </w:tcPr>
          <w:p w:rsidR="00882FD6" w:rsidRPr="00437223" w:rsidRDefault="00882FD6" w:rsidP="001F1ED5">
            <w:pPr>
              <w:jc w:val="center"/>
            </w:pPr>
            <w:r w:rsidRPr="00437223">
              <w:t>D</w:t>
            </w:r>
          </w:p>
        </w:tc>
        <w:tc>
          <w:tcPr>
            <w:tcW w:w="4860" w:type="dxa"/>
          </w:tcPr>
          <w:p w:rsidR="00882FD6" w:rsidRPr="00437223" w:rsidRDefault="00882FD6" w:rsidP="001F1ED5">
            <w:pPr>
              <w:jc w:val="center"/>
            </w:pPr>
            <w:r w:rsidRPr="00437223">
              <w:t>GSLD(T)-2 On-Peak</w:t>
            </w:r>
          </w:p>
        </w:tc>
        <w:tc>
          <w:tcPr>
            <w:tcW w:w="1170" w:type="dxa"/>
          </w:tcPr>
          <w:p w:rsidR="00882FD6" w:rsidRPr="00437223" w:rsidRDefault="00882FD6" w:rsidP="001F1ED5">
            <w:pPr>
              <w:jc w:val="center"/>
            </w:pPr>
            <w:r w:rsidRPr="00437223">
              <w:t>3.784</w:t>
            </w:r>
          </w:p>
        </w:tc>
        <w:tc>
          <w:tcPr>
            <w:tcW w:w="1350" w:type="dxa"/>
          </w:tcPr>
          <w:p w:rsidR="00882FD6" w:rsidRPr="00437223" w:rsidRDefault="00882FD6" w:rsidP="001F1ED5">
            <w:pPr>
              <w:jc w:val="center"/>
            </w:pPr>
            <w:r w:rsidRPr="00437223">
              <w:t>0.99672</w:t>
            </w:r>
          </w:p>
        </w:tc>
        <w:tc>
          <w:tcPr>
            <w:tcW w:w="1188" w:type="dxa"/>
          </w:tcPr>
          <w:p w:rsidR="00882FD6" w:rsidRPr="00437223" w:rsidRDefault="00882FD6" w:rsidP="001F1ED5">
            <w:pPr>
              <w:jc w:val="center"/>
            </w:pPr>
            <w:r w:rsidRPr="00437223">
              <w:t>3.772</w:t>
            </w:r>
          </w:p>
        </w:tc>
      </w:tr>
      <w:tr w:rsidR="00882FD6" w:rsidTr="001F1ED5">
        <w:tc>
          <w:tcPr>
            <w:tcW w:w="900" w:type="dxa"/>
            <w:vMerge/>
          </w:tcPr>
          <w:p w:rsidR="00882FD6" w:rsidRPr="00437223" w:rsidRDefault="00882FD6" w:rsidP="001F1ED5">
            <w:pPr>
              <w:jc w:val="center"/>
            </w:pPr>
          </w:p>
        </w:tc>
        <w:tc>
          <w:tcPr>
            <w:tcW w:w="4860" w:type="dxa"/>
          </w:tcPr>
          <w:p w:rsidR="00882FD6" w:rsidRPr="00437223" w:rsidRDefault="00882FD6" w:rsidP="001F1ED5">
            <w:pPr>
              <w:jc w:val="center"/>
            </w:pPr>
            <w:r w:rsidRPr="00437223">
              <w:t>GSLD(T)-2 Off-Peak</w:t>
            </w:r>
          </w:p>
        </w:tc>
        <w:tc>
          <w:tcPr>
            <w:tcW w:w="1170" w:type="dxa"/>
          </w:tcPr>
          <w:p w:rsidR="00882FD6" w:rsidRPr="00437223" w:rsidRDefault="00882FD6" w:rsidP="001F1ED5">
            <w:pPr>
              <w:jc w:val="center"/>
            </w:pPr>
            <w:r w:rsidRPr="00437223">
              <w:t>2.457</w:t>
            </w:r>
          </w:p>
        </w:tc>
        <w:tc>
          <w:tcPr>
            <w:tcW w:w="1350" w:type="dxa"/>
          </w:tcPr>
          <w:p w:rsidR="00882FD6" w:rsidRPr="00437223" w:rsidRDefault="00882FD6" w:rsidP="001F1ED5">
            <w:pPr>
              <w:jc w:val="center"/>
            </w:pPr>
            <w:r w:rsidRPr="00437223">
              <w:t>0.99672</w:t>
            </w:r>
          </w:p>
        </w:tc>
        <w:tc>
          <w:tcPr>
            <w:tcW w:w="1188" w:type="dxa"/>
          </w:tcPr>
          <w:p w:rsidR="00882FD6" w:rsidRPr="00437223" w:rsidRDefault="00882FD6" w:rsidP="001F1ED5">
            <w:pPr>
              <w:jc w:val="center"/>
            </w:pPr>
            <w:r w:rsidRPr="00437223">
              <w:t>2.449</w:t>
            </w:r>
          </w:p>
        </w:tc>
      </w:tr>
    </w:tbl>
    <w:p w:rsidR="00882FD6" w:rsidRPr="00437223" w:rsidRDefault="00882FD6" w:rsidP="00882FD6">
      <w:pPr>
        <w:rPr>
          <w:sz w:val="20"/>
          <w:szCs w:val="20"/>
        </w:rPr>
      </w:pPr>
      <w:r>
        <w:rPr>
          <w:sz w:val="22"/>
          <w:szCs w:val="22"/>
        </w:rPr>
        <w:t xml:space="preserve">    </w:t>
      </w:r>
      <w:r w:rsidRPr="00437223">
        <w:rPr>
          <w:sz w:val="20"/>
          <w:szCs w:val="20"/>
        </w:rPr>
        <w:t>Source: Schedule E1-E, Page 2 of 2 (Appendix I, Page 7 of 81)</w:t>
      </w:r>
    </w:p>
    <w:p w:rsidR="00882FD6" w:rsidRDefault="00882FD6" w:rsidP="00882FD6">
      <w:pPr>
        <w:pStyle w:val="BodyText"/>
      </w:pPr>
    </w:p>
    <w:p w:rsidR="00882FD6" w:rsidRDefault="00882FD6" w:rsidP="00882FD6">
      <w:pPr>
        <w:sectPr w:rsidR="00882FD6" w:rsidSect="001F1ED5">
          <w:headerReference w:type="default" r:id="rId20"/>
          <w:type w:val="continuous"/>
          <w:pgSz w:w="12240" w:h="15840" w:code="1"/>
          <w:pgMar w:top="1584" w:right="1440" w:bottom="1440" w:left="1440" w:header="720" w:footer="720" w:gutter="0"/>
          <w:cols w:space="720"/>
          <w:formProt w:val="0"/>
          <w:docGrid w:linePitch="360"/>
        </w:sectPr>
      </w:pPr>
    </w:p>
    <w:p w:rsidR="00882FD6" w:rsidRDefault="00882FD6" w:rsidP="00882FD6">
      <w:r>
        <w:lastRenderedPageBreak/>
        <w:br w:type="page"/>
      </w:r>
    </w:p>
    <w:p w:rsidR="00882FD6" w:rsidRPr="00952579" w:rsidRDefault="00882FD6" w:rsidP="00882FD6">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1</w:t>
      </w:r>
    </w:p>
    <w:p w:rsidR="00882FD6" w:rsidRDefault="00882FD6" w:rsidP="00882FD6">
      <w:pPr>
        <w:keepNext/>
        <w:keepLines/>
        <w:jc w:val="center"/>
        <w:rPr>
          <w:rFonts w:ascii="Arial" w:hAnsi="Arial" w:cs="Arial"/>
          <w:b/>
        </w:rPr>
      </w:pPr>
      <w:r>
        <w:rPr>
          <w:rFonts w:ascii="Arial" w:hAnsi="Arial" w:cs="Arial"/>
          <w:b/>
        </w:rPr>
        <w:t>FPL Revised Capacity Cost Recovery Factors</w:t>
      </w:r>
    </w:p>
    <w:p w:rsidR="00882FD6" w:rsidRPr="006921C3" w:rsidRDefault="00882FD6" w:rsidP="00882FD6">
      <w:pPr>
        <w:keepNext/>
        <w:keepLines/>
        <w:jc w:val="center"/>
      </w:pPr>
      <w:r>
        <w:rPr>
          <w:rFonts w:ascii="Arial" w:hAnsi="Arial" w:cs="Arial"/>
          <w:b/>
        </w:rPr>
        <w:t>for the Period March-December,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882FD6" w:rsidTr="001F1ED5">
        <w:tc>
          <w:tcPr>
            <w:tcW w:w="3888" w:type="dxa"/>
            <w:vAlign w:val="center"/>
          </w:tcPr>
          <w:p w:rsidR="00882FD6" w:rsidRPr="00972BDD" w:rsidRDefault="00882FD6" w:rsidP="001F1ED5">
            <w:pPr>
              <w:autoSpaceDE w:val="0"/>
              <w:autoSpaceDN w:val="0"/>
              <w:adjustRightInd w:val="0"/>
              <w:jc w:val="center"/>
              <w:rPr>
                <w:b/>
                <w:bCs/>
              </w:rPr>
            </w:pPr>
            <w:r w:rsidRPr="00972BDD">
              <w:rPr>
                <w:b/>
                <w:bCs/>
              </w:rPr>
              <w:t>Rate Schedule</w:t>
            </w:r>
          </w:p>
        </w:tc>
        <w:tc>
          <w:tcPr>
            <w:tcW w:w="1350" w:type="dxa"/>
            <w:vAlign w:val="center"/>
          </w:tcPr>
          <w:p w:rsidR="00882FD6" w:rsidRPr="00972BDD" w:rsidRDefault="00882FD6" w:rsidP="001F1ED5">
            <w:pPr>
              <w:autoSpaceDE w:val="0"/>
              <w:autoSpaceDN w:val="0"/>
              <w:adjustRightInd w:val="0"/>
              <w:jc w:val="center"/>
              <w:rPr>
                <w:b/>
                <w:bCs/>
              </w:rPr>
            </w:pPr>
            <w:r w:rsidRPr="00972BDD">
              <w:rPr>
                <w:b/>
                <w:bCs/>
              </w:rPr>
              <w:t>$/kW</w:t>
            </w:r>
          </w:p>
        </w:tc>
        <w:tc>
          <w:tcPr>
            <w:tcW w:w="1260" w:type="dxa"/>
            <w:vAlign w:val="center"/>
          </w:tcPr>
          <w:p w:rsidR="00882FD6" w:rsidRPr="00972BDD" w:rsidRDefault="00882FD6" w:rsidP="001F1ED5">
            <w:pPr>
              <w:autoSpaceDE w:val="0"/>
              <w:autoSpaceDN w:val="0"/>
              <w:adjustRightInd w:val="0"/>
              <w:jc w:val="center"/>
              <w:rPr>
                <w:b/>
                <w:bCs/>
              </w:rPr>
            </w:pPr>
            <w:r w:rsidRPr="00972BDD">
              <w:rPr>
                <w:b/>
                <w:bCs/>
              </w:rPr>
              <w:t>$/kWh</w:t>
            </w:r>
          </w:p>
        </w:tc>
        <w:tc>
          <w:tcPr>
            <w:tcW w:w="1530" w:type="dxa"/>
          </w:tcPr>
          <w:p w:rsidR="00882FD6" w:rsidRPr="00972BDD" w:rsidRDefault="00882FD6" w:rsidP="001F1ED5">
            <w:pPr>
              <w:autoSpaceDE w:val="0"/>
              <w:autoSpaceDN w:val="0"/>
              <w:adjustRightInd w:val="0"/>
              <w:jc w:val="center"/>
              <w:rPr>
                <w:b/>
                <w:bCs/>
              </w:rPr>
            </w:pPr>
            <w:r w:rsidRPr="00972BDD">
              <w:rPr>
                <w:b/>
                <w:bCs/>
              </w:rPr>
              <w:t>Reservation Demand Charge (RDC)  $/kW</w:t>
            </w:r>
            <w:r w:rsidRPr="00972BDD">
              <w:rPr>
                <w:rStyle w:val="FootnoteReference"/>
                <w:b/>
                <w:bCs/>
              </w:rPr>
              <w:footnoteReference w:id="11"/>
            </w:r>
          </w:p>
        </w:tc>
        <w:tc>
          <w:tcPr>
            <w:tcW w:w="1548" w:type="dxa"/>
          </w:tcPr>
          <w:p w:rsidR="00882FD6" w:rsidRPr="00972BDD" w:rsidRDefault="00882FD6" w:rsidP="001F1ED5">
            <w:pPr>
              <w:autoSpaceDE w:val="0"/>
              <w:autoSpaceDN w:val="0"/>
              <w:adjustRightInd w:val="0"/>
              <w:jc w:val="center"/>
              <w:rPr>
                <w:b/>
                <w:bCs/>
              </w:rPr>
            </w:pPr>
            <w:r w:rsidRPr="00972BDD">
              <w:rPr>
                <w:b/>
                <w:bCs/>
              </w:rPr>
              <w:t>Sum of Daily Demand Charge (SDD)  $/kW</w:t>
            </w:r>
            <w:r w:rsidRPr="00972BDD">
              <w:rPr>
                <w:rStyle w:val="FootnoteReference"/>
                <w:b/>
                <w:bCs/>
              </w:rPr>
              <w:footnoteReference w:id="12"/>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RS1/RTR1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0.00257</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GS1/GST1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0.00241</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GSD1/GSDT1/HLFT1</w:t>
            </w:r>
          </w:p>
        </w:tc>
        <w:tc>
          <w:tcPr>
            <w:tcW w:w="1350" w:type="dxa"/>
          </w:tcPr>
          <w:p w:rsidR="00882FD6" w:rsidRPr="00972BDD" w:rsidRDefault="00882FD6" w:rsidP="001F1ED5">
            <w:pPr>
              <w:autoSpaceDE w:val="0"/>
              <w:autoSpaceDN w:val="0"/>
              <w:adjustRightInd w:val="0"/>
              <w:jc w:val="center"/>
              <w:rPr>
                <w:bCs/>
              </w:rPr>
            </w:pPr>
            <w:r w:rsidRPr="00972BDD">
              <w:rPr>
                <w:bCs/>
              </w:rPr>
              <w:t>0.77</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OS2</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0.00108</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GSLD1/GSLDT1/CS1/CST1/HLFT2</w:t>
            </w:r>
          </w:p>
        </w:tc>
        <w:tc>
          <w:tcPr>
            <w:tcW w:w="1350" w:type="dxa"/>
          </w:tcPr>
          <w:p w:rsidR="00882FD6" w:rsidRPr="00972BDD" w:rsidRDefault="00882FD6" w:rsidP="001F1ED5">
            <w:pPr>
              <w:autoSpaceDE w:val="0"/>
              <w:autoSpaceDN w:val="0"/>
              <w:adjustRightInd w:val="0"/>
              <w:jc w:val="center"/>
              <w:rPr>
                <w:bCs/>
              </w:rPr>
            </w:pPr>
            <w:r w:rsidRPr="00972BDD">
              <w:rPr>
                <w:bCs/>
              </w:rPr>
              <w:t>0.91</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GSLD2/GSLDT2/CS2/CST2/HLFT3</w:t>
            </w:r>
          </w:p>
        </w:tc>
        <w:tc>
          <w:tcPr>
            <w:tcW w:w="1350" w:type="dxa"/>
          </w:tcPr>
          <w:p w:rsidR="00882FD6" w:rsidRPr="00972BDD" w:rsidRDefault="00882FD6" w:rsidP="001F1ED5">
            <w:pPr>
              <w:autoSpaceDE w:val="0"/>
              <w:autoSpaceDN w:val="0"/>
              <w:adjustRightInd w:val="0"/>
              <w:jc w:val="center"/>
              <w:rPr>
                <w:bCs/>
              </w:rPr>
            </w:pPr>
            <w:r w:rsidRPr="00972BDD">
              <w:rPr>
                <w:bCs/>
              </w:rPr>
              <w:t>0.85</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GSLD3/GSLDT3/CS3/CST3</w:t>
            </w:r>
          </w:p>
        </w:tc>
        <w:tc>
          <w:tcPr>
            <w:tcW w:w="1350" w:type="dxa"/>
          </w:tcPr>
          <w:p w:rsidR="00882FD6" w:rsidRPr="00972BDD" w:rsidRDefault="00882FD6" w:rsidP="001F1ED5">
            <w:pPr>
              <w:autoSpaceDE w:val="0"/>
              <w:autoSpaceDN w:val="0"/>
              <w:adjustRightInd w:val="0"/>
              <w:jc w:val="center"/>
              <w:rPr>
                <w:bCs/>
              </w:rPr>
            </w:pPr>
            <w:r w:rsidRPr="00972BDD">
              <w:rPr>
                <w:bCs/>
              </w:rPr>
              <w:t>0.87</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SST1T</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$0.11</w:t>
            </w:r>
          </w:p>
        </w:tc>
        <w:tc>
          <w:tcPr>
            <w:tcW w:w="1548" w:type="dxa"/>
          </w:tcPr>
          <w:p w:rsidR="00882FD6" w:rsidRPr="00972BDD" w:rsidRDefault="00882FD6" w:rsidP="001F1ED5">
            <w:pPr>
              <w:autoSpaceDE w:val="0"/>
              <w:autoSpaceDN w:val="0"/>
              <w:adjustRightInd w:val="0"/>
              <w:jc w:val="center"/>
              <w:rPr>
                <w:bCs/>
              </w:rPr>
            </w:pPr>
            <w:r w:rsidRPr="00972BDD">
              <w:rPr>
                <w:bCs/>
              </w:rPr>
              <w:t>$0.05</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SST1D1/SST1D2/SST1D3</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$0.12</w:t>
            </w:r>
          </w:p>
        </w:tc>
        <w:tc>
          <w:tcPr>
            <w:tcW w:w="1548" w:type="dxa"/>
          </w:tcPr>
          <w:p w:rsidR="00882FD6" w:rsidRPr="00972BDD" w:rsidRDefault="00882FD6" w:rsidP="001F1ED5">
            <w:pPr>
              <w:autoSpaceDE w:val="0"/>
              <w:autoSpaceDN w:val="0"/>
              <w:adjustRightInd w:val="0"/>
              <w:jc w:val="center"/>
              <w:rPr>
                <w:bCs/>
              </w:rPr>
            </w:pPr>
            <w:r w:rsidRPr="00972BDD">
              <w:rPr>
                <w:bCs/>
              </w:rPr>
              <w:t>$0.06</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CILC D/CILC G</w:t>
            </w:r>
          </w:p>
        </w:tc>
        <w:tc>
          <w:tcPr>
            <w:tcW w:w="1350" w:type="dxa"/>
          </w:tcPr>
          <w:p w:rsidR="00882FD6" w:rsidRPr="00972BDD" w:rsidRDefault="00882FD6" w:rsidP="001F1ED5">
            <w:pPr>
              <w:autoSpaceDE w:val="0"/>
              <w:autoSpaceDN w:val="0"/>
              <w:adjustRightInd w:val="0"/>
              <w:jc w:val="center"/>
              <w:rPr>
                <w:bCs/>
              </w:rPr>
            </w:pPr>
            <w:r w:rsidRPr="00972BDD">
              <w:rPr>
                <w:bCs/>
              </w:rPr>
              <w:t>0.97</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CILC T</w:t>
            </w:r>
          </w:p>
        </w:tc>
        <w:tc>
          <w:tcPr>
            <w:tcW w:w="1350" w:type="dxa"/>
          </w:tcPr>
          <w:p w:rsidR="00882FD6" w:rsidRPr="00972BDD" w:rsidRDefault="00882FD6" w:rsidP="001F1ED5">
            <w:pPr>
              <w:autoSpaceDE w:val="0"/>
              <w:autoSpaceDN w:val="0"/>
              <w:adjustRightInd w:val="0"/>
              <w:jc w:val="center"/>
              <w:rPr>
                <w:bCs/>
              </w:rPr>
            </w:pPr>
            <w:r w:rsidRPr="00972BDD">
              <w:rPr>
                <w:bCs/>
              </w:rPr>
              <w:t>0.94</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MET</w:t>
            </w:r>
          </w:p>
        </w:tc>
        <w:tc>
          <w:tcPr>
            <w:tcW w:w="1350" w:type="dxa"/>
          </w:tcPr>
          <w:p w:rsidR="00882FD6" w:rsidRPr="00972BDD" w:rsidRDefault="00882FD6" w:rsidP="001F1ED5">
            <w:pPr>
              <w:autoSpaceDE w:val="0"/>
              <w:autoSpaceDN w:val="0"/>
              <w:adjustRightInd w:val="0"/>
              <w:jc w:val="center"/>
              <w:rPr>
                <w:bCs/>
              </w:rPr>
            </w:pPr>
            <w:r w:rsidRPr="00972BDD">
              <w:rPr>
                <w:bCs/>
              </w:rPr>
              <w:t>0.96</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OL1/SL1/SL1M/PL1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0.00020</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SL2/SL2M/GSCU1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0.00168</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bl>
    <w:p w:rsidR="00882FD6" w:rsidRDefault="00882FD6" w:rsidP="00882FD6">
      <w:pPr>
        <w:ind w:left="1440" w:hanging="1440"/>
        <w:rPr>
          <w:sz w:val="20"/>
          <w:szCs w:val="20"/>
        </w:rPr>
        <w:sectPr w:rsidR="00882FD6" w:rsidSect="001F1ED5">
          <w:headerReference w:type="default" r:id="rId21"/>
          <w:type w:val="continuous"/>
          <w:pgSz w:w="12240" w:h="15840" w:code="1"/>
          <w:pgMar w:top="1584" w:right="1440" w:bottom="1440" w:left="1440" w:header="720" w:footer="720" w:gutter="0"/>
          <w:cols w:space="720"/>
          <w:formProt w:val="0"/>
          <w:docGrid w:linePitch="360"/>
        </w:sectPr>
      </w:pPr>
      <w:r>
        <w:rPr>
          <w:sz w:val="22"/>
          <w:szCs w:val="22"/>
        </w:rPr>
        <w:t xml:space="preserve">  </w:t>
      </w:r>
      <w:r w:rsidRPr="00972BDD">
        <w:rPr>
          <w:sz w:val="20"/>
          <w:szCs w:val="20"/>
        </w:rPr>
        <w:t>Source: Schedule E</w:t>
      </w:r>
      <w:r>
        <w:rPr>
          <w:sz w:val="20"/>
          <w:szCs w:val="20"/>
        </w:rPr>
        <w:t>12-E, (Appendix 2, Page 5 of 10</w:t>
      </w:r>
    </w:p>
    <w:p w:rsidR="00882FD6" w:rsidRPr="00E63309" w:rsidRDefault="00882FD6" w:rsidP="00882FD6"/>
    <w:p w:rsidR="00882FD6" w:rsidRPr="00E63309" w:rsidRDefault="00882FD6" w:rsidP="00882FD6">
      <w:pPr>
        <w:jc w:val="center"/>
        <w:rPr>
          <w:rFonts w:ascii="Arial" w:hAnsi="Arial" w:cs="Arial"/>
          <w:b/>
        </w:rPr>
      </w:pPr>
      <w:r>
        <w:rPr>
          <w:rFonts w:ascii="Arial" w:hAnsi="Arial" w:cs="Arial"/>
          <w:b/>
        </w:rPr>
        <w:t>Table 1</w:t>
      </w:r>
    </w:p>
    <w:p w:rsidR="00882FD6" w:rsidRDefault="00882FD6" w:rsidP="00882FD6">
      <w:pPr>
        <w:jc w:val="center"/>
        <w:rPr>
          <w:rFonts w:ascii="Arial" w:hAnsi="Arial" w:cs="Arial"/>
          <w:b/>
        </w:rPr>
      </w:pPr>
      <w:r>
        <w:rPr>
          <w:rFonts w:ascii="Arial" w:hAnsi="Arial" w:cs="Arial"/>
          <w:b/>
        </w:rPr>
        <w:t xml:space="preserve">FPL Revised </w:t>
      </w:r>
      <w:r w:rsidRPr="00E63309">
        <w:rPr>
          <w:rFonts w:ascii="Arial" w:hAnsi="Arial" w:cs="Arial"/>
          <w:b/>
        </w:rPr>
        <w:t>GPIF Targets/Ranges</w:t>
      </w:r>
    </w:p>
    <w:p w:rsidR="00882FD6" w:rsidRPr="00502861" w:rsidRDefault="00882FD6" w:rsidP="00882FD6">
      <w:pPr>
        <w:jc w:val="center"/>
        <w:rPr>
          <w:rFonts w:ascii="Arial" w:hAnsi="Arial" w:cs="Arial"/>
          <w:b/>
        </w:rPr>
      </w:pPr>
      <w:r>
        <w:rPr>
          <w:rFonts w:ascii="Arial" w:hAnsi="Arial" w:cs="Arial"/>
          <w:b/>
        </w:rPr>
        <w:t>for the period January-December, 2018</w:t>
      </w:r>
      <w:r>
        <w:rPr>
          <w:rFonts w:ascii="Arial" w:hAnsi="Arial" w:cs="Arial"/>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170"/>
        <w:gridCol w:w="1260"/>
        <w:gridCol w:w="1440"/>
        <w:gridCol w:w="1530"/>
        <w:gridCol w:w="1350"/>
      </w:tblGrid>
      <w:tr w:rsidR="00882FD6" w:rsidTr="001F1ED5">
        <w:trPr>
          <w:cantSplit/>
          <w:tblHeader/>
        </w:trPr>
        <w:tc>
          <w:tcPr>
            <w:tcW w:w="1440" w:type="dxa"/>
            <w:vMerge w:val="restart"/>
            <w:shd w:val="clear" w:color="auto" w:fill="auto"/>
            <w:vAlign w:val="center"/>
          </w:tcPr>
          <w:p w:rsidR="00882FD6" w:rsidRPr="00D51E5C" w:rsidRDefault="00882FD6" w:rsidP="001F1ED5">
            <w:pPr>
              <w:jc w:val="center"/>
              <w:rPr>
                <w:b/>
              </w:rPr>
            </w:pPr>
            <w:r w:rsidRPr="00D51E5C">
              <w:rPr>
                <w:b/>
                <w:color w:val="000000"/>
              </w:rPr>
              <w:t>Plant/Unit</w:t>
            </w:r>
          </w:p>
        </w:tc>
        <w:tc>
          <w:tcPr>
            <w:tcW w:w="3690" w:type="dxa"/>
            <w:gridSpan w:val="3"/>
            <w:shd w:val="clear" w:color="auto" w:fill="auto"/>
          </w:tcPr>
          <w:p w:rsidR="00882FD6" w:rsidRPr="00D51E5C" w:rsidRDefault="00882FD6" w:rsidP="001F1ED5">
            <w:pPr>
              <w:jc w:val="center"/>
              <w:rPr>
                <w:b/>
              </w:rPr>
            </w:pPr>
            <w:r w:rsidRPr="00D51E5C">
              <w:rPr>
                <w:b/>
              </w:rPr>
              <w:t>EAF</w:t>
            </w:r>
          </w:p>
        </w:tc>
        <w:tc>
          <w:tcPr>
            <w:tcW w:w="4320" w:type="dxa"/>
            <w:gridSpan w:val="3"/>
            <w:shd w:val="clear" w:color="auto" w:fill="auto"/>
            <w:vAlign w:val="center"/>
          </w:tcPr>
          <w:p w:rsidR="00882FD6" w:rsidRPr="00D51E5C" w:rsidRDefault="00882FD6" w:rsidP="001F1ED5">
            <w:pPr>
              <w:jc w:val="center"/>
              <w:rPr>
                <w:b/>
              </w:rPr>
            </w:pPr>
            <w:r w:rsidRPr="00D51E5C">
              <w:rPr>
                <w:b/>
              </w:rPr>
              <w:t>ANOHR</w:t>
            </w:r>
          </w:p>
        </w:tc>
      </w:tr>
      <w:tr w:rsidR="00882FD6" w:rsidTr="001F1ED5">
        <w:trPr>
          <w:cantSplit/>
          <w:tblHeader/>
        </w:trPr>
        <w:tc>
          <w:tcPr>
            <w:tcW w:w="1440" w:type="dxa"/>
            <w:vMerge/>
            <w:shd w:val="clear" w:color="auto" w:fill="auto"/>
          </w:tcPr>
          <w:p w:rsidR="00882FD6" w:rsidRPr="00D51E5C" w:rsidRDefault="00882FD6" w:rsidP="001F1ED5">
            <w:pPr>
              <w:rPr>
                <w:b/>
                <w:color w:val="000000"/>
              </w:rPr>
            </w:pPr>
          </w:p>
        </w:tc>
        <w:tc>
          <w:tcPr>
            <w:tcW w:w="1260" w:type="dxa"/>
            <w:shd w:val="clear" w:color="auto" w:fill="auto"/>
            <w:vAlign w:val="center"/>
          </w:tcPr>
          <w:p w:rsidR="00882FD6" w:rsidRPr="00D51E5C" w:rsidRDefault="00882FD6" w:rsidP="001F1ED5">
            <w:pPr>
              <w:jc w:val="center"/>
              <w:rPr>
                <w:b/>
              </w:rPr>
            </w:pPr>
            <w:r w:rsidRPr="00D51E5C">
              <w:rPr>
                <w:b/>
              </w:rPr>
              <w:t>Target</w:t>
            </w:r>
          </w:p>
        </w:tc>
        <w:tc>
          <w:tcPr>
            <w:tcW w:w="2430" w:type="dxa"/>
            <w:gridSpan w:val="2"/>
            <w:shd w:val="clear" w:color="auto" w:fill="auto"/>
            <w:vAlign w:val="center"/>
          </w:tcPr>
          <w:p w:rsidR="00882FD6" w:rsidRPr="00D51E5C" w:rsidRDefault="00882FD6" w:rsidP="001F1ED5">
            <w:pPr>
              <w:jc w:val="center"/>
              <w:rPr>
                <w:b/>
              </w:rPr>
            </w:pPr>
            <w:r w:rsidRPr="00D51E5C">
              <w:rPr>
                <w:b/>
              </w:rPr>
              <w:t>Maximum</w:t>
            </w:r>
          </w:p>
        </w:tc>
        <w:tc>
          <w:tcPr>
            <w:tcW w:w="1440" w:type="dxa"/>
            <w:shd w:val="clear" w:color="auto" w:fill="auto"/>
            <w:vAlign w:val="center"/>
          </w:tcPr>
          <w:p w:rsidR="00882FD6" w:rsidRPr="00D51E5C" w:rsidRDefault="00882FD6" w:rsidP="001F1ED5">
            <w:pPr>
              <w:jc w:val="center"/>
              <w:rPr>
                <w:b/>
              </w:rPr>
            </w:pPr>
            <w:r w:rsidRPr="00D51E5C">
              <w:rPr>
                <w:b/>
              </w:rPr>
              <w:t>Target</w:t>
            </w:r>
          </w:p>
        </w:tc>
        <w:tc>
          <w:tcPr>
            <w:tcW w:w="2880" w:type="dxa"/>
            <w:gridSpan w:val="2"/>
            <w:shd w:val="clear" w:color="auto" w:fill="auto"/>
            <w:vAlign w:val="center"/>
          </w:tcPr>
          <w:p w:rsidR="00882FD6" w:rsidRPr="00D51E5C" w:rsidRDefault="00882FD6" w:rsidP="001F1ED5">
            <w:pPr>
              <w:jc w:val="center"/>
              <w:rPr>
                <w:b/>
              </w:rPr>
            </w:pPr>
            <w:r w:rsidRPr="00D51E5C">
              <w:rPr>
                <w:b/>
              </w:rPr>
              <w:t>Maximum</w:t>
            </w:r>
          </w:p>
        </w:tc>
      </w:tr>
      <w:tr w:rsidR="00882FD6" w:rsidTr="001F1ED5">
        <w:trPr>
          <w:cantSplit/>
          <w:trHeight w:val="665"/>
          <w:tblHeader/>
        </w:trPr>
        <w:tc>
          <w:tcPr>
            <w:tcW w:w="1440" w:type="dxa"/>
            <w:vMerge/>
            <w:tcBorders>
              <w:bottom w:val="single" w:sz="4" w:space="0" w:color="auto"/>
            </w:tcBorders>
            <w:shd w:val="clear" w:color="auto" w:fill="auto"/>
          </w:tcPr>
          <w:p w:rsidR="00882FD6" w:rsidRPr="00D51E5C" w:rsidRDefault="00882FD6" w:rsidP="001F1ED5">
            <w:pPr>
              <w:rPr>
                <w:b/>
              </w:rPr>
            </w:pPr>
          </w:p>
        </w:tc>
        <w:tc>
          <w:tcPr>
            <w:tcW w:w="126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EAF</w:t>
            </w:r>
          </w:p>
          <w:p w:rsidR="00882FD6" w:rsidRPr="00D51E5C" w:rsidRDefault="00882FD6" w:rsidP="001F1ED5">
            <w:pPr>
              <w:jc w:val="center"/>
              <w:rPr>
                <w:b/>
              </w:rPr>
            </w:pPr>
            <w:r w:rsidRPr="00D51E5C">
              <w:rPr>
                <w:b/>
              </w:rPr>
              <w:t>( % )</w:t>
            </w:r>
          </w:p>
        </w:tc>
        <w:tc>
          <w:tcPr>
            <w:tcW w:w="117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EAF</w:t>
            </w:r>
          </w:p>
          <w:p w:rsidR="00882FD6" w:rsidRPr="00D51E5C" w:rsidRDefault="00882FD6" w:rsidP="001F1ED5">
            <w:pPr>
              <w:jc w:val="center"/>
              <w:rPr>
                <w:b/>
              </w:rPr>
            </w:pPr>
            <w:r w:rsidRPr="00D51E5C">
              <w:rPr>
                <w:b/>
              </w:rPr>
              <w:t>( % )</w:t>
            </w:r>
          </w:p>
        </w:tc>
        <w:tc>
          <w:tcPr>
            <w:tcW w:w="126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Savings</w:t>
            </w:r>
          </w:p>
          <w:p w:rsidR="00882FD6" w:rsidRPr="00D51E5C" w:rsidRDefault="00882FD6" w:rsidP="001F1ED5">
            <w:pPr>
              <w:jc w:val="center"/>
              <w:rPr>
                <w:b/>
              </w:rPr>
            </w:pPr>
            <w:r w:rsidRPr="00D51E5C">
              <w:rPr>
                <w:b/>
              </w:rPr>
              <w:t>($000's)</w:t>
            </w:r>
          </w:p>
        </w:tc>
        <w:tc>
          <w:tcPr>
            <w:tcW w:w="144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ANOHR</w:t>
            </w:r>
          </w:p>
          <w:p w:rsidR="00882FD6" w:rsidRPr="00D51E5C" w:rsidRDefault="00882FD6" w:rsidP="001F1ED5">
            <w:pPr>
              <w:jc w:val="center"/>
              <w:rPr>
                <w:b/>
              </w:rPr>
            </w:pPr>
            <w:r w:rsidRPr="00D51E5C">
              <w:rPr>
                <w:b/>
              </w:rPr>
              <w:t>BTU/KWH</w:t>
            </w:r>
          </w:p>
        </w:tc>
        <w:tc>
          <w:tcPr>
            <w:tcW w:w="153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ANOHR</w:t>
            </w:r>
          </w:p>
          <w:p w:rsidR="00882FD6" w:rsidRPr="00D51E5C" w:rsidRDefault="00882FD6" w:rsidP="001F1ED5">
            <w:pPr>
              <w:jc w:val="center"/>
              <w:rPr>
                <w:b/>
              </w:rPr>
            </w:pPr>
            <w:r w:rsidRPr="00D51E5C">
              <w:rPr>
                <w:b/>
              </w:rPr>
              <w:t>BTU/KWH</w:t>
            </w:r>
          </w:p>
        </w:tc>
        <w:tc>
          <w:tcPr>
            <w:tcW w:w="1350" w:type="dxa"/>
            <w:tcBorders>
              <w:bottom w:val="single" w:sz="4" w:space="0" w:color="auto"/>
            </w:tcBorders>
            <w:shd w:val="clear" w:color="auto" w:fill="auto"/>
            <w:vAlign w:val="center"/>
          </w:tcPr>
          <w:p w:rsidR="00882FD6" w:rsidRPr="00D51E5C" w:rsidRDefault="00882FD6" w:rsidP="001F1ED5">
            <w:pPr>
              <w:jc w:val="center"/>
              <w:rPr>
                <w:b/>
              </w:rPr>
            </w:pPr>
            <w:r w:rsidRPr="00D51E5C">
              <w:rPr>
                <w:b/>
              </w:rPr>
              <w:t>Savings</w:t>
            </w:r>
          </w:p>
          <w:p w:rsidR="00882FD6" w:rsidRPr="00D51E5C" w:rsidRDefault="00882FD6" w:rsidP="001F1ED5">
            <w:pPr>
              <w:jc w:val="center"/>
              <w:rPr>
                <w:b/>
              </w:rPr>
            </w:pPr>
            <w:r w:rsidRPr="00D51E5C">
              <w:rPr>
                <w:b/>
              </w:rPr>
              <w:t>($000's)</w:t>
            </w:r>
          </w:p>
        </w:tc>
      </w:tr>
      <w:tr w:rsidR="00882FD6" w:rsidRPr="00733B77" w:rsidTr="001F1ED5">
        <w:trPr>
          <w:trHeight w:val="300"/>
        </w:trPr>
        <w:tc>
          <w:tcPr>
            <w:tcW w:w="1440" w:type="dxa"/>
            <w:shd w:val="clear" w:color="auto" w:fill="auto"/>
            <w:noWrap/>
            <w:vAlign w:val="center"/>
          </w:tcPr>
          <w:p w:rsidR="00882FD6" w:rsidRPr="00D51E5C" w:rsidRDefault="00882FD6" w:rsidP="001F1ED5">
            <w:pPr>
              <w:jc w:val="center"/>
            </w:pPr>
            <w:r w:rsidRPr="00D51E5C">
              <w:t>Canaveral 3</w:t>
            </w:r>
          </w:p>
        </w:tc>
        <w:tc>
          <w:tcPr>
            <w:tcW w:w="1260" w:type="dxa"/>
            <w:shd w:val="clear" w:color="auto" w:fill="auto"/>
            <w:noWrap/>
            <w:vAlign w:val="center"/>
            <w:hideMark/>
          </w:tcPr>
          <w:p w:rsidR="00882FD6" w:rsidRPr="00D51E5C" w:rsidRDefault="00882FD6" w:rsidP="001F1ED5">
            <w:pPr>
              <w:jc w:val="center"/>
            </w:pPr>
            <w:r w:rsidRPr="00D51E5C">
              <w:t>86.4</w:t>
            </w:r>
          </w:p>
        </w:tc>
        <w:tc>
          <w:tcPr>
            <w:tcW w:w="1170" w:type="dxa"/>
            <w:shd w:val="clear" w:color="auto" w:fill="auto"/>
            <w:noWrap/>
            <w:vAlign w:val="center"/>
            <w:hideMark/>
          </w:tcPr>
          <w:p w:rsidR="00882FD6" w:rsidRPr="00D51E5C" w:rsidRDefault="00882FD6" w:rsidP="001F1ED5">
            <w:pPr>
              <w:jc w:val="center"/>
            </w:pPr>
            <w:r w:rsidRPr="00D51E5C">
              <w:t>89.4</w:t>
            </w:r>
          </w:p>
        </w:tc>
        <w:tc>
          <w:tcPr>
            <w:tcW w:w="1260" w:type="dxa"/>
            <w:shd w:val="clear" w:color="auto" w:fill="auto"/>
            <w:noWrap/>
            <w:vAlign w:val="center"/>
            <w:hideMark/>
          </w:tcPr>
          <w:p w:rsidR="00882FD6" w:rsidRPr="00D51E5C" w:rsidRDefault="00882FD6" w:rsidP="001F1ED5">
            <w:pPr>
              <w:jc w:val="center"/>
            </w:pPr>
            <w:r w:rsidRPr="00D51E5C">
              <w:t>1,149</w:t>
            </w:r>
          </w:p>
        </w:tc>
        <w:tc>
          <w:tcPr>
            <w:tcW w:w="1440" w:type="dxa"/>
            <w:shd w:val="clear" w:color="auto" w:fill="auto"/>
            <w:noWrap/>
            <w:vAlign w:val="center"/>
            <w:hideMark/>
          </w:tcPr>
          <w:p w:rsidR="00882FD6" w:rsidRPr="00D51E5C" w:rsidRDefault="00882FD6" w:rsidP="001F1ED5">
            <w:pPr>
              <w:jc w:val="center"/>
            </w:pPr>
            <w:r w:rsidRPr="00D51E5C">
              <w:t>6,637</w:t>
            </w:r>
          </w:p>
        </w:tc>
        <w:tc>
          <w:tcPr>
            <w:tcW w:w="1530" w:type="dxa"/>
            <w:shd w:val="clear" w:color="auto" w:fill="auto"/>
            <w:noWrap/>
            <w:vAlign w:val="center"/>
            <w:hideMark/>
          </w:tcPr>
          <w:p w:rsidR="00882FD6" w:rsidRPr="00D51E5C" w:rsidRDefault="00882FD6" w:rsidP="001F1ED5">
            <w:pPr>
              <w:jc w:val="center"/>
            </w:pPr>
            <w:r>
              <w:t>6,530</w:t>
            </w:r>
          </w:p>
        </w:tc>
        <w:tc>
          <w:tcPr>
            <w:tcW w:w="1350" w:type="dxa"/>
            <w:shd w:val="clear" w:color="auto" w:fill="auto"/>
            <w:noWrap/>
            <w:vAlign w:val="center"/>
            <w:hideMark/>
          </w:tcPr>
          <w:p w:rsidR="00882FD6" w:rsidRPr="00D51E5C" w:rsidRDefault="00882FD6" w:rsidP="001F1ED5">
            <w:pPr>
              <w:jc w:val="center"/>
            </w:pPr>
            <w:r w:rsidRPr="00D51E5C">
              <w:t>2,706</w:t>
            </w:r>
          </w:p>
        </w:tc>
      </w:tr>
      <w:tr w:rsidR="00882FD6" w:rsidRPr="00733B77" w:rsidTr="001F1ED5">
        <w:trPr>
          <w:trHeight w:val="300"/>
        </w:trPr>
        <w:tc>
          <w:tcPr>
            <w:tcW w:w="1440" w:type="dxa"/>
            <w:shd w:val="clear" w:color="auto" w:fill="auto"/>
            <w:noWrap/>
            <w:vAlign w:val="center"/>
          </w:tcPr>
          <w:p w:rsidR="00882FD6" w:rsidRPr="00D51E5C" w:rsidRDefault="00882FD6" w:rsidP="001F1ED5">
            <w:pPr>
              <w:jc w:val="center"/>
            </w:pPr>
            <w:r w:rsidRPr="00D51E5C">
              <w:t>Manatee 3</w:t>
            </w:r>
          </w:p>
        </w:tc>
        <w:tc>
          <w:tcPr>
            <w:tcW w:w="1260" w:type="dxa"/>
            <w:shd w:val="clear" w:color="auto" w:fill="auto"/>
            <w:noWrap/>
            <w:vAlign w:val="center"/>
            <w:hideMark/>
          </w:tcPr>
          <w:p w:rsidR="00882FD6" w:rsidRPr="00D51E5C" w:rsidRDefault="00882FD6" w:rsidP="001F1ED5">
            <w:pPr>
              <w:jc w:val="center"/>
            </w:pPr>
            <w:r w:rsidRPr="00D51E5C">
              <w:t>92.9</w:t>
            </w:r>
          </w:p>
        </w:tc>
        <w:tc>
          <w:tcPr>
            <w:tcW w:w="1170" w:type="dxa"/>
            <w:shd w:val="clear" w:color="auto" w:fill="auto"/>
            <w:noWrap/>
            <w:vAlign w:val="center"/>
            <w:hideMark/>
          </w:tcPr>
          <w:p w:rsidR="00882FD6" w:rsidRPr="00D51E5C" w:rsidRDefault="00882FD6" w:rsidP="001F1ED5">
            <w:pPr>
              <w:jc w:val="center"/>
            </w:pPr>
            <w:r w:rsidRPr="00D51E5C">
              <w:t>94.9</w:t>
            </w:r>
          </w:p>
        </w:tc>
        <w:tc>
          <w:tcPr>
            <w:tcW w:w="1260" w:type="dxa"/>
            <w:shd w:val="clear" w:color="auto" w:fill="auto"/>
            <w:noWrap/>
            <w:vAlign w:val="center"/>
            <w:hideMark/>
          </w:tcPr>
          <w:p w:rsidR="00882FD6" w:rsidRPr="00D51E5C" w:rsidRDefault="00882FD6" w:rsidP="001F1ED5">
            <w:pPr>
              <w:jc w:val="center"/>
            </w:pPr>
            <w:r w:rsidRPr="00D51E5C">
              <w:t>435</w:t>
            </w:r>
          </w:p>
        </w:tc>
        <w:tc>
          <w:tcPr>
            <w:tcW w:w="1440" w:type="dxa"/>
            <w:shd w:val="clear" w:color="auto" w:fill="auto"/>
            <w:noWrap/>
            <w:vAlign w:val="center"/>
            <w:hideMark/>
          </w:tcPr>
          <w:p w:rsidR="00882FD6" w:rsidRPr="00D51E5C" w:rsidRDefault="00882FD6" w:rsidP="001F1ED5">
            <w:pPr>
              <w:jc w:val="center"/>
            </w:pPr>
            <w:r w:rsidRPr="00D51E5C">
              <w:t>6,935</w:t>
            </w:r>
          </w:p>
        </w:tc>
        <w:tc>
          <w:tcPr>
            <w:tcW w:w="1530" w:type="dxa"/>
            <w:shd w:val="clear" w:color="auto" w:fill="auto"/>
            <w:noWrap/>
            <w:vAlign w:val="center"/>
            <w:hideMark/>
          </w:tcPr>
          <w:p w:rsidR="00882FD6" w:rsidRPr="00D51E5C" w:rsidRDefault="00882FD6" w:rsidP="001F1ED5">
            <w:pPr>
              <w:jc w:val="center"/>
            </w:pPr>
            <w:r>
              <w:t>6,756</w:t>
            </w:r>
          </w:p>
        </w:tc>
        <w:tc>
          <w:tcPr>
            <w:tcW w:w="1350" w:type="dxa"/>
            <w:shd w:val="clear" w:color="auto" w:fill="auto"/>
            <w:noWrap/>
            <w:vAlign w:val="center"/>
            <w:hideMark/>
          </w:tcPr>
          <w:p w:rsidR="00882FD6" w:rsidRPr="00D51E5C" w:rsidRDefault="00882FD6" w:rsidP="001F1ED5">
            <w:pPr>
              <w:jc w:val="center"/>
            </w:pPr>
            <w:r w:rsidRPr="00D51E5C">
              <w:t>3,067</w:t>
            </w:r>
          </w:p>
        </w:tc>
      </w:tr>
      <w:tr w:rsidR="00882FD6" w:rsidRPr="00733B77" w:rsidTr="001F1ED5">
        <w:trPr>
          <w:trHeight w:val="300"/>
        </w:trPr>
        <w:tc>
          <w:tcPr>
            <w:tcW w:w="1440" w:type="dxa"/>
            <w:shd w:val="clear" w:color="auto" w:fill="auto"/>
            <w:noWrap/>
            <w:vAlign w:val="center"/>
          </w:tcPr>
          <w:p w:rsidR="00882FD6" w:rsidRPr="00D51E5C" w:rsidRDefault="00882FD6" w:rsidP="001F1ED5">
            <w:pPr>
              <w:jc w:val="center"/>
            </w:pPr>
            <w:r w:rsidRPr="00D51E5C">
              <w:t>Ft. Myers 2</w:t>
            </w:r>
          </w:p>
        </w:tc>
        <w:tc>
          <w:tcPr>
            <w:tcW w:w="1260" w:type="dxa"/>
            <w:shd w:val="clear" w:color="auto" w:fill="auto"/>
            <w:noWrap/>
            <w:vAlign w:val="center"/>
            <w:hideMark/>
          </w:tcPr>
          <w:p w:rsidR="00882FD6" w:rsidRPr="00D51E5C" w:rsidRDefault="00882FD6" w:rsidP="001F1ED5">
            <w:pPr>
              <w:jc w:val="center"/>
            </w:pPr>
            <w:r w:rsidRPr="00D51E5C">
              <w:t>85.9</w:t>
            </w:r>
          </w:p>
        </w:tc>
        <w:tc>
          <w:tcPr>
            <w:tcW w:w="1170" w:type="dxa"/>
            <w:shd w:val="clear" w:color="auto" w:fill="auto"/>
            <w:noWrap/>
            <w:vAlign w:val="center"/>
            <w:hideMark/>
          </w:tcPr>
          <w:p w:rsidR="00882FD6" w:rsidRPr="00D51E5C" w:rsidRDefault="00882FD6" w:rsidP="001F1ED5">
            <w:pPr>
              <w:jc w:val="center"/>
            </w:pPr>
            <w:r w:rsidRPr="00D51E5C">
              <w:t>88.4</w:t>
            </w:r>
          </w:p>
        </w:tc>
        <w:tc>
          <w:tcPr>
            <w:tcW w:w="1260" w:type="dxa"/>
            <w:shd w:val="clear" w:color="auto" w:fill="auto"/>
            <w:noWrap/>
            <w:vAlign w:val="center"/>
            <w:hideMark/>
          </w:tcPr>
          <w:p w:rsidR="00882FD6" w:rsidRPr="00D51E5C" w:rsidRDefault="00882FD6" w:rsidP="001F1ED5">
            <w:pPr>
              <w:jc w:val="center"/>
            </w:pPr>
            <w:r w:rsidRPr="00D51E5C">
              <w:t>418</w:t>
            </w:r>
          </w:p>
        </w:tc>
        <w:tc>
          <w:tcPr>
            <w:tcW w:w="1440" w:type="dxa"/>
            <w:shd w:val="clear" w:color="auto" w:fill="auto"/>
            <w:noWrap/>
            <w:vAlign w:val="center"/>
            <w:hideMark/>
          </w:tcPr>
          <w:p w:rsidR="00882FD6" w:rsidRPr="00D51E5C" w:rsidRDefault="00882FD6" w:rsidP="001F1ED5">
            <w:pPr>
              <w:jc w:val="center"/>
            </w:pPr>
            <w:r w:rsidRPr="00D51E5C">
              <w:t>7,241</w:t>
            </w:r>
          </w:p>
        </w:tc>
        <w:tc>
          <w:tcPr>
            <w:tcW w:w="1530" w:type="dxa"/>
            <w:shd w:val="clear" w:color="auto" w:fill="auto"/>
            <w:noWrap/>
            <w:vAlign w:val="center"/>
            <w:hideMark/>
          </w:tcPr>
          <w:p w:rsidR="00882FD6" w:rsidRPr="00D51E5C" w:rsidRDefault="00882FD6" w:rsidP="001F1ED5">
            <w:pPr>
              <w:jc w:val="center"/>
            </w:pPr>
            <w:r>
              <w:t>7,125</w:t>
            </w:r>
          </w:p>
        </w:tc>
        <w:tc>
          <w:tcPr>
            <w:tcW w:w="1350" w:type="dxa"/>
            <w:shd w:val="clear" w:color="auto" w:fill="auto"/>
            <w:noWrap/>
            <w:vAlign w:val="center"/>
            <w:hideMark/>
          </w:tcPr>
          <w:p w:rsidR="00882FD6" w:rsidRPr="00D51E5C" w:rsidRDefault="00882FD6" w:rsidP="001F1ED5">
            <w:pPr>
              <w:jc w:val="center"/>
            </w:pPr>
            <w:r w:rsidRPr="00D51E5C">
              <w:t>2,555</w:t>
            </w:r>
          </w:p>
        </w:tc>
      </w:tr>
      <w:tr w:rsidR="00882FD6" w:rsidRPr="00733B77" w:rsidTr="001F1ED5">
        <w:trPr>
          <w:trHeight w:val="300"/>
        </w:trPr>
        <w:tc>
          <w:tcPr>
            <w:tcW w:w="1440" w:type="dxa"/>
            <w:shd w:val="clear" w:color="auto" w:fill="auto"/>
            <w:noWrap/>
            <w:vAlign w:val="center"/>
          </w:tcPr>
          <w:p w:rsidR="00882FD6" w:rsidRPr="00D51E5C" w:rsidRDefault="00882FD6" w:rsidP="001F1ED5">
            <w:pPr>
              <w:jc w:val="center"/>
            </w:pPr>
            <w:r w:rsidRPr="00D51E5C">
              <w:t>Martin 8</w:t>
            </w:r>
          </w:p>
        </w:tc>
        <w:tc>
          <w:tcPr>
            <w:tcW w:w="1260" w:type="dxa"/>
            <w:shd w:val="clear" w:color="auto" w:fill="auto"/>
            <w:noWrap/>
            <w:vAlign w:val="center"/>
          </w:tcPr>
          <w:p w:rsidR="00882FD6" w:rsidRPr="00D51E5C" w:rsidRDefault="00882FD6" w:rsidP="001F1ED5">
            <w:pPr>
              <w:jc w:val="center"/>
            </w:pPr>
            <w:r w:rsidRPr="00D51E5C">
              <w:t>80.5</w:t>
            </w:r>
          </w:p>
        </w:tc>
        <w:tc>
          <w:tcPr>
            <w:tcW w:w="1170" w:type="dxa"/>
            <w:shd w:val="clear" w:color="auto" w:fill="auto"/>
            <w:noWrap/>
            <w:vAlign w:val="center"/>
          </w:tcPr>
          <w:p w:rsidR="00882FD6" w:rsidRPr="00D51E5C" w:rsidRDefault="00882FD6" w:rsidP="001F1ED5">
            <w:pPr>
              <w:jc w:val="center"/>
            </w:pPr>
            <w:r w:rsidRPr="00D51E5C">
              <w:t>83.0</w:t>
            </w:r>
          </w:p>
        </w:tc>
        <w:tc>
          <w:tcPr>
            <w:tcW w:w="1260" w:type="dxa"/>
            <w:shd w:val="clear" w:color="auto" w:fill="auto"/>
            <w:noWrap/>
            <w:vAlign w:val="center"/>
          </w:tcPr>
          <w:p w:rsidR="00882FD6" w:rsidRPr="00D51E5C" w:rsidRDefault="00882FD6" w:rsidP="001F1ED5">
            <w:pPr>
              <w:jc w:val="center"/>
            </w:pPr>
            <w:r w:rsidRPr="00D51E5C">
              <w:t>555</w:t>
            </w:r>
          </w:p>
        </w:tc>
        <w:tc>
          <w:tcPr>
            <w:tcW w:w="1440" w:type="dxa"/>
            <w:shd w:val="clear" w:color="auto" w:fill="auto"/>
            <w:noWrap/>
            <w:vAlign w:val="center"/>
          </w:tcPr>
          <w:p w:rsidR="00882FD6" w:rsidRPr="00D51E5C" w:rsidRDefault="00882FD6" w:rsidP="001F1ED5">
            <w:pPr>
              <w:jc w:val="center"/>
            </w:pPr>
            <w:r w:rsidRPr="00D51E5C">
              <w:t>6,998</w:t>
            </w:r>
          </w:p>
        </w:tc>
        <w:tc>
          <w:tcPr>
            <w:tcW w:w="1530" w:type="dxa"/>
            <w:shd w:val="clear" w:color="auto" w:fill="auto"/>
            <w:noWrap/>
            <w:vAlign w:val="center"/>
          </w:tcPr>
          <w:p w:rsidR="00882FD6" w:rsidRPr="00D51E5C" w:rsidRDefault="00882FD6" w:rsidP="001F1ED5">
            <w:pPr>
              <w:jc w:val="center"/>
            </w:pPr>
            <w:r>
              <w:t>6,841</w:t>
            </w:r>
          </w:p>
        </w:tc>
        <w:tc>
          <w:tcPr>
            <w:tcW w:w="1350" w:type="dxa"/>
            <w:shd w:val="clear" w:color="auto" w:fill="auto"/>
            <w:noWrap/>
            <w:vAlign w:val="center"/>
          </w:tcPr>
          <w:p w:rsidR="00882FD6" w:rsidRPr="00D51E5C" w:rsidRDefault="00882FD6" w:rsidP="001F1ED5">
            <w:pPr>
              <w:jc w:val="center"/>
            </w:pPr>
            <w:r w:rsidRPr="00D51E5C">
              <w:t>2,833</w:t>
            </w:r>
          </w:p>
        </w:tc>
      </w:tr>
      <w:tr w:rsidR="00882FD6" w:rsidRPr="00733B77" w:rsidTr="001F1ED5">
        <w:trPr>
          <w:trHeight w:val="300"/>
        </w:trPr>
        <w:tc>
          <w:tcPr>
            <w:tcW w:w="1440" w:type="dxa"/>
            <w:shd w:val="clear" w:color="auto" w:fill="auto"/>
            <w:noWrap/>
            <w:vAlign w:val="center"/>
          </w:tcPr>
          <w:p w:rsidR="00882FD6" w:rsidRPr="00D51E5C" w:rsidRDefault="00882FD6" w:rsidP="001F1ED5">
            <w:pPr>
              <w:jc w:val="center"/>
            </w:pPr>
            <w:r w:rsidRPr="00D51E5C">
              <w:t>Riviera 5</w:t>
            </w:r>
          </w:p>
        </w:tc>
        <w:tc>
          <w:tcPr>
            <w:tcW w:w="1260" w:type="dxa"/>
            <w:shd w:val="clear" w:color="auto" w:fill="auto"/>
            <w:noWrap/>
            <w:vAlign w:val="center"/>
          </w:tcPr>
          <w:p w:rsidR="00882FD6" w:rsidRPr="00D51E5C" w:rsidRDefault="00882FD6" w:rsidP="001F1ED5">
            <w:pPr>
              <w:jc w:val="center"/>
            </w:pPr>
            <w:r w:rsidRPr="00D51E5C">
              <w:t>85.4</w:t>
            </w:r>
          </w:p>
        </w:tc>
        <w:tc>
          <w:tcPr>
            <w:tcW w:w="1170" w:type="dxa"/>
            <w:shd w:val="clear" w:color="auto" w:fill="auto"/>
            <w:noWrap/>
            <w:vAlign w:val="center"/>
          </w:tcPr>
          <w:p w:rsidR="00882FD6" w:rsidRPr="00D51E5C" w:rsidRDefault="00882FD6" w:rsidP="001F1ED5">
            <w:pPr>
              <w:jc w:val="center"/>
            </w:pPr>
            <w:r w:rsidRPr="00D51E5C">
              <w:t>87.9</w:t>
            </w:r>
          </w:p>
        </w:tc>
        <w:tc>
          <w:tcPr>
            <w:tcW w:w="1260" w:type="dxa"/>
            <w:shd w:val="clear" w:color="auto" w:fill="auto"/>
            <w:noWrap/>
            <w:vAlign w:val="center"/>
          </w:tcPr>
          <w:p w:rsidR="00882FD6" w:rsidRPr="00D51E5C" w:rsidRDefault="00882FD6" w:rsidP="001F1ED5">
            <w:pPr>
              <w:jc w:val="center"/>
            </w:pPr>
            <w:r w:rsidRPr="00D51E5C">
              <w:t>1,173</w:t>
            </w:r>
          </w:p>
        </w:tc>
        <w:tc>
          <w:tcPr>
            <w:tcW w:w="1440" w:type="dxa"/>
            <w:shd w:val="clear" w:color="auto" w:fill="auto"/>
            <w:noWrap/>
            <w:vAlign w:val="center"/>
          </w:tcPr>
          <w:p w:rsidR="00882FD6" w:rsidRPr="00D51E5C" w:rsidRDefault="00882FD6" w:rsidP="001F1ED5">
            <w:pPr>
              <w:jc w:val="center"/>
            </w:pPr>
            <w:r w:rsidRPr="00D51E5C">
              <w:t>6,590</w:t>
            </w:r>
          </w:p>
        </w:tc>
        <w:tc>
          <w:tcPr>
            <w:tcW w:w="1530" w:type="dxa"/>
            <w:shd w:val="clear" w:color="auto" w:fill="auto"/>
            <w:noWrap/>
            <w:vAlign w:val="center"/>
          </w:tcPr>
          <w:p w:rsidR="00882FD6" w:rsidRPr="00D51E5C" w:rsidRDefault="00882FD6" w:rsidP="001F1ED5">
            <w:pPr>
              <w:jc w:val="center"/>
            </w:pPr>
            <w:r>
              <w:t>6,512</w:t>
            </w:r>
          </w:p>
        </w:tc>
        <w:tc>
          <w:tcPr>
            <w:tcW w:w="1350" w:type="dxa"/>
            <w:shd w:val="clear" w:color="auto" w:fill="auto"/>
            <w:noWrap/>
            <w:vAlign w:val="center"/>
          </w:tcPr>
          <w:p w:rsidR="00882FD6" w:rsidRPr="00D51E5C" w:rsidRDefault="00882FD6" w:rsidP="001F1ED5">
            <w:pPr>
              <w:jc w:val="center"/>
            </w:pPr>
            <w:r w:rsidRPr="00D51E5C">
              <w:t>2,123</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St. Lucie 1</w:t>
            </w:r>
          </w:p>
        </w:tc>
        <w:tc>
          <w:tcPr>
            <w:tcW w:w="1260" w:type="dxa"/>
            <w:shd w:val="clear" w:color="auto" w:fill="auto"/>
            <w:noWrap/>
            <w:vAlign w:val="center"/>
            <w:hideMark/>
          </w:tcPr>
          <w:p w:rsidR="00882FD6" w:rsidRPr="00D51E5C" w:rsidRDefault="00882FD6" w:rsidP="001F1ED5">
            <w:pPr>
              <w:jc w:val="center"/>
            </w:pPr>
            <w:r w:rsidRPr="00D51E5C">
              <w:t>85.0</w:t>
            </w:r>
          </w:p>
        </w:tc>
        <w:tc>
          <w:tcPr>
            <w:tcW w:w="1170" w:type="dxa"/>
            <w:shd w:val="clear" w:color="auto" w:fill="auto"/>
            <w:noWrap/>
            <w:vAlign w:val="center"/>
            <w:hideMark/>
          </w:tcPr>
          <w:p w:rsidR="00882FD6" w:rsidRPr="00D51E5C" w:rsidRDefault="00882FD6" w:rsidP="001F1ED5">
            <w:pPr>
              <w:jc w:val="center"/>
            </w:pPr>
            <w:r w:rsidRPr="00D51E5C">
              <w:t>88.0</w:t>
            </w:r>
          </w:p>
        </w:tc>
        <w:tc>
          <w:tcPr>
            <w:tcW w:w="1260" w:type="dxa"/>
            <w:shd w:val="clear" w:color="auto" w:fill="auto"/>
            <w:noWrap/>
            <w:vAlign w:val="center"/>
            <w:hideMark/>
          </w:tcPr>
          <w:p w:rsidR="00882FD6" w:rsidRPr="00D51E5C" w:rsidRDefault="00882FD6" w:rsidP="001F1ED5">
            <w:pPr>
              <w:jc w:val="center"/>
            </w:pPr>
            <w:r w:rsidRPr="00D51E5C">
              <w:t>3,803</w:t>
            </w:r>
          </w:p>
        </w:tc>
        <w:tc>
          <w:tcPr>
            <w:tcW w:w="1440" w:type="dxa"/>
            <w:shd w:val="clear" w:color="auto" w:fill="auto"/>
            <w:noWrap/>
            <w:vAlign w:val="center"/>
            <w:hideMark/>
          </w:tcPr>
          <w:p w:rsidR="00882FD6" w:rsidRPr="00D51E5C" w:rsidRDefault="00882FD6" w:rsidP="001F1ED5">
            <w:pPr>
              <w:jc w:val="center"/>
            </w:pPr>
            <w:r w:rsidRPr="00D51E5C">
              <w:t>10,441</w:t>
            </w:r>
          </w:p>
        </w:tc>
        <w:tc>
          <w:tcPr>
            <w:tcW w:w="1530" w:type="dxa"/>
            <w:shd w:val="clear" w:color="auto" w:fill="auto"/>
            <w:noWrap/>
            <w:vAlign w:val="center"/>
            <w:hideMark/>
          </w:tcPr>
          <w:p w:rsidR="00882FD6" w:rsidRPr="00D51E5C" w:rsidRDefault="00882FD6" w:rsidP="001F1ED5">
            <w:pPr>
              <w:jc w:val="center"/>
            </w:pPr>
            <w:r>
              <w:t>10,337</w:t>
            </w:r>
          </w:p>
        </w:tc>
        <w:tc>
          <w:tcPr>
            <w:tcW w:w="1350" w:type="dxa"/>
            <w:shd w:val="clear" w:color="auto" w:fill="auto"/>
            <w:noWrap/>
            <w:vAlign w:val="center"/>
            <w:hideMark/>
          </w:tcPr>
          <w:p w:rsidR="00882FD6" w:rsidRPr="00D51E5C" w:rsidRDefault="00882FD6" w:rsidP="001F1ED5">
            <w:pPr>
              <w:jc w:val="center"/>
            </w:pPr>
            <w:r w:rsidRPr="00D51E5C">
              <w:t>481</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St. Lucie 2</w:t>
            </w:r>
          </w:p>
        </w:tc>
        <w:tc>
          <w:tcPr>
            <w:tcW w:w="1260" w:type="dxa"/>
            <w:shd w:val="clear" w:color="auto" w:fill="auto"/>
            <w:noWrap/>
            <w:vAlign w:val="center"/>
            <w:hideMark/>
          </w:tcPr>
          <w:p w:rsidR="00882FD6" w:rsidRPr="00D51E5C" w:rsidRDefault="00882FD6" w:rsidP="001F1ED5">
            <w:pPr>
              <w:jc w:val="center"/>
            </w:pPr>
            <w:r w:rsidRPr="00D51E5C">
              <w:t>85.1</w:t>
            </w:r>
          </w:p>
        </w:tc>
        <w:tc>
          <w:tcPr>
            <w:tcW w:w="1170" w:type="dxa"/>
            <w:shd w:val="clear" w:color="auto" w:fill="auto"/>
            <w:noWrap/>
            <w:vAlign w:val="center"/>
            <w:hideMark/>
          </w:tcPr>
          <w:p w:rsidR="00882FD6" w:rsidRPr="00D51E5C" w:rsidRDefault="00882FD6" w:rsidP="001F1ED5">
            <w:pPr>
              <w:jc w:val="center"/>
            </w:pPr>
            <w:r w:rsidRPr="00D51E5C">
              <w:t>88.1</w:t>
            </w:r>
          </w:p>
        </w:tc>
        <w:tc>
          <w:tcPr>
            <w:tcW w:w="1260" w:type="dxa"/>
            <w:shd w:val="clear" w:color="auto" w:fill="auto"/>
            <w:noWrap/>
            <w:vAlign w:val="center"/>
            <w:hideMark/>
          </w:tcPr>
          <w:p w:rsidR="00882FD6" w:rsidRPr="00D51E5C" w:rsidRDefault="00882FD6" w:rsidP="001F1ED5">
            <w:pPr>
              <w:jc w:val="center"/>
            </w:pPr>
            <w:r w:rsidRPr="00D51E5C">
              <w:t>3,123</w:t>
            </w:r>
          </w:p>
        </w:tc>
        <w:tc>
          <w:tcPr>
            <w:tcW w:w="1440" w:type="dxa"/>
            <w:shd w:val="clear" w:color="auto" w:fill="auto"/>
            <w:noWrap/>
            <w:vAlign w:val="center"/>
            <w:hideMark/>
          </w:tcPr>
          <w:p w:rsidR="00882FD6" w:rsidRPr="00D51E5C" w:rsidRDefault="00882FD6" w:rsidP="001F1ED5">
            <w:pPr>
              <w:jc w:val="center"/>
            </w:pPr>
            <w:r w:rsidRPr="00D51E5C">
              <w:t>10,303</w:t>
            </w:r>
          </w:p>
        </w:tc>
        <w:tc>
          <w:tcPr>
            <w:tcW w:w="1530" w:type="dxa"/>
            <w:shd w:val="clear" w:color="auto" w:fill="auto"/>
            <w:noWrap/>
            <w:vAlign w:val="center"/>
            <w:hideMark/>
          </w:tcPr>
          <w:p w:rsidR="00882FD6" w:rsidRPr="00D51E5C" w:rsidRDefault="00882FD6" w:rsidP="001F1ED5">
            <w:pPr>
              <w:jc w:val="center"/>
            </w:pPr>
            <w:r>
              <w:t>10,221</w:t>
            </w:r>
          </w:p>
        </w:tc>
        <w:tc>
          <w:tcPr>
            <w:tcW w:w="1350" w:type="dxa"/>
            <w:shd w:val="clear" w:color="auto" w:fill="auto"/>
            <w:noWrap/>
            <w:vAlign w:val="center"/>
            <w:hideMark/>
          </w:tcPr>
          <w:p w:rsidR="00882FD6" w:rsidRPr="00D51E5C" w:rsidRDefault="00882FD6" w:rsidP="001F1ED5">
            <w:pPr>
              <w:jc w:val="center"/>
            </w:pPr>
            <w:r w:rsidRPr="00D51E5C">
              <w:t>357</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Turkey Point 3</w:t>
            </w:r>
          </w:p>
        </w:tc>
        <w:tc>
          <w:tcPr>
            <w:tcW w:w="1260" w:type="dxa"/>
            <w:shd w:val="clear" w:color="auto" w:fill="auto"/>
            <w:noWrap/>
            <w:vAlign w:val="center"/>
            <w:hideMark/>
          </w:tcPr>
          <w:p w:rsidR="00882FD6" w:rsidRPr="00D51E5C" w:rsidRDefault="00882FD6" w:rsidP="001F1ED5">
            <w:pPr>
              <w:jc w:val="center"/>
            </w:pPr>
            <w:r w:rsidRPr="00D51E5C">
              <w:t>82.1</w:t>
            </w:r>
          </w:p>
        </w:tc>
        <w:tc>
          <w:tcPr>
            <w:tcW w:w="1170" w:type="dxa"/>
            <w:shd w:val="clear" w:color="auto" w:fill="auto"/>
            <w:noWrap/>
            <w:vAlign w:val="center"/>
            <w:hideMark/>
          </w:tcPr>
          <w:p w:rsidR="00882FD6" w:rsidRPr="00D51E5C" w:rsidRDefault="00882FD6" w:rsidP="001F1ED5">
            <w:pPr>
              <w:jc w:val="center"/>
            </w:pPr>
            <w:r w:rsidRPr="00D51E5C">
              <w:t>85.1</w:t>
            </w:r>
          </w:p>
        </w:tc>
        <w:tc>
          <w:tcPr>
            <w:tcW w:w="1260" w:type="dxa"/>
            <w:shd w:val="clear" w:color="auto" w:fill="auto"/>
            <w:noWrap/>
            <w:vAlign w:val="center"/>
            <w:hideMark/>
          </w:tcPr>
          <w:p w:rsidR="00882FD6" w:rsidRPr="00D51E5C" w:rsidRDefault="00882FD6" w:rsidP="001F1ED5">
            <w:pPr>
              <w:jc w:val="center"/>
            </w:pPr>
            <w:r w:rsidRPr="00D51E5C">
              <w:t>3,037</w:t>
            </w:r>
          </w:p>
        </w:tc>
        <w:tc>
          <w:tcPr>
            <w:tcW w:w="1440" w:type="dxa"/>
            <w:shd w:val="clear" w:color="auto" w:fill="auto"/>
            <w:noWrap/>
            <w:vAlign w:val="center"/>
            <w:hideMark/>
          </w:tcPr>
          <w:p w:rsidR="00882FD6" w:rsidRPr="00D51E5C" w:rsidRDefault="00882FD6" w:rsidP="001F1ED5">
            <w:pPr>
              <w:jc w:val="center"/>
            </w:pPr>
            <w:r w:rsidRPr="00D51E5C">
              <w:t>11,044</w:t>
            </w:r>
          </w:p>
        </w:tc>
        <w:tc>
          <w:tcPr>
            <w:tcW w:w="1530" w:type="dxa"/>
            <w:shd w:val="clear" w:color="auto" w:fill="auto"/>
            <w:noWrap/>
            <w:vAlign w:val="center"/>
            <w:hideMark/>
          </w:tcPr>
          <w:p w:rsidR="00882FD6" w:rsidRPr="00D51E5C" w:rsidRDefault="00882FD6" w:rsidP="001F1ED5">
            <w:pPr>
              <w:jc w:val="center"/>
            </w:pPr>
            <w:r>
              <w:t>10,853</w:t>
            </w:r>
          </w:p>
        </w:tc>
        <w:tc>
          <w:tcPr>
            <w:tcW w:w="1350" w:type="dxa"/>
            <w:shd w:val="clear" w:color="auto" w:fill="auto"/>
            <w:noWrap/>
            <w:vAlign w:val="center"/>
            <w:hideMark/>
          </w:tcPr>
          <w:p w:rsidR="00882FD6" w:rsidRPr="00D51E5C" w:rsidRDefault="00882FD6" w:rsidP="001F1ED5">
            <w:pPr>
              <w:jc w:val="center"/>
            </w:pPr>
            <w:r w:rsidRPr="00D51E5C">
              <w:t>718</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Turkey Point 4</w:t>
            </w:r>
          </w:p>
        </w:tc>
        <w:tc>
          <w:tcPr>
            <w:tcW w:w="1260" w:type="dxa"/>
            <w:shd w:val="clear" w:color="auto" w:fill="auto"/>
            <w:noWrap/>
            <w:vAlign w:val="center"/>
            <w:hideMark/>
          </w:tcPr>
          <w:p w:rsidR="00882FD6" w:rsidRPr="00D51E5C" w:rsidRDefault="00882FD6" w:rsidP="001F1ED5">
            <w:pPr>
              <w:jc w:val="center"/>
            </w:pPr>
            <w:r w:rsidRPr="00D51E5C">
              <w:t>93.6</w:t>
            </w:r>
          </w:p>
        </w:tc>
        <w:tc>
          <w:tcPr>
            <w:tcW w:w="1170" w:type="dxa"/>
            <w:shd w:val="clear" w:color="auto" w:fill="auto"/>
            <w:noWrap/>
            <w:vAlign w:val="center"/>
            <w:hideMark/>
          </w:tcPr>
          <w:p w:rsidR="00882FD6" w:rsidRPr="00D51E5C" w:rsidRDefault="00882FD6" w:rsidP="001F1ED5">
            <w:pPr>
              <w:jc w:val="center"/>
            </w:pPr>
            <w:r w:rsidRPr="00D51E5C">
              <w:t>96.6</w:t>
            </w:r>
          </w:p>
        </w:tc>
        <w:tc>
          <w:tcPr>
            <w:tcW w:w="1260" w:type="dxa"/>
            <w:shd w:val="clear" w:color="auto" w:fill="auto"/>
            <w:noWrap/>
            <w:vAlign w:val="center"/>
            <w:hideMark/>
          </w:tcPr>
          <w:p w:rsidR="00882FD6" w:rsidRPr="00D51E5C" w:rsidRDefault="00882FD6" w:rsidP="001F1ED5">
            <w:pPr>
              <w:jc w:val="center"/>
            </w:pPr>
            <w:r w:rsidRPr="00D51E5C">
              <w:t>3,491</w:t>
            </w:r>
          </w:p>
        </w:tc>
        <w:tc>
          <w:tcPr>
            <w:tcW w:w="1440" w:type="dxa"/>
            <w:shd w:val="clear" w:color="auto" w:fill="auto"/>
            <w:noWrap/>
            <w:vAlign w:val="center"/>
            <w:hideMark/>
          </w:tcPr>
          <w:p w:rsidR="00882FD6" w:rsidRPr="00D51E5C" w:rsidRDefault="00882FD6" w:rsidP="001F1ED5">
            <w:pPr>
              <w:jc w:val="center"/>
            </w:pPr>
            <w:r w:rsidRPr="00D51E5C">
              <w:t>10,970</w:t>
            </w:r>
          </w:p>
        </w:tc>
        <w:tc>
          <w:tcPr>
            <w:tcW w:w="1530" w:type="dxa"/>
            <w:shd w:val="clear" w:color="auto" w:fill="auto"/>
            <w:noWrap/>
            <w:vAlign w:val="center"/>
            <w:hideMark/>
          </w:tcPr>
          <w:p w:rsidR="00882FD6" w:rsidRPr="00D51E5C" w:rsidRDefault="00882FD6" w:rsidP="001F1ED5">
            <w:pPr>
              <w:jc w:val="center"/>
            </w:pPr>
            <w:r>
              <w:t>10,763</w:t>
            </w:r>
          </w:p>
        </w:tc>
        <w:tc>
          <w:tcPr>
            <w:tcW w:w="1350" w:type="dxa"/>
            <w:shd w:val="clear" w:color="auto" w:fill="auto"/>
            <w:noWrap/>
            <w:vAlign w:val="center"/>
            <w:hideMark/>
          </w:tcPr>
          <w:p w:rsidR="00882FD6" w:rsidRPr="00D51E5C" w:rsidRDefault="00882FD6" w:rsidP="001F1ED5">
            <w:pPr>
              <w:jc w:val="center"/>
            </w:pPr>
            <w:r w:rsidRPr="00D51E5C">
              <w:t>863</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West County 1</w:t>
            </w:r>
          </w:p>
        </w:tc>
        <w:tc>
          <w:tcPr>
            <w:tcW w:w="1260" w:type="dxa"/>
            <w:shd w:val="clear" w:color="auto" w:fill="auto"/>
            <w:noWrap/>
            <w:vAlign w:val="center"/>
            <w:hideMark/>
          </w:tcPr>
          <w:p w:rsidR="00882FD6" w:rsidRPr="00D51E5C" w:rsidRDefault="00882FD6" w:rsidP="001F1ED5">
            <w:pPr>
              <w:jc w:val="center"/>
            </w:pPr>
            <w:r w:rsidRPr="00D51E5C">
              <w:t>79.1</w:t>
            </w:r>
          </w:p>
        </w:tc>
        <w:tc>
          <w:tcPr>
            <w:tcW w:w="1170" w:type="dxa"/>
            <w:shd w:val="clear" w:color="auto" w:fill="auto"/>
            <w:noWrap/>
            <w:vAlign w:val="center"/>
            <w:hideMark/>
          </w:tcPr>
          <w:p w:rsidR="00882FD6" w:rsidRPr="00D51E5C" w:rsidRDefault="00882FD6" w:rsidP="001F1ED5">
            <w:pPr>
              <w:jc w:val="center"/>
            </w:pPr>
            <w:r w:rsidRPr="00D51E5C">
              <w:t>82.1</w:t>
            </w:r>
          </w:p>
        </w:tc>
        <w:tc>
          <w:tcPr>
            <w:tcW w:w="1260" w:type="dxa"/>
            <w:shd w:val="clear" w:color="auto" w:fill="auto"/>
            <w:noWrap/>
            <w:vAlign w:val="center"/>
            <w:hideMark/>
          </w:tcPr>
          <w:p w:rsidR="00882FD6" w:rsidRPr="00D51E5C" w:rsidRDefault="00882FD6" w:rsidP="001F1ED5">
            <w:pPr>
              <w:jc w:val="center"/>
            </w:pPr>
            <w:r w:rsidRPr="00D51E5C">
              <w:t>1,109</w:t>
            </w:r>
          </w:p>
        </w:tc>
        <w:tc>
          <w:tcPr>
            <w:tcW w:w="1440" w:type="dxa"/>
            <w:shd w:val="clear" w:color="auto" w:fill="auto"/>
            <w:noWrap/>
            <w:vAlign w:val="center"/>
            <w:hideMark/>
          </w:tcPr>
          <w:p w:rsidR="00882FD6" w:rsidRPr="00D51E5C" w:rsidRDefault="00882FD6" w:rsidP="001F1ED5">
            <w:pPr>
              <w:jc w:val="center"/>
            </w:pPr>
            <w:r w:rsidRPr="00D51E5C">
              <w:t>6,963</w:t>
            </w:r>
          </w:p>
        </w:tc>
        <w:tc>
          <w:tcPr>
            <w:tcW w:w="1530" w:type="dxa"/>
            <w:shd w:val="clear" w:color="auto" w:fill="auto"/>
            <w:noWrap/>
            <w:vAlign w:val="center"/>
            <w:hideMark/>
          </w:tcPr>
          <w:p w:rsidR="00882FD6" w:rsidRPr="00D51E5C" w:rsidRDefault="00882FD6" w:rsidP="001F1ED5">
            <w:pPr>
              <w:jc w:val="center"/>
            </w:pPr>
            <w:r>
              <w:t>6,833</w:t>
            </w:r>
          </w:p>
        </w:tc>
        <w:tc>
          <w:tcPr>
            <w:tcW w:w="1350" w:type="dxa"/>
            <w:shd w:val="clear" w:color="auto" w:fill="auto"/>
            <w:noWrap/>
            <w:vAlign w:val="center"/>
            <w:hideMark/>
          </w:tcPr>
          <w:p w:rsidR="00882FD6" w:rsidRPr="00D51E5C" w:rsidRDefault="00882FD6" w:rsidP="001F1ED5">
            <w:pPr>
              <w:jc w:val="center"/>
            </w:pPr>
            <w:r w:rsidRPr="00D51E5C">
              <w:t>3,088</w:t>
            </w:r>
          </w:p>
        </w:tc>
      </w:tr>
      <w:tr w:rsidR="00882FD6" w:rsidRPr="00733B77" w:rsidTr="001F1ED5">
        <w:trPr>
          <w:trHeight w:val="300"/>
        </w:trPr>
        <w:tc>
          <w:tcPr>
            <w:tcW w:w="1440" w:type="dxa"/>
            <w:shd w:val="clear" w:color="auto" w:fill="auto"/>
            <w:noWrap/>
            <w:vAlign w:val="center"/>
            <w:hideMark/>
          </w:tcPr>
          <w:p w:rsidR="00882FD6" w:rsidRPr="00D51E5C" w:rsidRDefault="00882FD6" w:rsidP="001F1ED5">
            <w:pPr>
              <w:jc w:val="center"/>
            </w:pPr>
            <w:r w:rsidRPr="00D51E5C">
              <w:t>West County 2</w:t>
            </w:r>
          </w:p>
        </w:tc>
        <w:tc>
          <w:tcPr>
            <w:tcW w:w="1260" w:type="dxa"/>
            <w:shd w:val="clear" w:color="auto" w:fill="auto"/>
            <w:noWrap/>
            <w:vAlign w:val="center"/>
            <w:hideMark/>
          </w:tcPr>
          <w:p w:rsidR="00882FD6" w:rsidRPr="00D51E5C" w:rsidRDefault="00882FD6" w:rsidP="001F1ED5">
            <w:pPr>
              <w:jc w:val="center"/>
            </w:pPr>
            <w:r w:rsidRPr="00D51E5C">
              <w:t>89.3</w:t>
            </w:r>
          </w:p>
        </w:tc>
        <w:tc>
          <w:tcPr>
            <w:tcW w:w="1170" w:type="dxa"/>
            <w:shd w:val="clear" w:color="auto" w:fill="auto"/>
            <w:noWrap/>
            <w:vAlign w:val="center"/>
            <w:hideMark/>
          </w:tcPr>
          <w:p w:rsidR="00882FD6" w:rsidRPr="00D51E5C" w:rsidRDefault="00882FD6" w:rsidP="001F1ED5">
            <w:pPr>
              <w:jc w:val="center"/>
            </w:pPr>
            <w:r w:rsidRPr="00D51E5C">
              <w:t>91.8</w:t>
            </w:r>
          </w:p>
        </w:tc>
        <w:tc>
          <w:tcPr>
            <w:tcW w:w="1260" w:type="dxa"/>
            <w:shd w:val="clear" w:color="auto" w:fill="auto"/>
            <w:noWrap/>
            <w:vAlign w:val="center"/>
            <w:hideMark/>
          </w:tcPr>
          <w:p w:rsidR="00882FD6" w:rsidRPr="00D51E5C" w:rsidRDefault="00882FD6" w:rsidP="001F1ED5">
            <w:pPr>
              <w:jc w:val="center"/>
            </w:pPr>
            <w:r w:rsidRPr="00D51E5C">
              <w:t>997</w:t>
            </w:r>
          </w:p>
        </w:tc>
        <w:tc>
          <w:tcPr>
            <w:tcW w:w="1440" w:type="dxa"/>
            <w:shd w:val="clear" w:color="auto" w:fill="auto"/>
            <w:noWrap/>
            <w:vAlign w:val="center"/>
            <w:hideMark/>
          </w:tcPr>
          <w:p w:rsidR="00882FD6" w:rsidRPr="00D51E5C" w:rsidRDefault="00882FD6" w:rsidP="001F1ED5">
            <w:pPr>
              <w:jc w:val="center"/>
            </w:pPr>
            <w:r w:rsidRPr="00D51E5C">
              <w:t>6,892</w:t>
            </w:r>
          </w:p>
        </w:tc>
        <w:tc>
          <w:tcPr>
            <w:tcW w:w="1530" w:type="dxa"/>
            <w:shd w:val="clear" w:color="auto" w:fill="auto"/>
            <w:noWrap/>
            <w:vAlign w:val="center"/>
            <w:hideMark/>
          </w:tcPr>
          <w:p w:rsidR="00882FD6" w:rsidRPr="00D51E5C" w:rsidRDefault="00882FD6" w:rsidP="001F1ED5">
            <w:pPr>
              <w:jc w:val="center"/>
            </w:pPr>
            <w:r>
              <w:t>6,785</w:t>
            </w:r>
          </w:p>
        </w:tc>
        <w:tc>
          <w:tcPr>
            <w:tcW w:w="1350" w:type="dxa"/>
            <w:shd w:val="clear" w:color="auto" w:fill="auto"/>
            <w:noWrap/>
            <w:vAlign w:val="center"/>
            <w:hideMark/>
          </w:tcPr>
          <w:p w:rsidR="00882FD6" w:rsidRPr="00D51E5C" w:rsidRDefault="00882FD6" w:rsidP="001F1ED5">
            <w:pPr>
              <w:jc w:val="center"/>
            </w:pPr>
            <w:r w:rsidRPr="00D51E5C">
              <w:t>2,698</w:t>
            </w:r>
          </w:p>
        </w:tc>
      </w:tr>
      <w:tr w:rsidR="00882FD6" w:rsidRPr="00733B77" w:rsidTr="001F1ED5">
        <w:trPr>
          <w:trHeight w:val="260"/>
        </w:trPr>
        <w:tc>
          <w:tcPr>
            <w:tcW w:w="1440" w:type="dxa"/>
            <w:shd w:val="clear" w:color="auto" w:fill="auto"/>
            <w:noWrap/>
            <w:vAlign w:val="center"/>
          </w:tcPr>
          <w:p w:rsidR="00882FD6" w:rsidRPr="00D51E5C" w:rsidRDefault="00882FD6" w:rsidP="001F1ED5">
            <w:pPr>
              <w:jc w:val="center"/>
            </w:pPr>
            <w:r w:rsidRPr="00D51E5C">
              <w:t>West County 3</w:t>
            </w:r>
          </w:p>
        </w:tc>
        <w:tc>
          <w:tcPr>
            <w:tcW w:w="1260" w:type="dxa"/>
            <w:shd w:val="clear" w:color="auto" w:fill="auto"/>
            <w:noWrap/>
            <w:vAlign w:val="center"/>
          </w:tcPr>
          <w:p w:rsidR="00882FD6" w:rsidRPr="00D51E5C" w:rsidRDefault="00882FD6" w:rsidP="001F1ED5">
            <w:pPr>
              <w:jc w:val="center"/>
            </w:pPr>
            <w:r w:rsidRPr="00D51E5C">
              <w:t>80.4</w:t>
            </w:r>
          </w:p>
        </w:tc>
        <w:tc>
          <w:tcPr>
            <w:tcW w:w="1170" w:type="dxa"/>
            <w:shd w:val="clear" w:color="auto" w:fill="auto"/>
            <w:noWrap/>
            <w:vAlign w:val="center"/>
          </w:tcPr>
          <w:p w:rsidR="00882FD6" w:rsidRPr="00D51E5C" w:rsidRDefault="00882FD6" w:rsidP="001F1ED5">
            <w:pPr>
              <w:jc w:val="center"/>
            </w:pPr>
            <w:r w:rsidRPr="00D51E5C">
              <w:t>82.9</w:t>
            </w:r>
          </w:p>
        </w:tc>
        <w:tc>
          <w:tcPr>
            <w:tcW w:w="1260" w:type="dxa"/>
            <w:shd w:val="clear" w:color="auto" w:fill="auto"/>
            <w:noWrap/>
            <w:vAlign w:val="center"/>
          </w:tcPr>
          <w:p w:rsidR="00882FD6" w:rsidRPr="00D51E5C" w:rsidRDefault="00882FD6" w:rsidP="001F1ED5">
            <w:pPr>
              <w:jc w:val="center"/>
            </w:pPr>
            <w:r w:rsidRPr="00D51E5C">
              <w:t>908</w:t>
            </w:r>
          </w:p>
        </w:tc>
        <w:tc>
          <w:tcPr>
            <w:tcW w:w="1440" w:type="dxa"/>
            <w:shd w:val="clear" w:color="auto" w:fill="auto"/>
            <w:noWrap/>
            <w:vAlign w:val="center"/>
          </w:tcPr>
          <w:p w:rsidR="00882FD6" w:rsidRPr="00D51E5C" w:rsidRDefault="00882FD6" w:rsidP="001F1ED5">
            <w:pPr>
              <w:jc w:val="center"/>
            </w:pPr>
            <w:r w:rsidRPr="00D51E5C">
              <w:t>6,970</w:t>
            </w:r>
          </w:p>
        </w:tc>
        <w:tc>
          <w:tcPr>
            <w:tcW w:w="1530" w:type="dxa"/>
            <w:shd w:val="clear" w:color="auto" w:fill="auto"/>
            <w:noWrap/>
            <w:vAlign w:val="center"/>
          </w:tcPr>
          <w:p w:rsidR="00882FD6" w:rsidRPr="00D51E5C" w:rsidRDefault="00882FD6" w:rsidP="001F1ED5">
            <w:pPr>
              <w:jc w:val="center"/>
            </w:pPr>
            <w:r>
              <w:t>6,866</w:t>
            </w:r>
          </w:p>
        </w:tc>
        <w:tc>
          <w:tcPr>
            <w:tcW w:w="1350" w:type="dxa"/>
            <w:shd w:val="clear" w:color="auto" w:fill="auto"/>
            <w:noWrap/>
            <w:vAlign w:val="center"/>
          </w:tcPr>
          <w:p w:rsidR="00882FD6" w:rsidRPr="00D51E5C" w:rsidRDefault="00882FD6" w:rsidP="001F1ED5">
            <w:pPr>
              <w:jc w:val="center"/>
            </w:pPr>
            <w:r w:rsidRPr="00D51E5C">
              <w:t>2,422</w:t>
            </w:r>
          </w:p>
        </w:tc>
      </w:tr>
      <w:tr w:rsidR="00882FD6" w:rsidRPr="00733B77" w:rsidTr="001F1ED5">
        <w:trPr>
          <w:trHeight w:val="260"/>
        </w:trPr>
        <w:tc>
          <w:tcPr>
            <w:tcW w:w="1440" w:type="dxa"/>
            <w:shd w:val="clear" w:color="auto" w:fill="auto"/>
            <w:noWrap/>
            <w:vAlign w:val="center"/>
            <w:hideMark/>
          </w:tcPr>
          <w:p w:rsidR="00882FD6" w:rsidRPr="00D51E5C" w:rsidRDefault="00882FD6" w:rsidP="001F1ED5">
            <w:pPr>
              <w:jc w:val="center"/>
            </w:pPr>
            <w:r w:rsidRPr="00D51E5C">
              <w:t>Total</w:t>
            </w:r>
          </w:p>
        </w:tc>
        <w:tc>
          <w:tcPr>
            <w:tcW w:w="1260" w:type="dxa"/>
            <w:shd w:val="clear" w:color="auto" w:fill="auto"/>
            <w:noWrap/>
            <w:vAlign w:val="center"/>
            <w:hideMark/>
          </w:tcPr>
          <w:p w:rsidR="00882FD6" w:rsidRPr="00D51E5C" w:rsidRDefault="00882FD6" w:rsidP="001F1ED5">
            <w:pPr>
              <w:jc w:val="center"/>
            </w:pPr>
          </w:p>
        </w:tc>
        <w:tc>
          <w:tcPr>
            <w:tcW w:w="1170" w:type="dxa"/>
            <w:shd w:val="clear" w:color="auto" w:fill="auto"/>
            <w:noWrap/>
            <w:vAlign w:val="center"/>
            <w:hideMark/>
          </w:tcPr>
          <w:p w:rsidR="00882FD6" w:rsidRPr="00D51E5C" w:rsidRDefault="00882FD6" w:rsidP="001F1ED5">
            <w:pPr>
              <w:jc w:val="center"/>
            </w:pPr>
          </w:p>
        </w:tc>
        <w:tc>
          <w:tcPr>
            <w:tcW w:w="1260" w:type="dxa"/>
            <w:shd w:val="clear" w:color="auto" w:fill="auto"/>
            <w:noWrap/>
            <w:vAlign w:val="center"/>
            <w:hideMark/>
          </w:tcPr>
          <w:p w:rsidR="00882FD6" w:rsidRPr="00D51E5C" w:rsidRDefault="00882FD6" w:rsidP="001F1ED5">
            <w:pPr>
              <w:jc w:val="center"/>
            </w:pPr>
            <w:r w:rsidRPr="00D51E5C">
              <w:t>20,198</w:t>
            </w:r>
          </w:p>
        </w:tc>
        <w:tc>
          <w:tcPr>
            <w:tcW w:w="1440" w:type="dxa"/>
            <w:shd w:val="clear" w:color="auto" w:fill="auto"/>
            <w:noWrap/>
            <w:vAlign w:val="center"/>
            <w:hideMark/>
          </w:tcPr>
          <w:p w:rsidR="00882FD6" w:rsidRPr="00D51E5C" w:rsidRDefault="00882FD6" w:rsidP="001F1ED5">
            <w:pPr>
              <w:jc w:val="center"/>
            </w:pPr>
          </w:p>
        </w:tc>
        <w:tc>
          <w:tcPr>
            <w:tcW w:w="1530" w:type="dxa"/>
            <w:shd w:val="clear" w:color="auto" w:fill="auto"/>
            <w:noWrap/>
            <w:vAlign w:val="center"/>
            <w:hideMark/>
          </w:tcPr>
          <w:p w:rsidR="00882FD6" w:rsidRPr="00D51E5C" w:rsidRDefault="00882FD6" w:rsidP="001F1ED5">
            <w:pPr>
              <w:jc w:val="center"/>
            </w:pPr>
          </w:p>
        </w:tc>
        <w:tc>
          <w:tcPr>
            <w:tcW w:w="1350" w:type="dxa"/>
            <w:shd w:val="clear" w:color="auto" w:fill="auto"/>
            <w:noWrap/>
            <w:vAlign w:val="center"/>
            <w:hideMark/>
          </w:tcPr>
          <w:p w:rsidR="00882FD6" w:rsidRPr="00D51E5C" w:rsidRDefault="00882FD6" w:rsidP="001F1ED5">
            <w:pPr>
              <w:jc w:val="center"/>
            </w:pPr>
            <w:r w:rsidRPr="00D51E5C">
              <w:t>23,911</w:t>
            </w:r>
          </w:p>
        </w:tc>
      </w:tr>
    </w:tbl>
    <w:p w:rsidR="00882FD6" w:rsidRPr="00D51E5C" w:rsidRDefault="00882FD6" w:rsidP="00882FD6">
      <w:pPr>
        <w:rPr>
          <w:sz w:val="20"/>
          <w:szCs w:val="20"/>
        </w:rPr>
      </w:pPr>
      <w:r>
        <w:t xml:space="preserve">    </w:t>
      </w:r>
      <w:r w:rsidRPr="00D51E5C">
        <w:rPr>
          <w:sz w:val="20"/>
          <w:szCs w:val="20"/>
        </w:rPr>
        <w:t>Source: GPIF Target and Range Summary, Appendix 4, Pages 4, 6 of 19</w:t>
      </w:r>
    </w:p>
    <w:p w:rsidR="00882FD6" w:rsidRDefault="00882FD6" w:rsidP="00882FD6"/>
    <w:p w:rsidR="00882FD6" w:rsidRDefault="00882FD6" w:rsidP="00882FD6">
      <w:pPr>
        <w:sectPr w:rsidR="00882FD6" w:rsidSect="001F1ED5">
          <w:headerReference w:type="default" r:id="rId22"/>
          <w:type w:val="continuous"/>
          <w:pgSz w:w="12240" w:h="15840" w:code="1"/>
          <w:pgMar w:top="1584" w:right="1440" w:bottom="1440" w:left="1440" w:header="720" w:footer="720" w:gutter="0"/>
          <w:cols w:space="720"/>
          <w:formProt w:val="0"/>
          <w:docGrid w:linePitch="360"/>
        </w:sectPr>
      </w:pPr>
    </w:p>
    <w:p w:rsidR="00882FD6" w:rsidRDefault="00882FD6" w:rsidP="00882FD6"/>
    <w:p w:rsidR="00882FD6" w:rsidRDefault="00882FD6" w:rsidP="00882FD6">
      <w:r>
        <w:br w:type="page"/>
      </w:r>
    </w:p>
    <w:p w:rsidR="00882FD6" w:rsidRDefault="00882FD6" w:rsidP="00882FD6">
      <w:r>
        <w:rPr>
          <w:noProof/>
        </w:rPr>
        <w:lastRenderedPageBreak/>
        <w:drawing>
          <wp:inline distT="0" distB="0" distL="0" distR="0" wp14:anchorId="7D919FA7" wp14:editId="56A6D57C">
            <wp:extent cx="6743700" cy="8271062"/>
            <wp:effectExtent l="0" t="0" r="0" b="0"/>
            <wp:docPr id="2" name="Picture 2" descr="C:\Users\lray\AppData\Local\Microsoft\Windows\Temporary Internet Files\Content.Outlook\GQ1W6S14\lisa-p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y\AppData\Local\Microsoft\Windows\Temporary Internet Files\Content.Outlook\GQ1W6S14\lisa-pg-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53152" cy="8282655"/>
                    </a:xfrm>
                    <a:prstGeom prst="rect">
                      <a:avLst/>
                    </a:prstGeom>
                    <a:noFill/>
                    <a:ln>
                      <a:noFill/>
                    </a:ln>
                  </pic:spPr>
                </pic:pic>
              </a:graphicData>
            </a:graphic>
          </wp:inline>
        </w:drawing>
      </w:r>
    </w:p>
    <w:p w:rsidR="00882FD6" w:rsidRDefault="00882FD6" w:rsidP="00882FD6">
      <w:pPr>
        <w:sectPr w:rsidR="00882FD6" w:rsidSect="001F1ED5">
          <w:headerReference w:type="default" r:id="rId24"/>
          <w:type w:val="continuous"/>
          <w:pgSz w:w="12240" w:h="15840" w:code="1"/>
          <w:pgMar w:top="1584" w:right="1440" w:bottom="1440" w:left="1440" w:header="720" w:footer="720" w:gutter="0"/>
          <w:cols w:space="720"/>
          <w:formProt w:val="0"/>
          <w:docGrid w:linePitch="360"/>
        </w:sectPr>
      </w:pPr>
    </w:p>
    <w:p w:rsidR="00882FD6" w:rsidRDefault="00882FD6" w:rsidP="00882FD6">
      <w:pPr>
        <w:rPr>
          <w:rFonts w:ascii="Arial" w:hAnsi="Arial" w:cs="Arial"/>
          <w:b/>
        </w:rPr>
        <w:sectPr w:rsidR="00882FD6" w:rsidSect="001F1ED5">
          <w:headerReference w:type="default" r:id="rId25"/>
          <w:type w:val="continuous"/>
          <w:pgSz w:w="12240" w:h="15840" w:code="1"/>
          <w:pgMar w:top="1584" w:right="1440" w:bottom="1440" w:left="1440" w:header="720" w:footer="720" w:gutter="0"/>
          <w:cols w:space="720"/>
          <w:formProt w:val="0"/>
          <w:docGrid w:linePitch="360"/>
        </w:sectPr>
      </w:pPr>
      <w:r>
        <w:rPr>
          <w:rFonts w:ascii="Arial" w:hAnsi="Arial" w:cs="Arial"/>
          <w:b/>
          <w:noProof/>
        </w:rPr>
        <w:lastRenderedPageBreak/>
        <w:drawing>
          <wp:inline distT="0" distB="0" distL="0" distR="0" wp14:anchorId="5958CDA3" wp14:editId="3ED5CD04">
            <wp:extent cx="6352291" cy="8210550"/>
            <wp:effectExtent l="0" t="0" r="0" b="0"/>
            <wp:docPr id="3" name="Picture 3" descr="C:\Users\lray\AppData\Local\Microsoft\Windows\Temporary Internet Files\Content.Outlook\GQ1W6S14\lisa-p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ay\AppData\Local\Microsoft\Windows\Temporary Internet Files\Content.Outlook\GQ1W6S14\lisa-pg-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2291" cy="8210550"/>
                    </a:xfrm>
                    <a:prstGeom prst="rect">
                      <a:avLst/>
                    </a:prstGeom>
                    <a:noFill/>
                    <a:ln>
                      <a:noFill/>
                    </a:ln>
                  </pic:spPr>
                </pic:pic>
              </a:graphicData>
            </a:graphic>
          </wp:inline>
        </w:drawing>
      </w:r>
    </w:p>
    <w:p w:rsidR="00882FD6" w:rsidRPr="00E63309" w:rsidRDefault="00882FD6" w:rsidP="00882FD6">
      <w:pPr>
        <w:jc w:val="center"/>
        <w:rPr>
          <w:rFonts w:ascii="Arial" w:hAnsi="Arial" w:cs="Arial"/>
          <w:b/>
        </w:rPr>
      </w:pPr>
      <w:r>
        <w:rPr>
          <w:rFonts w:ascii="Arial" w:hAnsi="Arial" w:cs="Arial"/>
          <w:b/>
        </w:rPr>
        <w:lastRenderedPageBreak/>
        <w:br w:type="page"/>
      </w:r>
      <w:r>
        <w:rPr>
          <w:rFonts w:ascii="Arial" w:hAnsi="Arial" w:cs="Arial"/>
          <w:b/>
        </w:rPr>
        <w:lastRenderedPageBreak/>
        <w:t>Table 1</w:t>
      </w:r>
    </w:p>
    <w:p w:rsidR="00882FD6" w:rsidRDefault="00882FD6" w:rsidP="00882FD6">
      <w:pPr>
        <w:autoSpaceDE w:val="0"/>
        <w:autoSpaceDN w:val="0"/>
        <w:adjustRightInd w:val="0"/>
        <w:jc w:val="center"/>
        <w:rPr>
          <w:rFonts w:ascii="Arial" w:hAnsi="Arial" w:cs="Arial"/>
          <w:b/>
        </w:rPr>
      </w:pPr>
      <w:r>
        <w:rPr>
          <w:rFonts w:ascii="Arial" w:hAnsi="Arial" w:cs="Arial"/>
          <w:b/>
        </w:rPr>
        <w:t>FPL Typical 1,000-kWh Residential Customer Bill Comparison</w:t>
      </w:r>
    </w:p>
    <w:p w:rsidR="00882FD6" w:rsidRDefault="00882FD6" w:rsidP="00882FD6">
      <w:pPr>
        <w:autoSpaceDE w:val="0"/>
        <w:autoSpaceDN w:val="0"/>
        <w:adjustRightInd w:val="0"/>
        <w:jc w:val="center"/>
      </w:pPr>
      <w:r>
        <w:rPr>
          <w:rFonts w:ascii="Arial" w:hAnsi="Arial" w:cs="Arial"/>
          <w:b/>
        </w:rPr>
        <w:t>for the period March-December, 2018</w:t>
      </w:r>
    </w:p>
    <w:tbl>
      <w:tblPr>
        <w:tblStyle w:val="TableGrid"/>
        <w:tblW w:w="9648" w:type="dxa"/>
        <w:tblLayout w:type="fixed"/>
        <w:tblLook w:val="01E0" w:firstRow="1" w:lastRow="1" w:firstColumn="1" w:lastColumn="1" w:noHBand="0" w:noVBand="0"/>
      </w:tblPr>
      <w:tblGrid>
        <w:gridCol w:w="1710"/>
        <w:gridCol w:w="1188"/>
        <w:gridCol w:w="1620"/>
        <w:gridCol w:w="1710"/>
        <w:gridCol w:w="1800"/>
        <w:gridCol w:w="1620"/>
      </w:tblGrid>
      <w:tr w:rsidR="00882FD6" w:rsidTr="001F1ED5">
        <w:trPr>
          <w:trHeight w:val="288"/>
        </w:trPr>
        <w:tc>
          <w:tcPr>
            <w:tcW w:w="1710" w:type="dxa"/>
          </w:tcPr>
          <w:p w:rsidR="00882FD6" w:rsidRDefault="00882FD6" w:rsidP="001F1ED5">
            <w:pPr>
              <w:autoSpaceDE w:val="0"/>
              <w:autoSpaceDN w:val="0"/>
              <w:adjustRightInd w:val="0"/>
              <w:jc w:val="center"/>
            </w:pPr>
            <w:r>
              <w:t>(1)</w:t>
            </w:r>
          </w:p>
        </w:tc>
        <w:tc>
          <w:tcPr>
            <w:tcW w:w="1188" w:type="dxa"/>
          </w:tcPr>
          <w:p w:rsidR="00882FD6" w:rsidRDefault="00882FD6" w:rsidP="001F1ED5">
            <w:pPr>
              <w:autoSpaceDE w:val="0"/>
              <w:autoSpaceDN w:val="0"/>
              <w:adjustRightInd w:val="0"/>
              <w:jc w:val="center"/>
            </w:pPr>
            <w:r>
              <w:t>(2)</w:t>
            </w:r>
          </w:p>
        </w:tc>
        <w:tc>
          <w:tcPr>
            <w:tcW w:w="1620" w:type="dxa"/>
          </w:tcPr>
          <w:p w:rsidR="00882FD6" w:rsidRDefault="00882FD6" w:rsidP="001F1ED5">
            <w:pPr>
              <w:autoSpaceDE w:val="0"/>
              <w:autoSpaceDN w:val="0"/>
              <w:adjustRightInd w:val="0"/>
              <w:jc w:val="center"/>
            </w:pPr>
            <w:r>
              <w:t>(3)</w:t>
            </w:r>
          </w:p>
        </w:tc>
        <w:tc>
          <w:tcPr>
            <w:tcW w:w="1710" w:type="dxa"/>
          </w:tcPr>
          <w:p w:rsidR="00882FD6" w:rsidRDefault="00882FD6" w:rsidP="001F1ED5">
            <w:pPr>
              <w:autoSpaceDE w:val="0"/>
              <w:autoSpaceDN w:val="0"/>
              <w:adjustRightInd w:val="0"/>
              <w:jc w:val="center"/>
            </w:pPr>
            <w:r>
              <w:t>(4)</w:t>
            </w:r>
          </w:p>
        </w:tc>
        <w:tc>
          <w:tcPr>
            <w:tcW w:w="1800" w:type="dxa"/>
          </w:tcPr>
          <w:p w:rsidR="00882FD6" w:rsidRDefault="00882FD6" w:rsidP="001F1ED5">
            <w:pPr>
              <w:autoSpaceDE w:val="0"/>
              <w:autoSpaceDN w:val="0"/>
              <w:adjustRightInd w:val="0"/>
              <w:jc w:val="center"/>
            </w:pPr>
            <w:r>
              <w:t>(5)</w:t>
            </w:r>
          </w:p>
        </w:tc>
        <w:tc>
          <w:tcPr>
            <w:tcW w:w="1620" w:type="dxa"/>
          </w:tcPr>
          <w:p w:rsidR="00882FD6" w:rsidRDefault="00882FD6" w:rsidP="001F1ED5">
            <w:pPr>
              <w:autoSpaceDE w:val="0"/>
              <w:autoSpaceDN w:val="0"/>
              <w:adjustRightInd w:val="0"/>
              <w:jc w:val="center"/>
            </w:pPr>
            <w:r>
              <w:t>(6)</w:t>
            </w:r>
          </w:p>
        </w:tc>
      </w:tr>
      <w:tr w:rsidR="00882FD6" w:rsidTr="001F1ED5">
        <w:trPr>
          <w:trHeight w:val="2304"/>
        </w:trPr>
        <w:tc>
          <w:tcPr>
            <w:tcW w:w="1710" w:type="dxa"/>
            <w:vAlign w:val="center"/>
            <w:hideMark/>
          </w:tcPr>
          <w:p w:rsidR="00882FD6" w:rsidRDefault="00882FD6" w:rsidP="001F1ED5">
            <w:pPr>
              <w:autoSpaceDE w:val="0"/>
              <w:autoSpaceDN w:val="0"/>
              <w:adjustRightInd w:val="0"/>
              <w:jc w:val="center"/>
            </w:pPr>
            <w:r>
              <w:t>Component</w:t>
            </w:r>
          </w:p>
        </w:tc>
        <w:tc>
          <w:tcPr>
            <w:tcW w:w="1188" w:type="dxa"/>
          </w:tcPr>
          <w:p w:rsidR="00882FD6" w:rsidRDefault="00882FD6" w:rsidP="001F1ED5">
            <w:pPr>
              <w:autoSpaceDE w:val="0"/>
              <w:autoSpaceDN w:val="0"/>
              <w:adjustRightInd w:val="0"/>
              <w:jc w:val="center"/>
            </w:pPr>
            <w:r>
              <w:t>January-February 2018</w:t>
            </w:r>
          </w:p>
          <w:p w:rsidR="00882FD6" w:rsidRDefault="00882FD6" w:rsidP="001F1ED5">
            <w:pPr>
              <w:autoSpaceDE w:val="0"/>
              <w:autoSpaceDN w:val="0"/>
              <w:adjustRightInd w:val="0"/>
            </w:pPr>
          </w:p>
          <w:p w:rsidR="00882FD6" w:rsidRDefault="00882FD6" w:rsidP="001F1ED5">
            <w:pPr>
              <w:autoSpaceDE w:val="0"/>
              <w:autoSpaceDN w:val="0"/>
              <w:adjustRightInd w:val="0"/>
            </w:pPr>
          </w:p>
          <w:p w:rsidR="00882FD6" w:rsidRDefault="00882FD6" w:rsidP="001F1ED5">
            <w:pPr>
              <w:autoSpaceDE w:val="0"/>
              <w:autoSpaceDN w:val="0"/>
              <w:adjustRightInd w:val="0"/>
              <w:jc w:val="center"/>
            </w:pPr>
            <w:r>
              <w:t>(Current)</w:t>
            </w:r>
          </w:p>
        </w:tc>
        <w:tc>
          <w:tcPr>
            <w:tcW w:w="1620" w:type="dxa"/>
          </w:tcPr>
          <w:p w:rsidR="00882FD6" w:rsidRDefault="00882FD6" w:rsidP="001F1ED5">
            <w:pPr>
              <w:autoSpaceDE w:val="0"/>
              <w:autoSpaceDN w:val="0"/>
              <w:adjustRightInd w:val="0"/>
              <w:jc w:val="center"/>
            </w:pPr>
            <w:r>
              <w:t>Previously Approved</w:t>
            </w:r>
          </w:p>
          <w:p w:rsidR="00882FD6" w:rsidRDefault="00882FD6" w:rsidP="001F1ED5">
            <w:pPr>
              <w:autoSpaceDE w:val="0"/>
              <w:autoSpaceDN w:val="0"/>
              <w:adjustRightInd w:val="0"/>
              <w:jc w:val="center"/>
            </w:pPr>
          </w:p>
          <w:p w:rsidR="00882FD6" w:rsidRDefault="00882FD6" w:rsidP="001F1ED5">
            <w:pPr>
              <w:autoSpaceDE w:val="0"/>
              <w:autoSpaceDN w:val="0"/>
              <w:adjustRightInd w:val="0"/>
              <w:jc w:val="center"/>
            </w:pPr>
          </w:p>
          <w:p w:rsidR="00882FD6" w:rsidRDefault="00882FD6" w:rsidP="001F1ED5">
            <w:pPr>
              <w:autoSpaceDE w:val="0"/>
              <w:autoSpaceDN w:val="0"/>
              <w:adjustRightInd w:val="0"/>
              <w:jc w:val="center"/>
            </w:pPr>
            <w:r>
              <w:t>March – December 2018</w:t>
            </w:r>
          </w:p>
          <w:p w:rsidR="00882FD6" w:rsidRDefault="00882FD6" w:rsidP="001F1ED5">
            <w:pPr>
              <w:autoSpaceDE w:val="0"/>
              <w:autoSpaceDN w:val="0"/>
              <w:adjustRightInd w:val="0"/>
              <w:jc w:val="center"/>
            </w:pPr>
            <w:r>
              <w:t xml:space="preserve"> </w:t>
            </w:r>
          </w:p>
          <w:p w:rsidR="00882FD6" w:rsidRDefault="00882FD6" w:rsidP="001F1ED5">
            <w:pPr>
              <w:autoSpaceDE w:val="0"/>
              <w:autoSpaceDN w:val="0"/>
              <w:adjustRightInd w:val="0"/>
              <w:jc w:val="center"/>
            </w:pPr>
          </w:p>
        </w:tc>
        <w:tc>
          <w:tcPr>
            <w:tcW w:w="1710" w:type="dxa"/>
          </w:tcPr>
          <w:p w:rsidR="00882FD6" w:rsidRDefault="00882FD6" w:rsidP="001F1ED5">
            <w:pPr>
              <w:autoSpaceDE w:val="0"/>
              <w:autoSpaceDN w:val="0"/>
              <w:adjustRightInd w:val="0"/>
              <w:jc w:val="center"/>
            </w:pPr>
            <w:r>
              <w:t>Proposed</w:t>
            </w:r>
          </w:p>
          <w:p w:rsidR="00882FD6" w:rsidRDefault="00882FD6" w:rsidP="001F1ED5">
            <w:pPr>
              <w:autoSpaceDE w:val="0"/>
              <w:autoSpaceDN w:val="0"/>
              <w:adjustRightInd w:val="0"/>
              <w:jc w:val="center"/>
            </w:pPr>
            <w:r>
              <w:t>March – December 2018</w:t>
            </w:r>
          </w:p>
          <w:p w:rsidR="00882FD6" w:rsidRDefault="00882FD6" w:rsidP="001F1ED5">
            <w:pPr>
              <w:autoSpaceDE w:val="0"/>
              <w:autoSpaceDN w:val="0"/>
              <w:adjustRightInd w:val="0"/>
              <w:jc w:val="center"/>
            </w:pPr>
            <w:r>
              <w:t xml:space="preserve"> </w:t>
            </w:r>
          </w:p>
          <w:p w:rsidR="00882FD6" w:rsidRDefault="00882FD6" w:rsidP="001F1ED5">
            <w:pPr>
              <w:autoSpaceDE w:val="0"/>
              <w:autoSpaceDN w:val="0"/>
              <w:adjustRightInd w:val="0"/>
              <w:jc w:val="center"/>
            </w:pPr>
            <w:r>
              <w:t>(Mid-Course</w:t>
            </w:r>
          </w:p>
          <w:p w:rsidR="00882FD6" w:rsidRDefault="00882FD6" w:rsidP="001F1ED5">
            <w:pPr>
              <w:autoSpaceDE w:val="0"/>
              <w:autoSpaceDN w:val="0"/>
              <w:adjustRightInd w:val="0"/>
              <w:jc w:val="center"/>
            </w:pPr>
            <w:r>
              <w:t>Correction, as originally filed in November, 2017)</w:t>
            </w:r>
          </w:p>
        </w:tc>
        <w:tc>
          <w:tcPr>
            <w:tcW w:w="1800" w:type="dxa"/>
          </w:tcPr>
          <w:p w:rsidR="00882FD6" w:rsidRDefault="00882FD6" w:rsidP="001F1ED5">
            <w:pPr>
              <w:autoSpaceDE w:val="0"/>
              <w:autoSpaceDN w:val="0"/>
              <w:adjustRightInd w:val="0"/>
              <w:jc w:val="center"/>
            </w:pPr>
            <w:r>
              <w:t>Revised</w:t>
            </w:r>
            <w:r>
              <w:rPr>
                <w:rStyle w:val="FootnoteReference"/>
              </w:rPr>
              <w:footnoteReference w:id="13"/>
            </w:r>
          </w:p>
          <w:p w:rsidR="00882FD6" w:rsidRDefault="00882FD6" w:rsidP="001F1ED5">
            <w:pPr>
              <w:autoSpaceDE w:val="0"/>
              <w:autoSpaceDN w:val="0"/>
              <w:adjustRightInd w:val="0"/>
              <w:jc w:val="center"/>
            </w:pPr>
            <w:r>
              <w:t>March – December 2018</w:t>
            </w:r>
          </w:p>
          <w:p w:rsidR="00882FD6" w:rsidRDefault="00882FD6" w:rsidP="001F1ED5">
            <w:pPr>
              <w:autoSpaceDE w:val="0"/>
              <w:autoSpaceDN w:val="0"/>
              <w:adjustRightInd w:val="0"/>
              <w:jc w:val="center"/>
            </w:pPr>
          </w:p>
          <w:p w:rsidR="00882FD6" w:rsidRDefault="00882FD6" w:rsidP="001F1ED5">
            <w:pPr>
              <w:autoSpaceDE w:val="0"/>
              <w:autoSpaceDN w:val="0"/>
              <w:adjustRightInd w:val="0"/>
              <w:jc w:val="center"/>
            </w:pPr>
            <w:r>
              <w:t xml:space="preserve"> </w:t>
            </w:r>
          </w:p>
          <w:p w:rsidR="00882FD6" w:rsidRDefault="00882FD6" w:rsidP="001F1ED5">
            <w:pPr>
              <w:autoSpaceDE w:val="0"/>
              <w:autoSpaceDN w:val="0"/>
              <w:adjustRightInd w:val="0"/>
              <w:jc w:val="center"/>
            </w:pPr>
            <w:r>
              <w:t>(Mid-Course</w:t>
            </w:r>
          </w:p>
          <w:p w:rsidR="00882FD6" w:rsidRDefault="00882FD6" w:rsidP="001F1ED5">
            <w:pPr>
              <w:autoSpaceDE w:val="0"/>
              <w:autoSpaceDN w:val="0"/>
              <w:adjustRightInd w:val="0"/>
              <w:jc w:val="center"/>
            </w:pPr>
            <w:r>
              <w:t>Correction, as revised in January, 2018)</w:t>
            </w:r>
          </w:p>
        </w:tc>
        <w:tc>
          <w:tcPr>
            <w:tcW w:w="1620" w:type="dxa"/>
          </w:tcPr>
          <w:p w:rsidR="00882FD6" w:rsidRDefault="00882FD6" w:rsidP="001F1ED5">
            <w:pPr>
              <w:autoSpaceDE w:val="0"/>
              <w:autoSpaceDN w:val="0"/>
              <w:adjustRightInd w:val="0"/>
              <w:jc w:val="center"/>
            </w:pPr>
            <w:r>
              <w:t xml:space="preserve">Net Difference </w:t>
            </w:r>
          </w:p>
          <w:p w:rsidR="00882FD6" w:rsidRDefault="00882FD6" w:rsidP="001F1ED5">
            <w:pPr>
              <w:autoSpaceDE w:val="0"/>
              <w:autoSpaceDN w:val="0"/>
              <w:adjustRightInd w:val="0"/>
            </w:pPr>
          </w:p>
          <w:p w:rsidR="00882FD6" w:rsidRDefault="00882FD6" w:rsidP="001F1ED5">
            <w:pPr>
              <w:autoSpaceDE w:val="0"/>
              <w:autoSpaceDN w:val="0"/>
              <w:adjustRightInd w:val="0"/>
              <w:jc w:val="center"/>
            </w:pPr>
            <w:r>
              <w:t xml:space="preserve">(from Previously-Approved amounts to Revised Mid-Course Correction - March-December, 2018) </w:t>
            </w:r>
          </w:p>
        </w:tc>
      </w:tr>
      <w:tr w:rsidR="00882FD6" w:rsidTr="001F1ED5">
        <w:trPr>
          <w:trHeight w:val="562"/>
        </w:trPr>
        <w:tc>
          <w:tcPr>
            <w:tcW w:w="1710" w:type="dxa"/>
            <w:vAlign w:val="center"/>
            <w:hideMark/>
          </w:tcPr>
          <w:p w:rsidR="00882FD6" w:rsidRDefault="00882FD6" w:rsidP="001F1ED5">
            <w:pPr>
              <w:autoSpaceDE w:val="0"/>
              <w:autoSpaceDN w:val="0"/>
              <w:adjustRightInd w:val="0"/>
              <w:jc w:val="center"/>
            </w:pPr>
            <w:r>
              <w:t>Base Charge</w:t>
            </w:r>
          </w:p>
        </w:tc>
        <w:tc>
          <w:tcPr>
            <w:tcW w:w="1188" w:type="dxa"/>
            <w:vAlign w:val="center"/>
            <w:hideMark/>
          </w:tcPr>
          <w:p w:rsidR="00882FD6" w:rsidRDefault="00882FD6" w:rsidP="001F1ED5">
            <w:pPr>
              <w:autoSpaceDE w:val="0"/>
              <w:autoSpaceDN w:val="0"/>
              <w:adjustRightInd w:val="0"/>
              <w:jc w:val="center"/>
            </w:pPr>
            <w:r>
              <w:t>$66.49</w:t>
            </w:r>
          </w:p>
        </w:tc>
        <w:tc>
          <w:tcPr>
            <w:tcW w:w="1620" w:type="dxa"/>
            <w:vAlign w:val="center"/>
          </w:tcPr>
          <w:p w:rsidR="00882FD6" w:rsidRDefault="00882FD6" w:rsidP="001F1ED5">
            <w:pPr>
              <w:autoSpaceDE w:val="0"/>
              <w:autoSpaceDN w:val="0"/>
              <w:adjustRightInd w:val="0"/>
              <w:jc w:val="center"/>
            </w:pPr>
            <w:r>
              <w:t>$67.10</w:t>
            </w:r>
          </w:p>
        </w:tc>
        <w:tc>
          <w:tcPr>
            <w:tcW w:w="1710" w:type="dxa"/>
            <w:vAlign w:val="center"/>
          </w:tcPr>
          <w:p w:rsidR="00882FD6" w:rsidRDefault="00882FD6" w:rsidP="001F1ED5">
            <w:pPr>
              <w:autoSpaceDE w:val="0"/>
              <w:autoSpaceDN w:val="0"/>
              <w:adjustRightInd w:val="0"/>
              <w:jc w:val="center"/>
            </w:pPr>
            <w:r>
              <w:t>$67.10</w:t>
            </w:r>
          </w:p>
        </w:tc>
        <w:tc>
          <w:tcPr>
            <w:tcW w:w="1800" w:type="dxa"/>
            <w:vAlign w:val="center"/>
          </w:tcPr>
          <w:p w:rsidR="00882FD6" w:rsidRDefault="00882FD6" w:rsidP="001F1ED5">
            <w:pPr>
              <w:autoSpaceDE w:val="0"/>
              <w:autoSpaceDN w:val="0"/>
              <w:adjustRightInd w:val="0"/>
              <w:jc w:val="center"/>
            </w:pPr>
            <w:r>
              <w:t>$67.10</w:t>
            </w:r>
          </w:p>
        </w:tc>
        <w:tc>
          <w:tcPr>
            <w:tcW w:w="1620" w:type="dxa"/>
            <w:vAlign w:val="center"/>
          </w:tcPr>
          <w:p w:rsidR="00882FD6" w:rsidRDefault="00882FD6" w:rsidP="001F1ED5">
            <w:pPr>
              <w:autoSpaceDE w:val="0"/>
              <w:autoSpaceDN w:val="0"/>
              <w:adjustRightInd w:val="0"/>
              <w:jc w:val="center"/>
            </w:pPr>
            <w:r>
              <w:t>$0.00</w:t>
            </w:r>
          </w:p>
        </w:tc>
      </w:tr>
      <w:tr w:rsidR="00882FD6" w:rsidTr="001F1ED5">
        <w:trPr>
          <w:trHeight w:val="562"/>
        </w:trPr>
        <w:tc>
          <w:tcPr>
            <w:tcW w:w="1710" w:type="dxa"/>
            <w:hideMark/>
          </w:tcPr>
          <w:p w:rsidR="00882FD6" w:rsidRDefault="00882FD6" w:rsidP="001F1ED5">
            <w:pPr>
              <w:autoSpaceDE w:val="0"/>
              <w:autoSpaceDN w:val="0"/>
              <w:adjustRightInd w:val="0"/>
              <w:jc w:val="center"/>
            </w:pPr>
            <w:r>
              <w:t>Fuel Cost Recovery</w:t>
            </w:r>
          </w:p>
        </w:tc>
        <w:tc>
          <w:tcPr>
            <w:tcW w:w="1188" w:type="dxa"/>
            <w:vAlign w:val="center"/>
            <w:hideMark/>
          </w:tcPr>
          <w:p w:rsidR="00882FD6" w:rsidRDefault="00882FD6" w:rsidP="001F1ED5">
            <w:pPr>
              <w:autoSpaceDE w:val="0"/>
              <w:autoSpaceDN w:val="0"/>
              <w:adjustRightInd w:val="0"/>
              <w:jc w:val="center"/>
            </w:pPr>
            <w:r>
              <w:t>$23.17</w:t>
            </w:r>
          </w:p>
        </w:tc>
        <w:tc>
          <w:tcPr>
            <w:tcW w:w="1620" w:type="dxa"/>
            <w:vAlign w:val="center"/>
          </w:tcPr>
          <w:p w:rsidR="00882FD6" w:rsidRDefault="00882FD6" w:rsidP="001F1ED5">
            <w:pPr>
              <w:autoSpaceDE w:val="0"/>
              <w:autoSpaceDN w:val="0"/>
              <w:adjustRightInd w:val="0"/>
              <w:jc w:val="center"/>
            </w:pPr>
            <w:r>
              <w:t>$22.97</w:t>
            </w:r>
          </w:p>
        </w:tc>
        <w:tc>
          <w:tcPr>
            <w:tcW w:w="1710" w:type="dxa"/>
            <w:vAlign w:val="center"/>
          </w:tcPr>
          <w:p w:rsidR="00882FD6" w:rsidRDefault="00882FD6" w:rsidP="001F1ED5">
            <w:pPr>
              <w:autoSpaceDE w:val="0"/>
              <w:autoSpaceDN w:val="0"/>
              <w:adjustRightInd w:val="0"/>
              <w:jc w:val="center"/>
            </w:pPr>
            <w:r>
              <w:t>$22.73</w:t>
            </w:r>
          </w:p>
        </w:tc>
        <w:tc>
          <w:tcPr>
            <w:tcW w:w="1800" w:type="dxa"/>
            <w:vAlign w:val="center"/>
          </w:tcPr>
          <w:p w:rsidR="00882FD6" w:rsidRDefault="00882FD6" w:rsidP="001F1ED5">
            <w:pPr>
              <w:autoSpaceDE w:val="0"/>
              <w:autoSpaceDN w:val="0"/>
              <w:adjustRightInd w:val="0"/>
              <w:jc w:val="center"/>
            </w:pPr>
            <w:r>
              <w:t>$22.73</w:t>
            </w:r>
          </w:p>
        </w:tc>
        <w:tc>
          <w:tcPr>
            <w:tcW w:w="1620" w:type="dxa"/>
            <w:vAlign w:val="center"/>
          </w:tcPr>
          <w:p w:rsidR="00882FD6" w:rsidRDefault="00882FD6" w:rsidP="001F1ED5">
            <w:pPr>
              <w:autoSpaceDE w:val="0"/>
              <w:autoSpaceDN w:val="0"/>
              <w:adjustRightInd w:val="0"/>
              <w:jc w:val="center"/>
            </w:pPr>
            <w:r>
              <w:t>($0.24)</w:t>
            </w:r>
          </w:p>
        </w:tc>
      </w:tr>
      <w:tr w:rsidR="00882FD6" w:rsidTr="001F1ED5">
        <w:trPr>
          <w:trHeight w:val="562"/>
        </w:trPr>
        <w:tc>
          <w:tcPr>
            <w:tcW w:w="1710" w:type="dxa"/>
            <w:hideMark/>
          </w:tcPr>
          <w:p w:rsidR="00882FD6" w:rsidRDefault="00882FD6" w:rsidP="001F1ED5">
            <w:pPr>
              <w:autoSpaceDE w:val="0"/>
              <w:autoSpaceDN w:val="0"/>
              <w:adjustRightInd w:val="0"/>
              <w:jc w:val="center"/>
            </w:pPr>
            <w:r>
              <w:t>Energy Conservation Cost Recovery</w:t>
            </w:r>
          </w:p>
        </w:tc>
        <w:tc>
          <w:tcPr>
            <w:tcW w:w="1188" w:type="dxa"/>
            <w:vAlign w:val="center"/>
            <w:hideMark/>
          </w:tcPr>
          <w:p w:rsidR="00882FD6" w:rsidRDefault="00882FD6" w:rsidP="001F1ED5">
            <w:pPr>
              <w:autoSpaceDE w:val="0"/>
              <w:autoSpaceDN w:val="0"/>
              <w:adjustRightInd w:val="0"/>
              <w:jc w:val="center"/>
            </w:pPr>
            <w:r>
              <w:t>$1.53</w:t>
            </w:r>
          </w:p>
        </w:tc>
        <w:tc>
          <w:tcPr>
            <w:tcW w:w="1620" w:type="dxa"/>
            <w:vAlign w:val="center"/>
          </w:tcPr>
          <w:p w:rsidR="00882FD6" w:rsidRDefault="00882FD6" w:rsidP="001F1ED5">
            <w:pPr>
              <w:autoSpaceDE w:val="0"/>
              <w:autoSpaceDN w:val="0"/>
              <w:adjustRightInd w:val="0"/>
              <w:jc w:val="center"/>
            </w:pPr>
            <w:r>
              <w:t>$1.53</w:t>
            </w:r>
          </w:p>
        </w:tc>
        <w:tc>
          <w:tcPr>
            <w:tcW w:w="1710" w:type="dxa"/>
            <w:vAlign w:val="center"/>
          </w:tcPr>
          <w:p w:rsidR="00882FD6" w:rsidRDefault="00882FD6" w:rsidP="001F1ED5">
            <w:pPr>
              <w:autoSpaceDE w:val="0"/>
              <w:autoSpaceDN w:val="0"/>
              <w:adjustRightInd w:val="0"/>
              <w:jc w:val="center"/>
            </w:pPr>
            <w:r>
              <w:t>$1.53</w:t>
            </w:r>
          </w:p>
        </w:tc>
        <w:tc>
          <w:tcPr>
            <w:tcW w:w="1800" w:type="dxa"/>
            <w:vAlign w:val="center"/>
          </w:tcPr>
          <w:p w:rsidR="00882FD6" w:rsidRDefault="00882FD6" w:rsidP="001F1ED5">
            <w:pPr>
              <w:autoSpaceDE w:val="0"/>
              <w:autoSpaceDN w:val="0"/>
              <w:adjustRightInd w:val="0"/>
              <w:jc w:val="center"/>
            </w:pPr>
            <w:r>
              <w:t>$1.53</w:t>
            </w:r>
          </w:p>
        </w:tc>
        <w:tc>
          <w:tcPr>
            <w:tcW w:w="1620" w:type="dxa"/>
            <w:vAlign w:val="center"/>
          </w:tcPr>
          <w:p w:rsidR="00882FD6" w:rsidRDefault="00882FD6" w:rsidP="001F1ED5">
            <w:pPr>
              <w:autoSpaceDE w:val="0"/>
              <w:autoSpaceDN w:val="0"/>
              <w:adjustRightInd w:val="0"/>
              <w:jc w:val="center"/>
            </w:pPr>
            <w:r>
              <w:t>$0.00</w:t>
            </w:r>
          </w:p>
        </w:tc>
      </w:tr>
      <w:tr w:rsidR="00882FD6" w:rsidTr="001F1ED5">
        <w:trPr>
          <w:trHeight w:val="562"/>
        </w:trPr>
        <w:tc>
          <w:tcPr>
            <w:tcW w:w="1710" w:type="dxa"/>
            <w:hideMark/>
          </w:tcPr>
          <w:p w:rsidR="00882FD6" w:rsidRDefault="00882FD6" w:rsidP="001F1ED5">
            <w:pPr>
              <w:autoSpaceDE w:val="0"/>
              <w:autoSpaceDN w:val="0"/>
              <w:adjustRightInd w:val="0"/>
              <w:jc w:val="center"/>
            </w:pPr>
            <w:r>
              <w:t>Capacity Cost Recovery</w:t>
            </w:r>
          </w:p>
        </w:tc>
        <w:tc>
          <w:tcPr>
            <w:tcW w:w="1188" w:type="dxa"/>
            <w:vAlign w:val="center"/>
            <w:hideMark/>
          </w:tcPr>
          <w:p w:rsidR="00882FD6" w:rsidRDefault="00882FD6" w:rsidP="001F1ED5">
            <w:pPr>
              <w:autoSpaceDE w:val="0"/>
              <w:autoSpaceDN w:val="0"/>
              <w:adjustRightInd w:val="0"/>
              <w:jc w:val="center"/>
            </w:pPr>
            <w:r>
              <w:t>$2.81</w:t>
            </w:r>
          </w:p>
        </w:tc>
        <w:tc>
          <w:tcPr>
            <w:tcW w:w="1620" w:type="dxa"/>
            <w:vAlign w:val="center"/>
          </w:tcPr>
          <w:p w:rsidR="00882FD6" w:rsidRDefault="00882FD6" w:rsidP="001F1ED5">
            <w:pPr>
              <w:autoSpaceDE w:val="0"/>
              <w:autoSpaceDN w:val="0"/>
              <w:adjustRightInd w:val="0"/>
              <w:jc w:val="center"/>
            </w:pPr>
            <w:r>
              <w:t>$2.81</w:t>
            </w:r>
          </w:p>
        </w:tc>
        <w:tc>
          <w:tcPr>
            <w:tcW w:w="1710" w:type="dxa"/>
            <w:vAlign w:val="center"/>
          </w:tcPr>
          <w:p w:rsidR="00882FD6" w:rsidRDefault="00882FD6" w:rsidP="001F1ED5">
            <w:pPr>
              <w:autoSpaceDE w:val="0"/>
              <w:autoSpaceDN w:val="0"/>
              <w:adjustRightInd w:val="0"/>
              <w:jc w:val="center"/>
            </w:pPr>
            <w:r>
              <w:t>$2.57</w:t>
            </w:r>
          </w:p>
        </w:tc>
        <w:tc>
          <w:tcPr>
            <w:tcW w:w="1800" w:type="dxa"/>
            <w:vAlign w:val="center"/>
          </w:tcPr>
          <w:p w:rsidR="00882FD6" w:rsidRDefault="00882FD6" w:rsidP="001F1ED5">
            <w:pPr>
              <w:autoSpaceDE w:val="0"/>
              <w:autoSpaceDN w:val="0"/>
              <w:adjustRightInd w:val="0"/>
              <w:jc w:val="center"/>
            </w:pPr>
            <w:r>
              <w:t>$2.57</w:t>
            </w:r>
          </w:p>
        </w:tc>
        <w:tc>
          <w:tcPr>
            <w:tcW w:w="1620" w:type="dxa"/>
            <w:vAlign w:val="center"/>
          </w:tcPr>
          <w:p w:rsidR="00882FD6" w:rsidRDefault="00882FD6" w:rsidP="001F1ED5">
            <w:pPr>
              <w:autoSpaceDE w:val="0"/>
              <w:autoSpaceDN w:val="0"/>
              <w:adjustRightInd w:val="0"/>
              <w:jc w:val="center"/>
            </w:pPr>
            <w:r>
              <w:t>($0.24)</w:t>
            </w:r>
          </w:p>
        </w:tc>
      </w:tr>
      <w:tr w:rsidR="00882FD6" w:rsidTr="001F1ED5">
        <w:trPr>
          <w:trHeight w:val="562"/>
        </w:trPr>
        <w:tc>
          <w:tcPr>
            <w:tcW w:w="1710" w:type="dxa"/>
            <w:hideMark/>
          </w:tcPr>
          <w:p w:rsidR="00882FD6" w:rsidRDefault="00882FD6" w:rsidP="001F1ED5">
            <w:pPr>
              <w:autoSpaceDE w:val="0"/>
              <w:autoSpaceDN w:val="0"/>
              <w:adjustRightInd w:val="0"/>
              <w:jc w:val="center"/>
            </w:pPr>
            <w:r>
              <w:t>Environmental Cost Recovery</w:t>
            </w:r>
          </w:p>
        </w:tc>
        <w:tc>
          <w:tcPr>
            <w:tcW w:w="1188" w:type="dxa"/>
            <w:vAlign w:val="center"/>
            <w:hideMark/>
          </w:tcPr>
          <w:p w:rsidR="00882FD6" w:rsidRDefault="00882FD6" w:rsidP="001F1ED5">
            <w:pPr>
              <w:autoSpaceDE w:val="0"/>
              <w:autoSpaceDN w:val="0"/>
              <w:adjustRightInd w:val="0"/>
              <w:jc w:val="center"/>
            </w:pPr>
            <w:r>
              <w:t>$1.59</w:t>
            </w:r>
          </w:p>
        </w:tc>
        <w:tc>
          <w:tcPr>
            <w:tcW w:w="1620" w:type="dxa"/>
            <w:vAlign w:val="center"/>
          </w:tcPr>
          <w:p w:rsidR="00882FD6" w:rsidRDefault="00882FD6" w:rsidP="001F1ED5">
            <w:pPr>
              <w:autoSpaceDE w:val="0"/>
              <w:autoSpaceDN w:val="0"/>
              <w:adjustRightInd w:val="0"/>
              <w:jc w:val="center"/>
            </w:pPr>
            <w:r>
              <w:t>$1.59</w:t>
            </w:r>
          </w:p>
        </w:tc>
        <w:tc>
          <w:tcPr>
            <w:tcW w:w="1710" w:type="dxa"/>
            <w:vAlign w:val="center"/>
          </w:tcPr>
          <w:p w:rsidR="00882FD6" w:rsidRDefault="00882FD6" w:rsidP="001F1ED5">
            <w:pPr>
              <w:autoSpaceDE w:val="0"/>
              <w:autoSpaceDN w:val="0"/>
              <w:adjustRightInd w:val="0"/>
              <w:jc w:val="center"/>
            </w:pPr>
            <w:r>
              <w:t>$1.58</w:t>
            </w:r>
          </w:p>
        </w:tc>
        <w:tc>
          <w:tcPr>
            <w:tcW w:w="1800" w:type="dxa"/>
            <w:vAlign w:val="center"/>
          </w:tcPr>
          <w:p w:rsidR="00882FD6" w:rsidRDefault="00882FD6" w:rsidP="001F1ED5">
            <w:pPr>
              <w:autoSpaceDE w:val="0"/>
              <w:autoSpaceDN w:val="0"/>
              <w:adjustRightInd w:val="0"/>
              <w:jc w:val="center"/>
            </w:pPr>
            <w:r>
              <w:t>$1.58</w:t>
            </w:r>
          </w:p>
        </w:tc>
        <w:tc>
          <w:tcPr>
            <w:tcW w:w="1620" w:type="dxa"/>
            <w:vAlign w:val="center"/>
          </w:tcPr>
          <w:p w:rsidR="00882FD6" w:rsidRDefault="00882FD6" w:rsidP="001F1ED5">
            <w:pPr>
              <w:autoSpaceDE w:val="0"/>
              <w:autoSpaceDN w:val="0"/>
              <w:adjustRightInd w:val="0"/>
              <w:jc w:val="center"/>
            </w:pPr>
            <w:r>
              <w:t>($0.01)</w:t>
            </w:r>
          </w:p>
        </w:tc>
      </w:tr>
      <w:tr w:rsidR="00882FD6" w:rsidTr="001F1ED5">
        <w:trPr>
          <w:trHeight w:val="562"/>
        </w:trPr>
        <w:tc>
          <w:tcPr>
            <w:tcW w:w="1710" w:type="dxa"/>
          </w:tcPr>
          <w:p w:rsidR="00882FD6" w:rsidRDefault="00882FD6" w:rsidP="001F1ED5">
            <w:pPr>
              <w:autoSpaceDE w:val="0"/>
              <w:autoSpaceDN w:val="0"/>
              <w:adjustRightInd w:val="0"/>
              <w:jc w:val="center"/>
            </w:pPr>
            <w:r>
              <w:t>Storm Restoration Surcharge</w:t>
            </w:r>
          </w:p>
        </w:tc>
        <w:tc>
          <w:tcPr>
            <w:tcW w:w="1188" w:type="dxa"/>
            <w:vAlign w:val="center"/>
          </w:tcPr>
          <w:p w:rsidR="00882FD6" w:rsidRDefault="00882FD6" w:rsidP="001F1ED5">
            <w:pPr>
              <w:autoSpaceDE w:val="0"/>
              <w:autoSpaceDN w:val="0"/>
              <w:adjustRightInd w:val="0"/>
              <w:jc w:val="center"/>
            </w:pPr>
            <w:r>
              <w:t>$1.20</w:t>
            </w:r>
          </w:p>
        </w:tc>
        <w:tc>
          <w:tcPr>
            <w:tcW w:w="1620" w:type="dxa"/>
            <w:vAlign w:val="center"/>
          </w:tcPr>
          <w:p w:rsidR="00882FD6" w:rsidRDefault="00882FD6" w:rsidP="001F1ED5">
            <w:pPr>
              <w:autoSpaceDE w:val="0"/>
              <w:autoSpaceDN w:val="0"/>
              <w:adjustRightInd w:val="0"/>
              <w:jc w:val="center"/>
            </w:pPr>
            <w:r>
              <w:t>1.26</w:t>
            </w:r>
          </w:p>
        </w:tc>
        <w:tc>
          <w:tcPr>
            <w:tcW w:w="1710" w:type="dxa"/>
            <w:vAlign w:val="center"/>
          </w:tcPr>
          <w:p w:rsidR="00882FD6" w:rsidRDefault="00882FD6" w:rsidP="001F1ED5">
            <w:pPr>
              <w:autoSpaceDE w:val="0"/>
              <w:autoSpaceDN w:val="0"/>
              <w:adjustRightInd w:val="0"/>
              <w:jc w:val="center"/>
            </w:pPr>
            <w:r>
              <w:t>1.20</w:t>
            </w:r>
          </w:p>
        </w:tc>
        <w:tc>
          <w:tcPr>
            <w:tcW w:w="1800" w:type="dxa"/>
            <w:vAlign w:val="center"/>
          </w:tcPr>
          <w:p w:rsidR="00882FD6" w:rsidRDefault="00882FD6" w:rsidP="001F1ED5">
            <w:pPr>
              <w:autoSpaceDE w:val="0"/>
              <w:autoSpaceDN w:val="0"/>
              <w:adjustRightInd w:val="0"/>
              <w:jc w:val="center"/>
            </w:pPr>
            <w:r>
              <w:t>1.38</w:t>
            </w:r>
          </w:p>
        </w:tc>
        <w:tc>
          <w:tcPr>
            <w:tcW w:w="1620" w:type="dxa"/>
            <w:vAlign w:val="center"/>
          </w:tcPr>
          <w:p w:rsidR="00882FD6" w:rsidRDefault="00882FD6" w:rsidP="001F1ED5">
            <w:pPr>
              <w:autoSpaceDE w:val="0"/>
              <w:autoSpaceDN w:val="0"/>
              <w:adjustRightInd w:val="0"/>
              <w:jc w:val="center"/>
            </w:pPr>
            <w:r>
              <w:t>$0.12</w:t>
            </w:r>
          </w:p>
        </w:tc>
      </w:tr>
      <w:tr w:rsidR="00882FD6" w:rsidTr="001F1ED5">
        <w:trPr>
          <w:trHeight w:val="562"/>
        </w:trPr>
        <w:tc>
          <w:tcPr>
            <w:tcW w:w="1710" w:type="dxa"/>
            <w:hideMark/>
          </w:tcPr>
          <w:p w:rsidR="00882FD6" w:rsidRDefault="00882FD6" w:rsidP="001F1ED5">
            <w:pPr>
              <w:autoSpaceDE w:val="0"/>
              <w:autoSpaceDN w:val="0"/>
              <w:adjustRightInd w:val="0"/>
              <w:jc w:val="center"/>
            </w:pPr>
            <w:r>
              <w:t>Interim Storm Restoration Surcharge</w:t>
            </w:r>
          </w:p>
        </w:tc>
        <w:tc>
          <w:tcPr>
            <w:tcW w:w="1188" w:type="dxa"/>
            <w:vAlign w:val="center"/>
            <w:hideMark/>
          </w:tcPr>
          <w:p w:rsidR="00882FD6" w:rsidRDefault="00882FD6" w:rsidP="001F1ED5">
            <w:pPr>
              <w:autoSpaceDE w:val="0"/>
              <w:autoSpaceDN w:val="0"/>
              <w:adjustRightInd w:val="0"/>
              <w:jc w:val="center"/>
              <w:rPr>
                <w:u w:val="single"/>
              </w:rPr>
            </w:pPr>
            <w:r>
              <w:rPr>
                <w:u w:val="single"/>
              </w:rPr>
              <w:t>$3.36</w:t>
            </w:r>
          </w:p>
        </w:tc>
        <w:tc>
          <w:tcPr>
            <w:tcW w:w="1620" w:type="dxa"/>
            <w:vAlign w:val="center"/>
          </w:tcPr>
          <w:p w:rsidR="00882FD6" w:rsidRDefault="00882FD6" w:rsidP="001F1ED5">
            <w:pPr>
              <w:autoSpaceDE w:val="0"/>
              <w:autoSpaceDN w:val="0"/>
              <w:adjustRightInd w:val="0"/>
              <w:jc w:val="center"/>
              <w:rPr>
                <w:u w:val="single"/>
              </w:rPr>
            </w:pPr>
            <w:r>
              <w:rPr>
                <w:u w:val="single"/>
              </w:rPr>
              <w:t>$0.00</w:t>
            </w:r>
          </w:p>
        </w:tc>
        <w:tc>
          <w:tcPr>
            <w:tcW w:w="1710" w:type="dxa"/>
            <w:vAlign w:val="center"/>
          </w:tcPr>
          <w:p w:rsidR="00882FD6" w:rsidRDefault="00882FD6" w:rsidP="001F1ED5">
            <w:pPr>
              <w:autoSpaceDE w:val="0"/>
              <w:autoSpaceDN w:val="0"/>
              <w:adjustRightInd w:val="0"/>
              <w:jc w:val="center"/>
              <w:rPr>
                <w:u w:val="single"/>
              </w:rPr>
            </w:pPr>
            <w:r>
              <w:rPr>
                <w:u w:val="single"/>
              </w:rPr>
              <w:t>$0.00</w:t>
            </w:r>
          </w:p>
        </w:tc>
        <w:tc>
          <w:tcPr>
            <w:tcW w:w="1800" w:type="dxa"/>
            <w:vAlign w:val="center"/>
          </w:tcPr>
          <w:p w:rsidR="00882FD6" w:rsidRDefault="00882FD6" w:rsidP="001F1ED5">
            <w:pPr>
              <w:autoSpaceDE w:val="0"/>
              <w:autoSpaceDN w:val="0"/>
              <w:adjustRightInd w:val="0"/>
              <w:jc w:val="center"/>
              <w:rPr>
                <w:u w:val="single"/>
              </w:rPr>
            </w:pPr>
            <w:r>
              <w:rPr>
                <w:u w:val="single"/>
              </w:rPr>
              <w:t>$0.00</w:t>
            </w:r>
          </w:p>
        </w:tc>
        <w:tc>
          <w:tcPr>
            <w:tcW w:w="1620" w:type="dxa"/>
            <w:vAlign w:val="center"/>
          </w:tcPr>
          <w:p w:rsidR="00882FD6" w:rsidRDefault="00882FD6" w:rsidP="001F1ED5">
            <w:pPr>
              <w:autoSpaceDE w:val="0"/>
              <w:autoSpaceDN w:val="0"/>
              <w:adjustRightInd w:val="0"/>
              <w:jc w:val="center"/>
              <w:rPr>
                <w:u w:val="single"/>
              </w:rPr>
            </w:pPr>
            <w:r>
              <w:rPr>
                <w:u w:val="single"/>
              </w:rPr>
              <w:t>$0.00</w:t>
            </w:r>
          </w:p>
        </w:tc>
      </w:tr>
      <w:tr w:rsidR="00882FD6" w:rsidTr="001F1ED5">
        <w:trPr>
          <w:trHeight w:val="562"/>
        </w:trPr>
        <w:tc>
          <w:tcPr>
            <w:tcW w:w="1710" w:type="dxa"/>
            <w:vAlign w:val="center"/>
            <w:hideMark/>
          </w:tcPr>
          <w:p w:rsidR="00882FD6" w:rsidRDefault="00882FD6" w:rsidP="001F1ED5">
            <w:pPr>
              <w:autoSpaceDE w:val="0"/>
              <w:autoSpaceDN w:val="0"/>
              <w:adjustRightInd w:val="0"/>
              <w:jc w:val="center"/>
            </w:pPr>
            <w:r>
              <w:t>Subtotal</w:t>
            </w:r>
          </w:p>
        </w:tc>
        <w:tc>
          <w:tcPr>
            <w:tcW w:w="1188" w:type="dxa"/>
            <w:vAlign w:val="center"/>
            <w:hideMark/>
          </w:tcPr>
          <w:p w:rsidR="00882FD6" w:rsidRDefault="00882FD6" w:rsidP="001F1ED5">
            <w:pPr>
              <w:autoSpaceDE w:val="0"/>
              <w:autoSpaceDN w:val="0"/>
              <w:adjustRightInd w:val="0"/>
              <w:jc w:val="center"/>
            </w:pPr>
            <w:r>
              <w:t>$100.15</w:t>
            </w:r>
          </w:p>
        </w:tc>
        <w:tc>
          <w:tcPr>
            <w:tcW w:w="1620" w:type="dxa"/>
            <w:vAlign w:val="center"/>
          </w:tcPr>
          <w:p w:rsidR="00882FD6" w:rsidRDefault="00882FD6" w:rsidP="001F1ED5">
            <w:pPr>
              <w:autoSpaceDE w:val="0"/>
              <w:autoSpaceDN w:val="0"/>
              <w:adjustRightInd w:val="0"/>
              <w:jc w:val="center"/>
            </w:pPr>
            <w:r>
              <w:t>$97.26</w:t>
            </w:r>
          </w:p>
        </w:tc>
        <w:tc>
          <w:tcPr>
            <w:tcW w:w="1710" w:type="dxa"/>
            <w:vAlign w:val="center"/>
          </w:tcPr>
          <w:p w:rsidR="00882FD6" w:rsidRDefault="00882FD6" w:rsidP="001F1ED5">
            <w:pPr>
              <w:autoSpaceDE w:val="0"/>
              <w:autoSpaceDN w:val="0"/>
              <w:adjustRightInd w:val="0"/>
              <w:jc w:val="center"/>
            </w:pPr>
            <w:r>
              <w:t>$96.71</w:t>
            </w:r>
          </w:p>
        </w:tc>
        <w:tc>
          <w:tcPr>
            <w:tcW w:w="1800" w:type="dxa"/>
            <w:vAlign w:val="center"/>
          </w:tcPr>
          <w:p w:rsidR="00882FD6" w:rsidRDefault="00882FD6" w:rsidP="001F1ED5">
            <w:pPr>
              <w:autoSpaceDE w:val="0"/>
              <w:autoSpaceDN w:val="0"/>
              <w:adjustRightInd w:val="0"/>
              <w:jc w:val="center"/>
            </w:pPr>
            <w:r>
              <w:t>$96.89</w:t>
            </w:r>
          </w:p>
        </w:tc>
        <w:tc>
          <w:tcPr>
            <w:tcW w:w="1620" w:type="dxa"/>
            <w:vAlign w:val="center"/>
          </w:tcPr>
          <w:p w:rsidR="00882FD6" w:rsidRDefault="00882FD6" w:rsidP="001F1ED5">
            <w:pPr>
              <w:autoSpaceDE w:val="0"/>
              <w:autoSpaceDN w:val="0"/>
              <w:adjustRightInd w:val="0"/>
              <w:jc w:val="center"/>
            </w:pPr>
            <w:r>
              <w:t>($0.37)</w:t>
            </w:r>
          </w:p>
        </w:tc>
      </w:tr>
      <w:tr w:rsidR="00882FD6" w:rsidTr="001F1ED5">
        <w:trPr>
          <w:trHeight w:val="562"/>
        </w:trPr>
        <w:tc>
          <w:tcPr>
            <w:tcW w:w="1710" w:type="dxa"/>
            <w:hideMark/>
          </w:tcPr>
          <w:p w:rsidR="00882FD6" w:rsidRDefault="00882FD6" w:rsidP="001F1ED5">
            <w:pPr>
              <w:autoSpaceDE w:val="0"/>
              <w:autoSpaceDN w:val="0"/>
              <w:adjustRightInd w:val="0"/>
              <w:jc w:val="center"/>
            </w:pPr>
            <w:r>
              <w:t>Gross Receipts Tax</w:t>
            </w:r>
          </w:p>
        </w:tc>
        <w:tc>
          <w:tcPr>
            <w:tcW w:w="1188" w:type="dxa"/>
            <w:vAlign w:val="center"/>
            <w:hideMark/>
          </w:tcPr>
          <w:p w:rsidR="00882FD6" w:rsidRDefault="00882FD6" w:rsidP="001F1ED5">
            <w:pPr>
              <w:autoSpaceDE w:val="0"/>
              <w:autoSpaceDN w:val="0"/>
              <w:adjustRightInd w:val="0"/>
              <w:jc w:val="center"/>
              <w:rPr>
                <w:u w:val="single"/>
              </w:rPr>
            </w:pPr>
            <w:r>
              <w:rPr>
                <w:u w:val="single"/>
              </w:rPr>
              <w:t>$2.57</w:t>
            </w:r>
          </w:p>
        </w:tc>
        <w:tc>
          <w:tcPr>
            <w:tcW w:w="1620" w:type="dxa"/>
            <w:vAlign w:val="center"/>
          </w:tcPr>
          <w:p w:rsidR="00882FD6" w:rsidRDefault="00882FD6" w:rsidP="001F1ED5">
            <w:pPr>
              <w:autoSpaceDE w:val="0"/>
              <w:autoSpaceDN w:val="0"/>
              <w:adjustRightInd w:val="0"/>
              <w:jc w:val="center"/>
              <w:rPr>
                <w:u w:val="single"/>
              </w:rPr>
            </w:pPr>
            <w:r>
              <w:rPr>
                <w:u w:val="single"/>
              </w:rPr>
              <w:t>$2.49</w:t>
            </w:r>
          </w:p>
        </w:tc>
        <w:tc>
          <w:tcPr>
            <w:tcW w:w="1710" w:type="dxa"/>
            <w:vAlign w:val="center"/>
          </w:tcPr>
          <w:p w:rsidR="00882FD6" w:rsidRDefault="00882FD6" w:rsidP="001F1ED5">
            <w:pPr>
              <w:autoSpaceDE w:val="0"/>
              <w:autoSpaceDN w:val="0"/>
              <w:adjustRightInd w:val="0"/>
              <w:jc w:val="center"/>
              <w:rPr>
                <w:u w:val="single"/>
              </w:rPr>
            </w:pPr>
            <w:r>
              <w:rPr>
                <w:u w:val="single"/>
              </w:rPr>
              <w:t>$2.48</w:t>
            </w:r>
          </w:p>
        </w:tc>
        <w:tc>
          <w:tcPr>
            <w:tcW w:w="1800" w:type="dxa"/>
            <w:vAlign w:val="center"/>
          </w:tcPr>
          <w:p w:rsidR="00882FD6" w:rsidRDefault="00882FD6" w:rsidP="001F1ED5">
            <w:pPr>
              <w:autoSpaceDE w:val="0"/>
              <w:autoSpaceDN w:val="0"/>
              <w:adjustRightInd w:val="0"/>
              <w:jc w:val="center"/>
              <w:rPr>
                <w:u w:val="single"/>
              </w:rPr>
            </w:pPr>
            <w:r>
              <w:rPr>
                <w:u w:val="single"/>
              </w:rPr>
              <w:t>$2.48</w:t>
            </w:r>
          </w:p>
        </w:tc>
        <w:tc>
          <w:tcPr>
            <w:tcW w:w="1620" w:type="dxa"/>
            <w:vAlign w:val="center"/>
          </w:tcPr>
          <w:p w:rsidR="00882FD6" w:rsidRDefault="00882FD6" w:rsidP="001F1ED5">
            <w:pPr>
              <w:autoSpaceDE w:val="0"/>
              <w:autoSpaceDN w:val="0"/>
              <w:adjustRightInd w:val="0"/>
              <w:jc w:val="center"/>
              <w:rPr>
                <w:u w:val="single"/>
              </w:rPr>
            </w:pPr>
            <w:r>
              <w:rPr>
                <w:u w:val="single"/>
              </w:rPr>
              <w:t>(0.01)</w:t>
            </w:r>
          </w:p>
        </w:tc>
      </w:tr>
      <w:tr w:rsidR="00882FD6" w:rsidTr="001F1ED5">
        <w:trPr>
          <w:trHeight w:val="562"/>
        </w:trPr>
        <w:tc>
          <w:tcPr>
            <w:tcW w:w="1710" w:type="dxa"/>
            <w:vAlign w:val="center"/>
            <w:hideMark/>
          </w:tcPr>
          <w:p w:rsidR="00882FD6" w:rsidRDefault="00882FD6" w:rsidP="001F1ED5">
            <w:pPr>
              <w:autoSpaceDE w:val="0"/>
              <w:autoSpaceDN w:val="0"/>
              <w:adjustRightInd w:val="0"/>
              <w:jc w:val="center"/>
              <w:rPr>
                <w:b/>
              </w:rPr>
            </w:pPr>
            <w:r>
              <w:rPr>
                <w:b/>
              </w:rPr>
              <w:t>Totals</w:t>
            </w:r>
          </w:p>
        </w:tc>
        <w:tc>
          <w:tcPr>
            <w:tcW w:w="1188" w:type="dxa"/>
            <w:vAlign w:val="center"/>
            <w:hideMark/>
          </w:tcPr>
          <w:p w:rsidR="00882FD6" w:rsidRDefault="00882FD6" w:rsidP="001F1ED5">
            <w:pPr>
              <w:autoSpaceDE w:val="0"/>
              <w:autoSpaceDN w:val="0"/>
              <w:adjustRightInd w:val="0"/>
              <w:jc w:val="center"/>
              <w:rPr>
                <w:b/>
                <w:u w:val="double"/>
              </w:rPr>
            </w:pPr>
            <w:r>
              <w:rPr>
                <w:b/>
                <w:u w:val="double"/>
              </w:rPr>
              <w:t>$102.72</w:t>
            </w:r>
          </w:p>
        </w:tc>
        <w:tc>
          <w:tcPr>
            <w:tcW w:w="1620" w:type="dxa"/>
            <w:vAlign w:val="center"/>
          </w:tcPr>
          <w:p w:rsidR="00882FD6" w:rsidRDefault="00882FD6" w:rsidP="001F1ED5">
            <w:pPr>
              <w:autoSpaceDE w:val="0"/>
              <w:autoSpaceDN w:val="0"/>
              <w:adjustRightInd w:val="0"/>
              <w:jc w:val="center"/>
              <w:rPr>
                <w:b/>
                <w:u w:val="double"/>
              </w:rPr>
            </w:pPr>
            <w:r>
              <w:rPr>
                <w:b/>
                <w:u w:val="double"/>
              </w:rPr>
              <w:t>$99.75</w:t>
            </w:r>
          </w:p>
        </w:tc>
        <w:tc>
          <w:tcPr>
            <w:tcW w:w="1710" w:type="dxa"/>
            <w:vAlign w:val="center"/>
          </w:tcPr>
          <w:p w:rsidR="00882FD6" w:rsidRDefault="00882FD6" w:rsidP="001F1ED5">
            <w:pPr>
              <w:autoSpaceDE w:val="0"/>
              <w:autoSpaceDN w:val="0"/>
              <w:adjustRightInd w:val="0"/>
              <w:jc w:val="center"/>
              <w:rPr>
                <w:b/>
                <w:u w:val="double"/>
              </w:rPr>
            </w:pPr>
            <w:r>
              <w:rPr>
                <w:b/>
                <w:u w:val="double"/>
              </w:rPr>
              <w:t>$99.19</w:t>
            </w:r>
          </w:p>
        </w:tc>
        <w:tc>
          <w:tcPr>
            <w:tcW w:w="1800" w:type="dxa"/>
            <w:vAlign w:val="center"/>
          </w:tcPr>
          <w:p w:rsidR="00882FD6" w:rsidRDefault="00882FD6" w:rsidP="001F1ED5">
            <w:pPr>
              <w:autoSpaceDE w:val="0"/>
              <w:autoSpaceDN w:val="0"/>
              <w:adjustRightInd w:val="0"/>
              <w:jc w:val="center"/>
              <w:rPr>
                <w:b/>
                <w:u w:val="double"/>
              </w:rPr>
            </w:pPr>
            <w:r>
              <w:rPr>
                <w:b/>
                <w:u w:val="double"/>
              </w:rPr>
              <w:t>$99.37</w:t>
            </w:r>
          </w:p>
        </w:tc>
        <w:tc>
          <w:tcPr>
            <w:tcW w:w="1620" w:type="dxa"/>
            <w:vAlign w:val="center"/>
          </w:tcPr>
          <w:p w:rsidR="00882FD6" w:rsidRDefault="00882FD6" w:rsidP="001F1ED5">
            <w:pPr>
              <w:autoSpaceDE w:val="0"/>
              <w:autoSpaceDN w:val="0"/>
              <w:adjustRightInd w:val="0"/>
              <w:jc w:val="center"/>
              <w:rPr>
                <w:b/>
                <w:u w:val="double"/>
              </w:rPr>
            </w:pPr>
            <w:r>
              <w:rPr>
                <w:b/>
                <w:u w:val="double"/>
              </w:rPr>
              <w:t>$0.38</w:t>
            </w:r>
          </w:p>
        </w:tc>
      </w:tr>
    </w:tbl>
    <w:p w:rsidR="00E06484" w:rsidRDefault="00882FD6" w:rsidP="00882FD6">
      <w:r>
        <w:rPr>
          <w:sz w:val="20"/>
          <w:szCs w:val="20"/>
        </w:rPr>
        <w:t xml:space="preserve">   Source: Schedule E-10, provided in FPL’s Response to Staff’s 1</w:t>
      </w:r>
      <w:r w:rsidRPr="00EF66A0">
        <w:rPr>
          <w:sz w:val="20"/>
          <w:szCs w:val="20"/>
          <w:vertAlign w:val="superscript"/>
        </w:rPr>
        <w:t>st</w:t>
      </w:r>
      <w:r>
        <w:rPr>
          <w:sz w:val="20"/>
          <w:szCs w:val="20"/>
        </w:rPr>
        <w:t xml:space="preserve"> Data Request dated January 16, 2018,</w:t>
      </w:r>
    </w:p>
    <w:sectPr w:rsidR="00E06484" w:rsidSect="00882FD6">
      <w:headerReference w:type="default" r:id="rId27"/>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D5" w:rsidRDefault="001F1ED5">
      <w:r>
        <w:separator/>
      </w:r>
    </w:p>
  </w:endnote>
  <w:endnote w:type="continuationSeparator" w:id="0">
    <w:p w:rsidR="001F1ED5" w:rsidRDefault="001F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076B">
      <w:rPr>
        <w:rStyle w:val="PageNumber"/>
        <w:noProof/>
      </w:rPr>
      <w:t>14</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D5" w:rsidRDefault="001F1ED5">
      <w:r>
        <w:separator/>
      </w:r>
    </w:p>
  </w:footnote>
  <w:footnote w:type="continuationSeparator" w:id="0">
    <w:p w:rsidR="001F1ED5" w:rsidRDefault="001F1ED5">
      <w:r>
        <w:continuationSeparator/>
      </w:r>
    </w:p>
  </w:footnote>
  <w:footnote w:id="1">
    <w:p w:rsidR="001F1ED5" w:rsidRPr="00ED0216" w:rsidRDefault="001F1ED5" w:rsidP="00876E49">
      <w:pPr>
        <w:pStyle w:val="FootnoteText"/>
      </w:pPr>
      <w:r>
        <w:rPr>
          <w:rStyle w:val="FootnoteReference"/>
        </w:rPr>
        <w:footnoteRef/>
      </w:r>
      <w:r w:rsidRPr="005C1A77">
        <w:t>Order No. PSC-2018-</w:t>
      </w:r>
      <w:r>
        <w:t>0028</w:t>
      </w:r>
      <w:r w:rsidRPr="005C1A77">
        <w:t xml:space="preserve">-FOF-EI, issued January 8, 2018, in Docket No: 20180001-EI (2017 Order), </w:t>
      </w:r>
      <w:r w:rsidRPr="005C1A77">
        <w:rPr>
          <w:i/>
        </w:rPr>
        <w:t>In re: Fuel and Purchased Power Cost Recovery Clause with Generating Performance Incentive Factor</w:t>
      </w:r>
      <w:r w:rsidRPr="005C1A77">
        <w:t>.</w:t>
      </w:r>
    </w:p>
  </w:footnote>
  <w:footnote w:id="2">
    <w:p w:rsidR="001F1ED5" w:rsidRPr="00ED0216" w:rsidRDefault="001F1ED5" w:rsidP="00876E49">
      <w:pPr>
        <w:pStyle w:val="FootnoteText"/>
      </w:pPr>
      <w:r>
        <w:rPr>
          <w:rStyle w:val="FootnoteReference"/>
        </w:rPr>
        <w:footnoteRef/>
      </w:r>
      <w:r>
        <w:t xml:space="preserve">Order No. PSC-2017-0415-AS-EI, issued October 24, 2017, in Docket No: 20170123-EI, </w:t>
      </w:r>
      <w:r w:rsidRPr="00C30694">
        <w:rPr>
          <w:i/>
        </w:rPr>
        <w:t xml:space="preserve">In re: </w:t>
      </w:r>
      <w:r>
        <w:rPr>
          <w:i/>
        </w:rPr>
        <w:t>Petition for approval of arrangement to mitigate unfavorable impact of St. John’s River Power Park, by Florida Power &amp; Light Company.</w:t>
      </w:r>
    </w:p>
  </w:footnote>
  <w:footnote w:id="3">
    <w:p w:rsidR="001F1ED5" w:rsidRPr="000C268A" w:rsidRDefault="001F1ED5" w:rsidP="00876E49">
      <w:pPr>
        <w:pStyle w:val="FootnoteText"/>
        <w:rPr>
          <w:u w:val="single"/>
        </w:rPr>
      </w:pPr>
      <w:r>
        <w:rPr>
          <w:rStyle w:val="FootnoteReference"/>
        </w:rPr>
        <w:footnoteRef/>
      </w:r>
      <w:r>
        <w:rPr>
          <w:u w:val="single"/>
        </w:rPr>
        <w:t>Gulf Power Co. v. Cresse</w:t>
      </w:r>
      <w:r>
        <w:t xml:space="preserve">, 410 So. 2d 492 (Fla. 1982); Order No. PSC-96-0907-FOF-EI, issued on July 15, 1996, in Docket No. Docket No. 19960001-EI, </w:t>
      </w:r>
      <w:r w:rsidRPr="00C30694">
        <w:rPr>
          <w:i/>
        </w:rPr>
        <w:t>In re: Fuel and purchased power cost recovery clause and generating performance incentive factor</w:t>
      </w:r>
      <w:r>
        <w:t xml:space="preserve">; Order No. PSC-1996-0908-FOF-EI, issued July 15, 1996, in Docket No. 19960001-EI, </w:t>
      </w:r>
      <w:r w:rsidRPr="00C30694">
        <w:rPr>
          <w:i/>
        </w:rPr>
        <w:t>In re: Fuel and purchased power cost recovery clause and generating performance incentive factor</w:t>
      </w:r>
      <w:r>
        <w:t xml:space="preserve">; Order No. PSC-97-0021-FOF-EI, issued on January 6, 1997, in Docket No. 19970001-EI, </w:t>
      </w:r>
      <w:r w:rsidRPr="00C30694">
        <w:rPr>
          <w:i/>
        </w:rPr>
        <w:t>In re: Fuel and purchased power cost recovery clause and generating performance incentive factor</w:t>
      </w:r>
      <w:r>
        <w:t>.</w:t>
      </w:r>
    </w:p>
  </w:footnote>
  <w:footnote w:id="4">
    <w:p w:rsidR="001F1ED5" w:rsidRDefault="001F1ED5" w:rsidP="00876E49">
      <w:pPr>
        <w:pStyle w:val="FootnoteText"/>
      </w:pPr>
      <w:r>
        <w:rPr>
          <w:rStyle w:val="FootnoteReference"/>
        </w:rPr>
        <w:footnoteRef/>
      </w:r>
      <w:r>
        <w:t xml:space="preserve">Order No. PSC-01-0963-PCO-EI, issued April 18, 2001, in Docket No. 20010001-EI, </w:t>
      </w:r>
      <w:r w:rsidRPr="00C30694">
        <w:rPr>
          <w:i/>
        </w:rPr>
        <w:t>In re: Fuel and purchased power cost recovery clause and generati</w:t>
      </w:r>
      <w:r>
        <w:rPr>
          <w:i/>
        </w:rPr>
        <w:t xml:space="preserve">ng performance incentive factor </w:t>
      </w:r>
      <w:r>
        <w:t xml:space="preserve">(allowing recovery of increase in fuel factor in order to decrease the carrying costs and therefore the  total amount ratepayers were ultimately required to repay.); Order No. PSC-00-2383-FOF-GU, issued December 12, 2000, in Docket No. 20000003-GU, </w:t>
      </w:r>
      <w:r w:rsidRPr="00C30694">
        <w:rPr>
          <w:i/>
        </w:rPr>
        <w:t>In re: Purchased gas adjustment (PGA) true-up (</w:t>
      </w:r>
      <w:r w:rsidRPr="00C81DF7">
        <w:t>allowing recovery of an increased gas fuel factor due to drastic increases in natural gas prices in winter of 2000-2001</w:t>
      </w:r>
      <w:r w:rsidRPr="00C30694">
        <w:rPr>
          <w:i/>
        </w:rPr>
        <w:t>.)</w:t>
      </w:r>
      <w:r>
        <w:t xml:space="preserve">; Order No. PSC-15-0161-PCO-EI, issued April 30, 2015, in Docket No. 20150001-EI, </w:t>
      </w:r>
      <w:r>
        <w:rPr>
          <w:i/>
        </w:rPr>
        <w:t xml:space="preserve">In re: </w:t>
      </w:r>
      <w:r w:rsidRPr="00C30694">
        <w:rPr>
          <w:i/>
        </w:rPr>
        <w:t>Fuel and Purchased Power Cost Recovery Clause with Generating Performance Incentive Factor</w:t>
      </w:r>
      <w:r>
        <w:t xml:space="preserve"> (approving FPL’s petition for a mid-course correction, thereby reducing fuel factors with less than 30 days notice).</w:t>
      </w:r>
    </w:p>
    <w:p w:rsidR="001F1ED5" w:rsidRDefault="001F1ED5" w:rsidP="00876E49">
      <w:pPr>
        <w:pStyle w:val="FootnoteText"/>
      </w:pPr>
    </w:p>
  </w:footnote>
  <w:footnote w:id="5">
    <w:p w:rsidR="001F1ED5" w:rsidRPr="00645F17" w:rsidRDefault="001F1ED5" w:rsidP="00876E49">
      <w:pPr>
        <w:pStyle w:val="FootnoteText"/>
        <w:rPr>
          <w:i/>
        </w:rPr>
      </w:pPr>
      <w:r>
        <w:rPr>
          <w:rStyle w:val="FootnoteReference"/>
        </w:rPr>
        <w:footnoteRef/>
      </w:r>
      <w:r>
        <w:t xml:space="preserve">Order No. PSC-2017-0415-AS-EI, issued October 24, 2017, in Docket No. 20170123-EI (SJRPP Order), </w:t>
      </w:r>
      <w:r w:rsidRPr="00645F17">
        <w:rPr>
          <w:i/>
        </w:rPr>
        <w:t xml:space="preserve">In re: Petition for approval of arrangement to mitigate unfavorable impact of St. Johns River Power Park, by Florida Power &amp; Light Company. </w:t>
      </w:r>
    </w:p>
  </w:footnote>
  <w:footnote w:id="6">
    <w:p w:rsidR="001F1ED5" w:rsidRDefault="001F1ED5" w:rsidP="00876E49">
      <w:pPr>
        <w:pStyle w:val="FootnoteText"/>
      </w:pPr>
      <w:r>
        <w:rPr>
          <w:rStyle w:val="FootnoteReference"/>
        </w:rPr>
        <w:footnoteRef/>
      </w:r>
      <w:r>
        <w:t xml:space="preserve">Order No. PSC-2018-0028-FOF-EI, issued January 8, 2018, in Docket No. 20180001-EI, </w:t>
      </w:r>
      <w:r w:rsidRPr="00C30694">
        <w:rPr>
          <w:i/>
        </w:rPr>
        <w:t>In re: Fuel and purchased power cost recovery clause and generating performance incentive factor</w:t>
      </w:r>
      <w:r>
        <w:rPr>
          <w:i/>
        </w:rPr>
        <w:t>.</w:t>
      </w:r>
    </w:p>
  </w:footnote>
  <w:footnote w:id="7">
    <w:p w:rsidR="001F1ED5" w:rsidRDefault="001F1ED5" w:rsidP="00876E49">
      <w:pPr>
        <w:pStyle w:val="FootnoteText"/>
      </w:pPr>
      <w:r>
        <w:rPr>
          <w:rStyle w:val="FootnoteReference"/>
        </w:rPr>
        <w:footnoteRef/>
      </w:r>
      <w:r>
        <w:t>In FPL’s petition, it stated the SJRPP Transaction was projected to close on January 5, 2018.  FPL’s January 16, 2018, response to Commission staff’s First Data Request, Question No. 7, the Company confirmed that the plant closure occurred as projected. The SJRPP was retired on January 5, 2018.</w:t>
      </w:r>
    </w:p>
  </w:footnote>
  <w:footnote w:id="8">
    <w:p w:rsidR="001F1ED5" w:rsidRPr="001E2979" w:rsidRDefault="001F1ED5" w:rsidP="00876E49">
      <w:pPr>
        <w:pStyle w:val="FootnoteText"/>
      </w:pPr>
      <w:r w:rsidRPr="001E2979">
        <w:rPr>
          <w:rStyle w:val="FootnoteReference"/>
        </w:rPr>
        <w:footnoteRef/>
      </w:r>
      <w:r w:rsidRPr="001E2979">
        <w:t xml:space="preserve">These amounts do not reflect any storm-related charges attributable to named storms that impacted FPL’s service territory in the 2017 hurricane season, nor do they reflect </w:t>
      </w:r>
      <w:r>
        <w:t xml:space="preserve">a true-up adjustment to the storm restoration surcharge FPL addressed in its January 16, 2018, response to Commission staff’s First Data Request, Question No. 13. In addition, these amounts do not reflect </w:t>
      </w:r>
      <w:r w:rsidRPr="001E2979">
        <w:t xml:space="preserve">any changes that may be approved by the Commission in other docketed matters. </w:t>
      </w:r>
    </w:p>
  </w:footnote>
  <w:footnote w:id="9">
    <w:p w:rsidR="001F1ED5" w:rsidRDefault="001F1ED5" w:rsidP="00876E49">
      <w:pPr>
        <w:pStyle w:val="FootnoteText"/>
      </w:pPr>
      <w:r>
        <w:rPr>
          <w:rStyle w:val="FootnoteReference"/>
        </w:rPr>
        <w:footnoteRef/>
      </w:r>
      <w:r w:rsidRPr="007409A9">
        <w:t>Staf</w:t>
      </w:r>
      <w:r>
        <w:t>f reviewed the customer notification materials used for residential and business customers.</w:t>
      </w:r>
      <w:r w:rsidRPr="007409A9">
        <w:t xml:space="preserve"> </w:t>
      </w:r>
    </w:p>
  </w:footnote>
  <w:footnote w:id="10">
    <w:p w:rsidR="001F1ED5" w:rsidRDefault="001F1ED5" w:rsidP="00882FD6">
      <w:pPr>
        <w:pStyle w:val="FootnoteText"/>
      </w:pPr>
      <w:r>
        <w:rPr>
          <w:rStyle w:val="FootnoteReference"/>
        </w:rPr>
        <w:footnoteRef/>
      </w:r>
      <w:r>
        <w:t>Weighted Average 16% On-Peak and 84% Off-Peak</w:t>
      </w:r>
    </w:p>
  </w:footnote>
  <w:footnote w:id="11">
    <w:p w:rsidR="001F1ED5" w:rsidRDefault="001F1ED5" w:rsidP="00882FD6">
      <w:pPr>
        <w:pStyle w:val="FootnoteText"/>
      </w:pPr>
      <w:r>
        <w:rPr>
          <w:rStyle w:val="FootnoteReference"/>
        </w:rPr>
        <w:footnoteRef/>
      </w:r>
      <w:r>
        <w:t>RDC=((Total Capacity Costs )/(Projected Avg 12CP @gen)(.10)(demand loss expansion factor)/12 months</w:t>
      </w:r>
    </w:p>
  </w:footnote>
  <w:footnote w:id="12">
    <w:p w:rsidR="001F1ED5" w:rsidRDefault="001F1ED5" w:rsidP="00882FD6">
      <w:pPr>
        <w:pStyle w:val="FootnoteText"/>
      </w:pPr>
      <w:r>
        <w:rPr>
          <w:rStyle w:val="FootnoteReference"/>
        </w:rPr>
        <w:footnoteRef/>
      </w:r>
      <w:r>
        <w:t>SDD=((Total Capacity Costs )/(Projected Avg 12CP @gen)(21 on peak days)(demand loss expn. factor)/12 months</w:t>
      </w:r>
    </w:p>
  </w:footnote>
  <w:footnote w:id="13">
    <w:p w:rsidR="001F1ED5" w:rsidRDefault="001F1ED5" w:rsidP="00882FD6">
      <w:pPr>
        <w:pStyle w:val="FootnoteText"/>
      </w:pPr>
      <w:r>
        <w:rPr>
          <w:rStyle w:val="FootnoteReference"/>
        </w:rPr>
        <w:footnoteRef/>
      </w:r>
      <w:r>
        <w:t xml:space="preserve">On January 16, 2018, FPL filed responses to staff’s First Data Request. In the response to Question No. 13, FPL provided updated storm restoration information that is incorporated in Column 5 of Table 1. The revision changes the storm restoration surcharge for March-December, 2018, from $1.20 per month to $1.38 to reflect a true-up adjustment associated with the 2004-2005 hurricanes, effective March 1,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1F1ED5">
    <w:pPr>
      <w:pStyle w:val="Header"/>
      <w:tabs>
        <w:tab w:val="clear" w:pos="4320"/>
        <w:tab w:val="clear" w:pos="8640"/>
        <w:tab w:val="right" w:pos="9360"/>
      </w:tabs>
    </w:pPr>
    <w:r>
      <w:t>Docket No. 160001-EI</w:t>
    </w:r>
    <w:r>
      <w:tab/>
      <w:t>Attachment A</w:t>
    </w:r>
  </w:p>
  <w:p w:rsidR="001F1ED5" w:rsidRDefault="001F1ED5" w:rsidP="001F1ED5">
    <w:pPr>
      <w:pStyle w:val="Header"/>
    </w:pPr>
    <w:r>
      <w:t>Date: February 18, 2016</w:t>
    </w:r>
    <w:r>
      <w:tab/>
    </w:r>
    <w:r>
      <w:tab/>
      <w:t>Page 1 of 2</w:t>
    </w:r>
  </w:p>
  <w:p w:rsidR="001F1ED5" w:rsidRDefault="001F1E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D</w:t>
    </w:r>
  </w:p>
  <w:p w:rsidR="001F1ED5" w:rsidRDefault="001F1ED5" w:rsidP="001F1ED5">
    <w:pPr>
      <w:pStyle w:val="Header"/>
      <w:tabs>
        <w:tab w:val="clear" w:pos="8640"/>
        <w:tab w:val="right" w:pos="9360"/>
      </w:tabs>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r>
      <w:tab/>
    </w:r>
    <w:r>
      <w:tab/>
      <w:t xml:space="preserve">Page </w:t>
    </w:r>
    <w:r>
      <w:fldChar w:fldCharType="begin"/>
    </w:r>
    <w:r>
      <w:instrText>=</w:instrText>
    </w:r>
    <w:r>
      <w:fldChar w:fldCharType="begin"/>
    </w:r>
    <w:r>
      <w:instrText>Page</w:instrText>
    </w:r>
    <w:r>
      <w:fldChar w:fldCharType="separate"/>
    </w:r>
    <w:r w:rsidR="009E076B">
      <w:rPr>
        <w:noProof/>
      </w:rPr>
      <w:instrText>12</w:instrText>
    </w:r>
    <w:r>
      <w:fldChar w:fldCharType="end"/>
    </w:r>
    <w:r>
      <w:instrText>-11</w:instrText>
    </w:r>
    <w:r>
      <w:fldChar w:fldCharType="separate"/>
    </w:r>
    <w:r w:rsidR="009E076B">
      <w:rPr>
        <w:noProof/>
      </w:rPr>
      <w:t>1</w:t>
    </w:r>
    <w:r>
      <w:fldChar w:fldCharType="end"/>
    </w:r>
    <w:r>
      <w:t xml:space="preserve"> of 2</w:t>
    </w:r>
  </w:p>
  <w:p w:rsidR="001F1ED5" w:rsidRDefault="001F1ED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D</w:t>
    </w:r>
  </w:p>
  <w:p w:rsidR="001F1ED5" w:rsidRDefault="001F1ED5" w:rsidP="001F1ED5">
    <w:pPr>
      <w:pStyle w:val="Header"/>
      <w:tabs>
        <w:tab w:val="clear" w:pos="8640"/>
        <w:tab w:val="right" w:pos="9360"/>
      </w:tabs>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r>
      <w:tab/>
    </w:r>
    <w:r>
      <w:tab/>
      <w:t xml:space="preserve">Page </w:t>
    </w:r>
    <w:r>
      <w:fldChar w:fldCharType="begin"/>
    </w:r>
    <w:r>
      <w:instrText>=</w:instrText>
    </w:r>
    <w:r>
      <w:fldChar w:fldCharType="begin"/>
    </w:r>
    <w:r>
      <w:instrText>Page</w:instrText>
    </w:r>
    <w:r>
      <w:fldChar w:fldCharType="separate"/>
    </w:r>
    <w:r w:rsidR="009E076B">
      <w:rPr>
        <w:noProof/>
      </w:rPr>
      <w:instrText>13</w:instrText>
    </w:r>
    <w:r>
      <w:fldChar w:fldCharType="end"/>
    </w:r>
    <w:r>
      <w:instrText>-11</w:instrText>
    </w:r>
    <w:r>
      <w:fldChar w:fldCharType="separate"/>
    </w:r>
    <w:r w:rsidR="009E076B">
      <w:rPr>
        <w:noProof/>
      </w:rPr>
      <w:t>2</w:t>
    </w:r>
    <w:r>
      <w:fldChar w:fldCharType="end"/>
    </w:r>
    <w:r>
      <w:t xml:space="preserve"> of 2</w:t>
    </w:r>
  </w:p>
  <w:p w:rsidR="001F1ED5" w:rsidRDefault="001F1ED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E</w:t>
    </w:r>
  </w:p>
  <w:p w:rsidR="001F1ED5" w:rsidRDefault="001F1ED5">
    <w:pPr>
      <w:pStyle w:val="Header"/>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20180001-EI</w:t>
    </w:r>
    <w:bookmarkEnd w:id="15"/>
  </w:p>
  <w:p w:rsidR="001F1ED5" w:rsidRDefault="001F1ED5">
    <w:pPr>
      <w:pStyle w:val="Header"/>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 xml:space="preserve">Issue </w:t>
    </w:r>
    <w:r w:rsidR="003C4584">
      <w:fldChar w:fldCharType="begin"/>
    </w:r>
    <w:r w:rsidR="003C4584">
      <w:instrText xml:space="preserve"> Seq Issue \c \* Arabic </w:instrText>
    </w:r>
    <w:r w:rsidR="003C4584">
      <w:fldChar w:fldCharType="separate"/>
    </w:r>
    <w:r w:rsidR="009E076B">
      <w:rPr>
        <w:noProof/>
      </w:rPr>
      <w:t>2</w:t>
    </w:r>
    <w:r w:rsidR="003C4584">
      <w:rPr>
        <w:noProof/>
      </w:rPr>
      <w:fldChar w:fldCharType="end"/>
    </w:r>
  </w:p>
  <w:p w:rsidR="001F1ED5" w:rsidRDefault="001F1ED5">
    <w:pPr>
      <w:pStyle w:val="Header"/>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A</w:t>
    </w:r>
  </w:p>
  <w:p w:rsidR="001F1ED5" w:rsidRDefault="001F1ED5" w:rsidP="001F1ED5">
    <w:pPr>
      <w:pStyle w:val="Header"/>
      <w:tabs>
        <w:tab w:val="clear" w:pos="8640"/>
        <w:tab w:val="right" w:pos="9360"/>
      </w:tabs>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r>
      <w:tab/>
    </w:r>
    <w:r>
      <w:tab/>
      <w:t xml:space="preserve">Page </w:t>
    </w:r>
    <w:r>
      <w:fldChar w:fldCharType="begin"/>
    </w:r>
    <w:r>
      <w:instrText>=</w:instrText>
    </w:r>
    <w:r>
      <w:fldChar w:fldCharType="begin"/>
    </w:r>
    <w:r>
      <w:instrText>Page</w:instrText>
    </w:r>
    <w:r>
      <w:fldChar w:fldCharType="separate"/>
    </w:r>
    <w:r w:rsidR="009E076B">
      <w:rPr>
        <w:noProof/>
      </w:rPr>
      <w:instrText>9</w:instrText>
    </w:r>
    <w:r>
      <w:fldChar w:fldCharType="end"/>
    </w:r>
    <w:r>
      <w:instrText>-7</w:instrText>
    </w:r>
    <w:r>
      <w:fldChar w:fldCharType="separate"/>
    </w:r>
    <w:r w:rsidR="009E076B">
      <w:rPr>
        <w:noProof/>
      </w:rPr>
      <w:t>2</w:t>
    </w:r>
    <w:r>
      <w:fldChar w:fldCharType="end"/>
    </w:r>
    <w:r>
      <w:t xml:space="preserve"> of 2</w:t>
    </w:r>
  </w:p>
  <w:p w:rsidR="001F1ED5" w:rsidRDefault="001F1E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B</w:t>
    </w:r>
  </w:p>
  <w:p w:rsidR="001F1ED5" w:rsidRDefault="001F1ED5" w:rsidP="001F1ED5">
    <w:pPr>
      <w:pStyle w:val="Header"/>
      <w:tabs>
        <w:tab w:val="clear" w:pos="8640"/>
        <w:tab w:val="right" w:pos="9360"/>
      </w:tabs>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r>
      <w:tab/>
    </w:r>
    <w:r>
      <w:tab/>
    </w:r>
  </w:p>
  <w:p w:rsidR="001F1ED5" w:rsidRDefault="001F1E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5" w:rsidRDefault="001F1ED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20180001-EI</w:t>
    </w:r>
    <w:r>
      <w:fldChar w:fldCharType="end"/>
    </w:r>
    <w:r>
      <w:tab/>
      <w:t>Attachment C</w:t>
    </w:r>
  </w:p>
  <w:p w:rsidR="001F1ED5" w:rsidRDefault="001F1ED5" w:rsidP="001F1ED5">
    <w:pPr>
      <w:pStyle w:val="Header"/>
      <w:tabs>
        <w:tab w:val="clear" w:pos="8640"/>
        <w:tab w:val="right" w:pos="9360"/>
      </w:tabs>
    </w:pPr>
    <w:r>
      <w:t xml:space="preserve">Date: </w:t>
    </w:r>
    <w:r w:rsidR="003C4584">
      <w:fldChar w:fldCharType="begin"/>
    </w:r>
    <w:r w:rsidR="003C4584">
      <w:instrText xml:space="preserve"> REF FilingDate </w:instrText>
    </w:r>
    <w:r w:rsidR="003C4584">
      <w:fldChar w:fldCharType="separate"/>
    </w:r>
    <w:r>
      <w:t>January 25, 2018</w:t>
    </w:r>
    <w:r w:rsidR="003C4584">
      <w:fldChar w:fldCharType="end"/>
    </w:r>
    <w:r>
      <w:tab/>
    </w:r>
    <w:r>
      <w:tab/>
    </w:r>
  </w:p>
  <w:p w:rsidR="001F1ED5" w:rsidRDefault="001F1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76E49"/>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1ED5"/>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125C"/>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16DEB"/>
    <w:rsid w:val="00822427"/>
    <w:rsid w:val="00822562"/>
    <w:rsid w:val="00823663"/>
    <w:rsid w:val="00832DDC"/>
    <w:rsid w:val="00850BAC"/>
    <w:rsid w:val="00854A3E"/>
    <w:rsid w:val="00855D08"/>
    <w:rsid w:val="00874344"/>
    <w:rsid w:val="00876E49"/>
    <w:rsid w:val="00882155"/>
    <w:rsid w:val="0088233B"/>
    <w:rsid w:val="00882FD6"/>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E076B"/>
    <w:rsid w:val="009F04EC"/>
    <w:rsid w:val="009F2A7C"/>
    <w:rsid w:val="009F3B36"/>
    <w:rsid w:val="00A019B9"/>
    <w:rsid w:val="00A12508"/>
    <w:rsid w:val="00A1282B"/>
    <w:rsid w:val="00A13A27"/>
    <w:rsid w:val="00A175B6"/>
    <w:rsid w:val="00A21835"/>
    <w:rsid w:val="00A2374B"/>
    <w:rsid w:val="00A26A7F"/>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76E49"/>
    <w:rPr>
      <w:vertAlign w:val="superscript"/>
    </w:rPr>
  </w:style>
  <w:style w:type="character" w:customStyle="1" w:styleId="HeaderChar">
    <w:name w:val="Header Char"/>
    <w:link w:val="Header"/>
    <w:uiPriority w:val="99"/>
    <w:rsid w:val="00876E49"/>
    <w:rPr>
      <w:sz w:val="24"/>
      <w:szCs w:val="24"/>
    </w:rPr>
  </w:style>
  <w:style w:type="character" w:customStyle="1" w:styleId="FooterChar">
    <w:name w:val="Footer Char"/>
    <w:link w:val="Footer"/>
    <w:uiPriority w:val="99"/>
    <w:rsid w:val="00876E49"/>
    <w:rPr>
      <w:sz w:val="24"/>
      <w:szCs w:val="24"/>
    </w:rPr>
  </w:style>
  <w:style w:type="character" w:customStyle="1" w:styleId="FootnoteTextChar">
    <w:name w:val="Footnote Text Char"/>
    <w:link w:val="FootnoteText"/>
    <w:uiPriority w:val="99"/>
    <w:rsid w:val="00876E49"/>
  </w:style>
  <w:style w:type="character" w:styleId="Strong">
    <w:name w:val="Strong"/>
    <w:uiPriority w:val="22"/>
    <w:qFormat/>
    <w:rsid w:val="00876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76E49"/>
    <w:rPr>
      <w:vertAlign w:val="superscript"/>
    </w:rPr>
  </w:style>
  <w:style w:type="character" w:customStyle="1" w:styleId="HeaderChar">
    <w:name w:val="Header Char"/>
    <w:link w:val="Header"/>
    <w:uiPriority w:val="99"/>
    <w:rsid w:val="00876E49"/>
    <w:rPr>
      <w:sz w:val="24"/>
      <w:szCs w:val="24"/>
    </w:rPr>
  </w:style>
  <w:style w:type="character" w:customStyle="1" w:styleId="FooterChar">
    <w:name w:val="Footer Char"/>
    <w:link w:val="Footer"/>
    <w:uiPriority w:val="99"/>
    <w:rsid w:val="00876E49"/>
    <w:rPr>
      <w:sz w:val="24"/>
      <w:szCs w:val="24"/>
    </w:rPr>
  </w:style>
  <w:style w:type="character" w:customStyle="1" w:styleId="FootnoteTextChar">
    <w:name w:val="Footnote Text Char"/>
    <w:link w:val="FootnoteText"/>
    <w:uiPriority w:val="99"/>
    <w:rsid w:val="00876E49"/>
  </w:style>
  <w:style w:type="character" w:styleId="Strong">
    <w:name w:val="Strong"/>
    <w:uiPriority w:val="22"/>
    <w:qFormat/>
    <w:rsid w:val="00876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14</Pages>
  <Words>2485</Words>
  <Characters>14043</Characters>
  <Application>Microsoft Office Word</Application>
  <DocSecurity>0</DocSecurity>
  <Lines>739</Lines>
  <Paragraphs>569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Lisa Ray</cp:lastModifiedBy>
  <cp:revision>2</cp:revision>
  <cp:lastPrinted>2018-01-24T14:45:00Z</cp:lastPrinted>
  <dcterms:created xsi:type="dcterms:W3CDTF">2018-01-25T14:56:00Z</dcterms:created>
  <dcterms:modified xsi:type="dcterms:W3CDTF">2018-01-25T14:56:00Z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20180001-EI</vt:lpwstr>
  </property>
  <property fmtid="{D5CDD505-2E9C-101B-9397-08002B2CF9AE}" pid="3" name="MasterDocument">
    <vt:bool>false</vt:bool>
  </property>
</Properties>
</file>