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696105" w:rsidP="00696105">
      <w:pPr>
        <w:pStyle w:val="OrderHeading"/>
      </w:pPr>
      <w:r>
        <w:t>BEFORE THE FLORIDA PUBLIC SERVICE COMMISSION</w:t>
      </w:r>
    </w:p>
    <w:p w:rsidR="00696105" w:rsidRDefault="00696105" w:rsidP="00696105">
      <w:pPr>
        <w:pStyle w:val="OrderBody"/>
      </w:pPr>
    </w:p>
    <w:p w:rsidR="00696105" w:rsidRDefault="00696105" w:rsidP="00696105">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696105" w:rsidRPr="00C63FCF" w:rsidTr="00C63FCF">
        <w:trPr>
          <w:trHeight w:val="828"/>
        </w:trPr>
        <w:tc>
          <w:tcPr>
            <w:tcW w:w="4788" w:type="dxa"/>
            <w:tcBorders>
              <w:bottom w:val="single" w:sz="8" w:space="0" w:color="auto"/>
              <w:right w:val="double" w:sz="6" w:space="0" w:color="auto"/>
            </w:tcBorders>
            <w:shd w:val="clear" w:color="auto" w:fill="auto"/>
          </w:tcPr>
          <w:p w:rsidR="00696105" w:rsidRDefault="00696105" w:rsidP="00C63FCF">
            <w:pPr>
              <w:pStyle w:val="OrderBody"/>
              <w:tabs>
                <w:tab w:val="center" w:pos="4320"/>
                <w:tab w:val="right" w:pos="8640"/>
              </w:tabs>
              <w:jc w:val="left"/>
            </w:pPr>
            <w:r>
              <w:t xml:space="preserve">In re: </w:t>
            </w:r>
            <w:bookmarkStart w:id="0" w:name="SSInRe"/>
            <w:bookmarkEnd w:id="0"/>
            <w:r>
              <w:t>Petition for limited proceeding to approve first solar base rate adjustment (SoBRA), effective September 1, 2018, by Tampa Electric Company.</w:t>
            </w:r>
          </w:p>
        </w:tc>
        <w:tc>
          <w:tcPr>
            <w:tcW w:w="4788" w:type="dxa"/>
            <w:tcBorders>
              <w:left w:val="double" w:sz="6" w:space="0" w:color="auto"/>
            </w:tcBorders>
            <w:shd w:val="clear" w:color="auto" w:fill="auto"/>
          </w:tcPr>
          <w:p w:rsidR="00696105" w:rsidRDefault="00696105" w:rsidP="00696105">
            <w:pPr>
              <w:pStyle w:val="OrderBody"/>
            </w:pPr>
            <w:r>
              <w:t xml:space="preserve">DOCKET NO. </w:t>
            </w:r>
            <w:bookmarkStart w:id="1" w:name="SSDocketNo"/>
            <w:bookmarkEnd w:id="1"/>
            <w:r>
              <w:t>20170260-EI</w:t>
            </w:r>
          </w:p>
          <w:p w:rsidR="00696105" w:rsidRDefault="00696105" w:rsidP="00C63FCF">
            <w:pPr>
              <w:pStyle w:val="OrderBody"/>
              <w:tabs>
                <w:tab w:val="center" w:pos="4320"/>
                <w:tab w:val="right" w:pos="8640"/>
              </w:tabs>
              <w:jc w:val="left"/>
            </w:pPr>
            <w:r>
              <w:t xml:space="preserve">ORDER NO. </w:t>
            </w:r>
            <w:bookmarkStart w:id="2" w:name="OrderNo0288"/>
            <w:r w:rsidR="00783E92">
              <w:t>PSC-2018-0288-FOF-EI</w:t>
            </w:r>
            <w:bookmarkEnd w:id="2"/>
          </w:p>
          <w:p w:rsidR="00696105" w:rsidRDefault="00696105" w:rsidP="00C63FCF">
            <w:pPr>
              <w:pStyle w:val="OrderBody"/>
              <w:tabs>
                <w:tab w:val="center" w:pos="4320"/>
                <w:tab w:val="right" w:pos="8640"/>
              </w:tabs>
              <w:jc w:val="left"/>
            </w:pPr>
            <w:r>
              <w:t xml:space="preserve">ISSUED: </w:t>
            </w:r>
            <w:r w:rsidR="00783E92">
              <w:t>June 5, 2018</w:t>
            </w:r>
          </w:p>
        </w:tc>
      </w:tr>
    </w:tbl>
    <w:p w:rsidR="00696105" w:rsidRDefault="00696105" w:rsidP="00696105"/>
    <w:p w:rsidR="00696105" w:rsidRDefault="00696105" w:rsidP="00696105"/>
    <w:p w:rsidR="00AB34F7" w:rsidRDefault="00AB34F7" w:rsidP="00696105"/>
    <w:p w:rsidR="00696105" w:rsidRDefault="00696105">
      <w:pPr>
        <w:ind w:firstLine="720"/>
        <w:jc w:val="both"/>
      </w:pPr>
      <w:bookmarkStart w:id="3" w:name="Commissioners"/>
      <w:bookmarkEnd w:id="3"/>
      <w:r>
        <w:t>The following Commissioners participated in the disposition of this matter:</w:t>
      </w:r>
    </w:p>
    <w:p w:rsidR="00696105" w:rsidRDefault="00696105"/>
    <w:p w:rsidR="00696105" w:rsidRDefault="00696105">
      <w:pPr>
        <w:jc w:val="center"/>
      </w:pPr>
      <w:r>
        <w:t>ART GRAHAM, Chairman</w:t>
      </w:r>
    </w:p>
    <w:p w:rsidR="00696105" w:rsidRDefault="00696105">
      <w:pPr>
        <w:jc w:val="center"/>
      </w:pPr>
      <w:r>
        <w:t xml:space="preserve">JULIE I. BROWN </w:t>
      </w:r>
    </w:p>
    <w:p w:rsidR="00696105" w:rsidRDefault="00696105">
      <w:pPr>
        <w:jc w:val="center"/>
      </w:pPr>
      <w:r>
        <w:t>DONALD J. POLMANN</w:t>
      </w:r>
    </w:p>
    <w:p w:rsidR="00696105" w:rsidRDefault="00696105">
      <w:pPr>
        <w:jc w:val="center"/>
      </w:pPr>
      <w:r>
        <w:t>GARY F. CLARK</w:t>
      </w:r>
    </w:p>
    <w:p w:rsidR="00696105" w:rsidRDefault="00696105">
      <w:pPr>
        <w:jc w:val="center"/>
      </w:pPr>
      <w:r>
        <w:t>ANDREW GILES FAY</w:t>
      </w:r>
    </w:p>
    <w:p w:rsidR="00696105" w:rsidRDefault="00696105"/>
    <w:p w:rsidR="00844629" w:rsidRDefault="00844629"/>
    <w:p w:rsidR="00153038" w:rsidRPr="00701945" w:rsidRDefault="00153038" w:rsidP="00153038">
      <w:pPr>
        <w:jc w:val="both"/>
      </w:pPr>
      <w:r w:rsidRPr="00701945">
        <w:t>APPEARANCES:</w:t>
      </w:r>
    </w:p>
    <w:p w:rsidR="00153038" w:rsidRDefault="00153038" w:rsidP="00153038">
      <w:pPr>
        <w:jc w:val="both"/>
      </w:pPr>
    </w:p>
    <w:p w:rsidR="00153038" w:rsidRPr="00701945" w:rsidRDefault="00153038" w:rsidP="00153038">
      <w:pPr>
        <w:jc w:val="both"/>
      </w:pPr>
    </w:p>
    <w:p w:rsidR="00153038" w:rsidRDefault="00153038" w:rsidP="00C10C17">
      <w:pPr>
        <w:ind w:left="1440" w:right="720"/>
        <w:jc w:val="both"/>
      </w:pPr>
      <w:r>
        <w:t>JAMES D. BEASLEY, ESQUIRE, J. JEFFRY WAHLEN</w:t>
      </w:r>
      <w:r w:rsidRPr="00701945">
        <w:t xml:space="preserve">, ESQUIRE, </w:t>
      </w:r>
      <w:r>
        <w:t>Ausley McMullen, Post Office Box 391, Tallahassee, Florida  32302</w:t>
      </w:r>
    </w:p>
    <w:p w:rsidR="00153038" w:rsidRPr="00D11D08" w:rsidRDefault="00153038" w:rsidP="00C10C17">
      <w:pPr>
        <w:ind w:left="1440" w:right="720"/>
        <w:jc w:val="both"/>
      </w:pPr>
      <w:r>
        <w:rPr>
          <w:u w:val="single"/>
        </w:rPr>
        <w:t>On behalf of Tampa Electric Company (TECO)</w:t>
      </w:r>
      <w:r>
        <w:t>.</w:t>
      </w:r>
    </w:p>
    <w:p w:rsidR="00153038" w:rsidRPr="00701945" w:rsidRDefault="00153038" w:rsidP="00C10C17">
      <w:pPr>
        <w:ind w:right="720"/>
        <w:jc w:val="both"/>
      </w:pPr>
    </w:p>
    <w:p w:rsidR="00153038" w:rsidRPr="00701945" w:rsidRDefault="00153038" w:rsidP="00C10C17">
      <w:pPr>
        <w:ind w:left="1440" w:right="720"/>
        <w:jc w:val="both"/>
      </w:pPr>
      <w:r>
        <w:t>CHARLES J. REHWINKEL</w:t>
      </w:r>
      <w:r w:rsidRPr="00701945">
        <w:t xml:space="preserve">, ESQUIRE, </w:t>
      </w:r>
      <w:r>
        <w:t>Deputy General Counsel, Office of Public Counsel, c/o The Florida Legislature, 111 West Madison Street, Room 812, Tallahassee, Florida 32399-1400</w:t>
      </w:r>
    </w:p>
    <w:p w:rsidR="00153038" w:rsidRDefault="00153038" w:rsidP="00C10C17">
      <w:pPr>
        <w:ind w:left="1440" w:right="720"/>
        <w:jc w:val="both"/>
      </w:pPr>
      <w:r w:rsidRPr="00701945">
        <w:rPr>
          <w:u w:val="single"/>
        </w:rPr>
        <w:t xml:space="preserve">On behalf of the </w:t>
      </w:r>
      <w:r>
        <w:rPr>
          <w:u w:val="single"/>
        </w:rPr>
        <w:t>Citizens of the State of Florida (OPC)</w:t>
      </w:r>
    </w:p>
    <w:p w:rsidR="00153038" w:rsidRDefault="00153038" w:rsidP="00C10C17">
      <w:pPr>
        <w:ind w:left="1440" w:right="720"/>
        <w:jc w:val="both"/>
      </w:pPr>
    </w:p>
    <w:p w:rsidR="00153038" w:rsidRPr="00701945" w:rsidRDefault="00153038" w:rsidP="00C10C17">
      <w:pPr>
        <w:ind w:left="1440" w:right="720"/>
        <w:jc w:val="both"/>
      </w:pPr>
      <w:r>
        <w:t>WALT TRIERWEILER</w:t>
      </w:r>
      <w:r w:rsidRPr="00701945">
        <w:t xml:space="preserve">, ESQUIRE, </w:t>
      </w:r>
      <w:r>
        <w:t xml:space="preserve">Senior Attorney, </w:t>
      </w:r>
      <w:r w:rsidRPr="00701945">
        <w:t>Florida Public Service Commission, 2540 Shumard Oak Boulevard, Tallahassee, Florida 32399-0850</w:t>
      </w:r>
    </w:p>
    <w:p w:rsidR="00153038" w:rsidRPr="00701945" w:rsidRDefault="00153038" w:rsidP="00C10C17">
      <w:pPr>
        <w:ind w:left="720" w:right="720" w:firstLine="720"/>
        <w:jc w:val="both"/>
      </w:pPr>
      <w:r w:rsidRPr="00701945">
        <w:rPr>
          <w:u w:val="single"/>
        </w:rPr>
        <w:t>On behalf of the Florida Public Service Commission</w:t>
      </w:r>
      <w:r>
        <w:rPr>
          <w:u w:val="single"/>
        </w:rPr>
        <w:t xml:space="preserve"> (Staff)</w:t>
      </w:r>
      <w:r w:rsidRPr="00701945">
        <w:t>.</w:t>
      </w:r>
    </w:p>
    <w:p w:rsidR="00153038" w:rsidRPr="00701945" w:rsidRDefault="00153038" w:rsidP="00C10C17">
      <w:pPr>
        <w:ind w:right="720"/>
        <w:jc w:val="both"/>
      </w:pPr>
    </w:p>
    <w:p w:rsidR="00153038" w:rsidRPr="00701945" w:rsidRDefault="00153038" w:rsidP="00C10C17">
      <w:pPr>
        <w:ind w:left="1440" w:right="720"/>
        <w:jc w:val="both"/>
      </w:pPr>
      <w:r>
        <w:t xml:space="preserve">ROSANNE GERVASI, ESQUIRE, </w:t>
      </w:r>
      <w:r w:rsidR="002F33C2">
        <w:t xml:space="preserve">MARY ANNE HELTON, ESQUIRE, </w:t>
      </w:r>
      <w:r w:rsidRPr="00701945">
        <w:t>Florida Public Service Commission, 2540 Shumard Oak Boulevard, Tallahassee, Florida 32399-0850</w:t>
      </w:r>
    </w:p>
    <w:p w:rsidR="00153038" w:rsidRDefault="00153038" w:rsidP="00C10C17">
      <w:pPr>
        <w:ind w:left="720" w:right="720" w:firstLine="720"/>
        <w:jc w:val="both"/>
      </w:pPr>
      <w:r>
        <w:rPr>
          <w:u w:val="single"/>
        </w:rPr>
        <w:t>Advisor</w:t>
      </w:r>
      <w:r w:rsidR="00E909B5">
        <w:rPr>
          <w:u w:val="single"/>
        </w:rPr>
        <w:t>s</w:t>
      </w:r>
      <w:r>
        <w:rPr>
          <w:u w:val="single"/>
        </w:rPr>
        <w:t xml:space="preserve"> to the</w:t>
      </w:r>
      <w:r w:rsidRPr="00701945">
        <w:rPr>
          <w:u w:val="single"/>
        </w:rPr>
        <w:t xml:space="preserve"> Florida Public Service Commission</w:t>
      </w:r>
      <w:r w:rsidRPr="00701945">
        <w:t>.</w:t>
      </w:r>
    </w:p>
    <w:p w:rsidR="002F33C2" w:rsidRDefault="002F33C2" w:rsidP="00C10C17">
      <w:pPr>
        <w:ind w:left="720" w:right="720" w:firstLine="720"/>
        <w:jc w:val="both"/>
      </w:pPr>
    </w:p>
    <w:p w:rsidR="002F33C2" w:rsidRDefault="002F33C2" w:rsidP="00C10C17">
      <w:pPr>
        <w:ind w:left="720" w:right="720" w:firstLine="720"/>
        <w:jc w:val="both"/>
      </w:pPr>
      <w:r w:rsidRPr="00FB4876">
        <w:t>KEITH HETRICK</w:t>
      </w:r>
      <w:r w:rsidR="00FB4876">
        <w:t>, ESQUIRE, General Counsel</w:t>
      </w:r>
    </w:p>
    <w:p w:rsidR="00FB4876" w:rsidRDefault="00FB4876" w:rsidP="00FB4876">
      <w:pPr>
        <w:ind w:left="1440" w:right="720"/>
        <w:jc w:val="both"/>
      </w:pPr>
      <w:r w:rsidRPr="00FB4876">
        <w:t>Florida Public Service Commission, 2540 Shumard Oak Boulevard, Tallahassee, Florida 32399-0850</w:t>
      </w:r>
    </w:p>
    <w:p w:rsidR="00153038" w:rsidRPr="00FB4876" w:rsidRDefault="00FB4876" w:rsidP="00153038">
      <w:pPr>
        <w:ind w:left="720" w:firstLine="720"/>
        <w:jc w:val="both"/>
      </w:pPr>
      <w:r>
        <w:rPr>
          <w:u w:val="single"/>
        </w:rPr>
        <w:t>Advisors to the</w:t>
      </w:r>
      <w:r w:rsidRPr="00701945">
        <w:rPr>
          <w:u w:val="single"/>
        </w:rPr>
        <w:t xml:space="preserve"> Florida Public Service Commission</w:t>
      </w:r>
      <w:r>
        <w:t>.</w:t>
      </w:r>
    </w:p>
    <w:p w:rsidR="00844629" w:rsidRDefault="00844629">
      <w:r>
        <w:br w:type="page"/>
      </w:r>
    </w:p>
    <w:p w:rsidR="002F14A5" w:rsidRPr="008C5C04" w:rsidRDefault="00153038" w:rsidP="00844629">
      <w:pPr>
        <w:jc w:val="center"/>
        <w:rPr>
          <w:u w:val="single"/>
        </w:rPr>
      </w:pPr>
      <w:bookmarkStart w:id="4" w:name="OrderTitle"/>
      <w:r w:rsidRPr="008C5C04">
        <w:rPr>
          <w:u w:val="single"/>
        </w:rPr>
        <w:lastRenderedPageBreak/>
        <w:t>FINAL ORDER</w:t>
      </w:r>
      <w:r w:rsidR="00D50AC4" w:rsidRPr="008C5C04">
        <w:rPr>
          <w:u w:val="single"/>
        </w:rPr>
        <w:t xml:space="preserve"> APPROVING TAMPA ELECTRIC COMPANY’S</w:t>
      </w:r>
    </w:p>
    <w:p w:rsidR="00696105" w:rsidRPr="008C5C04" w:rsidRDefault="00D50AC4" w:rsidP="00696105">
      <w:pPr>
        <w:pStyle w:val="CenterUnderline"/>
      </w:pPr>
      <w:r w:rsidRPr="008C5C04">
        <w:t>FIRST SOLAR</w:t>
      </w:r>
      <w:r w:rsidR="002F14A5" w:rsidRPr="008C5C04">
        <w:t xml:space="preserve"> RATE BASE ADJUSTMENTS</w:t>
      </w:r>
      <w:r w:rsidRPr="008C5C04">
        <w:t xml:space="preserve"> </w:t>
      </w:r>
      <w:r w:rsidR="00696105" w:rsidRPr="008C5C04">
        <w:t xml:space="preserve"> </w:t>
      </w:r>
      <w:bookmarkEnd w:id="4"/>
    </w:p>
    <w:p w:rsidR="008C5C04" w:rsidRDefault="008C5C04" w:rsidP="00844629">
      <w:pPr>
        <w:pStyle w:val="CenterUnderline"/>
        <w:jc w:val="left"/>
      </w:pPr>
    </w:p>
    <w:p w:rsidR="00696105" w:rsidRDefault="00696105" w:rsidP="00696105">
      <w:pPr>
        <w:pStyle w:val="OrderBody"/>
      </w:pPr>
      <w:r>
        <w:t>BY THE COMMISSION:</w:t>
      </w:r>
    </w:p>
    <w:p w:rsidR="00844629" w:rsidRDefault="00844629" w:rsidP="00844629">
      <w:pPr>
        <w:pStyle w:val="OrderBody"/>
        <w:rPr>
          <w:u w:val="single"/>
        </w:rPr>
      </w:pPr>
    </w:p>
    <w:p w:rsidR="00AB1789" w:rsidRDefault="00AB1789" w:rsidP="00AB1789">
      <w:pPr>
        <w:pStyle w:val="OrderBody"/>
        <w:jc w:val="center"/>
        <w:rPr>
          <w:u w:val="single"/>
        </w:rPr>
      </w:pPr>
      <w:r>
        <w:rPr>
          <w:u w:val="single"/>
        </w:rPr>
        <w:t>BACKGROUND</w:t>
      </w:r>
    </w:p>
    <w:p w:rsidR="00D20E2B" w:rsidRPr="00844629" w:rsidRDefault="00D20E2B" w:rsidP="00AB1789">
      <w:pPr>
        <w:pStyle w:val="OrderBody"/>
        <w:jc w:val="center"/>
        <w:rPr>
          <w:u w:val="single"/>
        </w:rPr>
      </w:pPr>
    </w:p>
    <w:p w:rsidR="005F589B" w:rsidRDefault="005F589B" w:rsidP="005F589B">
      <w:pPr>
        <w:ind w:firstLine="720"/>
        <w:jc w:val="both"/>
      </w:pPr>
      <w:bookmarkStart w:id="5" w:name="OrderText"/>
      <w:bookmarkEnd w:id="5"/>
      <w:r w:rsidRPr="005F589B">
        <w:t xml:space="preserve">In 2017, the Commission approved Tampa Electric Company’s (TECO) 2017 Amended and Restated Stipulation and Settlement Agreement (2017 </w:t>
      </w:r>
      <w:r w:rsidR="002C3C81">
        <w:t xml:space="preserve">Settlement </w:t>
      </w:r>
      <w:r w:rsidRPr="005F589B">
        <w:t xml:space="preserve">Agreement) that included a Solar Base Rate Adjustment (SoBRA) mechanism, which provides for the recovery of costs associated with solar projects that meet the criteria laid out in the 2017 </w:t>
      </w:r>
      <w:r w:rsidR="002C3C81">
        <w:t xml:space="preserve">Settlement </w:t>
      </w:r>
      <w:r w:rsidRPr="005F589B">
        <w:t>Agreement.</w:t>
      </w:r>
      <w:r w:rsidRPr="005F589B">
        <w:rPr>
          <w:vertAlign w:val="superscript"/>
        </w:rPr>
        <w:footnoteReference w:id="1"/>
      </w:r>
      <w:r w:rsidRPr="005F589B">
        <w:t xml:space="preserve">  As contemplated in the 2017 </w:t>
      </w:r>
      <w:r w:rsidR="002C3C81">
        <w:t xml:space="preserve">Settlement </w:t>
      </w:r>
      <w:r w:rsidRPr="005F589B">
        <w:t xml:space="preserve">Agreement, on December 14, 2017, TECO filed its Petition for a Limited Proceeding to Approve First SoBRA Effective September 1, 2018 (SoBRA Petition). </w:t>
      </w:r>
      <w:r w:rsidR="002C3C81">
        <w:t>T</w:t>
      </w:r>
      <w:r w:rsidR="002F33C2">
        <w:t>ECO filed an amended SoBRA P</w:t>
      </w:r>
      <w:r w:rsidRPr="005F589B">
        <w:t>etition on February 14, 2018, which takes into account the impact of the Tax Cuts and Jobs Act of 2017 enacted by the United States Congress on December 20, 2017, and signed into law on December 22, 2017, by the President.</w:t>
      </w:r>
    </w:p>
    <w:p w:rsidR="005F589B" w:rsidRPr="005F589B" w:rsidRDefault="005F589B" w:rsidP="005F589B">
      <w:pPr>
        <w:ind w:firstLine="720"/>
        <w:jc w:val="both"/>
      </w:pPr>
    </w:p>
    <w:p w:rsidR="002F33C2" w:rsidRDefault="0048184B" w:rsidP="00D30800">
      <w:pPr>
        <w:ind w:firstLine="720"/>
        <w:jc w:val="both"/>
      </w:pPr>
      <w:r>
        <w:t xml:space="preserve">In its SoBRA </w:t>
      </w:r>
      <w:r w:rsidR="007109EC">
        <w:t>Petition</w:t>
      </w:r>
      <w:r>
        <w:t xml:space="preserve">, </w:t>
      </w:r>
      <w:r w:rsidR="002F33C2">
        <w:t xml:space="preserve">TECO seeks approval </w:t>
      </w:r>
      <w:r w:rsidR="006D6EBE">
        <w:t>for</w:t>
      </w:r>
      <w:r>
        <w:t xml:space="preserve"> Tranche One</w:t>
      </w:r>
      <w:r w:rsidR="00312C4B">
        <w:t>--t</w:t>
      </w:r>
      <w:r>
        <w:t xml:space="preserve">he </w:t>
      </w:r>
      <w:r w:rsidRPr="0048184B">
        <w:t>Balm Solar and Payne Creek Solar projects</w:t>
      </w:r>
      <w:r w:rsidR="006D6EBE">
        <w:t xml:space="preserve"> (the 2018 SoBRA projects)</w:t>
      </w:r>
      <w:r w:rsidR="00312C4B">
        <w:t xml:space="preserve">.  The </w:t>
      </w:r>
      <w:r>
        <w:t xml:space="preserve">2018 SoBRA projects </w:t>
      </w:r>
      <w:r w:rsidR="00312C4B">
        <w:t>are the</w:t>
      </w:r>
      <w:r>
        <w:t xml:space="preserve"> first of four tranches </w:t>
      </w:r>
      <w:r w:rsidR="006D6EBE">
        <w:t xml:space="preserve">for which TECO </w:t>
      </w:r>
      <w:r>
        <w:t xml:space="preserve">may </w:t>
      </w:r>
      <w:r w:rsidR="006D6EBE">
        <w:t>seek</w:t>
      </w:r>
      <w:r w:rsidRPr="0048184B">
        <w:t xml:space="preserve"> approval</w:t>
      </w:r>
      <w:r w:rsidR="007109EC">
        <w:t xml:space="preserve"> pursuant to the 2017 Settlement Agreement</w:t>
      </w:r>
      <w:r w:rsidRPr="0048184B">
        <w:t>.</w:t>
      </w:r>
      <w:r w:rsidR="00312C4B">
        <w:t xml:space="preserve">  </w:t>
      </w:r>
      <w:r w:rsidR="00312C4B" w:rsidRPr="00312C4B">
        <w:t xml:space="preserve">Under </w:t>
      </w:r>
      <w:r w:rsidR="001B50E0" w:rsidRPr="00312C4B">
        <w:t>subparagraph</w:t>
      </w:r>
      <w:r w:rsidR="00312C4B" w:rsidRPr="00312C4B">
        <w:t xml:space="preserve"> 6(b)</w:t>
      </w:r>
      <w:r w:rsidR="006D6EBE">
        <w:t xml:space="preserve"> of the 2017 Settlement Agreement, </w:t>
      </w:r>
      <w:r w:rsidR="00312C4B" w:rsidRPr="00312C4B">
        <w:t>September 1, 2018</w:t>
      </w:r>
      <w:r w:rsidR="006D6EBE">
        <w:t>,</w:t>
      </w:r>
      <w:r w:rsidR="00312C4B" w:rsidRPr="00312C4B">
        <w:t xml:space="preserve"> is the earliest in-service and rate change date for Tranche One.  </w:t>
      </w:r>
      <w:r w:rsidR="007109EC">
        <w:t>Subp</w:t>
      </w:r>
      <w:r w:rsidR="00312C4B" w:rsidRPr="00312C4B">
        <w:t>aragraph 6(b) also establishes maximum MW and revenue requirement thresholds</w:t>
      </w:r>
      <w:r w:rsidR="007109EC">
        <w:t>:</w:t>
      </w:r>
      <w:r w:rsidR="00312C4B">
        <w:t xml:space="preserve"> </w:t>
      </w:r>
      <w:r w:rsidR="007109EC">
        <w:t xml:space="preserve"> </w:t>
      </w:r>
      <w:r w:rsidR="00312C4B" w:rsidRPr="00312C4B">
        <w:t>Tranche One cannot exceed 150 MW and $30.6 million in revenue requirements.</w:t>
      </w:r>
      <w:r w:rsidR="00312C4B">
        <w:t xml:space="preserve"> </w:t>
      </w:r>
      <w:r w:rsidR="00312C4B" w:rsidRPr="00312C4B">
        <w:t xml:space="preserve"> The projects must be cost effective and project</w:t>
      </w:r>
      <w:r w:rsidR="000156D4">
        <w:t>ed</w:t>
      </w:r>
      <w:r w:rsidR="00312C4B" w:rsidRPr="00312C4B">
        <w:t xml:space="preserve"> to fall under the $1500 per kilowatt alternating current (kWac) installed cost cap as required by subparagraphs 6(d) and 6(g).</w:t>
      </w:r>
    </w:p>
    <w:p w:rsidR="002F33C2" w:rsidRDefault="002F33C2" w:rsidP="00D30800">
      <w:pPr>
        <w:ind w:firstLine="720"/>
        <w:jc w:val="both"/>
      </w:pPr>
    </w:p>
    <w:p w:rsidR="00AB1789" w:rsidRDefault="002F33C2" w:rsidP="00D30800">
      <w:pPr>
        <w:ind w:firstLine="720"/>
        <w:jc w:val="both"/>
      </w:pPr>
      <w:r>
        <w:t>The Office of Public Counsel</w:t>
      </w:r>
      <w:r w:rsidR="00FB4876">
        <w:t xml:space="preserve"> (OPC)</w:t>
      </w:r>
      <w:r>
        <w:t xml:space="preserve"> and the Florida Industrial Power Users Group </w:t>
      </w:r>
      <w:r w:rsidR="00FB4876">
        <w:t xml:space="preserve">(FIPUG) </w:t>
      </w:r>
      <w:r>
        <w:t>intervened.</w:t>
      </w:r>
      <w:r>
        <w:rPr>
          <w:rStyle w:val="FootnoteReference"/>
        </w:rPr>
        <w:footnoteReference w:id="2"/>
      </w:r>
      <w:r>
        <w:t xml:space="preserve"> </w:t>
      </w:r>
      <w:r w:rsidRPr="002F33C2">
        <w:t xml:space="preserve">We held a hearing on May 7, 2018 to determine </w:t>
      </w:r>
      <w:r>
        <w:t xml:space="preserve">whether </w:t>
      </w:r>
      <w:r w:rsidRPr="002F33C2">
        <w:t xml:space="preserve">TECO fulfilled the 2017 </w:t>
      </w:r>
      <w:r>
        <w:t xml:space="preserve">Settlement </w:t>
      </w:r>
      <w:r w:rsidRPr="002F33C2">
        <w:t xml:space="preserve">Agreement </w:t>
      </w:r>
      <w:r>
        <w:t xml:space="preserve">requirements </w:t>
      </w:r>
      <w:r w:rsidRPr="002F33C2">
        <w:t>regarding the 2018 SoBRA projects.</w:t>
      </w:r>
      <w:r>
        <w:t xml:space="preserve"> </w:t>
      </w:r>
      <w:r w:rsidR="00FC0128">
        <w:t xml:space="preserve"> </w:t>
      </w:r>
      <w:r w:rsidR="005F589B">
        <w:t xml:space="preserve">We have </w:t>
      </w:r>
      <w:r w:rsidR="005F589B" w:rsidRPr="005F589B">
        <w:t xml:space="preserve">jurisdiction over the subject matter </w:t>
      </w:r>
      <w:r w:rsidR="007109EC">
        <w:t xml:space="preserve">under </w:t>
      </w:r>
      <w:r w:rsidR="005F589B" w:rsidRPr="005F589B">
        <w:t xml:space="preserve">the provisions of Chapter 366, Florida Statutes (F.S.).  </w:t>
      </w:r>
    </w:p>
    <w:p w:rsidR="005F589B" w:rsidRDefault="005F589B" w:rsidP="00D30800">
      <w:pPr>
        <w:ind w:firstLine="720"/>
        <w:jc w:val="both"/>
      </w:pPr>
    </w:p>
    <w:p w:rsidR="00AB1789" w:rsidRDefault="00AB1789" w:rsidP="00AB1789">
      <w:pPr>
        <w:jc w:val="center"/>
        <w:rPr>
          <w:u w:val="single"/>
        </w:rPr>
      </w:pPr>
      <w:r w:rsidRPr="00AB1789">
        <w:rPr>
          <w:u w:val="single"/>
        </w:rPr>
        <w:t>DECISION</w:t>
      </w:r>
    </w:p>
    <w:p w:rsidR="00D20E2B" w:rsidRPr="00AB1789" w:rsidRDefault="00D20E2B" w:rsidP="00AB1789">
      <w:pPr>
        <w:jc w:val="center"/>
        <w:rPr>
          <w:u w:val="single"/>
        </w:rPr>
      </w:pPr>
    </w:p>
    <w:p w:rsidR="006D6EBE" w:rsidRDefault="006D6EBE" w:rsidP="002F14A5">
      <w:pPr>
        <w:ind w:firstLine="720"/>
        <w:jc w:val="both"/>
      </w:pPr>
      <w:r>
        <w:t xml:space="preserve">The Balm Solar project is a </w:t>
      </w:r>
      <w:r w:rsidR="00580DE2">
        <w:t>74.4</w:t>
      </w:r>
      <w:r>
        <w:t xml:space="preserve"> MW project in </w:t>
      </w:r>
      <w:r w:rsidR="001B50E0">
        <w:t>Hillsborough</w:t>
      </w:r>
      <w:r w:rsidR="00580DE2">
        <w:t xml:space="preserve"> </w:t>
      </w:r>
      <w:r>
        <w:t>County</w:t>
      </w:r>
      <w:r w:rsidR="00580DE2">
        <w:t xml:space="preserve">, and the </w:t>
      </w:r>
      <w:r w:rsidR="00580DE2" w:rsidRPr="00580DE2">
        <w:t>Payne Creek Solar project is a 70.3 MW project in Polk County.</w:t>
      </w:r>
      <w:r w:rsidR="00580DE2">
        <w:t xml:space="preserve">  Both projects have a September 1, 2018, in-service date. </w:t>
      </w:r>
      <w:r>
        <w:t xml:space="preserve"> </w:t>
      </w:r>
      <w:r w:rsidR="00580DE2">
        <w:t xml:space="preserve">No party contested the </w:t>
      </w:r>
      <w:r w:rsidRPr="006D6EBE">
        <w:t>$1,324 per kWa</w:t>
      </w:r>
      <w:r w:rsidR="00580DE2">
        <w:t>c</w:t>
      </w:r>
      <w:r w:rsidR="006D4B9F">
        <w:t xml:space="preserve"> projected</w:t>
      </w:r>
      <w:r w:rsidR="00580DE2">
        <w:t xml:space="preserve"> cost for Payne Creek Solar or the </w:t>
      </w:r>
      <w:r w:rsidR="00580DE2" w:rsidRPr="00580DE2">
        <w:t>$1,480 per kWac</w:t>
      </w:r>
      <w:r w:rsidR="00580DE2">
        <w:t xml:space="preserve"> </w:t>
      </w:r>
      <w:r w:rsidR="006D4B9F">
        <w:t xml:space="preserve">projected </w:t>
      </w:r>
      <w:r w:rsidR="00580DE2">
        <w:t xml:space="preserve">cost for Balm Solar.  Both projects fall </w:t>
      </w:r>
      <w:r w:rsidR="006D4B9F" w:rsidRPr="006D4B9F">
        <w:t xml:space="preserve">below the installed </w:t>
      </w:r>
      <w:r w:rsidR="006D4B9F">
        <w:t xml:space="preserve">Capital </w:t>
      </w:r>
      <w:r w:rsidR="006D4B9F" w:rsidRPr="006D4B9F">
        <w:t xml:space="preserve">Cost </w:t>
      </w:r>
      <w:r w:rsidR="006D4B9F">
        <w:t>threshold</w:t>
      </w:r>
      <w:r w:rsidR="006D4B9F" w:rsidRPr="006D4B9F">
        <w:t xml:space="preserve"> of $1,500 per kWac, established by subparagraph 6(d) of the 2017 Agreement.</w:t>
      </w:r>
      <w:r w:rsidR="006D4B9F">
        <w:t xml:space="preserve">  Under </w:t>
      </w:r>
      <w:r w:rsidR="007109EC">
        <w:t>sub</w:t>
      </w:r>
      <w:r w:rsidR="006D4B9F">
        <w:t xml:space="preserve">paragraph 6(c), the average projected capital cost for both projects </w:t>
      </w:r>
      <w:r w:rsidR="006D4B9F">
        <w:lastRenderedPageBreak/>
        <w:t>cannot exceed the $1,4</w:t>
      </w:r>
      <w:r w:rsidR="00FC0128">
        <w:t>04</w:t>
      </w:r>
      <w:r w:rsidR="006D4B9F">
        <w:t xml:space="preserve"> kWac threshold.  Since the 2018 average for both projects is </w:t>
      </w:r>
      <w:r w:rsidR="006D4B9F" w:rsidRPr="006D4B9F">
        <w:t>$1,475 kWac</w:t>
      </w:r>
      <w:r w:rsidR="006D4B9F">
        <w:t xml:space="preserve">, they meet the average </w:t>
      </w:r>
      <w:r w:rsidR="006D4B9F" w:rsidRPr="006D4B9F">
        <w:t>threshold established by subparagraph 6(c).</w:t>
      </w:r>
    </w:p>
    <w:p w:rsidR="006D6EBE" w:rsidRDefault="006D6EBE" w:rsidP="002F14A5">
      <w:pPr>
        <w:ind w:firstLine="720"/>
        <w:jc w:val="both"/>
      </w:pPr>
    </w:p>
    <w:p w:rsidR="00D30800" w:rsidRPr="002F14A5" w:rsidRDefault="00D30800" w:rsidP="002F14A5">
      <w:pPr>
        <w:ind w:firstLine="720"/>
        <w:jc w:val="both"/>
      </w:pPr>
      <w:r w:rsidRPr="002F14A5">
        <w:t>TECO Witness Rocha</w:t>
      </w:r>
      <w:r w:rsidR="004A000F">
        <w:t xml:space="preserve"> </w:t>
      </w:r>
      <w:r w:rsidR="001B50E0">
        <w:t>testified</w:t>
      </w:r>
      <w:r w:rsidR="004A000F">
        <w:t xml:space="preserve"> </w:t>
      </w:r>
      <w:r w:rsidR="000A3972">
        <w:t xml:space="preserve">the </w:t>
      </w:r>
      <w:r w:rsidR="000A3972" w:rsidRPr="002F14A5">
        <w:t xml:space="preserve">2018 SoBRA </w:t>
      </w:r>
      <w:r w:rsidR="002C3C81">
        <w:t>p</w:t>
      </w:r>
      <w:r w:rsidR="000A3972">
        <w:t>rojects</w:t>
      </w:r>
      <w:r w:rsidRPr="002F14A5">
        <w:t xml:space="preserve"> lower the </w:t>
      </w:r>
      <w:r w:rsidR="004A000F">
        <w:t>utility</w:t>
      </w:r>
      <w:r w:rsidRPr="002F14A5">
        <w:t xml:space="preserve">’s projected cumulative present value revenue requirement </w:t>
      </w:r>
      <w:r w:rsidR="004A000F" w:rsidRPr="004A000F">
        <w:t>(CPVRR)</w:t>
      </w:r>
      <w:r w:rsidR="004A000F">
        <w:t xml:space="preserve"> </w:t>
      </w:r>
      <w:r w:rsidRPr="002F14A5">
        <w:t xml:space="preserve">by $136.6 million </w:t>
      </w:r>
      <w:r w:rsidR="004A000F">
        <w:t>when</w:t>
      </w:r>
      <w:r w:rsidRPr="002F14A5">
        <w:t xml:space="preserve"> compared to the </w:t>
      </w:r>
      <w:r w:rsidR="003C679B" w:rsidRPr="007A01A4">
        <w:t xml:space="preserve">company’s projected </w:t>
      </w:r>
      <w:r w:rsidR="006D4B9F">
        <w:t>CPVRR</w:t>
      </w:r>
      <w:r w:rsidR="003C679B" w:rsidRPr="007A01A4">
        <w:t xml:space="preserve"> </w:t>
      </w:r>
      <w:r w:rsidRPr="002F14A5">
        <w:t xml:space="preserve">without the </w:t>
      </w:r>
      <w:r w:rsidR="007109EC">
        <w:t>2018 SoBRA</w:t>
      </w:r>
      <w:r w:rsidRPr="002F14A5">
        <w:t xml:space="preserve"> project</w:t>
      </w:r>
      <w:r w:rsidR="007109EC">
        <w:t>s</w:t>
      </w:r>
      <w:r w:rsidRPr="002F14A5">
        <w:t xml:space="preserve"> included. </w:t>
      </w:r>
      <w:r w:rsidR="004A000F">
        <w:t>We</w:t>
      </w:r>
      <w:r w:rsidR="00FC0128">
        <w:t xml:space="preserve"> analyzed </w:t>
      </w:r>
      <w:r w:rsidR="00E93A15">
        <w:t xml:space="preserve">the </w:t>
      </w:r>
      <w:r w:rsidRPr="002F14A5">
        <w:t xml:space="preserve">CPVRR </w:t>
      </w:r>
      <w:r w:rsidR="004A000F">
        <w:t xml:space="preserve">under </w:t>
      </w:r>
      <w:r w:rsidRPr="002F14A5">
        <w:t>a variety of fuel and emissions scenarios</w:t>
      </w:r>
      <w:r w:rsidR="00FC0128">
        <w:t xml:space="preserve"> and f</w:t>
      </w:r>
      <w:r w:rsidR="009576C5">
        <w:t>o</w:t>
      </w:r>
      <w:r w:rsidR="00FC0128">
        <w:t>und them to be</w:t>
      </w:r>
      <w:r w:rsidRPr="002F14A5">
        <w:t xml:space="preserve"> cost effective under each scenario. </w:t>
      </w:r>
      <w:r w:rsidR="006D4B9F">
        <w:t xml:space="preserve"> </w:t>
      </w:r>
      <w:r w:rsidR="00FB4876">
        <w:t>Accordingly, w</w:t>
      </w:r>
      <w:r w:rsidR="004A000F" w:rsidRPr="004A000F">
        <w:t xml:space="preserve">e find the 2018 SoBRA projects are cost effective </w:t>
      </w:r>
      <w:r w:rsidR="007109EC">
        <w:t>as required by</w:t>
      </w:r>
      <w:r w:rsidR="004A000F" w:rsidRPr="004A000F">
        <w:t xml:space="preserve"> </w:t>
      </w:r>
      <w:r w:rsidR="007109EC">
        <w:t>sub</w:t>
      </w:r>
      <w:r w:rsidR="004A000F" w:rsidRPr="004A000F">
        <w:t>paragraph 6(g) of the 2017 Settlement Agreement.</w:t>
      </w:r>
    </w:p>
    <w:p w:rsidR="00D30800" w:rsidRPr="002F14A5" w:rsidRDefault="00D30800" w:rsidP="00D30800">
      <w:pPr>
        <w:jc w:val="both"/>
      </w:pPr>
    </w:p>
    <w:p w:rsidR="00D30800" w:rsidRDefault="007109EC" w:rsidP="000C6EE3">
      <w:pPr>
        <w:ind w:firstLine="720"/>
        <w:jc w:val="both"/>
      </w:pPr>
      <w:r>
        <w:t xml:space="preserve">In addition, </w:t>
      </w:r>
      <w:r w:rsidR="00D30800" w:rsidRPr="002F14A5">
        <w:t xml:space="preserve">TECO </w:t>
      </w:r>
      <w:r w:rsidR="003C679B">
        <w:t>W</w:t>
      </w:r>
      <w:r w:rsidR="00D30800" w:rsidRPr="002F14A5">
        <w:t xml:space="preserve">itness Rocha </w:t>
      </w:r>
      <w:r w:rsidR="001D63AD">
        <w:t xml:space="preserve">calculated the revenue requirement </w:t>
      </w:r>
      <w:r w:rsidR="00D30800" w:rsidRPr="002F14A5">
        <w:t xml:space="preserve">using the projected installed cost provided in </w:t>
      </w:r>
      <w:r w:rsidR="005B3F1A">
        <w:t xml:space="preserve">TECO </w:t>
      </w:r>
      <w:r w:rsidR="003C679B">
        <w:t>W</w:t>
      </w:r>
      <w:r w:rsidR="009576C5">
        <w:t>itness</w:t>
      </w:r>
      <w:r w:rsidR="00D30800" w:rsidRPr="002F14A5">
        <w:t xml:space="preserve"> Ward</w:t>
      </w:r>
      <w:r w:rsidR="009576C5">
        <w:t>’</w:t>
      </w:r>
      <w:r w:rsidR="00D30800" w:rsidRPr="002F14A5">
        <w:t xml:space="preserve">s testimony. </w:t>
      </w:r>
      <w:r w:rsidR="00B712D7">
        <w:t>T</w:t>
      </w:r>
      <w:r w:rsidR="00D30800" w:rsidRPr="002F14A5">
        <w:t>he annual revenue requirement associated with TECO’s 2018 SoBRA projects is $24</w:t>
      </w:r>
      <w:r w:rsidR="00400AF1">
        <w:t>,</w:t>
      </w:r>
      <w:r w:rsidR="00D30800" w:rsidRPr="002F14A5">
        <w:t>245</w:t>
      </w:r>
      <w:r w:rsidR="00400AF1">
        <w:t>,000,</w:t>
      </w:r>
      <w:r w:rsidR="00D30800" w:rsidRPr="002F14A5">
        <w:t xml:space="preserve"> </w:t>
      </w:r>
      <w:r w:rsidR="00B712D7">
        <w:t>of which</w:t>
      </w:r>
      <w:r w:rsidR="00D30800" w:rsidRPr="002F14A5">
        <w:t xml:space="preserve"> </w:t>
      </w:r>
      <w:r w:rsidR="00400AF1">
        <w:t>$</w:t>
      </w:r>
      <w:r w:rsidR="00D30800" w:rsidRPr="002F14A5">
        <w:t>389,000</w:t>
      </w:r>
      <w:r w:rsidR="00B712D7">
        <w:t xml:space="preserve"> will be </w:t>
      </w:r>
      <w:r w:rsidR="00D30800" w:rsidRPr="002F14A5">
        <w:t>attributed to the sharing mechanism</w:t>
      </w:r>
      <w:r w:rsidR="00B712D7">
        <w:t xml:space="preserve"> established by the 2017 Settlement Agreement</w:t>
      </w:r>
      <w:r w:rsidR="00D30800" w:rsidRPr="002F14A5">
        <w:t>. The sharing mechanism allows TECO</w:t>
      </w:r>
      <w:r w:rsidR="00B712D7">
        <w:t xml:space="preserve"> </w:t>
      </w:r>
      <w:r w:rsidR="00D30800" w:rsidRPr="002F14A5">
        <w:t xml:space="preserve">to share </w:t>
      </w:r>
      <w:r w:rsidR="00B712D7">
        <w:t xml:space="preserve">with its customers </w:t>
      </w:r>
      <w:r w:rsidR="00D30800" w:rsidRPr="002F14A5">
        <w:t xml:space="preserve">any actual cost </w:t>
      </w:r>
      <w:r w:rsidR="00FC0128">
        <w:t xml:space="preserve">savings </w:t>
      </w:r>
      <w:r w:rsidR="00D30800" w:rsidRPr="002F14A5">
        <w:t>below the installed cost cap.</w:t>
      </w:r>
      <w:r w:rsidR="007D0DD5" w:rsidRPr="005F589B">
        <w:rPr>
          <w:vertAlign w:val="superscript"/>
        </w:rPr>
        <w:footnoteReference w:id="3"/>
      </w:r>
      <w:r w:rsidR="007D0DD5" w:rsidRPr="005F589B">
        <w:t xml:space="preserve"> </w:t>
      </w:r>
      <w:r w:rsidR="00D30800" w:rsidRPr="002F14A5">
        <w:t xml:space="preserve"> </w:t>
      </w:r>
      <w:r>
        <w:t xml:space="preserve">We find the $24,245,000 </w:t>
      </w:r>
      <w:r w:rsidR="000C6EE3">
        <w:t>annual revenue requirement falls</w:t>
      </w:r>
      <w:r w:rsidR="00D30800" w:rsidRPr="002F14A5">
        <w:t xml:space="preserve"> </w:t>
      </w:r>
      <w:r w:rsidR="009576C5">
        <w:t>below the $30,6</w:t>
      </w:r>
      <w:bookmarkStart w:id="6" w:name="_GoBack"/>
      <w:bookmarkEnd w:id="6"/>
      <w:r>
        <w:t>00,000</w:t>
      </w:r>
      <w:r w:rsidR="00B712D7">
        <w:t xml:space="preserve"> revenue requirement</w:t>
      </w:r>
      <w:r w:rsidR="00D30800" w:rsidRPr="002F14A5">
        <w:t xml:space="preserve"> </w:t>
      </w:r>
      <w:r>
        <w:t>threshold</w:t>
      </w:r>
      <w:r w:rsidR="00D30800" w:rsidRPr="002F14A5">
        <w:t xml:space="preserve"> </w:t>
      </w:r>
      <w:r w:rsidR="00B712D7">
        <w:t>established by the 2017 S</w:t>
      </w:r>
      <w:r w:rsidR="00D30800" w:rsidRPr="002F14A5">
        <w:t>ettlement</w:t>
      </w:r>
      <w:r w:rsidR="003C679B">
        <w:t xml:space="preserve"> A</w:t>
      </w:r>
      <w:r w:rsidR="00D30800" w:rsidRPr="002F14A5">
        <w:t xml:space="preserve">greement. </w:t>
      </w:r>
    </w:p>
    <w:p w:rsidR="00C072E6" w:rsidRDefault="00C072E6" w:rsidP="000C6EE3">
      <w:pPr>
        <w:ind w:firstLine="720"/>
        <w:jc w:val="both"/>
      </w:pPr>
    </w:p>
    <w:p w:rsidR="00C072E6" w:rsidRDefault="007109EC" w:rsidP="000C6EE3">
      <w:pPr>
        <w:ind w:firstLine="720"/>
        <w:jc w:val="both"/>
      </w:pPr>
      <w:r>
        <w:t xml:space="preserve">Based on the record before us and for </w:t>
      </w:r>
      <w:r w:rsidR="00C072E6" w:rsidRPr="00C072E6">
        <w:t xml:space="preserve">the reasons discussed </w:t>
      </w:r>
      <w:r>
        <w:t>above,</w:t>
      </w:r>
      <w:r w:rsidR="00C072E6" w:rsidRPr="00C072E6">
        <w:t xml:space="preserve"> we find the 2018 SoBRA projects meet all of the eligibility requirements </w:t>
      </w:r>
      <w:r>
        <w:t xml:space="preserve">necessary </w:t>
      </w:r>
      <w:r w:rsidR="00C072E6" w:rsidRPr="00C072E6">
        <w:t xml:space="preserve">for cost recovery pursuant to paragraph 6 of the 2017 </w:t>
      </w:r>
      <w:r w:rsidR="001B50E0">
        <w:t>Settlement</w:t>
      </w:r>
      <w:r>
        <w:t xml:space="preserve"> </w:t>
      </w:r>
      <w:r w:rsidR="00C072E6" w:rsidRPr="00C072E6">
        <w:t xml:space="preserve">Agreement. </w:t>
      </w:r>
      <w:r w:rsidR="00C542E6">
        <w:t xml:space="preserve">Therefore, TECO’s petition for cost recovery of the 2018 SoBRA projects is approved.  </w:t>
      </w:r>
      <w:r>
        <w:t>In addition, a</w:t>
      </w:r>
      <w:r w:rsidR="00C072E6" w:rsidRPr="00C072E6">
        <w:t xml:space="preserve">t the conclusion of the hearing, OPC </w:t>
      </w:r>
      <w:r w:rsidR="00C542E6">
        <w:t xml:space="preserve">argued that after hearing the </w:t>
      </w:r>
      <w:r w:rsidR="001B50E0">
        <w:t>evidence</w:t>
      </w:r>
      <w:r w:rsidR="00C542E6">
        <w:t>, it still believed that th</w:t>
      </w:r>
      <w:r w:rsidR="00C072E6" w:rsidRPr="00C072E6">
        <w:t xml:space="preserve">e 2017 Settlement Agreement </w:t>
      </w:r>
      <w:r w:rsidR="00C542E6">
        <w:t>was in the public interest</w:t>
      </w:r>
      <w:r w:rsidR="00C072E6" w:rsidRPr="00C072E6">
        <w:t>.</w:t>
      </w:r>
      <w:r w:rsidR="00FC0128">
        <w:t xml:space="preserve"> </w:t>
      </w:r>
    </w:p>
    <w:p w:rsidR="000138A0" w:rsidRDefault="000138A0" w:rsidP="00844629">
      <w:pPr>
        <w:jc w:val="both"/>
      </w:pPr>
    </w:p>
    <w:p w:rsidR="009E6A20" w:rsidRDefault="00C542E6" w:rsidP="000138A0">
      <w:pPr>
        <w:ind w:firstLine="720"/>
        <w:jc w:val="both"/>
      </w:pPr>
      <w:r>
        <w:t xml:space="preserve">Having approved TECO’s petition for cost recovery, we approve the attached tariff sheets, which </w:t>
      </w:r>
      <w:r w:rsidR="00893FEC">
        <w:t xml:space="preserve">reflect the base rate increase necessary to recover the revenue requirement associated with the 2018 SoBRA projects.  </w:t>
      </w:r>
      <w:r>
        <w:t>T</w:t>
      </w:r>
      <w:r w:rsidR="00893FEC">
        <w:t xml:space="preserve">hese tariff </w:t>
      </w:r>
      <w:r w:rsidR="009E6A20">
        <w:t>revisions</w:t>
      </w:r>
      <w:r w:rsidR="00893FEC">
        <w:t xml:space="preserve"> are approved with a September 1, 2018</w:t>
      </w:r>
      <w:r w:rsidR="009E6A20">
        <w:t>,</w:t>
      </w:r>
      <w:r w:rsidR="00893FEC">
        <w:t xml:space="preserve"> effective date.</w:t>
      </w:r>
      <w:r w:rsidR="009E6A20">
        <w:t xml:space="preserve">  </w:t>
      </w:r>
    </w:p>
    <w:p w:rsidR="009E6A20" w:rsidRDefault="009E6A20" w:rsidP="000138A0">
      <w:pPr>
        <w:ind w:firstLine="720"/>
        <w:jc w:val="both"/>
      </w:pPr>
    </w:p>
    <w:p w:rsidR="00F637D1" w:rsidRDefault="00F637D1" w:rsidP="00F637D1">
      <w:pPr>
        <w:pStyle w:val="OrderBody"/>
      </w:pPr>
      <w:r>
        <w:tab/>
        <w:t>Based on the foregoing, it is</w:t>
      </w:r>
    </w:p>
    <w:p w:rsidR="00F637D1" w:rsidRDefault="00F637D1" w:rsidP="00F637D1">
      <w:pPr>
        <w:pStyle w:val="OrderBody"/>
      </w:pPr>
    </w:p>
    <w:p w:rsidR="00DD2698" w:rsidRPr="002F14A5" w:rsidRDefault="00F637D1" w:rsidP="00DD2698">
      <w:pPr>
        <w:ind w:firstLine="720"/>
        <w:jc w:val="both"/>
        <w:rPr>
          <w:rFonts w:cs="Arial"/>
          <w:bCs/>
        </w:rPr>
      </w:pPr>
      <w:r>
        <w:t>ORDERED by the Florida Public Service Commission that</w:t>
      </w:r>
      <w:r w:rsidR="00DD2698">
        <w:t xml:space="preserve"> </w:t>
      </w:r>
      <w:r w:rsidR="00DD2698" w:rsidRPr="002F14A5">
        <w:rPr>
          <w:rFonts w:cs="Arial"/>
          <w:bCs/>
        </w:rPr>
        <w:t xml:space="preserve">the 2018 SoBRA projects </w:t>
      </w:r>
      <w:r w:rsidR="00C542E6">
        <w:rPr>
          <w:rFonts w:cs="Arial"/>
          <w:bCs/>
        </w:rPr>
        <w:t xml:space="preserve">are approved for cost recovery because they </w:t>
      </w:r>
      <w:r w:rsidR="00DD2698" w:rsidRPr="002F14A5">
        <w:rPr>
          <w:rFonts w:cs="Arial"/>
          <w:bCs/>
        </w:rPr>
        <w:t xml:space="preserve">fulfill the </w:t>
      </w:r>
      <w:r w:rsidR="00C542E6">
        <w:rPr>
          <w:rFonts w:cs="Arial"/>
          <w:bCs/>
        </w:rPr>
        <w:t>requirements established by</w:t>
      </w:r>
      <w:r w:rsidR="00DD2698" w:rsidRPr="002F14A5">
        <w:rPr>
          <w:rFonts w:cs="Arial"/>
          <w:bCs/>
        </w:rPr>
        <w:t xml:space="preserve"> paragraph 6 of the 2017 </w:t>
      </w:r>
      <w:r w:rsidR="00D20E2B">
        <w:rPr>
          <w:rFonts w:cs="Arial"/>
          <w:bCs/>
        </w:rPr>
        <w:t xml:space="preserve">Settlement </w:t>
      </w:r>
      <w:r w:rsidR="003C679B">
        <w:rPr>
          <w:rFonts w:cs="Arial"/>
          <w:bCs/>
        </w:rPr>
        <w:t>A</w:t>
      </w:r>
      <w:r w:rsidR="00DD2698" w:rsidRPr="002F14A5">
        <w:rPr>
          <w:rFonts w:cs="Arial"/>
          <w:bCs/>
        </w:rPr>
        <w:t xml:space="preserve">greement. </w:t>
      </w:r>
      <w:r w:rsidR="00DD2698">
        <w:rPr>
          <w:rFonts w:cs="Arial"/>
          <w:bCs/>
        </w:rPr>
        <w:t xml:space="preserve">It is further </w:t>
      </w:r>
    </w:p>
    <w:p w:rsidR="00DD2698" w:rsidRPr="002F14A5" w:rsidRDefault="00DD2698" w:rsidP="00DD2698">
      <w:pPr>
        <w:jc w:val="both"/>
        <w:rPr>
          <w:rFonts w:cs="Arial"/>
          <w:bCs/>
        </w:rPr>
      </w:pPr>
    </w:p>
    <w:p w:rsidR="00612277" w:rsidRPr="00612277" w:rsidRDefault="00DD2698" w:rsidP="00612277">
      <w:pPr>
        <w:ind w:firstLine="720"/>
        <w:jc w:val="both"/>
      </w:pPr>
      <w:r w:rsidRPr="00DD2698">
        <w:t>ORDERED that</w:t>
      </w:r>
      <w:r w:rsidR="006A1C00">
        <w:t xml:space="preserve"> </w:t>
      </w:r>
      <w:r w:rsidR="000A3972">
        <w:t xml:space="preserve">the </w:t>
      </w:r>
      <w:r w:rsidR="00C542E6">
        <w:t>attached tariffs reflecting the change in TECO’s revenue requirement are approved with a September 1, 2018, effective date.</w:t>
      </w:r>
      <w:r w:rsidR="00612277" w:rsidRPr="00612277">
        <w:t xml:space="preserve"> </w:t>
      </w:r>
      <w:r w:rsidR="00612277">
        <w:t xml:space="preserve">It is further </w:t>
      </w:r>
    </w:p>
    <w:p w:rsidR="00DD2698" w:rsidRDefault="00DD2698" w:rsidP="00F637D1">
      <w:pPr>
        <w:pStyle w:val="OrderBody"/>
      </w:pPr>
    </w:p>
    <w:p w:rsidR="00DD2698" w:rsidRDefault="00C542E6" w:rsidP="00DD2698">
      <w:pPr>
        <w:ind w:firstLine="720"/>
        <w:jc w:val="both"/>
      </w:pPr>
      <w:r>
        <w:t xml:space="preserve">ORDERED </w:t>
      </w:r>
      <w:r w:rsidR="00DD2698" w:rsidRPr="00DD2698">
        <w:t xml:space="preserve">this docket shall be closed. </w:t>
      </w:r>
    </w:p>
    <w:p w:rsidR="00AB1789" w:rsidRPr="00DD2698" w:rsidRDefault="00AB1789" w:rsidP="00DD2698">
      <w:pPr>
        <w:ind w:firstLine="720"/>
        <w:jc w:val="both"/>
      </w:pPr>
    </w:p>
    <w:p w:rsidR="00F637D1" w:rsidRDefault="00F637D1" w:rsidP="00F637D1">
      <w:pPr>
        <w:pStyle w:val="OrderBody"/>
        <w:keepNext/>
        <w:keepLines/>
      </w:pPr>
      <w:r>
        <w:lastRenderedPageBreak/>
        <w:tab/>
        <w:t xml:space="preserve">By ORDER of the Florida Public Service Commission this </w:t>
      </w:r>
      <w:bookmarkStart w:id="7" w:name="replaceDate"/>
      <w:bookmarkEnd w:id="7"/>
      <w:r w:rsidR="00783E92">
        <w:rPr>
          <w:u w:val="single"/>
        </w:rPr>
        <w:t>5th</w:t>
      </w:r>
      <w:r w:rsidR="00783E92">
        <w:t xml:space="preserve"> day of </w:t>
      </w:r>
      <w:r w:rsidR="00783E92">
        <w:rPr>
          <w:u w:val="single"/>
        </w:rPr>
        <w:t>June</w:t>
      </w:r>
      <w:r w:rsidR="00783E92">
        <w:t xml:space="preserve">, </w:t>
      </w:r>
      <w:r w:rsidR="00783E92">
        <w:rPr>
          <w:u w:val="single"/>
        </w:rPr>
        <w:t>2018</w:t>
      </w:r>
      <w:r w:rsidR="00783E92">
        <w:t>.</w:t>
      </w:r>
    </w:p>
    <w:p w:rsidR="00783E92" w:rsidRPr="00783E92" w:rsidRDefault="00783E92" w:rsidP="00F637D1">
      <w:pPr>
        <w:pStyle w:val="OrderBody"/>
        <w:keepNext/>
        <w:keepLines/>
      </w:pPr>
    </w:p>
    <w:p w:rsidR="00F637D1" w:rsidRDefault="00F637D1" w:rsidP="00F637D1">
      <w:pPr>
        <w:pStyle w:val="OrderBody"/>
        <w:keepNext/>
        <w:keepLines/>
      </w:pPr>
    </w:p>
    <w:p w:rsidR="00F637D1" w:rsidRDefault="00F637D1" w:rsidP="00F637D1">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F637D1" w:rsidTr="00F637D1">
        <w:tc>
          <w:tcPr>
            <w:tcW w:w="720" w:type="dxa"/>
            <w:shd w:val="clear" w:color="auto" w:fill="auto"/>
          </w:tcPr>
          <w:p w:rsidR="00F637D1" w:rsidRDefault="00F637D1" w:rsidP="00F637D1">
            <w:pPr>
              <w:pStyle w:val="OrderBody"/>
              <w:keepNext/>
              <w:keepLines/>
            </w:pPr>
            <w:bookmarkStart w:id="8" w:name="bkmrkSignature" w:colFirst="0" w:colLast="0"/>
          </w:p>
        </w:tc>
        <w:tc>
          <w:tcPr>
            <w:tcW w:w="4320" w:type="dxa"/>
            <w:tcBorders>
              <w:bottom w:val="single" w:sz="4" w:space="0" w:color="auto"/>
            </w:tcBorders>
            <w:shd w:val="clear" w:color="auto" w:fill="auto"/>
          </w:tcPr>
          <w:p w:rsidR="00F637D1" w:rsidRDefault="00783E92" w:rsidP="00F637D1">
            <w:pPr>
              <w:pStyle w:val="OrderBody"/>
              <w:keepNext/>
              <w:keepLines/>
            </w:pPr>
            <w:r>
              <w:t>/s/ Carlotta S. Stauffer</w:t>
            </w:r>
          </w:p>
        </w:tc>
      </w:tr>
      <w:bookmarkEnd w:id="8"/>
      <w:tr w:rsidR="00F637D1" w:rsidTr="00F637D1">
        <w:tc>
          <w:tcPr>
            <w:tcW w:w="720" w:type="dxa"/>
            <w:shd w:val="clear" w:color="auto" w:fill="auto"/>
          </w:tcPr>
          <w:p w:rsidR="00F637D1" w:rsidRDefault="00F637D1" w:rsidP="00F637D1">
            <w:pPr>
              <w:pStyle w:val="OrderBody"/>
              <w:keepNext/>
              <w:keepLines/>
            </w:pPr>
          </w:p>
        </w:tc>
        <w:tc>
          <w:tcPr>
            <w:tcW w:w="4320" w:type="dxa"/>
            <w:tcBorders>
              <w:top w:val="single" w:sz="4" w:space="0" w:color="auto"/>
            </w:tcBorders>
            <w:shd w:val="clear" w:color="auto" w:fill="auto"/>
          </w:tcPr>
          <w:p w:rsidR="00F637D1" w:rsidRDefault="00F637D1" w:rsidP="00F637D1">
            <w:pPr>
              <w:pStyle w:val="OrderBody"/>
              <w:keepNext/>
              <w:keepLines/>
            </w:pPr>
            <w:r>
              <w:t>CARLOTTA S. STAUFFER</w:t>
            </w:r>
          </w:p>
          <w:p w:rsidR="00F637D1" w:rsidRDefault="00F637D1" w:rsidP="00F637D1">
            <w:pPr>
              <w:pStyle w:val="OrderBody"/>
              <w:keepNext/>
              <w:keepLines/>
            </w:pPr>
            <w:r>
              <w:t>Commission Clerk</w:t>
            </w:r>
          </w:p>
        </w:tc>
      </w:tr>
    </w:tbl>
    <w:p w:rsidR="00F637D1" w:rsidRDefault="00F637D1" w:rsidP="00F637D1">
      <w:pPr>
        <w:pStyle w:val="OrderSigInfo"/>
        <w:keepNext/>
        <w:keepLines/>
      </w:pPr>
      <w:r>
        <w:t>Florida Public Service Commission</w:t>
      </w:r>
    </w:p>
    <w:p w:rsidR="00F637D1" w:rsidRDefault="00F637D1" w:rsidP="00F637D1">
      <w:pPr>
        <w:pStyle w:val="OrderSigInfo"/>
        <w:keepNext/>
        <w:keepLines/>
      </w:pPr>
      <w:r>
        <w:t>2540 Shumard Oak Boulevard</w:t>
      </w:r>
    </w:p>
    <w:p w:rsidR="00F637D1" w:rsidRDefault="00F637D1" w:rsidP="00F637D1">
      <w:pPr>
        <w:pStyle w:val="OrderSigInfo"/>
        <w:keepNext/>
        <w:keepLines/>
      </w:pPr>
      <w:r>
        <w:t>Tallahassee, Florida 32399</w:t>
      </w:r>
    </w:p>
    <w:p w:rsidR="00F637D1" w:rsidRDefault="00F637D1" w:rsidP="00F637D1">
      <w:pPr>
        <w:pStyle w:val="OrderSigInfo"/>
        <w:keepNext/>
        <w:keepLines/>
      </w:pPr>
      <w:r>
        <w:t>(850) 413</w:t>
      </w:r>
      <w:r>
        <w:noBreakHyphen/>
        <w:t>6770</w:t>
      </w:r>
    </w:p>
    <w:p w:rsidR="00F637D1" w:rsidRDefault="00F637D1" w:rsidP="00F637D1">
      <w:pPr>
        <w:pStyle w:val="OrderSigInfo"/>
        <w:keepNext/>
        <w:keepLines/>
      </w:pPr>
      <w:r>
        <w:t>www.floridapsc.com</w:t>
      </w:r>
    </w:p>
    <w:p w:rsidR="00F637D1" w:rsidRDefault="00F637D1" w:rsidP="00F637D1">
      <w:pPr>
        <w:pStyle w:val="OrderSigInfo"/>
        <w:keepNext/>
        <w:keepLines/>
      </w:pPr>
    </w:p>
    <w:p w:rsidR="00F637D1" w:rsidRDefault="00F637D1" w:rsidP="00F637D1">
      <w:pPr>
        <w:pStyle w:val="OrderSigInfo"/>
        <w:keepNext/>
        <w:keepLines/>
      </w:pPr>
      <w:r>
        <w:t>Copies furnished:  A copy of this document is provided to the parties of record at the time of issuance and, if applicable, interested persons.</w:t>
      </w:r>
    </w:p>
    <w:p w:rsidR="00F637D1" w:rsidRDefault="00F637D1" w:rsidP="00F637D1">
      <w:pPr>
        <w:pStyle w:val="OrderBody"/>
        <w:keepNext/>
        <w:keepLines/>
      </w:pPr>
    </w:p>
    <w:p w:rsidR="00F637D1" w:rsidRDefault="00F637D1" w:rsidP="00F637D1">
      <w:pPr>
        <w:pStyle w:val="OrderBody"/>
        <w:keepNext/>
        <w:keepLines/>
      </w:pPr>
      <w:r>
        <w:t>WLT</w:t>
      </w:r>
    </w:p>
    <w:p w:rsidR="00F637D1" w:rsidRDefault="00F637D1" w:rsidP="00F637D1">
      <w:pPr>
        <w:pStyle w:val="OrderBody"/>
      </w:pPr>
    </w:p>
    <w:p w:rsidR="008C5C04" w:rsidRDefault="008C5C04">
      <w:pPr>
        <w:rPr>
          <w:u w:val="single"/>
        </w:rPr>
      </w:pPr>
      <w:r>
        <w:br w:type="page"/>
      </w:r>
    </w:p>
    <w:p w:rsidR="00F637D1" w:rsidRDefault="00F637D1" w:rsidP="00F637D1">
      <w:pPr>
        <w:pStyle w:val="CenterUnderline"/>
      </w:pPr>
      <w:r>
        <w:lastRenderedPageBreak/>
        <w:t>NOTICE OF FURTHER PROCEEDINGS OR JUDICIAL REVIEW</w:t>
      </w:r>
    </w:p>
    <w:p w:rsidR="00F637D1" w:rsidRDefault="00F637D1" w:rsidP="00292971">
      <w:pPr>
        <w:pStyle w:val="CenterUnderline"/>
        <w:jc w:val="left"/>
      </w:pPr>
    </w:p>
    <w:p w:rsidR="00F637D1" w:rsidRDefault="00F637D1" w:rsidP="00F637D1">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F637D1" w:rsidRDefault="00F637D1" w:rsidP="00F637D1">
      <w:pPr>
        <w:pStyle w:val="OrderBody"/>
      </w:pPr>
    </w:p>
    <w:p w:rsidR="00061229" w:rsidRDefault="00F637D1" w:rsidP="00F637D1">
      <w:pPr>
        <w:pStyle w:val="OrderBody"/>
      </w:pPr>
      <w:r>
        <w:tab/>
        <w:t>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rsidR="00061229" w:rsidRDefault="00061229" w:rsidP="00F637D1">
      <w:pPr>
        <w:pStyle w:val="OrderBody"/>
        <w:sectPr w:rsidR="00061229">
          <w:headerReference w:type="default" r:id="rId8"/>
          <w:footerReference w:type="first" r:id="rId9"/>
          <w:pgSz w:w="12240" w:h="15840" w:code="1"/>
          <w:pgMar w:top="1440" w:right="1440" w:bottom="1440" w:left="1440" w:header="720" w:footer="720" w:gutter="0"/>
          <w:cols w:space="720"/>
          <w:titlePg/>
          <w:docGrid w:linePitch="360"/>
        </w:sectPr>
      </w:pPr>
    </w:p>
    <w:p w:rsidR="00DC1A24" w:rsidRDefault="00DC1A24" w:rsidP="00F637D1">
      <w:pPr>
        <w:pStyle w:val="OrderBody"/>
      </w:pPr>
      <w:r>
        <w:rPr>
          <w:noProof/>
        </w:rPr>
        <w:lastRenderedPageBreak/>
        <w:drawing>
          <wp:inline distT="0" distB="0" distL="0" distR="0">
            <wp:extent cx="5943600" cy="7691755"/>
            <wp:effectExtent l="0" t="0" r="0" b="4445"/>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7691755"/>
                    </a:xfrm>
                    <a:prstGeom prst="rect">
                      <a:avLst/>
                    </a:prstGeom>
                  </pic:spPr>
                </pic:pic>
              </a:graphicData>
            </a:graphic>
          </wp:inline>
        </w:drawing>
      </w:r>
    </w:p>
    <w:p w:rsidR="00DC1A24" w:rsidRDefault="00DC1A24">
      <w:r>
        <w:br w:type="page"/>
      </w:r>
    </w:p>
    <w:p w:rsidR="00DC1A24" w:rsidRDefault="00DC1A24" w:rsidP="00F637D1">
      <w:pPr>
        <w:pStyle w:val="OrderBody"/>
      </w:pPr>
      <w:r>
        <w:rPr>
          <w:noProof/>
        </w:rPr>
        <w:lastRenderedPageBreak/>
        <w:drawing>
          <wp:inline distT="0" distB="0" distL="0" distR="0">
            <wp:extent cx="5943600" cy="7691755"/>
            <wp:effectExtent l="0" t="0" r="0" b="4445"/>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7691755"/>
                    </a:xfrm>
                    <a:prstGeom prst="rect">
                      <a:avLst/>
                    </a:prstGeom>
                  </pic:spPr>
                </pic:pic>
              </a:graphicData>
            </a:graphic>
          </wp:inline>
        </w:drawing>
      </w:r>
    </w:p>
    <w:p w:rsidR="00DC1A24" w:rsidRDefault="00DC1A24">
      <w:r>
        <w:br w:type="page"/>
      </w:r>
    </w:p>
    <w:p w:rsidR="00DC1A24" w:rsidRDefault="00DC1A24" w:rsidP="00F637D1">
      <w:pPr>
        <w:pStyle w:val="OrderBody"/>
      </w:pPr>
      <w:r>
        <w:rPr>
          <w:noProof/>
        </w:rPr>
        <w:lastRenderedPageBreak/>
        <w:drawing>
          <wp:inline distT="0" distB="0" distL="0" distR="0">
            <wp:extent cx="5943600" cy="7691755"/>
            <wp:effectExtent l="0" t="0" r="0" b="4445"/>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7691755"/>
                    </a:xfrm>
                    <a:prstGeom prst="rect">
                      <a:avLst/>
                    </a:prstGeom>
                  </pic:spPr>
                </pic:pic>
              </a:graphicData>
            </a:graphic>
          </wp:inline>
        </w:drawing>
      </w:r>
    </w:p>
    <w:p w:rsidR="00DC1A24" w:rsidRDefault="00DC1A24">
      <w:r>
        <w:br w:type="page"/>
      </w:r>
    </w:p>
    <w:p w:rsidR="00DC1A24" w:rsidRDefault="00DC1A24" w:rsidP="00F637D1">
      <w:pPr>
        <w:pStyle w:val="OrderBody"/>
      </w:pPr>
      <w:r>
        <w:rPr>
          <w:noProof/>
        </w:rPr>
        <w:lastRenderedPageBreak/>
        <w:drawing>
          <wp:inline distT="0" distB="0" distL="0" distR="0">
            <wp:extent cx="5943600" cy="7691755"/>
            <wp:effectExtent l="0" t="0" r="0" b="4445"/>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7691755"/>
                    </a:xfrm>
                    <a:prstGeom prst="rect">
                      <a:avLst/>
                    </a:prstGeom>
                  </pic:spPr>
                </pic:pic>
              </a:graphicData>
            </a:graphic>
          </wp:inline>
        </w:drawing>
      </w:r>
    </w:p>
    <w:p w:rsidR="00DC1A24" w:rsidRDefault="00DC1A24">
      <w:r>
        <w:br w:type="page"/>
      </w:r>
    </w:p>
    <w:p w:rsidR="00DC1A24" w:rsidRDefault="00DC1A24" w:rsidP="00F637D1">
      <w:pPr>
        <w:pStyle w:val="OrderBody"/>
      </w:pPr>
      <w:r>
        <w:rPr>
          <w:noProof/>
        </w:rPr>
        <w:lastRenderedPageBreak/>
        <w:drawing>
          <wp:inline distT="0" distB="0" distL="0" distR="0">
            <wp:extent cx="5943600" cy="7691755"/>
            <wp:effectExtent l="0" t="0" r="0" b="4445"/>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7691755"/>
                    </a:xfrm>
                    <a:prstGeom prst="rect">
                      <a:avLst/>
                    </a:prstGeom>
                  </pic:spPr>
                </pic:pic>
              </a:graphicData>
            </a:graphic>
          </wp:inline>
        </w:drawing>
      </w:r>
    </w:p>
    <w:p w:rsidR="00DC1A24" w:rsidRDefault="00DC1A24">
      <w:r>
        <w:br w:type="page"/>
      </w:r>
    </w:p>
    <w:p w:rsidR="00DC1A24" w:rsidRDefault="00DC1A24" w:rsidP="00F637D1">
      <w:pPr>
        <w:pStyle w:val="OrderBody"/>
      </w:pPr>
      <w:r>
        <w:rPr>
          <w:noProof/>
        </w:rPr>
        <w:lastRenderedPageBreak/>
        <w:drawing>
          <wp:inline distT="0" distB="0" distL="0" distR="0">
            <wp:extent cx="5943600" cy="7691755"/>
            <wp:effectExtent l="0" t="0" r="0" b="4445"/>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7691755"/>
                    </a:xfrm>
                    <a:prstGeom prst="rect">
                      <a:avLst/>
                    </a:prstGeom>
                  </pic:spPr>
                </pic:pic>
              </a:graphicData>
            </a:graphic>
          </wp:inline>
        </w:drawing>
      </w:r>
    </w:p>
    <w:p w:rsidR="00DC1A24" w:rsidRDefault="00DC1A24">
      <w:r>
        <w:br w:type="page"/>
      </w:r>
    </w:p>
    <w:p w:rsidR="00DC1A24" w:rsidRDefault="00DC1A24" w:rsidP="00F637D1">
      <w:pPr>
        <w:pStyle w:val="OrderBody"/>
      </w:pPr>
      <w:r>
        <w:rPr>
          <w:noProof/>
        </w:rPr>
        <w:lastRenderedPageBreak/>
        <w:drawing>
          <wp:inline distT="0" distB="0" distL="0" distR="0">
            <wp:extent cx="5943600" cy="7691755"/>
            <wp:effectExtent l="0" t="0" r="0" b="4445"/>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7691755"/>
                    </a:xfrm>
                    <a:prstGeom prst="rect">
                      <a:avLst/>
                    </a:prstGeom>
                  </pic:spPr>
                </pic:pic>
              </a:graphicData>
            </a:graphic>
          </wp:inline>
        </w:drawing>
      </w:r>
    </w:p>
    <w:p w:rsidR="00DC1A24" w:rsidRDefault="00DC1A24">
      <w:r>
        <w:br w:type="page"/>
      </w:r>
    </w:p>
    <w:p w:rsidR="00DC1A24" w:rsidRDefault="00DC1A24" w:rsidP="00F637D1">
      <w:pPr>
        <w:pStyle w:val="OrderBody"/>
      </w:pPr>
      <w:r>
        <w:rPr>
          <w:noProof/>
        </w:rPr>
        <w:lastRenderedPageBreak/>
        <w:drawing>
          <wp:inline distT="0" distB="0" distL="0" distR="0">
            <wp:extent cx="5943600" cy="7691755"/>
            <wp:effectExtent l="0" t="0" r="0" b="4445"/>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7691755"/>
                    </a:xfrm>
                    <a:prstGeom prst="rect">
                      <a:avLst/>
                    </a:prstGeom>
                  </pic:spPr>
                </pic:pic>
              </a:graphicData>
            </a:graphic>
          </wp:inline>
        </w:drawing>
      </w:r>
    </w:p>
    <w:p w:rsidR="00DC1A24" w:rsidRDefault="00DC1A24">
      <w:r>
        <w:br w:type="page"/>
      </w:r>
    </w:p>
    <w:p w:rsidR="00DC1A24" w:rsidRDefault="00DC1A24" w:rsidP="00F637D1">
      <w:pPr>
        <w:pStyle w:val="OrderBody"/>
      </w:pPr>
      <w:r>
        <w:rPr>
          <w:noProof/>
        </w:rPr>
        <w:lastRenderedPageBreak/>
        <w:drawing>
          <wp:inline distT="0" distB="0" distL="0" distR="0">
            <wp:extent cx="5943600" cy="7691755"/>
            <wp:effectExtent l="0" t="0" r="0" b="4445"/>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7691755"/>
                    </a:xfrm>
                    <a:prstGeom prst="rect">
                      <a:avLst/>
                    </a:prstGeom>
                  </pic:spPr>
                </pic:pic>
              </a:graphicData>
            </a:graphic>
          </wp:inline>
        </w:drawing>
      </w:r>
    </w:p>
    <w:p w:rsidR="00DC1A24" w:rsidRDefault="00DC1A24">
      <w:r>
        <w:br w:type="page"/>
      </w:r>
    </w:p>
    <w:p w:rsidR="00DC1A24" w:rsidRDefault="00DC1A24" w:rsidP="00F637D1">
      <w:pPr>
        <w:pStyle w:val="OrderBody"/>
      </w:pPr>
      <w:r>
        <w:rPr>
          <w:noProof/>
        </w:rPr>
        <w:lastRenderedPageBreak/>
        <w:drawing>
          <wp:inline distT="0" distB="0" distL="0" distR="0">
            <wp:extent cx="5943600" cy="7691755"/>
            <wp:effectExtent l="0" t="0" r="0" b="4445"/>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7691755"/>
                    </a:xfrm>
                    <a:prstGeom prst="rect">
                      <a:avLst/>
                    </a:prstGeom>
                  </pic:spPr>
                </pic:pic>
              </a:graphicData>
            </a:graphic>
          </wp:inline>
        </w:drawing>
      </w:r>
    </w:p>
    <w:p w:rsidR="00DC1A24" w:rsidRDefault="00DC1A24">
      <w:r>
        <w:br w:type="page"/>
      </w:r>
    </w:p>
    <w:p w:rsidR="00DC1A24" w:rsidRDefault="00DC1A24" w:rsidP="00F637D1">
      <w:pPr>
        <w:pStyle w:val="OrderBody"/>
      </w:pPr>
      <w:r>
        <w:rPr>
          <w:noProof/>
        </w:rPr>
        <w:lastRenderedPageBreak/>
        <w:drawing>
          <wp:inline distT="0" distB="0" distL="0" distR="0">
            <wp:extent cx="5943600" cy="7691755"/>
            <wp:effectExtent l="0" t="0" r="0" b="4445"/>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7691755"/>
                    </a:xfrm>
                    <a:prstGeom prst="rect">
                      <a:avLst/>
                    </a:prstGeom>
                  </pic:spPr>
                </pic:pic>
              </a:graphicData>
            </a:graphic>
          </wp:inline>
        </w:drawing>
      </w:r>
    </w:p>
    <w:p w:rsidR="00DC1A24" w:rsidRDefault="00DC1A24">
      <w:r>
        <w:br w:type="page"/>
      </w:r>
    </w:p>
    <w:p w:rsidR="00DC1A24" w:rsidRDefault="00DC1A24" w:rsidP="00F637D1">
      <w:pPr>
        <w:pStyle w:val="OrderBody"/>
      </w:pPr>
      <w:r>
        <w:rPr>
          <w:noProof/>
        </w:rPr>
        <w:lastRenderedPageBreak/>
        <w:drawing>
          <wp:inline distT="0" distB="0" distL="0" distR="0">
            <wp:extent cx="5943600" cy="7691755"/>
            <wp:effectExtent l="0" t="0" r="0" b="4445"/>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7691755"/>
                    </a:xfrm>
                    <a:prstGeom prst="rect">
                      <a:avLst/>
                    </a:prstGeom>
                  </pic:spPr>
                </pic:pic>
              </a:graphicData>
            </a:graphic>
          </wp:inline>
        </w:drawing>
      </w:r>
    </w:p>
    <w:p w:rsidR="00DC1A24" w:rsidRDefault="00DC1A24">
      <w:r>
        <w:br w:type="page"/>
      </w:r>
    </w:p>
    <w:p w:rsidR="00DC1A24" w:rsidRDefault="00DC1A24" w:rsidP="00F637D1">
      <w:pPr>
        <w:pStyle w:val="OrderBody"/>
      </w:pPr>
      <w:r>
        <w:rPr>
          <w:noProof/>
        </w:rPr>
        <w:lastRenderedPageBreak/>
        <w:drawing>
          <wp:inline distT="0" distB="0" distL="0" distR="0">
            <wp:extent cx="5943600" cy="7691755"/>
            <wp:effectExtent l="0" t="0" r="0" b="4445"/>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7691755"/>
                    </a:xfrm>
                    <a:prstGeom prst="rect">
                      <a:avLst/>
                    </a:prstGeom>
                  </pic:spPr>
                </pic:pic>
              </a:graphicData>
            </a:graphic>
          </wp:inline>
        </w:drawing>
      </w:r>
    </w:p>
    <w:p w:rsidR="00DC1A24" w:rsidRDefault="00DC1A24">
      <w:r>
        <w:br w:type="page"/>
      </w:r>
    </w:p>
    <w:p w:rsidR="00DC1A24" w:rsidRDefault="00DC1A24" w:rsidP="00F637D1">
      <w:pPr>
        <w:pStyle w:val="OrderBody"/>
      </w:pPr>
      <w:r>
        <w:rPr>
          <w:noProof/>
        </w:rPr>
        <w:lastRenderedPageBreak/>
        <w:drawing>
          <wp:inline distT="0" distB="0" distL="0" distR="0">
            <wp:extent cx="5943600" cy="7691755"/>
            <wp:effectExtent l="0" t="0" r="0" b="4445"/>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7691755"/>
                    </a:xfrm>
                    <a:prstGeom prst="rect">
                      <a:avLst/>
                    </a:prstGeom>
                  </pic:spPr>
                </pic:pic>
              </a:graphicData>
            </a:graphic>
          </wp:inline>
        </w:drawing>
      </w:r>
    </w:p>
    <w:p w:rsidR="00DC1A24" w:rsidRDefault="00DC1A24">
      <w:r>
        <w:br w:type="page"/>
      </w:r>
    </w:p>
    <w:p w:rsidR="00DC1A24" w:rsidRDefault="00DC1A24" w:rsidP="00F637D1">
      <w:pPr>
        <w:pStyle w:val="OrderBody"/>
      </w:pPr>
      <w:r>
        <w:rPr>
          <w:noProof/>
        </w:rPr>
        <w:lastRenderedPageBreak/>
        <w:drawing>
          <wp:inline distT="0" distB="0" distL="0" distR="0">
            <wp:extent cx="5943600" cy="7691755"/>
            <wp:effectExtent l="0" t="0" r="0" b="4445"/>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7691755"/>
                    </a:xfrm>
                    <a:prstGeom prst="rect">
                      <a:avLst/>
                    </a:prstGeom>
                  </pic:spPr>
                </pic:pic>
              </a:graphicData>
            </a:graphic>
          </wp:inline>
        </w:drawing>
      </w:r>
    </w:p>
    <w:p w:rsidR="00DC1A24" w:rsidRDefault="00DC1A24">
      <w:r>
        <w:br w:type="page"/>
      </w:r>
    </w:p>
    <w:p w:rsidR="00DC1A24" w:rsidRDefault="00DC1A24" w:rsidP="00F637D1">
      <w:pPr>
        <w:pStyle w:val="OrderBody"/>
      </w:pPr>
      <w:r>
        <w:rPr>
          <w:noProof/>
        </w:rPr>
        <w:lastRenderedPageBreak/>
        <w:drawing>
          <wp:inline distT="0" distB="0" distL="0" distR="0">
            <wp:extent cx="5943600" cy="7691755"/>
            <wp:effectExtent l="0" t="0" r="0" b="4445"/>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7691755"/>
                    </a:xfrm>
                    <a:prstGeom prst="rect">
                      <a:avLst/>
                    </a:prstGeom>
                  </pic:spPr>
                </pic:pic>
              </a:graphicData>
            </a:graphic>
          </wp:inline>
        </w:drawing>
      </w:r>
    </w:p>
    <w:p w:rsidR="00DC1A24" w:rsidRDefault="00DC1A24">
      <w:r>
        <w:br w:type="page"/>
      </w:r>
    </w:p>
    <w:p w:rsidR="00DC1A24" w:rsidRDefault="00DC1A24" w:rsidP="00F637D1">
      <w:pPr>
        <w:pStyle w:val="OrderBody"/>
      </w:pPr>
      <w:r>
        <w:rPr>
          <w:noProof/>
        </w:rPr>
        <w:lastRenderedPageBreak/>
        <w:drawing>
          <wp:inline distT="0" distB="0" distL="0" distR="0">
            <wp:extent cx="5943600" cy="7691755"/>
            <wp:effectExtent l="0" t="0" r="0" b="4445"/>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7691755"/>
                    </a:xfrm>
                    <a:prstGeom prst="rect">
                      <a:avLst/>
                    </a:prstGeom>
                  </pic:spPr>
                </pic:pic>
              </a:graphicData>
            </a:graphic>
          </wp:inline>
        </w:drawing>
      </w:r>
    </w:p>
    <w:p w:rsidR="00DC1A24" w:rsidRDefault="00DC1A24">
      <w:r>
        <w:br w:type="page"/>
      </w:r>
    </w:p>
    <w:p w:rsidR="00DC1A24" w:rsidRDefault="00DC1A24" w:rsidP="00F637D1">
      <w:pPr>
        <w:pStyle w:val="OrderBody"/>
      </w:pPr>
      <w:r>
        <w:rPr>
          <w:noProof/>
        </w:rPr>
        <w:lastRenderedPageBreak/>
        <w:drawing>
          <wp:inline distT="0" distB="0" distL="0" distR="0">
            <wp:extent cx="5943600" cy="7691755"/>
            <wp:effectExtent l="0" t="0" r="0" b="4445"/>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7691755"/>
                    </a:xfrm>
                    <a:prstGeom prst="rect">
                      <a:avLst/>
                    </a:prstGeom>
                  </pic:spPr>
                </pic:pic>
              </a:graphicData>
            </a:graphic>
          </wp:inline>
        </w:drawing>
      </w:r>
    </w:p>
    <w:p w:rsidR="00DC1A24" w:rsidRDefault="00DC1A24">
      <w:r>
        <w:br w:type="page"/>
      </w:r>
    </w:p>
    <w:p w:rsidR="00DC1A24" w:rsidRDefault="00DC1A24" w:rsidP="00F637D1">
      <w:pPr>
        <w:pStyle w:val="OrderBody"/>
      </w:pPr>
      <w:r>
        <w:rPr>
          <w:noProof/>
        </w:rPr>
        <w:lastRenderedPageBreak/>
        <w:drawing>
          <wp:inline distT="0" distB="0" distL="0" distR="0">
            <wp:extent cx="5943600" cy="7691755"/>
            <wp:effectExtent l="0" t="0" r="0" b="4445"/>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7691755"/>
                    </a:xfrm>
                    <a:prstGeom prst="rect">
                      <a:avLst/>
                    </a:prstGeom>
                  </pic:spPr>
                </pic:pic>
              </a:graphicData>
            </a:graphic>
          </wp:inline>
        </w:drawing>
      </w:r>
    </w:p>
    <w:p w:rsidR="00DC1A24" w:rsidRDefault="00DC1A24">
      <w:r>
        <w:br w:type="page"/>
      </w:r>
    </w:p>
    <w:p w:rsidR="00DC1A24" w:rsidRDefault="00DC1A24" w:rsidP="00F637D1">
      <w:pPr>
        <w:pStyle w:val="OrderBody"/>
      </w:pPr>
      <w:r>
        <w:rPr>
          <w:noProof/>
        </w:rPr>
        <w:lastRenderedPageBreak/>
        <w:drawing>
          <wp:inline distT="0" distB="0" distL="0" distR="0">
            <wp:extent cx="5943600" cy="7691755"/>
            <wp:effectExtent l="0" t="0" r="0" b="4445"/>
            <wp:docPr id="20"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7691755"/>
                    </a:xfrm>
                    <a:prstGeom prst="rect">
                      <a:avLst/>
                    </a:prstGeom>
                  </pic:spPr>
                </pic:pic>
              </a:graphicData>
            </a:graphic>
          </wp:inline>
        </w:drawing>
      </w:r>
    </w:p>
    <w:p w:rsidR="00DC1A24" w:rsidRDefault="00DC1A24">
      <w:r>
        <w:br w:type="page"/>
      </w:r>
    </w:p>
    <w:p w:rsidR="00DC1A24" w:rsidRDefault="00DC1A24" w:rsidP="00F637D1">
      <w:pPr>
        <w:pStyle w:val="OrderBody"/>
      </w:pPr>
      <w:r>
        <w:rPr>
          <w:noProof/>
        </w:rPr>
        <w:lastRenderedPageBreak/>
        <w:drawing>
          <wp:inline distT="0" distB="0" distL="0" distR="0">
            <wp:extent cx="5943600" cy="7691755"/>
            <wp:effectExtent l="0" t="0" r="0" b="4445"/>
            <wp:docPr id="21"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7691755"/>
                    </a:xfrm>
                    <a:prstGeom prst="rect">
                      <a:avLst/>
                    </a:prstGeom>
                  </pic:spPr>
                </pic:pic>
              </a:graphicData>
            </a:graphic>
          </wp:inline>
        </w:drawing>
      </w:r>
    </w:p>
    <w:p w:rsidR="00DC1A24" w:rsidRDefault="00DC1A24">
      <w:r>
        <w:br w:type="page"/>
      </w:r>
    </w:p>
    <w:p w:rsidR="00DC1A24" w:rsidRDefault="00DC1A24" w:rsidP="00F637D1">
      <w:pPr>
        <w:pStyle w:val="OrderBody"/>
      </w:pPr>
      <w:r>
        <w:rPr>
          <w:noProof/>
        </w:rPr>
        <w:lastRenderedPageBreak/>
        <w:drawing>
          <wp:inline distT="0" distB="0" distL="0" distR="0">
            <wp:extent cx="5943600" cy="7691755"/>
            <wp:effectExtent l="0" t="0" r="0" b="4445"/>
            <wp:docPr id="22"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7691755"/>
                    </a:xfrm>
                    <a:prstGeom prst="rect">
                      <a:avLst/>
                    </a:prstGeom>
                  </pic:spPr>
                </pic:pic>
              </a:graphicData>
            </a:graphic>
          </wp:inline>
        </w:drawing>
      </w:r>
    </w:p>
    <w:p w:rsidR="00DC1A24" w:rsidRDefault="00DC1A24">
      <w:r>
        <w:br w:type="page"/>
      </w:r>
    </w:p>
    <w:p w:rsidR="00DC1A24" w:rsidRDefault="00DC1A24" w:rsidP="00F637D1">
      <w:pPr>
        <w:pStyle w:val="OrderBody"/>
      </w:pPr>
      <w:r>
        <w:rPr>
          <w:noProof/>
        </w:rPr>
        <w:lastRenderedPageBreak/>
        <w:drawing>
          <wp:inline distT="0" distB="0" distL="0" distR="0">
            <wp:extent cx="5943600" cy="7691755"/>
            <wp:effectExtent l="0" t="0" r="0" b="4445"/>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7691755"/>
                    </a:xfrm>
                    <a:prstGeom prst="rect">
                      <a:avLst/>
                    </a:prstGeom>
                  </pic:spPr>
                </pic:pic>
              </a:graphicData>
            </a:graphic>
          </wp:inline>
        </w:drawing>
      </w:r>
    </w:p>
    <w:p w:rsidR="00DC1A24" w:rsidRDefault="00DC1A24">
      <w:r>
        <w:br w:type="page"/>
      </w:r>
    </w:p>
    <w:p w:rsidR="00DC1A24" w:rsidRDefault="00DC1A24" w:rsidP="00F637D1">
      <w:pPr>
        <w:pStyle w:val="OrderBody"/>
      </w:pPr>
      <w:r>
        <w:rPr>
          <w:noProof/>
        </w:rPr>
        <w:lastRenderedPageBreak/>
        <w:drawing>
          <wp:inline distT="0" distB="0" distL="0" distR="0">
            <wp:extent cx="5943600" cy="7691755"/>
            <wp:effectExtent l="0" t="0" r="0" b="4445"/>
            <wp:docPr id="24"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7691755"/>
                    </a:xfrm>
                    <a:prstGeom prst="rect">
                      <a:avLst/>
                    </a:prstGeom>
                  </pic:spPr>
                </pic:pic>
              </a:graphicData>
            </a:graphic>
          </wp:inline>
        </w:drawing>
      </w:r>
    </w:p>
    <w:p w:rsidR="00DC1A24" w:rsidRDefault="00DC1A24">
      <w:r>
        <w:br w:type="page"/>
      </w:r>
    </w:p>
    <w:p w:rsidR="00DC1A24" w:rsidRDefault="00DC1A24" w:rsidP="00F637D1">
      <w:pPr>
        <w:pStyle w:val="OrderBody"/>
      </w:pPr>
      <w:r>
        <w:rPr>
          <w:noProof/>
        </w:rPr>
        <w:lastRenderedPageBreak/>
        <w:drawing>
          <wp:inline distT="0" distB="0" distL="0" distR="0">
            <wp:extent cx="5943600" cy="7691755"/>
            <wp:effectExtent l="0" t="0" r="0" b="4445"/>
            <wp:docPr id="25"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7691755"/>
                    </a:xfrm>
                    <a:prstGeom prst="rect">
                      <a:avLst/>
                    </a:prstGeom>
                  </pic:spPr>
                </pic:pic>
              </a:graphicData>
            </a:graphic>
          </wp:inline>
        </w:drawing>
      </w:r>
    </w:p>
    <w:p w:rsidR="00DC1A24" w:rsidRDefault="00DC1A24">
      <w:r>
        <w:br w:type="page"/>
      </w:r>
    </w:p>
    <w:p w:rsidR="00061229" w:rsidRPr="00F637D1" w:rsidRDefault="00DC1A24" w:rsidP="00F637D1">
      <w:pPr>
        <w:pStyle w:val="OrderBody"/>
      </w:pPr>
      <w:r>
        <w:rPr>
          <w:noProof/>
        </w:rPr>
        <w:lastRenderedPageBreak/>
        <w:drawing>
          <wp:inline distT="0" distB="0" distL="0" distR="0">
            <wp:extent cx="5943600" cy="7691755"/>
            <wp:effectExtent l="0" t="0" r="0" b="4445"/>
            <wp:docPr id="26"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7691755"/>
                    </a:xfrm>
                    <a:prstGeom prst="rect">
                      <a:avLst/>
                    </a:prstGeom>
                  </pic:spPr>
                </pic:pic>
              </a:graphicData>
            </a:graphic>
          </wp:inline>
        </w:drawing>
      </w:r>
    </w:p>
    <w:sectPr w:rsidR="00061229" w:rsidRPr="00F637D1">
      <w:headerReference w:type="first" r:id="rId36"/>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303C" w:rsidRDefault="00F9303C">
      <w:r>
        <w:separator/>
      </w:r>
    </w:p>
  </w:endnote>
  <w:endnote w:type="continuationSeparator" w:id="0">
    <w:p w:rsidR="00F9303C" w:rsidRDefault="00F93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303C" w:rsidRDefault="00F9303C">
      <w:r>
        <w:separator/>
      </w:r>
    </w:p>
  </w:footnote>
  <w:footnote w:type="continuationSeparator" w:id="0">
    <w:p w:rsidR="00F9303C" w:rsidRDefault="00F9303C">
      <w:r>
        <w:continuationSeparator/>
      </w:r>
    </w:p>
  </w:footnote>
  <w:footnote w:id="1">
    <w:p w:rsidR="005F589B" w:rsidRDefault="005F589B" w:rsidP="002F33C2">
      <w:pPr>
        <w:pStyle w:val="EndnoteText"/>
        <w:jc w:val="both"/>
      </w:pPr>
      <w:r w:rsidRPr="002C3C81">
        <w:rPr>
          <w:rStyle w:val="FootnoteReference"/>
          <w:rFonts w:ascii="Times New Roman" w:hAnsi="Times New Roman"/>
        </w:rPr>
        <w:footnoteRef/>
      </w:r>
      <w:r w:rsidRPr="002C3C81">
        <w:rPr>
          <w:rFonts w:ascii="Times New Roman" w:hAnsi="Times New Roman"/>
        </w:rPr>
        <w:t xml:space="preserve"> Order No. 2017-0456-S-EI, issued November 27, 2017, in Docket No. 20170210-EI, </w:t>
      </w:r>
      <w:r w:rsidRPr="002C3C81">
        <w:rPr>
          <w:rFonts w:ascii="Times New Roman" w:hAnsi="Times New Roman"/>
          <w:i/>
        </w:rPr>
        <w:t>In re: Petition for limited proceeding to approve 2017 amended and restated stipulation and settlement agreement, by Tampa Electric Company.</w:t>
      </w:r>
    </w:p>
  </w:footnote>
  <w:footnote w:id="2">
    <w:p w:rsidR="002F33C2" w:rsidRDefault="002F33C2">
      <w:pPr>
        <w:pStyle w:val="FootnoteText"/>
      </w:pPr>
      <w:r w:rsidRPr="00FB4876">
        <w:rPr>
          <w:rStyle w:val="FootnoteReference"/>
        </w:rPr>
        <w:footnoteRef/>
      </w:r>
      <w:r w:rsidRPr="00FB4876">
        <w:t xml:space="preserve"> </w:t>
      </w:r>
      <w:r w:rsidR="00FB4876" w:rsidRPr="00FB4876">
        <w:t>Order No</w:t>
      </w:r>
      <w:r w:rsidR="00FB4876">
        <w:t>.</w:t>
      </w:r>
      <w:r w:rsidR="00FB4876" w:rsidRPr="00FB4876">
        <w:t xml:space="preserve"> PSC-2018-0068-PCO-EI, issued January 30, 20</w:t>
      </w:r>
      <w:r w:rsidR="00FB4876">
        <w:t>18, acknowledg</w:t>
      </w:r>
      <w:r w:rsidR="00580DE2">
        <w:t>ed</w:t>
      </w:r>
      <w:r w:rsidR="00FB4876">
        <w:t xml:space="preserve"> OPC’s intervention, and Order No. </w:t>
      </w:r>
      <w:r w:rsidR="00FB4876" w:rsidRPr="00FB4876">
        <w:t>PSC-2018-0187-PCO-EI</w:t>
      </w:r>
      <w:r w:rsidR="00FB4876">
        <w:t xml:space="preserve">, issued </w:t>
      </w:r>
      <w:r w:rsidR="00FB4876" w:rsidRPr="00FB4876">
        <w:t>April 19, 2018</w:t>
      </w:r>
      <w:r w:rsidR="00580DE2">
        <w:t>, granted</w:t>
      </w:r>
      <w:r w:rsidR="00FB4876">
        <w:t xml:space="preserve"> FIPUG’s intervention request.</w:t>
      </w:r>
    </w:p>
  </w:footnote>
  <w:footnote w:id="3">
    <w:p w:rsidR="007D0DD5" w:rsidRPr="002C3C81" w:rsidRDefault="007D0DD5" w:rsidP="007D0DD5">
      <w:pPr>
        <w:pStyle w:val="EndnoteText"/>
        <w:rPr>
          <w:rFonts w:ascii="Times New Roman" w:hAnsi="Times New Roman"/>
          <w:i/>
        </w:rPr>
      </w:pPr>
      <w:r w:rsidRPr="002C3C81">
        <w:rPr>
          <w:rStyle w:val="FootnoteReference"/>
          <w:rFonts w:ascii="Times New Roman" w:hAnsi="Times New Roman"/>
        </w:rPr>
        <w:footnoteRef/>
      </w:r>
      <w:r w:rsidRPr="002C3C81">
        <w:rPr>
          <w:rFonts w:ascii="Times New Roman" w:hAnsi="Times New Roman"/>
        </w:rPr>
        <w:t xml:space="preserve"> </w:t>
      </w:r>
      <w:r w:rsidR="007109EC" w:rsidRPr="007109EC">
        <w:rPr>
          <w:rFonts w:ascii="Times New Roman" w:hAnsi="Times New Roman"/>
        </w:rPr>
        <w:t xml:space="preserve">Order No. 2017-0456-S-EI </w:t>
      </w:r>
      <w:r w:rsidR="007109EC">
        <w:rPr>
          <w:rFonts w:ascii="Times New Roman" w:hAnsi="Times New Roman"/>
        </w:rPr>
        <w:t xml:space="preserve"> </w:t>
      </w:r>
      <w:r>
        <w:rPr>
          <w:rFonts w:ascii="Times New Roman" w:hAnsi="Times New Roman"/>
        </w:rPr>
        <w:t xml:space="preserve">at </w:t>
      </w:r>
      <w:r w:rsidR="00D20E2B">
        <w:rPr>
          <w:rFonts w:ascii="Times New Roman" w:hAnsi="Times New Roman"/>
        </w:rPr>
        <w:t xml:space="preserve">p. 25, </w:t>
      </w:r>
      <w:r w:rsidR="007109EC">
        <w:rPr>
          <w:rFonts w:ascii="Times New Roman" w:hAnsi="Times New Roman"/>
        </w:rPr>
        <w:t>sub</w:t>
      </w:r>
      <w:r w:rsidR="00D20E2B">
        <w:rPr>
          <w:rFonts w:ascii="Times New Roman" w:hAnsi="Times New Roman"/>
        </w:rPr>
        <w:t xml:space="preserve">paragraph </w:t>
      </w:r>
      <w:r w:rsidR="002F3BDD">
        <w:rPr>
          <w:rFonts w:ascii="Times New Roman" w:hAnsi="Times New Roman"/>
        </w:rPr>
        <w:t>6(m)</w:t>
      </w:r>
      <w:r>
        <w:rPr>
          <w:rFonts w:ascii="Times New Roman" w:hAnsi="Times New Roman"/>
        </w:rPr>
        <w:t xml:space="preserve">. </w:t>
      </w:r>
    </w:p>
    <w:p w:rsidR="007D0DD5" w:rsidRDefault="007D0DD5" w:rsidP="007D0DD5">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r w:rsidR="00FC7630">
      <w:fldChar w:fldCharType="begin"/>
    </w:r>
    <w:r w:rsidR="00FC7630">
      <w:instrText xml:space="preserve"> REF OrderNo0288 </w:instrText>
    </w:r>
    <w:r w:rsidR="00FC7630">
      <w:fldChar w:fldCharType="separate"/>
    </w:r>
    <w:r w:rsidR="00FC7630">
      <w:t>PSC-2018-0288-FOF-EI</w:t>
    </w:r>
    <w:r w:rsidR="00FC7630">
      <w:fldChar w:fldCharType="end"/>
    </w:r>
  </w:p>
  <w:p w:rsidR="00FA6EFD" w:rsidRDefault="00696105">
    <w:pPr>
      <w:pStyle w:val="OrderHeader"/>
    </w:pPr>
    <w:bookmarkStart w:id="9" w:name="HeaderDocketNo"/>
    <w:bookmarkEnd w:id="9"/>
    <w:r>
      <w:t>DOCKET NO. 20170260-EI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C7630">
      <w:rPr>
        <w:rStyle w:val="PageNumber"/>
        <w:noProof/>
      </w:rPr>
      <w:t>31</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229" w:rsidRDefault="00061229" w:rsidP="00061229">
    <w:pPr>
      <w:pStyle w:val="OrderHeader"/>
    </w:pPr>
    <w:r>
      <w:t xml:space="preserve">ORDER NO. </w:t>
    </w:r>
    <w:r w:rsidR="00783E92">
      <w:t>PSC-2018-0288-FOF-EI</w:t>
    </w:r>
  </w:p>
  <w:p w:rsidR="00061229" w:rsidRDefault="00061229" w:rsidP="00061229">
    <w:pPr>
      <w:pStyle w:val="OrderHeader"/>
    </w:pPr>
    <w:r>
      <w:t>DOCKET NO. 20170260-EI</w:t>
    </w:r>
  </w:p>
  <w:p w:rsidR="00061229" w:rsidRDefault="00061229" w:rsidP="0006122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C7630">
      <w:rPr>
        <w:rStyle w:val="PageNumber"/>
        <w:noProof/>
      </w:rPr>
      <w:t>6</w:t>
    </w:r>
    <w:r>
      <w:rPr>
        <w:rStyle w:val="PageNumber"/>
      </w:rPr>
      <w:fldChar w:fldCharType="end"/>
    </w:r>
    <w:r w:rsidR="00DC1A24">
      <w:rPr>
        <w:rStyle w:val="PageNumber"/>
      </w:rPr>
      <w:t xml:space="preserve">  </w:t>
    </w:r>
    <w:r w:rsidR="00DC1A24">
      <w:rPr>
        <w:rStyle w:val="PageNumber"/>
      </w:rPr>
      <w:tab/>
    </w:r>
    <w:r w:rsidR="00DC1A24">
      <w:rPr>
        <w:rStyle w:val="PageNumber"/>
      </w:rPr>
      <w:tab/>
      <w:t xml:space="preserve">ATTACHMENT </w:t>
    </w:r>
  </w:p>
  <w:p w:rsidR="00061229" w:rsidRDefault="0006122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70260-EI"/>
  </w:docVars>
  <w:rsids>
    <w:rsidRoot w:val="00696105"/>
    <w:rsid w:val="000022B8"/>
    <w:rsid w:val="000138A0"/>
    <w:rsid w:val="000156D4"/>
    <w:rsid w:val="00035A8C"/>
    <w:rsid w:val="00053AB9"/>
    <w:rsid w:val="00056229"/>
    <w:rsid w:val="00057AF1"/>
    <w:rsid w:val="00061229"/>
    <w:rsid w:val="00065FC2"/>
    <w:rsid w:val="00067685"/>
    <w:rsid w:val="00076E6B"/>
    <w:rsid w:val="0008247D"/>
    <w:rsid w:val="00090AFC"/>
    <w:rsid w:val="000A3972"/>
    <w:rsid w:val="000B783E"/>
    <w:rsid w:val="000C6EE3"/>
    <w:rsid w:val="000D02B8"/>
    <w:rsid w:val="000D06E8"/>
    <w:rsid w:val="000D5EF0"/>
    <w:rsid w:val="000E050C"/>
    <w:rsid w:val="000E20F0"/>
    <w:rsid w:val="000E344D"/>
    <w:rsid w:val="000E3F6D"/>
    <w:rsid w:val="000F359F"/>
    <w:rsid w:val="000F3B2C"/>
    <w:rsid w:val="000F63EB"/>
    <w:rsid w:val="000F648A"/>
    <w:rsid w:val="000F7BE3"/>
    <w:rsid w:val="001052BA"/>
    <w:rsid w:val="001107B3"/>
    <w:rsid w:val="001114B1"/>
    <w:rsid w:val="001139D8"/>
    <w:rsid w:val="00116AD3"/>
    <w:rsid w:val="00121957"/>
    <w:rsid w:val="0012387E"/>
    <w:rsid w:val="00126593"/>
    <w:rsid w:val="00142A96"/>
    <w:rsid w:val="001513DE"/>
    <w:rsid w:val="00153038"/>
    <w:rsid w:val="00154A71"/>
    <w:rsid w:val="00187E32"/>
    <w:rsid w:val="00194E81"/>
    <w:rsid w:val="001A15E7"/>
    <w:rsid w:val="001A33C9"/>
    <w:rsid w:val="001A58F3"/>
    <w:rsid w:val="001B50E0"/>
    <w:rsid w:val="001C2847"/>
    <w:rsid w:val="001C36C4"/>
    <w:rsid w:val="001C3F8C"/>
    <w:rsid w:val="001C6097"/>
    <w:rsid w:val="001D008A"/>
    <w:rsid w:val="001D63AD"/>
    <w:rsid w:val="001E0152"/>
    <w:rsid w:val="001E0FF5"/>
    <w:rsid w:val="002002ED"/>
    <w:rsid w:val="002170E5"/>
    <w:rsid w:val="00220D57"/>
    <w:rsid w:val="0022721A"/>
    <w:rsid w:val="00230BB9"/>
    <w:rsid w:val="00241CEF"/>
    <w:rsid w:val="0025124E"/>
    <w:rsid w:val="00252B30"/>
    <w:rsid w:val="002613E4"/>
    <w:rsid w:val="0026544B"/>
    <w:rsid w:val="00276CDC"/>
    <w:rsid w:val="00277655"/>
    <w:rsid w:val="002824B7"/>
    <w:rsid w:val="00282AC4"/>
    <w:rsid w:val="00292971"/>
    <w:rsid w:val="002A11AC"/>
    <w:rsid w:val="002A6F30"/>
    <w:rsid w:val="002B3111"/>
    <w:rsid w:val="002C3C81"/>
    <w:rsid w:val="002C7908"/>
    <w:rsid w:val="002D391B"/>
    <w:rsid w:val="002D4B1F"/>
    <w:rsid w:val="002D7D15"/>
    <w:rsid w:val="002E1B2E"/>
    <w:rsid w:val="002E27EB"/>
    <w:rsid w:val="002F14A5"/>
    <w:rsid w:val="002F2A9D"/>
    <w:rsid w:val="002F31C2"/>
    <w:rsid w:val="002F33C2"/>
    <w:rsid w:val="002F3BDD"/>
    <w:rsid w:val="00303FDE"/>
    <w:rsid w:val="00312C4B"/>
    <w:rsid w:val="003140E8"/>
    <w:rsid w:val="003231C7"/>
    <w:rsid w:val="003270C4"/>
    <w:rsid w:val="00331ED0"/>
    <w:rsid w:val="00332B0A"/>
    <w:rsid w:val="00333A41"/>
    <w:rsid w:val="0034320D"/>
    <w:rsid w:val="00345434"/>
    <w:rsid w:val="0035495B"/>
    <w:rsid w:val="00355A93"/>
    <w:rsid w:val="00361522"/>
    <w:rsid w:val="0037196E"/>
    <w:rsid w:val="003744F5"/>
    <w:rsid w:val="00387BDE"/>
    <w:rsid w:val="00390DD8"/>
    <w:rsid w:val="00394DC6"/>
    <w:rsid w:val="00397C3E"/>
    <w:rsid w:val="003A73BE"/>
    <w:rsid w:val="003B1A09"/>
    <w:rsid w:val="003C679B"/>
    <w:rsid w:val="003D4CCA"/>
    <w:rsid w:val="003D52A6"/>
    <w:rsid w:val="003D6416"/>
    <w:rsid w:val="003E1D48"/>
    <w:rsid w:val="003F1D2B"/>
    <w:rsid w:val="00400AF1"/>
    <w:rsid w:val="00411DF2"/>
    <w:rsid w:val="00411E8F"/>
    <w:rsid w:val="0042527B"/>
    <w:rsid w:val="0045537F"/>
    <w:rsid w:val="00457DC7"/>
    <w:rsid w:val="00472BCC"/>
    <w:rsid w:val="0048184B"/>
    <w:rsid w:val="004A000F"/>
    <w:rsid w:val="004A25CD"/>
    <w:rsid w:val="004A26CC"/>
    <w:rsid w:val="004B2108"/>
    <w:rsid w:val="004B3A2B"/>
    <w:rsid w:val="004B70D3"/>
    <w:rsid w:val="004C312D"/>
    <w:rsid w:val="004D2D1B"/>
    <w:rsid w:val="004D5067"/>
    <w:rsid w:val="004D6838"/>
    <w:rsid w:val="004D72BC"/>
    <w:rsid w:val="004E469D"/>
    <w:rsid w:val="004F2DDE"/>
    <w:rsid w:val="004F7826"/>
    <w:rsid w:val="0050097F"/>
    <w:rsid w:val="00505021"/>
    <w:rsid w:val="00514B1F"/>
    <w:rsid w:val="00525E93"/>
    <w:rsid w:val="0052671D"/>
    <w:rsid w:val="0055595D"/>
    <w:rsid w:val="00556A10"/>
    <w:rsid w:val="00557F50"/>
    <w:rsid w:val="00571D3D"/>
    <w:rsid w:val="00580DE2"/>
    <w:rsid w:val="0058264B"/>
    <w:rsid w:val="005868AA"/>
    <w:rsid w:val="00590845"/>
    <w:rsid w:val="005963C2"/>
    <w:rsid w:val="005A0D69"/>
    <w:rsid w:val="005A31F4"/>
    <w:rsid w:val="005A73EA"/>
    <w:rsid w:val="005B3F1A"/>
    <w:rsid w:val="005B45F7"/>
    <w:rsid w:val="005B63EA"/>
    <w:rsid w:val="005C1A88"/>
    <w:rsid w:val="005C5033"/>
    <w:rsid w:val="005D3586"/>
    <w:rsid w:val="005E751B"/>
    <w:rsid w:val="005F3354"/>
    <w:rsid w:val="005F589B"/>
    <w:rsid w:val="0060005E"/>
    <w:rsid w:val="0060095B"/>
    <w:rsid w:val="00601266"/>
    <w:rsid w:val="00610E73"/>
    <w:rsid w:val="00612277"/>
    <w:rsid w:val="00616DF2"/>
    <w:rsid w:val="00622EE5"/>
    <w:rsid w:val="0063168D"/>
    <w:rsid w:val="006531A4"/>
    <w:rsid w:val="00660774"/>
    <w:rsid w:val="0066389A"/>
    <w:rsid w:val="0066495C"/>
    <w:rsid w:val="00665CC7"/>
    <w:rsid w:val="00672612"/>
    <w:rsid w:val="00677F18"/>
    <w:rsid w:val="00693483"/>
    <w:rsid w:val="00696105"/>
    <w:rsid w:val="006A0BF3"/>
    <w:rsid w:val="006A1C00"/>
    <w:rsid w:val="006B0DA6"/>
    <w:rsid w:val="006C547E"/>
    <w:rsid w:val="006D093A"/>
    <w:rsid w:val="006D2B51"/>
    <w:rsid w:val="006D4B9F"/>
    <w:rsid w:val="006D5575"/>
    <w:rsid w:val="006D6EBE"/>
    <w:rsid w:val="006E42BE"/>
    <w:rsid w:val="00704C5D"/>
    <w:rsid w:val="007072BC"/>
    <w:rsid w:val="007109EC"/>
    <w:rsid w:val="00715275"/>
    <w:rsid w:val="00721B44"/>
    <w:rsid w:val="007232A2"/>
    <w:rsid w:val="00726366"/>
    <w:rsid w:val="00733B6B"/>
    <w:rsid w:val="00740808"/>
    <w:rsid w:val="007467C4"/>
    <w:rsid w:val="0076170F"/>
    <w:rsid w:val="00763516"/>
    <w:rsid w:val="0076669C"/>
    <w:rsid w:val="00766E46"/>
    <w:rsid w:val="00777727"/>
    <w:rsid w:val="00782B79"/>
    <w:rsid w:val="00783E92"/>
    <w:rsid w:val="007865E9"/>
    <w:rsid w:val="00792383"/>
    <w:rsid w:val="00794D5A"/>
    <w:rsid w:val="00794DD9"/>
    <w:rsid w:val="007962EE"/>
    <w:rsid w:val="007A060F"/>
    <w:rsid w:val="007C0FBC"/>
    <w:rsid w:val="007C36E3"/>
    <w:rsid w:val="007C7134"/>
    <w:rsid w:val="007D0DD5"/>
    <w:rsid w:val="007D3D20"/>
    <w:rsid w:val="007D742E"/>
    <w:rsid w:val="007E3AFD"/>
    <w:rsid w:val="007F0279"/>
    <w:rsid w:val="007F2E17"/>
    <w:rsid w:val="00801DAD"/>
    <w:rsid w:val="00803189"/>
    <w:rsid w:val="00804E7A"/>
    <w:rsid w:val="00805FBB"/>
    <w:rsid w:val="008169A4"/>
    <w:rsid w:val="008278FE"/>
    <w:rsid w:val="00832598"/>
    <w:rsid w:val="0083397E"/>
    <w:rsid w:val="0083534B"/>
    <w:rsid w:val="00842602"/>
    <w:rsid w:val="00844629"/>
    <w:rsid w:val="00847B45"/>
    <w:rsid w:val="008535E9"/>
    <w:rsid w:val="00863A66"/>
    <w:rsid w:val="008703D7"/>
    <w:rsid w:val="00874429"/>
    <w:rsid w:val="008808D3"/>
    <w:rsid w:val="00883D9A"/>
    <w:rsid w:val="008919EF"/>
    <w:rsid w:val="00892B20"/>
    <w:rsid w:val="00893FEC"/>
    <w:rsid w:val="008A12EC"/>
    <w:rsid w:val="008C21C8"/>
    <w:rsid w:val="008C5C04"/>
    <w:rsid w:val="008C6375"/>
    <w:rsid w:val="008C6A5B"/>
    <w:rsid w:val="008E26A5"/>
    <w:rsid w:val="008E42D2"/>
    <w:rsid w:val="008E6328"/>
    <w:rsid w:val="009040EE"/>
    <w:rsid w:val="009057FD"/>
    <w:rsid w:val="00906FBA"/>
    <w:rsid w:val="009163E8"/>
    <w:rsid w:val="009228C7"/>
    <w:rsid w:val="00922A7F"/>
    <w:rsid w:val="00923A5E"/>
    <w:rsid w:val="00924FE7"/>
    <w:rsid w:val="00926E27"/>
    <w:rsid w:val="00931C8C"/>
    <w:rsid w:val="0094504B"/>
    <w:rsid w:val="009479A1"/>
    <w:rsid w:val="009576C5"/>
    <w:rsid w:val="00964A38"/>
    <w:rsid w:val="00966A9D"/>
    <w:rsid w:val="0096742B"/>
    <w:rsid w:val="009924CF"/>
    <w:rsid w:val="00994100"/>
    <w:rsid w:val="009A6B17"/>
    <w:rsid w:val="009D4C29"/>
    <w:rsid w:val="009E6A20"/>
    <w:rsid w:val="009F6AD2"/>
    <w:rsid w:val="00A00D8D"/>
    <w:rsid w:val="00A01BB6"/>
    <w:rsid w:val="00A4303C"/>
    <w:rsid w:val="00A470FD"/>
    <w:rsid w:val="00A54094"/>
    <w:rsid w:val="00A62DAB"/>
    <w:rsid w:val="00A6757A"/>
    <w:rsid w:val="00A710B5"/>
    <w:rsid w:val="00A726A6"/>
    <w:rsid w:val="00A74842"/>
    <w:rsid w:val="00A97535"/>
    <w:rsid w:val="00AA2BAA"/>
    <w:rsid w:val="00AA73F1"/>
    <w:rsid w:val="00AB0E1A"/>
    <w:rsid w:val="00AB1789"/>
    <w:rsid w:val="00AB1A30"/>
    <w:rsid w:val="00AB34F7"/>
    <w:rsid w:val="00AB3C36"/>
    <w:rsid w:val="00AD10EB"/>
    <w:rsid w:val="00AD1ED3"/>
    <w:rsid w:val="00B02001"/>
    <w:rsid w:val="00B03C50"/>
    <w:rsid w:val="00B0777D"/>
    <w:rsid w:val="00B11576"/>
    <w:rsid w:val="00B1195F"/>
    <w:rsid w:val="00B14D10"/>
    <w:rsid w:val="00B209C7"/>
    <w:rsid w:val="00B3644F"/>
    <w:rsid w:val="00B4057A"/>
    <w:rsid w:val="00B40894"/>
    <w:rsid w:val="00B41039"/>
    <w:rsid w:val="00B444AE"/>
    <w:rsid w:val="00B45E75"/>
    <w:rsid w:val="00B50876"/>
    <w:rsid w:val="00B51074"/>
    <w:rsid w:val="00B54DAA"/>
    <w:rsid w:val="00B55AB0"/>
    <w:rsid w:val="00B55EE5"/>
    <w:rsid w:val="00B70CD4"/>
    <w:rsid w:val="00B712D7"/>
    <w:rsid w:val="00B71D1F"/>
    <w:rsid w:val="00B73DE6"/>
    <w:rsid w:val="00B761CD"/>
    <w:rsid w:val="00B86EF0"/>
    <w:rsid w:val="00B96969"/>
    <w:rsid w:val="00B97900"/>
    <w:rsid w:val="00BA1229"/>
    <w:rsid w:val="00BA44A8"/>
    <w:rsid w:val="00BB246D"/>
    <w:rsid w:val="00BF6691"/>
    <w:rsid w:val="00C028FC"/>
    <w:rsid w:val="00C037F2"/>
    <w:rsid w:val="00C0386D"/>
    <w:rsid w:val="00C065A1"/>
    <w:rsid w:val="00C072E6"/>
    <w:rsid w:val="00C10C17"/>
    <w:rsid w:val="00C10ED5"/>
    <w:rsid w:val="00C151A6"/>
    <w:rsid w:val="00C24098"/>
    <w:rsid w:val="00C30A4E"/>
    <w:rsid w:val="00C411F3"/>
    <w:rsid w:val="00C44105"/>
    <w:rsid w:val="00C542E6"/>
    <w:rsid w:val="00C55A33"/>
    <w:rsid w:val="00C66692"/>
    <w:rsid w:val="00C673B5"/>
    <w:rsid w:val="00C7063D"/>
    <w:rsid w:val="00C71563"/>
    <w:rsid w:val="00C830BC"/>
    <w:rsid w:val="00C8524D"/>
    <w:rsid w:val="00C91123"/>
    <w:rsid w:val="00CA71FF"/>
    <w:rsid w:val="00CB5276"/>
    <w:rsid w:val="00CB5BFC"/>
    <w:rsid w:val="00CB68D7"/>
    <w:rsid w:val="00CC7E68"/>
    <w:rsid w:val="00CD7132"/>
    <w:rsid w:val="00CE0E6F"/>
    <w:rsid w:val="00CE3B21"/>
    <w:rsid w:val="00CE56FC"/>
    <w:rsid w:val="00CF4CFE"/>
    <w:rsid w:val="00D02E0F"/>
    <w:rsid w:val="00D03EE8"/>
    <w:rsid w:val="00D13535"/>
    <w:rsid w:val="00D17B79"/>
    <w:rsid w:val="00D20E2B"/>
    <w:rsid w:val="00D23FEA"/>
    <w:rsid w:val="00D269CA"/>
    <w:rsid w:val="00D30800"/>
    <w:rsid w:val="00D30B48"/>
    <w:rsid w:val="00D3168A"/>
    <w:rsid w:val="00D46FAA"/>
    <w:rsid w:val="00D47A40"/>
    <w:rsid w:val="00D50AC4"/>
    <w:rsid w:val="00D51D33"/>
    <w:rsid w:val="00D57BB2"/>
    <w:rsid w:val="00D57E57"/>
    <w:rsid w:val="00D70752"/>
    <w:rsid w:val="00D80E2D"/>
    <w:rsid w:val="00D84D5E"/>
    <w:rsid w:val="00D8560E"/>
    <w:rsid w:val="00D8758F"/>
    <w:rsid w:val="00DA4EDD"/>
    <w:rsid w:val="00DA6B78"/>
    <w:rsid w:val="00DC1A24"/>
    <w:rsid w:val="00DC1D94"/>
    <w:rsid w:val="00DC42CF"/>
    <w:rsid w:val="00DD2698"/>
    <w:rsid w:val="00DE057F"/>
    <w:rsid w:val="00DE2082"/>
    <w:rsid w:val="00DE2289"/>
    <w:rsid w:val="00DF09A7"/>
    <w:rsid w:val="00E001D6"/>
    <w:rsid w:val="00E03A76"/>
    <w:rsid w:val="00E04410"/>
    <w:rsid w:val="00E07484"/>
    <w:rsid w:val="00E11351"/>
    <w:rsid w:val="00E23498"/>
    <w:rsid w:val="00E4225C"/>
    <w:rsid w:val="00E44879"/>
    <w:rsid w:val="00E52022"/>
    <w:rsid w:val="00E72914"/>
    <w:rsid w:val="00E75AE0"/>
    <w:rsid w:val="00E83C1F"/>
    <w:rsid w:val="00E909B5"/>
    <w:rsid w:val="00E93A15"/>
    <w:rsid w:val="00EA172C"/>
    <w:rsid w:val="00EA259B"/>
    <w:rsid w:val="00EA35A3"/>
    <w:rsid w:val="00EA3E6A"/>
    <w:rsid w:val="00EB18EF"/>
    <w:rsid w:val="00EB7951"/>
    <w:rsid w:val="00ED6A79"/>
    <w:rsid w:val="00EE17DF"/>
    <w:rsid w:val="00EF4621"/>
    <w:rsid w:val="00EF4D52"/>
    <w:rsid w:val="00EF6312"/>
    <w:rsid w:val="00F038B0"/>
    <w:rsid w:val="00F22B27"/>
    <w:rsid w:val="00F234A7"/>
    <w:rsid w:val="00F277B6"/>
    <w:rsid w:val="00F27DA5"/>
    <w:rsid w:val="00F37E07"/>
    <w:rsid w:val="00F4182A"/>
    <w:rsid w:val="00F54380"/>
    <w:rsid w:val="00F54B47"/>
    <w:rsid w:val="00F61247"/>
    <w:rsid w:val="00F637D1"/>
    <w:rsid w:val="00F6702E"/>
    <w:rsid w:val="00F70E84"/>
    <w:rsid w:val="00F9303C"/>
    <w:rsid w:val="00F93BB0"/>
    <w:rsid w:val="00FA092B"/>
    <w:rsid w:val="00FA4F6C"/>
    <w:rsid w:val="00FA6EFD"/>
    <w:rsid w:val="00FB4876"/>
    <w:rsid w:val="00FB74EA"/>
    <w:rsid w:val="00FC0128"/>
    <w:rsid w:val="00FC7630"/>
    <w:rsid w:val="00FD2C9E"/>
    <w:rsid w:val="00FD4786"/>
    <w:rsid w:val="00FD616C"/>
    <w:rsid w:val="00FE1322"/>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endnote text"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semiHidden/>
    <w:rsid w:val="00CD7132"/>
    <w:rPr>
      <w:vertAlign w:val="superscript"/>
    </w:rPr>
  </w:style>
  <w:style w:type="paragraph" w:styleId="FootnoteText">
    <w:name w:val="footnote text"/>
    <w:basedOn w:val="Normal"/>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IssueBody">
    <w:name w:val="Issue Body"/>
    <w:basedOn w:val="Normal"/>
    <w:rsid w:val="00D30800"/>
    <w:pPr>
      <w:spacing w:after="240"/>
      <w:ind w:left="1440"/>
      <w:jc w:val="both"/>
    </w:pPr>
    <w:rPr>
      <w:szCs w:val="20"/>
    </w:rPr>
  </w:style>
  <w:style w:type="paragraph" w:customStyle="1" w:styleId="IssueHeading">
    <w:name w:val="Issue Heading"/>
    <w:basedOn w:val="Heading3"/>
    <w:next w:val="IssueBody"/>
    <w:rsid w:val="00D30800"/>
    <w:pPr>
      <w:spacing w:before="240" w:after="60"/>
      <w:ind w:firstLine="0"/>
    </w:pPr>
    <w:rPr>
      <w:rFonts w:cs="Arial"/>
      <w:b/>
      <w:bCs/>
      <w:szCs w:val="26"/>
    </w:rPr>
  </w:style>
  <w:style w:type="paragraph" w:styleId="EndnoteText">
    <w:name w:val="endnote text"/>
    <w:basedOn w:val="Normal"/>
    <w:link w:val="EndnoteTextChar"/>
    <w:uiPriority w:val="99"/>
    <w:unhideWhenUsed/>
    <w:rsid w:val="005F589B"/>
    <w:rPr>
      <w:rFonts w:asciiTheme="minorHAnsi" w:eastAsiaTheme="minorHAnsi" w:hAnsiTheme="minorHAnsi"/>
      <w:sz w:val="20"/>
      <w:szCs w:val="20"/>
    </w:rPr>
  </w:style>
  <w:style w:type="character" w:customStyle="1" w:styleId="EndnoteTextChar">
    <w:name w:val="Endnote Text Char"/>
    <w:basedOn w:val="DefaultParagraphFont"/>
    <w:link w:val="EndnoteText"/>
    <w:uiPriority w:val="99"/>
    <w:rsid w:val="005F589B"/>
    <w:rPr>
      <w:rFonts w:asciiTheme="minorHAnsi" w:eastAsiaTheme="minorHAnsi" w:hAnsiTheme="minorHAnsi"/>
    </w:rPr>
  </w:style>
  <w:style w:type="paragraph" w:styleId="BalloonText">
    <w:name w:val="Balloon Text"/>
    <w:basedOn w:val="Normal"/>
    <w:link w:val="BalloonTextChar"/>
    <w:rsid w:val="005D3586"/>
    <w:rPr>
      <w:rFonts w:ascii="Tahoma" w:hAnsi="Tahoma" w:cs="Tahoma"/>
      <w:sz w:val="16"/>
      <w:szCs w:val="16"/>
    </w:rPr>
  </w:style>
  <w:style w:type="character" w:customStyle="1" w:styleId="BalloonTextChar">
    <w:name w:val="Balloon Text Char"/>
    <w:basedOn w:val="DefaultParagraphFont"/>
    <w:link w:val="BalloonText"/>
    <w:rsid w:val="005D358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endnote text"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semiHidden/>
    <w:rsid w:val="00CD7132"/>
    <w:rPr>
      <w:vertAlign w:val="superscript"/>
    </w:rPr>
  </w:style>
  <w:style w:type="paragraph" w:styleId="FootnoteText">
    <w:name w:val="footnote text"/>
    <w:basedOn w:val="Normal"/>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IssueBody">
    <w:name w:val="Issue Body"/>
    <w:basedOn w:val="Normal"/>
    <w:rsid w:val="00D30800"/>
    <w:pPr>
      <w:spacing w:after="240"/>
      <w:ind w:left="1440"/>
      <w:jc w:val="both"/>
    </w:pPr>
    <w:rPr>
      <w:szCs w:val="20"/>
    </w:rPr>
  </w:style>
  <w:style w:type="paragraph" w:customStyle="1" w:styleId="IssueHeading">
    <w:name w:val="Issue Heading"/>
    <w:basedOn w:val="Heading3"/>
    <w:next w:val="IssueBody"/>
    <w:rsid w:val="00D30800"/>
    <w:pPr>
      <w:spacing w:before="240" w:after="60"/>
      <w:ind w:firstLine="0"/>
    </w:pPr>
    <w:rPr>
      <w:rFonts w:cs="Arial"/>
      <w:b/>
      <w:bCs/>
      <w:szCs w:val="26"/>
    </w:rPr>
  </w:style>
  <w:style w:type="paragraph" w:styleId="EndnoteText">
    <w:name w:val="endnote text"/>
    <w:basedOn w:val="Normal"/>
    <w:link w:val="EndnoteTextChar"/>
    <w:uiPriority w:val="99"/>
    <w:unhideWhenUsed/>
    <w:rsid w:val="005F589B"/>
    <w:rPr>
      <w:rFonts w:asciiTheme="minorHAnsi" w:eastAsiaTheme="minorHAnsi" w:hAnsiTheme="minorHAnsi"/>
      <w:sz w:val="20"/>
      <w:szCs w:val="20"/>
    </w:rPr>
  </w:style>
  <w:style w:type="character" w:customStyle="1" w:styleId="EndnoteTextChar">
    <w:name w:val="Endnote Text Char"/>
    <w:basedOn w:val="DefaultParagraphFont"/>
    <w:link w:val="EndnoteText"/>
    <w:uiPriority w:val="99"/>
    <w:rsid w:val="005F589B"/>
    <w:rPr>
      <w:rFonts w:asciiTheme="minorHAnsi" w:eastAsiaTheme="minorHAnsi" w:hAnsiTheme="minorHAnsi"/>
    </w:rPr>
  </w:style>
  <w:style w:type="paragraph" w:styleId="BalloonText">
    <w:name w:val="Balloon Text"/>
    <w:basedOn w:val="Normal"/>
    <w:link w:val="BalloonTextChar"/>
    <w:rsid w:val="005D3586"/>
    <w:rPr>
      <w:rFonts w:ascii="Tahoma" w:hAnsi="Tahoma" w:cs="Tahoma"/>
      <w:sz w:val="16"/>
      <w:szCs w:val="16"/>
    </w:rPr>
  </w:style>
  <w:style w:type="character" w:customStyle="1" w:styleId="BalloonTextChar">
    <w:name w:val="Balloon Text Char"/>
    <w:basedOn w:val="DefaultParagraphFont"/>
    <w:link w:val="BalloonText"/>
    <w:rsid w:val="005D35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 w:id="1827355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 Type="http://schemas.microsoft.com/office/2007/relationships/stylesWithEffects" Target="stylesWithEffects.xml"/><Relationship Id="rId21" Type="http://schemas.openxmlformats.org/officeDocument/2006/relationships/image" Target="media/image12.JPG"/><Relationship Id="rId34" Type="http://schemas.openxmlformats.org/officeDocument/2006/relationships/image" Target="media/image25.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image" Target="media/image10.JP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245AA-B273-4023-8D1B-03598053F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31</Pages>
  <Words>1281</Words>
  <Characters>7289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2018-06-05T16:57:00Z</dcterms:created>
  <dcterms:modified xsi:type="dcterms:W3CDTF">2018-06-05T17:45:00Z</dcterms:modified>
</cp:coreProperties>
</file>