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rsidTr="00A51AC6">
        <w:trPr>
          <w:trHeight w:val="2520"/>
        </w:trPr>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A91900">
            <w:pPr>
              <w:jc w:val="center"/>
            </w:pPr>
            <w:r>
              <w:rPr>
                <w:noProof/>
              </w:rPr>
              <w:drawing>
                <wp:inline distT="0" distB="0" distL="0" distR="0" wp14:anchorId="25C4B3ED" wp14:editId="06375C66">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B92B8A">
            <w:pPr>
              <w:pStyle w:val="MemoHeading"/>
            </w:pPr>
            <w:bookmarkStart w:id="1" w:name="FilingDate"/>
            <w:r>
              <w:t>September 28</w:t>
            </w:r>
            <w:r w:rsidR="00A91900">
              <w:t>, 2018</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A91900" w:rsidRDefault="00A91900">
            <w:pPr>
              <w:pStyle w:val="MemoHeading"/>
            </w:pPr>
            <w:bookmarkStart w:id="2" w:name="From"/>
            <w:r>
              <w:t>Division of Engineering (Lee)</w:t>
            </w:r>
          </w:p>
          <w:p w:rsidR="00A91900" w:rsidRDefault="00A91900">
            <w:pPr>
              <w:pStyle w:val="MemoHeading"/>
            </w:pPr>
            <w:r>
              <w:t>Division of Accounting and Finance (Andrews)</w:t>
            </w:r>
          </w:p>
          <w:p w:rsidR="00A91900" w:rsidRDefault="00A91900">
            <w:pPr>
              <w:pStyle w:val="MemoHeading"/>
            </w:pPr>
            <w:r>
              <w:t>Division of Economics (Higgins)</w:t>
            </w:r>
          </w:p>
          <w:p w:rsidR="007C0528" w:rsidRDefault="00A91900">
            <w:pPr>
              <w:pStyle w:val="MemoHeading"/>
            </w:pPr>
            <w:r>
              <w:t>Office of the General Counsel (DuVal)</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A91900">
            <w:pPr>
              <w:pStyle w:val="MemoHeadingRe"/>
            </w:pPr>
            <w:bookmarkStart w:id="3" w:name="Re"/>
            <w:r>
              <w:t>Docket No. 20180152-EQ – Petition for approval to terminate qualifying facility power purchase agreement with Ridge Generating Station, L.P., by Duke Energy Florida, LLC.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B92B8A">
            <w:pPr>
              <w:pStyle w:val="MemoHeading"/>
            </w:pPr>
            <w:bookmarkStart w:id="4" w:name="AgendaDate"/>
            <w:r>
              <w:t>10/11</w:t>
            </w:r>
            <w:r w:rsidR="00A91900">
              <w:t>/18</w:t>
            </w:r>
            <w:bookmarkEnd w:id="4"/>
            <w:r w:rsidR="007C0528">
              <w:t xml:space="preserve"> – </w:t>
            </w:r>
            <w:bookmarkStart w:id="5" w:name="PermittedStatus"/>
            <w:r w:rsidR="00A91900">
              <w:t xml:space="preserve">Regular Agenda </w:t>
            </w:r>
            <w:r w:rsidR="00752575" w:rsidRPr="00752575">
              <w:t xml:space="preserve">– Proposed Agency Action </w:t>
            </w:r>
            <w:r w:rsidR="00A91900">
              <w:t>–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A91900">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3B31A5">
            <w:pPr>
              <w:pStyle w:val="MemoHeading"/>
            </w:pPr>
            <w:bookmarkStart w:id="7" w:name="PrehearingOfficer"/>
            <w:r>
              <w:t>Clark</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A91900" w:rsidP="009E42C6">
            <w:pPr>
              <w:pStyle w:val="MemoHeading"/>
            </w:pPr>
            <w:r w:rsidRPr="00A91900">
              <w:t>December 31, 2018</w:t>
            </w:r>
            <w:r>
              <w:t xml:space="preserve"> (</w:t>
            </w:r>
            <w:r w:rsidR="009E42C6" w:rsidRPr="009E42C6">
              <w:t>Termination Agreement</w:t>
            </w:r>
            <w:r w:rsidR="009E42C6">
              <w:t xml:space="preserve"> </w:t>
            </w:r>
            <w:r w:rsidRPr="00A91900">
              <w:t>Closing Date</w:t>
            </w:r>
            <w:r>
              <w:t>)</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A91900">
            <w:pPr>
              <w:pStyle w:val="MemoHeading"/>
            </w:pPr>
            <w:bookmarkStart w:id="9" w:name="SpecialInstructions"/>
            <w:r>
              <w:t>None</w:t>
            </w:r>
            <w:bookmarkEnd w:id="9"/>
          </w:p>
        </w:tc>
      </w:tr>
    </w:tbl>
    <w:p w:rsidR="007C0528" w:rsidRDefault="007C0528">
      <w:pPr>
        <w:pStyle w:val="BodyText"/>
      </w:pPr>
    </w:p>
    <w:p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rsidR="00185C3C" w:rsidRDefault="00185C3C" w:rsidP="00185C3C">
      <w:pPr>
        <w:pStyle w:val="BodyText"/>
      </w:pPr>
      <w:r>
        <w:t xml:space="preserve">On August 3, 2018, Duke Energy Florida, LLC (DEF or Company) filed a petition for </w:t>
      </w:r>
      <w:r w:rsidR="001B69EE">
        <w:t>approval of a Termination A</w:t>
      </w:r>
      <w:r w:rsidR="009E42C6">
        <w:t xml:space="preserve">greement </w:t>
      </w:r>
      <w:r>
        <w:t>(Termination Agreement)</w:t>
      </w:r>
      <w:r w:rsidR="009E42C6" w:rsidRPr="009E42C6">
        <w:t xml:space="preserve"> and for approval of the regulatory treatment of the termination payment of $34.5 million to Ridge G</w:t>
      </w:r>
      <w:r w:rsidR="009E42C6">
        <w:t xml:space="preserve">enerating Station, L.P. (Ridge). </w:t>
      </w:r>
      <w:r w:rsidR="000F2DCC" w:rsidRPr="000F2DCC">
        <w:t xml:space="preserve">DEF and Ridge entered </w:t>
      </w:r>
      <w:r w:rsidR="000F2DCC">
        <w:t>into t</w:t>
      </w:r>
      <w:r w:rsidR="009E42C6">
        <w:t>he T</w:t>
      </w:r>
      <w:r w:rsidR="009E42C6" w:rsidRPr="009E42C6">
        <w:t xml:space="preserve">ermination Agreement </w:t>
      </w:r>
      <w:r>
        <w:t>to terminate a power purchase agreement (PPA) between DEF and Ridge</w:t>
      </w:r>
      <w:r w:rsidR="000F2DCC" w:rsidRPr="000F2DCC">
        <w:t xml:space="preserve"> </w:t>
      </w:r>
      <w:r w:rsidR="000F2DCC">
        <w:t>on August 1, 2018</w:t>
      </w:r>
      <w:r>
        <w:t>.</w:t>
      </w:r>
    </w:p>
    <w:p w:rsidR="00B27DCA" w:rsidRDefault="00B27DCA" w:rsidP="00185C3C">
      <w:pPr>
        <w:pStyle w:val="BodyText"/>
      </w:pPr>
      <w:r>
        <w:lastRenderedPageBreak/>
        <w:t xml:space="preserve">The </w:t>
      </w:r>
      <w:r w:rsidRPr="005F3557">
        <w:t xml:space="preserve">PPA </w:t>
      </w:r>
      <w:r>
        <w:t>was approved by the Florida Public Service Commission (Commission) in 1991.</w:t>
      </w:r>
      <w:r w:rsidRPr="00F606A4">
        <w:rPr>
          <w:vertAlign w:val="superscript"/>
        </w:rPr>
        <w:footnoteReference w:id="1"/>
      </w:r>
      <w:r>
        <w:t xml:space="preserve"> </w:t>
      </w:r>
      <w:r w:rsidR="00185C3C">
        <w:t>The Ridg</w:t>
      </w:r>
      <w:r w:rsidR="007F1D4D">
        <w:t>e facility</w:t>
      </w:r>
      <w:r w:rsidR="00D52987">
        <w:t>,</w:t>
      </w:r>
      <w:r w:rsidR="00D52987" w:rsidRPr="00D52987">
        <w:t xml:space="preserve"> located in Auburndale, Florida</w:t>
      </w:r>
      <w:r w:rsidR="00D52987">
        <w:t>,</w:t>
      </w:r>
      <w:r w:rsidR="007F1D4D">
        <w:t xml:space="preserve"> is a </w:t>
      </w:r>
      <w:r w:rsidR="00185C3C">
        <w:t>qualifying facility</w:t>
      </w:r>
      <w:r w:rsidR="00D52987">
        <w:t xml:space="preserve"> converting waste</w:t>
      </w:r>
      <w:r w:rsidR="000F2DCC">
        <w:t>,</w:t>
      </w:r>
      <w:r w:rsidR="00D52987" w:rsidRPr="00D52987">
        <w:t xml:space="preserve"> </w:t>
      </w:r>
      <w:r w:rsidR="00D52987">
        <w:t xml:space="preserve">such as </w:t>
      </w:r>
      <w:r w:rsidR="00D52987" w:rsidRPr="00D52987">
        <w:t>scrap tires</w:t>
      </w:r>
      <w:r w:rsidR="000F2DCC">
        <w:t>,</w:t>
      </w:r>
      <w:r w:rsidR="00185C3C">
        <w:t xml:space="preserve"> </w:t>
      </w:r>
      <w:r w:rsidR="00480C94">
        <w:t xml:space="preserve">into </w:t>
      </w:r>
      <w:r w:rsidR="00DE37E3">
        <w:t>electric power</w:t>
      </w:r>
      <w:r w:rsidR="00185C3C">
        <w:t>. Since the facility came online in May 1994, DEF has</w:t>
      </w:r>
      <w:r w:rsidR="007F1D4D">
        <w:t xml:space="preserve"> been purchasing </w:t>
      </w:r>
      <w:r w:rsidR="00CA5308">
        <w:t xml:space="preserve">firm </w:t>
      </w:r>
      <w:r w:rsidR="00185C3C">
        <w:t xml:space="preserve">energy and capacity </w:t>
      </w:r>
      <w:r w:rsidR="007F1D4D" w:rsidRPr="007F1D4D">
        <w:t xml:space="preserve">from Ridge </w:t>
      </w:r>
      <w:r w:rsidR="00185C3C">
        <w:t>pursuant to the PPA</w:t>
      </w:r>
      <w:r w:rsidR="005F3557">
        <w:t xml:space="preserve">, </w:t>
      </w:r>
      <w:r w:rsidR="0043471C">
        <w:t xml:space="preserve">with </w:t>
      </w:r>
      <w:r w:rsidR="00CA5308">
        <w:t xml:space="preserve">a </w:t>
      </w:r>
      <w:r w:rsidR="0043471C">
        <w:t>39.6</w:t>
      </w:r>
      <w:r w:rsidR="005F3557" w:rsidRPr="005F3557">
        <w:t xml:space="preserve"> megawatt (MW) committed capacity </w:t>
      </w:r>
      <w:r w:rsidR="005F3557">
        <w:t xml:space="preserve">expiring </w:t>
      </w:r>
      <w:r w:rsidR="005F3557" w:rsidRPr="005F3557">
        <w:t>in December 2023</w:t>
      </w:r>
      <w:r w:rsidR="005F3557">
        <w:t>.</w:t>
      </w:r>
      <w:r w:rsidR="00185C3C">
        <w:t xml:space="preserve"> </w:t>
      </w:r>
    </w:p>
    <w:p w:rsidR="00185C3C" w:rsidRDefault="00185C3C" w:rsidP="00185C3C">
      <w:pPr>
        <w:pStyle w:val="BodyText"/>
      </w:pPr>
      <w:r>
        <w:t xml:space="preserve">DEF’s proposed regulatory treatment is to establish a regulatory asset for the $34.5 million termination payment that DEF will recover </w:t>
      </w:r>
      <w:r w:rsidR="00B27DCA">
        <w:t>through the C</w:t>
      </w:r>
      <w:r w:rsidR="00995493">
        <w:t>ap</w:t>
      </w:r>
      <w:r w:rsidR="00B27DCA">
        <w:t>acity Cost Recovery C</w:t>
      </w:r>
      <w:r>
        <w:t>lause</w:t>
      </w:r>
      <w:r w:rsidR="00FE6666" w:rsidRPr="00FE6666">
        <w:t xml:space="preserve"> </w:t>
      </w:r>
      <w:r w:rsidR="00FE6666">
        <w:t>(</w:t>
      </w:r>
      <w:r w:rsidR="00FE6666" w:rsidRPr="00FE6666">
        <w:t>Capacity Clause</w:t>
      </w:r>
      <w:r w:rsidR="00FE6666">
        <w:t>)</w:t>
      </w:r>
      <w:r>
        <w:t xml:space="preserve"> by amortizing the regulatory asset thro</w:t>
      </w:r>
      <w:r w:rsidR="00B27DCA">
        <w:t xml:space="preserve">ugh the expiration of the original </w:t>
      </w:r>
      <w:r>
        <w:t xml:space="preserve">PPA term. The Termination Agreement has a requirement that the transaction be approved by the Commission as one of the conditions to be satisfied prior to the expected closing date of December 31, 2018. </w:t>
      </w:r>
    </w:p>
    <w:p w:rsidR="00185C3C" w:rsidRDefault="00F655CA" w:rsidP="00185C3C">
      <w:pPr>
        <w:pStyle w:val="BodyText"/>
      </w:pPr>
      <w:r>
        <w:t>O</w:t>
      </w:r>
      <w:r w:rsidRPr="00F655CA">
        <w:t>n August 27, 2018</w:t>
      </w:r>
      <w:r>
        <w:t>, t</w:t>
      </w:r>
      <w:r w:rsidR="00185C3C">
        <w:t xml:space="preserve">he Office of </w:t>
      </w:r>
      <w:r w:rsidR="00535873">
        <w:t>Public Counsel</w:t>
      </w:r>
      <w:r>
        <w:t xml:space="preserve"> (OPC)</w:t>
      </w:r>
      <w:r w:rsidR="00535873">
        <w:t xml:space="preserve"> </w:t>
      </w:r>
      <w:r>
        <w:t>filed a n</w:t>
      </w:r>
      <w:r w:rsidRPr="00F655CA">
        <w:t>otice of intervention</w:t>
      </w:r>
      <w:r w:rsidR="00185C3C">
        <w:t xml:space="preserve">. </w:t>
      </w:r>
      <w:proofErr w:type="gramStart"/>
      <w:r w:rsidRPr="00F655CA">
        <w:t xml:space="preserve">Order </w:t>
      </w:r>
      <w:r w:rsidR="00ED5E68">
        <w:t>No.</w:t>
      </w:r>
      <w:proofErr w:type="gramEnd"/>
      <w:r w:rsidR="00ED5E68">
        <w:t xml:space="preserve"> </w:t>
      </w:r>
      <w:r w:rsidRPr="00F655CA">
        <w:t>PS</w:t>
      </w:r>
      <w:r>
        <w:t>C-2018-0436-PCO-EQ acknowledged the</w:t>
      </w:r>
      <w:r w:rsidRPr="00F655CA">
        <w:t xml:space="preserve"> intervention by OPC</w:t>
      </w:r>
      <w:r>
        <w:t xml:space="preserve"> on August 28, 2018.</w:t>
      </w:r>
    </w:p>
    <w:p w:rsidR="0068481F" w:rsidRDefault="00185C3C" w:rsidP="00185C3C">
      <w:pPr>
        <w:pStyle w:val="BodyText"/>
      </w:pPr>
      <w:r>
        <w:t xml:space="preserve">The Commission has jurisdiction over this matter pursuant to Sections 366.051, 366.81, and 366.91, Florida Statutes (F.S.).  </w:t>
      </w:r>
    </w:p>
    <w:p w:rsidR="007C0528" w:rsidRDefault="007C0528" w:rsidP="0068481F"/>
    <w:bookmarkEnd w:id="11"/>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5" w:name="DiscussionOfIssues"/>
      <w:r>
        <w:lastRenderedPageBreak/>
        <w:t>Discussion of Issues</w:t>
      </w:r>
    </w:p>
    <w:bookmarkEnd w:id="15"/>
    <w:p w:rsidR="00AF76DB" w:rsidRDefault="00AF76DB">
      <w:pPr>
        <w:pStyle w:val="IssueHeading"/>
        <w:rPr>
          <w:vanish/>
          <w:specVanish/>
        </w:rPr>
      </w:pPr>
      <w:r w:rsidRPr="004C3641">
        <w:t xml:space="preserve">Issue </w:t>
      </w:r>
      <w:r w:rsidR="00F457A7">
        <w:fldChar w:fldCharType="begin"/>
      </w:r>
      <w:r w:rsidR="00F457A7">
        <w:instrText xml:space="preserve"> SEQ Issue \* MERGEFORMAT </w:instrText>
      </w:r>
      <w:r w:rsidR="00F457A7">
        <w:fldChar w:fldCharType="separate"/>
      </w:r>
      <w:r w:rsidR="005510EF">
        <w:rPr>
          <w:noProof/>
        </w:rPr>
        <w:t>1</w:t>
      </w:r>
      <w:r w:rsidR="00F457A7">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5510EF">
        <w:rPr>
          <w:noProof/>
        </w:rPr>
        <w:instrText>1</w:instrText>
      </w:r>
      <w:r>
        <w:fldChar w:fldCharType="end"/>
      </w:r>
      <w:r>
        <w:tab/>
        <w:instrText xml:space="preserve">" \l 1 </w:instrText>
      </w:r>
      <w:r>
        <w:fldChar w:fldCharType="end"/>
      </w:r>
      <w:r>
        <w:t> </w:t>
      </w:r>
    </w:p>
    <w:p w:rsidR="00AF76DB" w:rsidRDefault="00AF76DB">
      <w:pPr>
        <w:pStyle w:val="BodyText"/>
      </w:pPr>
      <w:r>
        <w:t> </w:t>
      </w:r>
      <w:r w:rsidRPr="00AF76DB">
        <w:t>Sh</w:t>
      </w:r>
      <w:r w:rsidR="0085200A">
        <w:t xml:space="preserve">ould the Commission approve the </w:t>
      </w:r>
      <w:r w:rsidRPr="00AF76DB">
        <w:t xml:space="preserve">Termination Agreement and the </w:t>
      </w:r>
      <w:r w:rsidR="00CA5308">
        <w:t xml:space="preserve">requested </w:t>
      </w:r>
      <w:r w:rsidRPr="00AF76DB">
        <w:t>regulatory treatment</w:t>
      </w:r>
      <w:r w:rsidR="00CA5308">
        <w:t xml:space="preserve"> of the </w:t>
      </w:r>
      <w:r w:rsidR="00CA5308" w:rsidRPr="00CA5308">
        <w:t>termination payment</w:t>
      </w:r>
      <w:r w:rsidRPr="00AF76DB">
        <w:t>?</w:t>
      </w:r>
    </w:p>
    <w:p w:rsidR="00AF76DB" w:rsidRPr="004C3641" w:rsidRDefault="00AF76DB">
      <w:pPr>
        <w:pStyle w:val="IssueSubsectionHeading"/>
        <w:rPr>
          <w:vanish/>
          <w:specVanish/>
        </w:rPr>
      </w:pPr>
      <w:r w:rsidRPr="004C3641">
        <w:t>Recommendation: </w:t>
      </w:r>
    </w:p>
    <w:p w:rsidR="00AF76DB" w:rsidRDefault="00AF76DB">
      <w:pPr>
        <w:pStyle w:val="BodyText"/>
      </w:pPr>
      <w:r>
        <w:t> </w:t>
      </w:r>
      <w:r w:rsidR="004C0AD5" w:rsidRPr="004C0AD5">
        <w:t xml:space="preserve">Yes. </w:t>
      </w:r>
      <w:r w:rsidR="0033420F" w:rsidRPr="0033420F">
        <w:t xml:space="preserve">Based on staff’s </w:t>
      </w:r>
      <w:r w:rsidR="00AD0D81">
        <w:t xml:space="preserve">review, </w:t>
      </w:r>
      <w:r w:rsidR="00C75874" w:rsidRPr="00C75874">
        <w:t>the Termination Agreement is expected to save DEF and its customer</w:t>
      </w:r>
      <w:r w:rsidR="00C75874">
        <w:t>s between $30 and $35 million</w:t>
      </w:r>
      <w:r w:rsidR="0033420F" w:rsidRPr="0033420F">
        <w:t xml:space="preserve"> in </w:t>
      </w:r>
      <w:r w:rsidR="004830DC" w:rsidRPr="004830DC">
        <w:t>net</w:t>
      </w:r>
      <w:r w:rsidR="004830DC">
        <w:t xml:space="preserve"> present value (NPV)</w:t>
      </w:r>
      <w:r w:rsidR="00C75874">
        <w:t xml:space="preserve"> and</w:t>
      </w:r>
      <w:r w:rsidR="00C75874" w:rsidRPr="00C75874">
        <w:t xml:space="preserve"> should be approved</w:t>
      </w:r>
      <w:r w:rsidR="0033420F" w:rsidRPr="0033420F">
        <w:t xml:space="preserve">. </w:t>
      </w:r>
      <w:r w:rsidR="00B720C4">
        <w:t>R</w:t>
      </w:r>
      <w:r w:rsidR="00AD0D81">
        <w:t>ecover</w:t>
      </w:r>
      <w:r w:rsidR="00B720C4">
        <w:t>y of</w:t>
      </w:r>
      <w:r w:rsidR="00AD0D81" w:rsidRPr="00AD0D81">
        <w:t xml:space="preserve"> </w:t>
      </w:r>
      <w:r w:rsidR="00AD0D81">
        <w:t xml:space="preserve">the </w:t>
      </w:r>
      <w:r w:rsidR="00CA5308" w:rsidRPr="00CA5308">
        <w:t xml:space="preserve">termination payment </w:t>
      </w:r>
      <w:r w:rsidR="00CA5308">
        <w:t xml:space="preserve">as a </w:t>
      </w:r>
      <w:r w:rsidR="00AD0D81" w:rsidRPr="00AD0D81">
        <w:t xml:space="preserve">regulatory asset through the Capacity Clause </w:t>
      </w:r>
      <w:r w:rsidR="00AD0D81">
        <w:t xml:space="preserve">should </w:t>
      </w:r>
      <w:r w:rsidR="00B720C4">
        <w:t xml:space="preserve">also </w:t>
      </w:r>
      <w:r w:rsidR="00AD0D81">
        <w:t xml:space="preserve">be </w:t>
      </w:r>
      <w:r w:rsidR="004C0AD5" w:rsidRPr="004C0AD5">
        <w:t>approve</w:t>
      </w:r>
      <w:r w:rsidR="00AD0D81">
        <w:t>d</w:t>
      </w:r>
      <w:r w:rsidR="004C0AD5">
        <w:t xml:space="preserve">. </w:t>
      </w:r>
      <w:r w:rsidR="00450897">
        <w:t xml:space="preserve">(Lee, </w:t>
      </w:r>
      <w:r w:rsidR="00450897" w:rsidRPr="00450897">
        <w:t>Andrews</w:t>
      </w:r>
      <w:r w:rsidR="00450897">
        <w:t>, Higgins)</w:t>
      </w:r>
    </w:p>
    <w:p w:rsidR="00AF76DB" w:rsidRPr="004C3641" w:rsidRDefault="00AF76DB">
      <w:pPr>
        <w:pStyle w:val="IssueSubsectionHeading"/>
        <w:rPr>
          <w:vanish/>
          <w:specVanish/>
        </w:rPr>
      </w:pPr>
      <w:r w:rsidRPr="004C3641">
        <w:t>Staff Analysis: </w:t>
      </w:r>
    </w:p>
    <w:p w:rsidR="004965E3" w:rsidRDefault="00AF76DB" w:rsidP="00AF76DB">
      <w:pPr>
        <w:pStyle w:val="BodyText"/>
      </w:pPr>
      <w:r>
        <w:t xml:space="preserve"> DEF is obligated to purchase firm energy and capacity from Ridge until the expiration of the PPA in December 2023. While the PPA was cost-effective based on the avoided </w:t>
      </w:r>
      <w:r w:rsidR="00E42782">
        <w:t xml:space="preserve">generating </w:t>
      </w:r>
      <w:r>
        <w:t xml:space="preserve">unit at the time of approval, it is no longer </w:t>
      </w:r>
      <w:r w:rsidR="00BA24A3">
        <w:t>cost-effective</w:t>
      </w:r>
      <w:r>
        <w:t xml:space="preserve"> compared to the avoided costs under current and projected market conditions. </w:t>
      </w:r>
    </w:p>
    <w:p w:rsidR="00B227DB" w:rsidRDefault="00AF76DB" w:rsidP="005040F6">
      <w:pPr>
        <w:pStyle w:val="BodyText"/>
      </w:pPr>
      <w:r>
        <w:t xml:space="preserve">DEF negotiated </w:t>
      </w:r>
      <w:r w:rsidR="00ED43F6">
        <w:t>a</w:t>
      </w:r>
      <w:r>
        <w:t xml:space="preserve"> $34.5 million </w:t>
      </w:r>
      <w:r w:rsidR="00ED43F6">
        <w:t xml:space="preserve">payment </w:t>
      </w:r>
      <w:r>
        <w:t xml:space="preserve">to Ridge to terminate the PPA. Pursuant to the Termination Agreement, Ridge will terminate its qualifying facility status, permanently shut down the Ridge facility and terminate any interconnection agreements for the facility. By terminating the PPA without acquiring the facility, DEF believes its customers will benefit from lower projected fuel prices and avoid risks associated with the cleanup and dismantlement of the Ridge facility. </w:t>
      </w:r>
    </w:p>
    <w:p w:rsidR="00F43C2F" w:rsidRDefault="00AF76DB" w:rsidP="005040F6">
      <w:pPr>
        <w:pStyle w:val="BodyText"/>
      </w:pPr>
      <w:r>
        <w:t>DEF argued that the $34.5 million termination payment is a prudent investment that will result in a reduction of CO</w:t>
      </w:r>
      <w:r w:rsidRPr="00AF76DB">
        <w:rPr>
          <w:vertAlign w:val="subscript"/>
        </w:rPr>
        <w:t>2</w:t>
      </w:r>
      <w:r>
        <w:t xml:space="preserve"> emissions as well as economic benefits. </w:t>
      </w:r>
      <w:r w:rsidR="00F43C2F">
        <w:t>Below is a s</w:t>
      </w:r>
      <w:r w:rsidR="00F43C2F" w:rsidRPr="00F43C2F">
        <w:t>umma</w:t>
      </w:r>
      <w:r w:rsidR="00F43C2F">
        <w:t>ry of DEF’s a</w:t>
      </w:r>
      <w:r w:rsidR="00F43C2F" w:rsidRPr="00F43C2F">
        <w:t xml:space="preserve">nalysis </w:t>
      </w:r>
      <w:r w:rsidR="00F43C2F">
        <w:t xml:space="preserve">of the </w:t>
      </w:r>
      <w:r w:rsidR="00F43C2F" w:rsidRPr="00F43C2F">
        <w:t>economic benefits</w:t>
      </w:r>
      <w:r w:rsidR="00F43C2F">
        <w:t>,</w:t>
      </w:r>
      <w:r w:rsidR="00F43C2F" w:rsidRPr="00F43C2F">
        <w:t xml:space="preserve"> </w:t>
      </w:r>
      <w:r w:rsidR="00F43C2F">
        <w:t>followed by s</w:t>
      </w:r>
      <w:r w:rsidR="00F43C2F" w:rsidRPr="00F43C2F">
        <w:t xml:space="preserve">taff’s review </w:t>
      </w:r>
      <w:r w:rsidR="00F43C2F">
        <w:t>of k</w:t>
      </w:r>
      <w:r w:rsidR="00F47216">
        <w:t>ey factors underlying</w:t>
      </w:r>
      <w:r w:rsidR="00F43C2F" w:rsidRPr="00F43C2F">
        <w:t xml:space="preserve"> </w:t>
      </w:r>
      <w:r w:rsidR="00F47216">
        <w:t>the analysis</w:t>
      </w:r>
      <w:r w:rsidR="00F43C2F">
        <w:t>, including</w:t>
      </w:r>
      <w:r w:rsidR="00F43C2F" w:rsidRPr="00F43C2F">
        <w:t xml:space="preserve"> the Ridge energy output</w:t>
      </w:r>
      <w:r w:rsidR="00B227DB">
        <w:t xml:space="preserve"> scenarios</w:t>
      </w:r>
      <w:r w:rsidR="00F43C2F" w:rsidRPr="00F43C2F">
        <w:t xml:space="preserve">, fuel forecasts, production cost </w:t>
      </w:r>
      <w:r w:rsidR="00C2163C">
        <w:t>comparison</w:t>
      </w:r>
      <w:r w:rsidR="00F43C2F" w:rsidRPr="00F43C2F">
        <w:t>, and the regulatory treatm</w:t>
      </w:r>
      <w:r w:rsidR="00D06A51">
        <w:t>ent of the termination payment.</w:t>
      </w:r>
    </w:p>
    <w:p w:rsidR="00F43C2F" w:rsidRDefault="00F43C2F" w:rsidP="00F43C2F">
      <w:pPr>
        <w:pStyle w:val="First-LevelSubheading"/>
      </w:pPr>
      <w:r>
        <w:t>Summary of DEF’s Analysis</w:t>
      </w:r>
    </w:p>
    <w:p w:rsidR="005040F6" w:rsidRDefault="005040F6" w:rsidP="005040F6">
      <w:pPr>
        <w:pStyle w:val="BodyText"/>
      </w:pPr>
      <w:r>
        <w:t>DEF witness Borsch assessed the economic impact of the Termination Agreement based on his Cumulative Present Value Revenue Requirement (CPVRR) analysis. This is conducted by comparing the revenue requirements under the current PPA structure to those under the Termination Agreement. The analysis is over the remaining five-year term from January 2019 through December 2023 based on the expected closing date of December 31, 2018.</w:t>
      </w:r>
    </w:p>
    <w:p w:rsidR="009A0A63" w:rsidRDefault="004D46F7" w:rsidP="00AF76DB">
      <w:pPr>
        <w:pStyle w:val="BodyText"/>
      </w:pPr>
      <w:r w:rsidRPr="004D46F7">
        <w:t xml:space="preserve">Using the 2018 Ten-Year Site Plan fuel price forecast as the base case for fuel prices, DEF witness Borsch provided a demonstration of projected </w:t>
      </w:r>
      <w:r>
        <w:t xml:space="preserve">net </w:t>
      </w:r>
      <w:r w:rsidRPr="004D46F7">
        <w:t>benefits.</w:t>
      </w:r>
      <w:r>
        <w:t xml:space="preserve"> </w:t>
      </w:r>
      <w:r w:rsidR="003B7723">
        <w:t xml:space="preserve">The </w:t>
      </w:r>
      <w:r w:rsidR="00381656">
        <w:t xml:space="preserve">cost </w:t>
      </w:r>
      <w:r w:rsidR="00381656" w:rsidRPr="00381656">
        <w:t xml:space="preserve">of the Termination Agreement </w:t>
      </w:r>
      <w:r w:rsidR="0093242E">
        <w:t>was</w:t>
      </w:r>
      <w:r w:rsidR="00381656">
        <w:t xml:space="preserve"> calculated based on the </w:t>
      </w:r>
      <w:r w:rsidR="00E30857" w:rsidRPr="00A05D5B">
        <w:t xml:space="preserve">proposed </w:t>
      </w:r>
      <w:r w:rsidR="003B7723" w:rsidRPr="003B7723">
        <w:t xml:space="preserve">regulatory treatment </w:t>
      </w:r>
      <w:r w:rsidR="009A0A63">
        <w:t>of</w:t>
      </w:r>
      <w:r w:rsidR="00ED43F6">
        <w:t xml:space="preserve"> the</w:t>
      </w:r>
      <w:r w:rsidR="009A0A63">
        <w:t xml:space="preserve"> </w:t>
      </w:r>
      <w:r w:rsidR="009A0A63" w:rsidRPr="009A0A63">
        <w:t>termination payment</w:t>
      </w:r>
      <w:r w:rsidR="003B7723" w:rsidRPr="003B7723">
        <w:t xml:space="preserve"> </w:t>
      </w:r>
      <w:r w:rsidR="003B7723">
        <w:t xml:space="preserve">as </w:t>
      </w:r>
      <w:r w:rsidR="003B7723" w:rsidRPr="003B7723">
        <w:t>a regulatory asset</w:t>
      </w:r>
      <w:r w:rsidR="00381656">
        <w:t>.</w:t>
      </w:r>
      <w:r w:rsidR="003B7723" w:rsidRPr="003B7723">
        <w:t xml:space="preserve"> </w:t>
      </w:r>
      <w:r w:rsidR="00381656">
        <w:t xml:space="preserve">The </w:t>
      </w:r>
      <w:r w:rsidR="00E30857" w:rsidRPr="00076EEF">
        <w:t xml:space="preserve">revenue requirements </w:t>
      </w:r>
      <w:r w:rsidR="00381656">
        <w:t>total</w:t>
      </w:r>
      <w:r w:rsidR="0093242E">
        <w:t>ed</w:t>
      </w:r>
      <w:r w:rsidR="00E30857">
        <w:t xml:space="preserve"> $41.3</w:t>
      </w:r>
      <w:r w:rsidR="00E30857" w:rsidRPr="00AA1E07">
        <w:t xml:space="preserve"> million over the </w:t>
      </w:r>
      <w:r w:rsidR="00E30857">
        <w:t>five-year term, with a NPV of $34</w:t>
      </w:r>
      <w:r w:rsidR="00E30857" w:rsidRPr="00AA1E07">
        <w:t xml:space="preserve"> million.</w:t>
      </w:r>
      <w:r w:rsidR="00E30857">
        <w:rPr>
          <w:rStyle w:val="FootnoteReference"/>
        </w:rPr>
        <w:footnoteReference w:id="2"/>
      </w:r>
      <w:r w:rsidR="00381656">
        <w:t xml:space="preserve"> Th</w:t>
      </w:r>
      <w:r w:rsidR="00423FFB">
        <w:t xml:space="preserve">is </w:t>
      </w:r>
      <w:r w:rsidR="002D5E72">
        <w:t xml:space="preserve">cost </w:t>
      </w:r>
      <w:r w:rsidR="00423FFB">
        <w:t>is compared with the</w:t>
      </w:r>
      <w:r w:rsidR="00381656">
        <w:t xml:space="preserve"> benefit </w:t>
      </w:r>
      <w:r w:rsidR="00423FFB">
        <w:t xml:space="preserve">of </w:t>
      </w:r>
      <w:r w:rsidR="002360AE">
        <w:t xml:space="preserve">a lower </w:t>
      </w:r>
      <w:r w:rsidR="00423FFB" w:rsidRPr="00423FFB">
        <w:t>production</w:t>
      </w:r>
      <w:r w:rsidR="002360AE">
        <w:t xml:space="preserve"> cost</w:t>
      </w:r>
      <w:r w:rsidR="00423FFB" w:rsidRPr="00423FFB">
        <w:t xml:space="preserve"> without </w:t>
      </w:r>
      <w:r w:rsidR="00423FFB">
        <w:t>the</w:t>
      </w:r>
      <w:r w:rsidR="00423FFB" w:rsidRPr="00423FFB">
        <w:t xml:space="preserve"> PPA</w:t>
      </w:r>
      <w:r w:rsidR="00423FFB">
        <w:t xml:space="preserve">, </w:t>
      </w:r>
      <w:r w:rsidR="002360AE">
        <w:t xml:space="preserve">estimated </w:t>
      </w:r>
      <w:r w:rsidR="00676129">
        <w:t xml:space="preserve">to be </w:t>
      </w:r>
      <w:r w:rsidR="002360AE" w:rsidRPr="002360AE">
        <w:t>between $64 and $69 million in NPV</w:t>
      </w:r>
      <w:r w:rsidR="002360AE">
        <w:t>.</w:t>
      </w:r>
      <w:r w:rsidR="002360AE">
        <w:rPr>
          <w:rStyle w:val="FootnoteReference"/>
        </w:rPr>
        <w:footnoteReference w:id="3"/>
      </w:r>
      <w:r w:rsidR="00423FFB" w:rsidRPr="00423FFB">
        <w:t xml:space="preserve"> </w:t>
      </w:r>
      <w:r w:rsidR="00676129">
        <w:t>T</w:t>
      </w:r>
      <w:r w:rsidR="00DB4B5D">
        <w:t xml:space="preserve">he </w:t>
      </w:r>
      <w:r w:rsidR="00676129">
        <w:t xml:space="preserve">benefit over cost is </w:t>
      </w:r>
      <w:r w:rsidR="002769FC">
        <w:t>between $30 and $35</w:t>
      </w:r>
      <w:r w:rsidR="00962C0E">
        <w:t xml:space="preserve"> million</w:t>
      </w:r>
      <w:r w:rsidR="00676129" w:rsidRPr="00676129">
        <w:t xml:space="preserve"> </w:t>
      </w:r>
      <w:r w:rsidR="00676129">
        <w:t xml:space="preserve">of </w:t>
      </w:r>
      <w:r w:rsidR="00676129" w:rsidRPr="00676129">
        <w:t>net savings</w:t>
      </w:r>
      <w:r w:rsidR="009A0A63" w:rsidRPr="009A0A63">
        <w:t xml:space="preserve"> in NPV</w:t>
      </w:r>
      <w:r w:rsidR="009A0A63">
        <w:t xml:space="preserve">. </w:t>
      </w:r>
    </w:p>
    <w:p w:rsidR="004965E3" w:rsidRDefault="004965E3" w:rsidP="00AF76DB">
      <w:pPr>
        <w:pStyle w:val="BodyText"/>
      </w:pPr>
      <w:r>
        <w:lastRenderedPageBreak/>
        <w:t xml:space="preserve">In addition, </w:t>
      </w:r>
      <w:r w:rsidR="007F427A">
        <w:t>DEF</w:t>
      </w:r>
      <w:r w:rsidR="007F427A" w:rsidRPr="007F427A">
        <w:t xml:space="preserve"> used a high fuel case </w:t>
      </w:r>
      <w:r w:rsidR="007F427A">
        <w:t xml:space="preserve">scenario </w:t>
      </w:r>
      <w:r w:rsidR="00DD1A9F">
        <w:t>to test the</w:t>
      </w:r>
      <w:r w:rsidRPr="004965E3">
        <w:t xml:space="preserve"> </w:t>
      </w:r>
      <w:r w:rsidR="00DD1A9F" w:rsidRPr="00DD1A9F">
        <w:t xml:space="preserve">sensitivity </w:t>
      </w:r>
      <w:r w:rsidR="00DD1A9F">
        <w:t>of the e</w:t>
      </w:r>
      <w:r w:rsidR="00DD1A9F" w:rsidRPr="00DD1A9F">
        <w:t xml:space="preserve">stimated savings </w:t>
      </w:r>
      <w:r w:rsidRPr="004965E3">
        <w:t>to fuel</w:t>
      </w:r>
      <w:r w:rsidR="00DD1A9F">
        <w:t xml:space="preserve"> prices</w:t>
      </w:r>
      <w:r w:rsidR="007F427A">
        <w:t>.</w:t>
      </w:r>
      <w:r w:rsidRPr="004965E3">
        <w:t xml:space="preserve"> </w:t>
      </w:r>
      <w:r w:rsidR="00962C0E">
        <w:t>E</w:t>
      </w:r>
      <w:r w:rsidR="00814F8F">
        <w:t xml:space="preserve">stimated </w:t>
      </w:r>
      <w:r w:rsidR="00814F8F" w:rsidRPr="00814F8F">
        <w:t xml:space="preserve">savings </w:t>
      </w:r>
      <w:r w:rsidR="00503FEF">
        <w:t xml:space="preserve">under </w:t>
      </w:r>
      <w:r w:rsidR="00814F8F">
        <w:t xml:space="preserve">this </w:t>
      </w:r>
      <w:r w:rsidR="00814F8F" w:rsidRPr="00814F8F">
        <w:t>high fuel case scenario</w:t>
      </w:r>
      <w:r w:rsidR="00814F8F">
        <w:t xml:space="preserve"> </w:t>
      </w:r>
      <w:r w:rsidR="00503FEF">
        <w:t>are</w:t>
      </w:r>
      <w:r w:rsidR="00814F8F" w:rsidRPr="00814F8F">
        <w:t xml:space="preserve"> </w:t>
      </w:r>
      <w:r w:rsidR="007F427A">
        <w:t>between $23 and $27</w:t>
      </w:r>
      <w:r w:rsidR="007F427A" w:rsidRPr="007F427A">
        <w:t xml:space="preserve"> million </w:t>
      </w:r>
      <w:r w:rsidR="00503FEF" w:rsidRPr="00503FEF">
        <w:t>in NPV</w:t>
      </w:r>
      <w:r w:rsidR="00503FEF">
        <w:t xml:space="preserve">, demonstrating the robustness of the </w:t>
      </w:r>
      <w:r w:rsidR="00503FEF" w:rsidRPr="00503FEF">
        <w:t>economic benefits</w:t>
      </w:r>
      <w:r w:rsidR="00503FEF">
        <w:t xml:space="preserve"> of the </w:t>
      </w:r>
      <w:r w:rsidR="00503FEF" w:rsidRPr="00503FEF">
        <w:t>Termination Agreement</w:t>
      </w:r>
      <w:r w:rsidR="00503FEF">
        <w:t>.</w:t>
      </w:r>
      <w:r w:rsidR="003B7723" w:rsidRPr="003B7723">
        <w:t xml:space="preserve"> DEF assigned no savings attributable to reduced CO</w:t>
      </w:r>
      <w:r w:rsidR="003B7723" w:rsidRPr="003B7723">
        <w:rPr>
          <w:vertAlign w:val="subscript"/>
        </w:rPr>
        <w:t>2</w:t>
      </w:r>
      <w:r w:rsidR="003B7723" w:rsidRPr="003B7723">
        <w:t xml:space="preserve"> </w:t>
      </w:r>
      <w:r w:rsidR="00A51AC6">
        <w:t>emissions. Therefore, no test for</w:t>
      </w:r>
      <w:r w:rsidR="003B7723" w:rsidRPr="003B7723">
        <w:t xml:space="preserve"> carbon pricing sensitivity is needed.</w:t>
      </w:r>
      <w:r w:rsidR="00676129" w:rsidRPr="00676129">
        <w:t xml:space="preserve"> </w:t>
      </w:r>
      <w:r w:rsidR="007C143C" w:rsidRPr="007C143C">
        <w:t xml:space="preserve">Table 1-1 shows the estimated savings </w:t>
      </w:r>
      <w:r w:rsidR="007C143C">
        <w:t>under the base case</w:t>
      </w:r>
      <w:r w:rsidR="007C143C" w:rsidRPr="007C143C">
        <w:t xml:space="preserve"> in </w:t>
      </w:r>
      <w:r w:rsidR="007C143C">
        <w:t>comparison with those under the high fuel case</w:t>
      </w:r>
      <w:r w:rsidR="00142B7B" w:rsidRPr="00142B7B">
        <w:t xml:space="preserve"> for three energy output scenarios</w:t>
      </w:r>
      <w:r w:rsidR="00142B7B">
        <w:t xml:space="preserve"> discussed below</w:t>
      </w:r>
      <w:r w:rsidR="007C143C" w:rsidRPr="007C143C">
        <w:t>.</w:t>
      </w:r>
    </w:p>
    <w:p w:rsidR="007F427A" w:rsidRPr="00045F39" w:rsidRDefault="007F427A" w:rsidP="007F427A">
      <w:pPr>
        <w:pStyle w:val="TableNumber"/>
        <w:keepNext/>
        <w:spacing w:before="0"/>
      </w:pPr>
      <w:r w:rsidRPr="00045F39">
        <w:t xml:space="preserve">Table </w:t>
      </w:r>
      <w:r w:rsidR="00F457A7">
        <w:fldChar w:fldCharType="begin"/>
      </w:r>
      <w:r w:rsidR="00F457A7">
        <w:instrText xml:space="preserve"> SEQ Issue \c </w:instrText>
      </w:r>
      <w:r w:rsidR="00F457A7">
        <w:fldChar w:fldCharType="separate"/>
      </w:r>
      <w:r w:rsidR="005510EF">
        <w:rPr>
          <w:noProof/>
        </w:rPr>
        <w:t>1</w:t>
      </w:r>
      <w:r w:rsidR="00F457A7">
        <w:rPr>
          <w:noProof/>
        </w:rPr>
        <w:fldChar w:fldCharType="end"/>
      </w:r>
      <w:r>
        <w:t>-1</w:t>
      </w:r>
    </w:p>
    <w:p w:rsidR="007F427A" w:rsidRPr="00045F39" w:rsidRDefault="007F427A" w:rsidP="00183104">
      <w:pPr>
        <w:pStyle w:val="TableTitle"/>
        <w:keepNext/>
      </w:pPr>
      <w:r>
        <w:t xml:space="preserve">Estimated </w:t>
      </w:r>
      <w:r w:rsidR="009A0A63">
        <w:t xml:space="preserve">Net </w:t>
      </w:r>
      <w:r w:rsidRPr="00883C68">
        <w:t xml:space="preserve">DEF System </w:t>
      </w:r>
      <w:r>
        <w:t xml:space="preserve">Savings </w:t>
      </w:r>
      <w:r w:rsidRPr="00045F39">
        <w:t xml:space="preserve">$ Millions </w:t>
      </w:r>
      <w:r>
        <w:t>NPV (2019</w:t>
      </w:r>
      <w:r w:rsidRPr="00045F39">
        <w:t>)</w:t>
      </w:r>
    </w:p>
    <w:tbl>
      <w:tblPr>
        <w:tblStyle w:val="TableGrid"/>
        <w:tblW w:w="0" w:type="auto"/>
        <w:tblInd w:w="468" w:type="dxa"/>
        <w:tblLook w:val="04A0" w:firstRow="1" w:lastRow="0" w:firstColumn="1" w:lastColumn="0" w:noHBand="0" w:noVBand="1"/>
      </w:tblPr>
      <w:tblGrid>
        <w:gridCol w:w="4590"/>
        <w:gridCol w:w="1800"/>
        <w:gridCol w:w="1980"/>
      </w:tblGrid>
      <w:tr w:rsidR="007F427A" w:rsidRPr="00045F39" w:rsidTr="007F34BA">
        <w:tc>
          <w:tcPr>
            <w:tcW w:w="4590" w:type="dxa"/>
          </w:tcPr>
          <w:p w:rsidR="007F427A" w:rsidRPr="00045F39" w:rsidRDefault="007F427A" w:rsidP="007F34BA"/>
        </w:tc>
        <w:tc>
          <w:tcPr>
            <w:tcW w:w="1800" w:type="dxa"/>
          </w:tcPr>
          <w:p w:rsidR="007F427A" w:rsidRPr="00045F39" w:rsidRDefault="007F427A" w:rsidP="007F34BA">
            <w:pPr>
              <w:jc w:val="center"/>
              <w:rPr>
                <w:b/>
              </w:rPr>
            </w:pPr>
            <w:r w:rsidRPr="00045F39">
              <w:rPr>
                <w:b/>
              </w:rPr>
              <w:t>Base Case Fuel</w:t>
            </w:r>
          </w:p>
        </w:tc>
        <w:tc>
          <w:tcPr>
            <w:tcW w:w="1980" w:type="dxa"/>
          </w:tcPr>
          <w:p w:rsidR="007F427A" w:rsidRPr="00045F39" w:rsidRDefault="007F427A" w:rsidP="007F34BA">
            <w:pPr>
              <w:jc w:val="center"/>
              <w:rPr>
                <w:b/>
              </w:rPr>
            </w:pPr>
            <w:r w:rsidRPr="00045F39">
              <w:rPr>
                <w:b/>
              </w:rPr>
              <w:t>High Fuel</w:t>
            </w:r>
          </w:p>
        </w:tc>
      </w:tr>
      <w:tr w:rsidR="007F427A" w:rsidRPr="00045F39" w:rsidTr="007F34BA">
        <w:tc>
          <w:tcPr>
            <w:tcW w:w="4590" w:type="dxa"/>
          </w:tcPr>
          <w:p w:rsidR="007F427A" w:rsidRPr="00045F39" w:rsidRDefault="007F427A" w:rsidP="007F34BA">
            <w:pPr>
              <w:jc w:val="center"/>
              <w:rPr>
                <w:b/>
              </w:rPr>
            </w:pPr>
            <w:r>
              <w:rPr>
                <w:b/>
              </w:rPr>
              <w:t>Upp</w:t>
            </w:r>
            <w:r w:rsidRPr="00045F39">
              <w:rPr>
                <w:b/>
              </w:rPr>
              <w:t xml:space="preserve">er </w:t>
            </w:r>
            <w:r>
              <w:rPr>
                <w:b/>
              </w:rPr>
              <w:t xml:space="preserve">Energy Output </w:t>
            </w:r>
            <w:r w:rsidRPr="00045F39">
              <w:rPr>
                <w:b/>
              </w:rPr>
              <w:t xml:space="preserve">Band </w:t>
            </w:r>
            <w:r>
              <w:rPr>
                <w:b/>
              </w:rPr>
              <w:t xml:space="preserve"> (260</w:t>
            </w:r>
            <w:r w:rsidRPr="00045F39">
              <w:rPr>
                <w:b/>
              </w:rPr>
              <w:t xml:space="preserve"> GWh)</w:t>
            </w:r>
          </w:p>
        </w:tc>
        <w:tc>
          <w:tcPr>
            <w:tcW w:w="1800" w:type="dxa"/>
            <w:tcBorders>
              <w:bottom w:val="single" w:sz="4" w:space="0" w:color="auto"/>
            </w:tcBorders>
          </w:tcPr>
          <w:p w:rsidR="007F427A" w:rsidRPr="00045F39" w:rsidRDefault="007F427A" w:rsidP="007F34BA">
            <w:pPr>
              <w:jc w:val="right"/>
            </w:pPr>
            <w:r>
              <w:t>35</w:t>
            </w:r>
          </w:p>
        </w:tc>
        <w:tc>
          <w:tcPr>
            <w:tcW w:w="1980" w:type="dxa"/>
            <w:tcBorders>
              <w:bottom w:val="single" w:sz="4" w:space="0" w:color="auto"/>
            </w:tcBorders>
          </w:tcPr>
          <w:p w:rsidR="007F427A" w:rsidRPr="00045F39" w:rsidRDefault="007F427A" w:rsidP="007F34BA">
            <w:pPr>
              <w:jc w:val="right"/>
            </w:pPr>
            <w:r>
              <w:t>27</w:t>
            </w:r>
          </w:p>
        </w:tc>
      </w:tr>
      <w:tr w:rsidR="007F427A" w:rsidRPr="00045F39" w:rsidTr="007F34BA">
        <w:tc>
          <w:tcPr>
            <w:tcW w:w="4590" w:type="dxa"/>
          </w:tcPr>
          <w:p w:rsidR="007F427A" w:rsidRPr="00566883" w:rsidRDefault="007F427A" w:rsidP="007F34BA">
            <w:pPr>
              <w:jc w:val="center"/>
              <w:rPr>
                <w:b/>
              </w:rPr>
            </w:pPr>
            <w:r>
              <w:rPr>
                <w:b/>
              </w:rPr>
              <w:t>Middle</w:t>
            </w:r>
            <w:r w:rsidRPr="00F83DD5">
              <w:rPr>
                <w:b/>
              </w:rPr>
              <w:t xml:space="preserve"> </w:t>
            </w:r>
            <w:r w:rsidRPr="00A23B2F">
              <w:rPr>
                <w:b/>
              </w:rPr>
              <w:t xml:space="preserve">Energy </w:t>
            </w:r>
            <w:r>
              <w:rPr>
                <w:b/>
              </w:rPr>
              <w:t xml:space="preserve">Output </w:t>
            </w:r>
            <w:r w:rsidRPr="00F83DD5">
              <w:rPr>
                <w:b/>
              </w:rPr>
              <w:t>Band</w:t>
            </w:r>
            <w:r>
              <w:rPr>
                <w:b/>
              </w:rPr>
              <w:t xml:space="preserve"> (246</w:t>
            </w:r>
            <w:r w:rsidRPr="00F83DD5">
              <w:rPr>
                <w:b/>
              </w:rPr>
              <w:t xml:space="preserve"> GWh)</w:t>
            </w:r>
          </w:p>
        </w:tc>
        <w:tc>
          <w:tcPr>
            <w:tcW w:w="1800" w:type="dxa"/>
          </w:tcPr>
          <w:p w:rsidR="007F427A" w:rsidRPr="00045F39" w:rsidRDefault="007F427A" w:rsidP="007F34BA">
            <w:pPr>
              <w:jc w:val="right"/>
            </w:pPr>
            <w:r>
              <w:t>34</w:t>
            </w:r>
          </w:p>
        </w:tc>
        <w:tc>
          <w:tcPr>
            <w:tcW w:w="1980" w:type="dxa"/>
          </w:tcPr>
          <w:p w:rsidR="007F427A" w:rsidRPr="00045F39" w:rsidRDefault="007F427A" w:rsidP="007F34BA">
            <w:pPr>
              <w:jc w:val="right"/>
            </w:pPr>
            <w:r>
              <w:t>25</w:t>
            </w:r>
          </w:p>
        </w:tc>
      </w:tr>
      <w:tr w:rsidR="007F427A" w:rsidRPr="00045F39" w:rsidTr="007F34BA">
        <w:tc>
          <w:tcPr>
            <w:tcW w:w="4590" w:type="dxa"/>
          </w:tcPr>
          <w:p w:rsidR="007F427A" w:rsidRPr="00566883" w:rsidRDefault="007F427A" w:rsidP="007F34BA">
            <w:pPr>
              <w:jc w:val="center"/>
              <w:rPr>
                <w:b/>
              </w:rPr>
            </w:pPr>
            <w:r>
              <w:rPr>
                <w:b/>
              </w:rPr>
              <w:t xml:space="preserve">Lower </w:t>
            </w:r>
            <w:r w:rsidRPr="00A23B2F">
              <w:rPr>
                <w:b/>
              </w:rPr>
              <w:t xml:space="preserve">Energy </w:t>
            </w:r>
            <w:r w:rsidRPr="00566883">
              <w:rPr>
                <w:b/>
              </w:rPr>
              <w:t xml:space="preserve">Output </w:t>
            </w:r>
            <w:r w:rsidRPr="00045F39">
              <w:rPr>
                <w:b/>
              </w:rPr>
              <w:t>Band</w:t>
            </w:r>
            <w:r>
              <w:rPr>
                <w:b/>
              </w:rPr>
              <w:t xml:space="preserve"> (222</w:t>
            </w:r>
            <w:r w:rsidRPr="00045F39">
              <w:rPr>
                <w:b/>
              </w:rPr>
              <w:t xml:space="preserve"> GWh)</w:t>
            </w:r>
          </w:p>
        </w:tc>
        <w:tc>
          <w:tcPr>
            <w:tcW w:w="1800" w:type="dxa"/>
          </w:tcPr>
          <w:p w:rsidR="007F427A" w:rsidRPr="00045F39" w:rsidRDefault="007F427A" w:rsidP="007F34BA">
            <w:pPr>
              <w:jc w:val="right"/>
            </w:pPr>
            <w:r>
              <w:t>30</w:t>
            </w:r>
          </w:p>
        </w:tc>
        <w:tc>
          <w:tcPr>
            <w:tcW w:w="1980" w:type="dxa"/>
          </w:tcPr>
          <w:p w:rsidR="007F427A" w:rsidRPr="00045F39" w:rsidRDefault="007F427A" w:rsidP="007F34BA">
            <w:pPr>
              <w:jc w:val="right"/>
            </w:pPr>
            <w:r>
              <w:t>23</w:t>
            </w:r>
          </w:p>
        </w:tc>
      </w:tr>
    </w:tbl>
    <w:p w:rsidR="00503FEF" w:rsidRDefault="00503FEF" w:rsidP="00AF76DB">
      <w:pPr>
        <w:pStyle w:val="BodyText"/>
      </w:pPr>
    </w:p>
    <w:p w:rsidR="00E06484" w:rsidRDefault="00503FEF" w:rsidP="00AF76DB">
      <w:pPr>
        <w:pStyle w:val="First-LevelSubheading"/>
      </w:pPr>
      <w:r w:rsidRPr="00503FEF">
        <w:t>Ridge Energy Output</w:t>
      </w:r>
      <w:r>
        <w:t xml:space="preserve"> </w:t>
      </w:r>
      <w:r w:rsidR="00B227DB">
        <w:t>S</w:t>
      </w:r>
      <w:r w:rsidR="00B227DB" w:rsidRPr="00B227DB">
        <w:t>cenarios</w:t>
      </w:r>
    </w:p>
    <w:p w:rsidR="00DB4B5D" w:rsidRDefault="00DB4B5D" w:rsidP="00AF76DB">
      <w:pPr>
        <w:pStyle w:val="BodyText"/>
      </w:pPr>
      <w:r w:rsidRPr="00DB4B5D">
        <w:t>DEF estimated the system impact to fuel cost for three energy output scenarios of the future energy output of the Ridge facility. The three energy output scenarios are based on review of Ridge’s performance over the last 24 years with an emphasis on recent generation performance trends. In the lower band scenario, DEF assumed approximately 222 gigawatt hours (GWh) of annual output based on a</w:t>
      </w:r>
      <w:r w:rsidR="003A623B">
        <w:t>n average</w:t>
      </w:r>
      <w:r w:rsidRPr="00DB4B5D">
        <w:t xml:space="preserve"> 64 percent capacity factor performance. In the middle band scenario, DEF assumed approximately 246 GWh of annual output, or 71 percent capacity factor. In the upper band scenario, DEF assumed approximately 260 GWh of annual output, or 75 percent capacity factor. </w:t>
      </w:r>
    </w:p>
    <w:p w:rsidR="00503FEF" w:rsidRDefault="008954BD" w:rsidP="00AF76DB">
      <w:pPr>
        <w:pStyle w:val="BodyText"/>
      </w:pPr>
      <w:r>
        <w:t>To evaluate whether these output assumptions</w:t>
      </w:r>
      <w:r w:rsidRPr="008954BD">
        <w:t xml:space="preserve"> are too high </w:t>
      </w:r>
      <w:r w:rsidR="00CD64BE">
        <w:t>and</w:t>
      </w:r>
      <w:r w:rsidRPr="008954BD">
        <w:t xml:space="preserve"> may result in unrealistic estimated savings</w:t>
      </w:r>
      <w:r>
        <w:t>, s</w:t>
      </w:r>
      <w:r w:rsidR="00DB4B5D" w:rsidRPr="00DB4B5D">
        <w:t xml:space="preserve">taff </w:t>
      </w:r>
      <w:r w:rsidR="00D205C8" w:rsidRPr="00D205C8">
        <w:t>reviewed the</w:t>
      </w:r>
      <w:r w:rsidRPr="008954BD">
        <w:t xml:space="preserve"> </w:t>
      </w:r>
      <w:r>
        <w:t>underlying</w:t>
      </w:r>
      <w:r w:rsidR="00C5618B">
        <w:t xml:space="preserve"> data for</w:t>
      </w:r>
      <w:r w:rsidR="00D205C8" w:rsidRPr="00D205C8">
        <w:t xml:space="preserve"> </w:t>
      </w:r>
      <w:r w:rsidR="00C5618B">
        <w:t>Ridge</w:t>
      </w:r>
      <w:r w:rsidR="00CD64BE">
        <w:t>’s</w:t>
      </w:r>
      <w:r w:rsidR="00C5618B">
        <w:t xml:space="preserve"> capacity factor performance</w:t>
      </w:r>
      <w:r w:rsidR="00C5618B" w:rsidRPr="00C5618B">
        <w:t xml:space="preserve"> </w:t>
      </w:r>
      <w:r w:rsidR="00C5618B">
        <w:t>and payment under the PPA</w:t>
      </w:r>
      <w:r w:rsidR="00D205C8">
        <w:t xml:space="preserve">. </w:t>
      </w:r>
      <w:r w:rsidR="00CD64BE">
        <w:t>That information</w:t>
      </w:r>
      <w:r w:rsidR="00DB4B5D" w:rsidRPr="00DB4B5D">
        <w:t xml:space="preserve"> appear</w:t>
      </w:r>
      <w:r w:rsidR="00CD64BE">
        <w:t>s</w:t>
      </w:r>
      <w:r w:rsidR="00DB4B5D" w:rsidRPr="00DB4B5D">
        <w:t xml:space="preserve"> to support Ridge’s ability to meet the</w:t>
      </w:r>
      <w:r w:rsidR="00183104">
        <w:t xml:space="preserve"> minimum requirement of a 12</w:t>
      </w:r>
      <w:r w:rsidR="00DB4B5D" w:rsidRPr="00DB4B5D">
        <w:t>-month rolling</w:t>
      </w:r>
      <w:r w:rsidR="003A623B">
        <w:t xml:space="preserve"> </w:t>
      </w:r>
      <w:r w:rsidR="002172B8">
        <w:t xml:space="preserve">average </w:t>
      </w:r>
      <w:r w:rsidR="003A623B">
        <w:t>on-peak</w:t>
      </w:r>
      <w:r w:rsidR="00DB4B5D" w:rsidRPr="00DB4B5D">
        <w:t xml:space="preserve"> capacity factor of 85 percent for full capacity payment.</w:t>
      </w:r>
      <w:r w:rsidR="00AB5D15">
        <w:rPr>
          <w:rStyle w:val="FootnoteReference"/>
        </w:rPr>
        <w:footnoteReference w:id="4"/>
      </w:r>
      <w:r w:rsidR="00DB4B5D" w:rsidRPr="00DB4B5D">
        <w:t xml:space="preserve"> </w:t>
      </w:r>
      <w:r w:rsidR="002F4461">
        <w:t xml:space="preserve">In comparison, </w:t>
      </w:r>
      <w:r w:rsidR="002F4461" w:rsidRPr="002F4461">
        <w:t>DEF’s energy output assumptions using a</w:t>
      </w:r>
      <w:r w:rsidR="003A623B">
        <w:t>n average</w:t>
      </w:r>
      <w:r w:rsidR="002F4461" w:rsidRPr="002F4461">
        <w:t xml:space="preserve"> capacity factor range between 64 percent </w:t>
      </w:r>
      <w:r w:rsidR="00E46F8E">
        <w:t>and 75 percent are reasonable considering factors such as planned outages that reduce output</w:t>
      </w:r>
      <w:r w:rsidR="002F4461">
        <w:t xml:space="preserve">. </w:t>
      </w:r>
      <w:r w:rsidR="002C1FD8">
        <w:t>Based on s</w:t>
      </w:r>
      <w:r w:rsidR="002C1FD8" w:rsidRPr="002C1FD8">
        <w:t>taff</w:t>
      </w:r>
      <w:r w:rsidR="002C1FD8">
        <w:t>’s</w:t>
      </w:r>
      <w:r w:rsidR="002C1FD8" w:rsidRPr="002C1FD8">
        <w:t xml:space="preserve"> review</w:t>
      </w:r>
      <w:r w:rsidR="00D205C8">
        <w:t xml:space="preserve">, </w:t>
      </w:r>
      <w:r w:rsidR="00CD64BE">
        <w:t>this</w:t>
      </w:r>
      <w:r w:rsidR="002F4461">
        <w:t xml:space="preserve"> </w:t>
      </w:r>
      <w:r w:rsidR="002F4461" w:rsidRPr="002F4461">
        <w:t>data</w:t>
      </w:r>
      <w:r w:rsidR="00CD64BE">
        <w:t xml:space="preserve"> set</w:t>
      </w:r>
      <w:r w:rsidR="002F4461">
        <w:t xml:space="preserve"> support</w:t>
      </w:r>
      <w:r w:rsidR="00CD64BE">
        <w:t>s</w:t>
      </w:r>
      <w:r w:rsidR="002C1FD8">
        <w:t xml:space="preserve"> </w:t>
      </w:r>
      <w:r w:rsidR="002F4461" w:rsidRPr="002F4461">
        <w:t>DEF’s energy output assumptions</w:t>
      </w:r>
      <w:r w:rsidR="00DB4B5D" w:rsidRPr="00DB4B5D">
        <w:t xml:space="preserve">. </w:t>
      </w:r>
    </w:p>
    <w:p w:rsidR="00932A9C" w:rsidRDefault="005C4917" w:rsidP="00932A9C">
      <w:pPr>
        <w:pStyle w:val="First-LevelSubheading"/>
      </w:pPr>
      <w:r>
        <w:t xml:space="preserve">Production Cost </w:t>
      </w:r>
      <w:r w:rsidR="003B0775">
        <w:t>Comparison</w:t>
      </w:r>
      <w:r w:rsidR="00932A9C">
        <w:t xml:space="preserve"> </w:t>
      </w:r>
    </w:p>
    <w:p w:rsidR="006D11D0" w:rsidRDefault="00580E58" w:rsidP="003D780C">
      <w:pPr>
        <w:pStyle w:val="BodyText"/>
      </w:pPr>
      <w:r>
        <w:t xml:space="preserve">As discussed earlier, DEF’s </w:t>
      </w:r>
      <w:r w:rsidRPr="00580E58">
        <w:t xml:space="preserve">estimated </w:t>
      </w:r>
      <w:r>
        <w:t>savings</w:t>
      </w:r>
      <w:r w:rsidR="002B26E6">
        <w:t xml:space="preserve"> due to</w:t>
      </w:r>
      <w:r w:rsidR="006D11D0" w:rsidRPr="006D11D0">
        <w:t xml:space="preserve"> a lower p</w:t>
      </w:r>
      <w:r>
        <w:t xml:space="preserve">roduction cost without the PPA are </w:t>
      </w:r>
      <w:r w:rsidR="006D11D0" w:rsidRPr="006D11D0">
        <w:t>between $64 and $69 million in NPV</w:t>
      </w:r>
      <w:r>
        <w:t>,</w:t>
      </w:r>
      <w:r w:rsidRPr="00580E58">
        <w:t xml:space="preserve"> depending on the energy output</w:t>
      </w:r>
      <w:r w:rsidR="006D11D0">
        <w:t>.</w:t>
      </w:r>
      <w:r w:rsidR="002B2B95">
        <w:t xml:space="preserve"> These </w:t>
      </w:r>
      <w:r w:rsidR="00E54EE9" w:rsidRPr="00E54EE9">
        <w:t>lower production cost</w:t>
      </w:r>
      <w:r w:rsidR="00FF1F56">
        <w:t>s</w:t>
      </w:r>
      <w:r w:rsidR="002B2B95">
        <w:t xml:space="preserve"> can be attributed to </w:t>
      </w:r>
      <w:r w:rsidR="00E54EE9">
        <w:t xml:space="preserve">the </w:t>
      </w:r>
      <w:r w:rsidR="005F379D">
        <w:t xml:space="preserve">PPA </w:t>
      </w:r>
      <w:r w:rsidR="00E54EE9" w:rsidRPr="00E54EE9">
        <w:t xml:space="preserve">energy </w:t>
      </w:r>
      <w:r w:rsidR="00E54EE9">
        <w:t xml:space="preserve">and </w:t>
      </w:r>
      <w:r w:rsidR="005F379D">
        <w:t>capacity payment</w:t>
      </w:r>
      <w:r w:rsidR="00E54EE9" w:rsidRPr="00E54EE9">
        <w:t xml:space="preserve"> </w:t>
      </w:r>
      <w:r w:rsidR="00E54EE9">
        <w:t xml:space="preserve">that can be avoided after terminating </w:t>
      </w:r>
      <w:r w:rsidR="00E54EE9" w:rsidRPr="00E54EE9">
        <w:t>the PPA</w:t>
      </w:r>
      <w:r w:rsidR="002B2B95">
        <w:t>.</w:t>
      </w:r>
    </w:p>
    <w:p w:rsidR="005C4917" w:rsidRDefault="00932A9C" w:rsidP="003D780C">
      <w:pPr>
        <w:pStyle w:val="BodyText"/>
      </w:pPr>
      <w:r w:rsidRPr="00932A9C">
        <w:t xml:space="preserve">Pursuant to the Ridge PPA, the energy payment rate is currently based on the delivered price </w:t>
      </w:r>
      <w:r w:rsidR="00B74D68">
        <w:t>of coal to DEF’s Crystal River U</w:t>
      </w:r>
      <w:r w:rsidRPr="00932A9C">
        <w:t>nits</w:t>
      </w:r>
      <w:r w:rsidR="00CD64BE">
        <w:t xml:space="preserve"> 1 and 2</w:t>
      </w:r>
      <w:r w:rsidRPr="00932A9C">
        <w:t xml:space="preserve"> until those units are retired later this year; then, the energy payment rate is based on a coal price proxy index and a 1991 avoided </w:t>
      </w:r>
      <w:r w:rsidR="006D11D0">
        <w:t xml:space="preserve">coal unit variable </w:t>
      </w:r>
      <w:r w:rsidR="00926FB5">
        <w:t>operation and maintenance</w:t>
      </w:r>
      <w:r w:rsidR="00B74D68">
        <w:t xml:space="preserve"> </w:t>
      </w:r>
      <w:r w:rsidR="006D11D0">
        <w:t xml:space="preserve">charge. </w:t>
      </w:r>
      <w:r w:rsidRPr="00932A9C">
        <w:t xml:space="preserve">Under the forecasted base fuel price scenario, the PPA energy </w:t>
      </w:r>
      <w:r w:rsidRPr="00932A9C">
        <w:lastRenderedPageBreak/>
        <w:t>payment is unfavorable to D</w:t>
      </w:r>
      <w:r w:rsidR="0058641C">
        <w:t xml:space="preserve">EF and its customers, compared with </w:t>
      </w:r>
      <w:r w:rsidR="0017160C">
        <w:t xml:space="preserve">DEF’s </w:t>
      </w:r>
      <w:r w:rsidR="0058641C">
        <w:t xml:space="preserve">energy </w:t>
      </w:r>
      <w:r w:rsidR="0058641C" w:rsidRPr="0058641C">
        <w:t xml:space="preserve">production </w:t>
      </w:r>
      <w:r w:rsidR="0058641C">
        <w:t>cost without the PPA</w:t>
      </w:r>
      <w:r w:rsidR="00DA355C">
        <w:t xml:space="preserve">. </w:t>
      </w:r>
      <w:r w:rsidR="00D564B1">
        <w:t xml:space="preserve">The </w:t>
      </w:r>
      <w:r w:rsidR="00E42782">
        <w:t xml:space="preserve">energy </w:t>
      </w:r>
      <w:r w:rsidR="00D564B1">
        <w:t xml:space="preserve">savings </w:t>
      </w:r>
      <w:r w:rsidR="005C4917">
        <w:t xml:space="preserve">without </w:t>
      </w:r>
      <w:r w:rsidR="00397D8E">
        <w:t xml:space="preserve">the </w:t>
      </w:r>
      <w:r w:rsidR="002B26E6">
        <w:t>PPA are</w:t>
      </w:r>
      <w:r w:rsidRPr="00932A9C">
        <w:t xml:space="preserve"> </w:t>
      </w:r>
      <w:r w:rsidR="00D564B1">
        <w:t>estimated to be</w:t>
      </w:r>
      <w:r w:rsidR="005C4917">
        <w:t xml:space="preserve"> between</w:t>
      </w:r>
      <w:r w:rsidRPr="00932A9C">
        <w:t xml:space="preserve"> $25 million </w:t>
      </w:r>
      <w:r w:rsidR="005C4917">
        <w:t>to $3</w:t>
      </w:r>
      <w:r w:rsidR="00DE06FB">
        <w:t>0</w:t>
      </w:r>
      <w:r w:rsidR="005C4917" w:rsidRPr="005C4917">
        <w:t xml:space="preserve"> million </w:t>
      </w:r>
      <w:r w:rsidR="005C4917">
        <w:t xml:space="preserve">in </w:t>
      </w:r>
      <w:r w:rsidRPr="00932A9C">
        <w:t>NPV</w:t>
      </w:r>
      <w:r w:rsidR="0058641C">
        <w:t>, d</w:t>
      </w:r>
      <w:r w:rsidR="0058641C" w:rsidRPr="0058641C">
        <w:t>epending on the energy output</w:t>
      </w:r>
      <w:r w:rsidR="005C4917">
        <w:t>.</w:t>
      </w:r>
      <w:r w:rsidR="00DA355C">
        <w:rPr>
          <w:rStyle w:val="FootnoteReference"/>
        </w:rPr>
        <w:footnoteReference w:id="5"/>
      </w:r>
    </w:p>
    <w:p w:rsidR="00517689" w:rsidRDefault="00580E58" w:rsidP="00295901">
      <w:pPr>
        <w:pStyle w:val="BodyText"/>
      </w:pPr>
      <w:r>
        <w:t>In addition,</w:t>
      </w:r>
      <w:r w:rsidR="007B6FD1" w:rsidRPr="007B6FD1">
        <w:t xml:space="preserve"> </w:t>
      </w:r>
      <w:r w:rsidR="00CD055A" w:rsidRPr="00CD055A">
        <w:t>staff reviewed the</w:t>
      </w:r>
      <w:r w:rsidR="00CD055A">
        <w:t xml:space="preserve"> data</w:t>
      </w:r>
      <w:r w:rsidR="00CD055A" w:rsidRPr="00CD055A">
        <w:t xml:space="preserve"> underlying </w:t>
      </w:r>
      <w:r w:rsidR="00CD055A">
        <w:t>DEF’</w:t>
      </w:r>
      <w:r w:rsidR="00FA4D52">
        <w:t>s assumption</w:t>
      </w:r>
      <w:r w:rsidR="00FA4D52" w:rsidRPr="00FA4D52">
        <w:t xml:space="preserve"> for full capacity payment</w:t>
      </w:r>
      <w:r w:rsidR="002172B8">
        <w:t xml:space="preserve"> of </w:t>
      </w:r>
      <w:r w:rsidR="00295901">
        <w:t>$9.6 million per year</w:t>
      </w:r>
      <w:r w:rsidR="00FA4D52">
        <w:t>.</w:t>
      </w:r>
      <w:r w:rsidR="00FA4D52" w:rsidRPr="00FA4D52">
        <w:t xml:space="preserve"> </w:t>
      </w:r>
      <w:r w:rsidR="002172B8">
        <w:t xml:space="preserve">The </w:t>
      </w:r>
      <w:r w:rsidR="00D77173" w:rsidRPr="00D77173">
        <w:t xml:space="preserve">12-month rolling average on-peak capacity factor </w:t>
      </w:r>
      <w:r w:rsidR="00D77173">
        <w:t xml:space="preserve">used to set the </w:t>
      </w:r>
      <w:r w:rsidR="002172B8">
        <w:t xml:space="preserve">monthly </w:t>
      </w:r>
      <w:r w:rsidR="00D77173">
        <w:t>capacity payment showed</w:t>
      </w:r>
      <w:r w:rsidR="00D77173" w:rsidRPr="00D77173">
        <w:t xml:space="preserve"> </w:t>
      </w:r>
      <w:r w:rsidR="00D85888">
        <w:t xml:space="preserve">an </w:t>
      </w:r>
      <w:r w:rsidR="00D77173" w:rsidRPr="00D77173">
        <w:t>improving performance</w:t>
      </w:r>
      <w:r w:rsidR="00D77173">
        <w:t xml:space="preserve"> in 2017</w:t>
      </w:r>
      <w:r w:rsidR="00D85888">
        <w:t xml:space="preserve"> and 2018</w:t>
      </w:r>
      <w:r w:rsidR="00A07EE0">
        <w:t>.</w:t>
      </w:r>
      <w:r w:rsidR="00D85888">
        <w:t xml:space="preserve"> </w:t>
      </w:r>
      <w:r w:rsidR="00A07EE0">
        <w:t>The performance has exceeded</w:t>
      </w:r>
      <w:r w:rsidR="00A07EE0" w:rsidRPr="00A07EE0">
        <w:t xml:space="preserve"> the minimum requirement of 85 percent for full capacity payment</w:t>
      </w:r>
      <w:r w:rsidR="00A07EE0">
        <w:t xml:space="preserve"> since March 2018.</w:t>
      </w:r>
      <w:r w:rsidR="00EE0B1E">
        <w:rPr>
          <w:rStyle w:val="FootnoteReference"/>
        </w:rPr>
        <w:footnoteReference w:id="6"/>
      </w:r>
      <w:r w:rsidR="00A07EE0">
        <w:t xml:space="preserve"> Based on staff’s review,</w:t>
      </w:r>
      <w:r w:rsidR="00D77173">
        <w:t xml:space="preserve"> </w:t>
      </w:r>
      <w:r w:rsidR="00A07EE0" w:rsidRPr="00A07EE0">
        <w:t xml:space="preserve">DEF’s assumption for full capacity payment </w:t>
      </w:r>
      <w:r w:rsidR="00295901">
        <w:t>is reasonable</w:t>
      </w:r>
      <w:r w:rsidR="00CD055A" w:rsidRPr="00CD055A">
        <w:t>.</w:t>
      </w:r>
      <w:r w:rsidR="00295901" w:rsidRPr="00295901">
        <w:t xml:space="preserve"> </w:t>
      </w:r>
      <w:r w:rsidR="00295901">
        <w:t xml:space="preserve">The avoided </w:t>
      </w:r>
      <w:r w:rsidR="00295901" w:rsidRPr="00295901">
        <w:t xml:space="preserve">capacity payment </w:t>
      </w:r>
      <w:r w:rsidR="00295901">
        <w:t>totals</w:t>
      </w:r>
      <w:r w:rsidR="00295901" w:rsidRPr="00295901">
        <w:t xml:space="preserve"> $48.1 million over the five-year term, with a NPV</w:t>
      </w:r>
      <w:r w:rsidR="00295901">
        <w:t xml:space="preserve"> of approximately $39 million.</w:t>
      </w:r>
      <w:r w:rsidR="00295901" w:rsidRPr="00295901">
        <w:t xml:space="preserve"> </w:t>
      </w:r>
      <w:r w:rsidR="00324F63">
        <w:t>Adding t</w:t>
      </w:r>
      <w:r w:rsidR="00295901">
        <w:t>his to</w:t>
      </w:r>
      <w:r w:rsidR="00324F63">
        <w:t xml:space="preserve"> the </w:t>
      </w:r>
      <w:r w:rsidR="00324F63" w:rsidRPr="00324F63">
        <w:t xml:space="preserve">$25 million to $30 million </w:t>
      </w:r>
      <w:r w:rsidR="00324F63">
        <w:t>in</w:t>
      </w:r>
      <w:r w:rsidR="00324F63" w:rsidRPr="00324F63">
        <w:t xml:space="preserve"> </w:t>
      </w:r>
      <w:r w:rsidR="00324F63">
        <w:t>energy</w:t>
      </w:r>
      <w:r w:rsidR="00324F63" w:rsidRPr="00324F63">
        <w:t xml:space="preserve"> saving</w:t>
      </w:r>
      <w:r w:rsidR="00324F63">
        <w:t>s</w:t>
      </w:r>
      <w:r w:rsidR="00BE2780">
        <w:t xml:space="preserve">, </w:t>
      </w:r>
      <w:r w:rsidR="00BE2780" w:rsidRPr="00BE2780">
        <w:t xml:space="preserve">the total estimated </w:t>
      </w:r>
      <w:r w:rsidR="00E42782">
        <w:t xml:space="preserve">production cost </w:t>
      </w:r>
      <w:r w:rsidR="00BE2780" w:rsidRPr="00BE2780">
        <w:t xml:space="preserve">savings </w:t>
      </w:r>
      <w:r w:rsidR="00BE2780">
        <w:t xml:space="preserve">are </w:t>
      </w:r>
      <w:r w:rsidR="00BE2780" w:rsidRPr="00BE2780">
        <w:t>between $64 and $69 million</w:t>
      </w:r>
      <w:r w:rsidR="00BE2780">
        <w:t xml:space="preserve"> </w:t>
      </w:r>
      <w:r w:rsidR="00BE2780" w:rsidRPr="00BE2780">
        <w:t>in NPV</w:t>
      </w:r>
      <w:r w:rsidR="00BE2780">
        <w:t>.</w:t>
      </w:r>
      <w:r w:rsidR="00517689" w:rsidRPr="00517689">
        <w:t xml:space="preserve"> </w:t>
      </w:r>
    </w:p>
    <w:p w:rsidR="0040181B" w:rsidRDefault="0040181B" w:rsidP="0040181B">
      <w:pPr>
        <w:pStyle w:val="First-LevelSubheading"/>
      </w:pPr>
      <w:r>
        <w:t>Fuel Forecast</w:t>
      </w:r>
    </w:p>
    <w:p w:rsidR="0040181B" w:rsidRDefault="0040181B" w:rsidP="0040181B">
      <w:pPr>
        <w:pStyle w:val="BodyText"/>
      </w:pPr>
      <w:r>
        <w:t xml:space="preserve">DEF’s CPVRR evaluations included assumptions related to forecasted fuel prices. However, since the remaining term of DEF’s contract with Ridge is relatively limited, running through December 2023, much of the information used to value future fuel costs is observable. Specifically, DEF relied primarily on New York Mercantile Exchange contract pricing to prepare its short term natural gas and oil price forecasts appearing in its base case fuel price scenario. Similarly, DEF relied upon its existing coal contracts to project its coal prices for the early years of its base case fuel price scenario. Further, DEF performed a high (price) case sensitivity analysis around its base forecast. The high case sensitivity analysis reflects forecasted fuel prices approximately 33 percent greater than the base case forecast. DEF stated it did not perform </w:t>
      </w:r>
      <w:proofErr w:type="gramStart"/>
      <w:r>
        <w:t>a low</w:t>
      </w:r>
      <w:proofErr w:type="gramEnd"/>
      <w:r>
        <w:t xml:space="preserve"> case fuel price </w:t>
      </w:r>
      <w:r w:rsidR="00FF1F56">
        <w:t xml:space="preserve">sensitivity </w:t>
      </w:r>
      <w:r w:rsidR="00CD64BE">
        <w:t>because</w:t>
      </w:r>
      <w:r w:rsidR="00FF1F56">
        <w:t xml:space="preserve"> both </w:t>
      </w:r>
      <w:r>
        <w:t>base and high case f</w:t>
      </w:r>
      <w:r w:rsidR="00CD64BE">
        <w:t>orecasted price levels resulted</w:t>
      </w:r>
      <w:r>
        <w:t xml:space="preserve"> in positive customer savings, and </w:t>
      </w:r>
      <w:r w:rsidR="00CD64BE" w:rsidRPr="00CD64BE">
        <w:t>because</w:t>
      </w:r>
      <w:r>
        <w:t xml:space="preserve"> a low case fuel price sensitivity would only increase the customer savings.  </w:t>
      </w:r>
    </w:p>
    <w:p w:rsidR="0040181B" w:rsidRDefault="0040181B" w:rsidP="0040181B">
      <w:pPr>
        <w:pStyle w:val="BodyText"/>
      </w:pPr>
      <w:r w:rsidRPr="00D231CB">
        <w:t xml:space="preserve">Staff considers the relevant forecast period (2018-2023) to be on the shorter end of forecast durations </w:t>
      </w:r>
      <w:r w:rsidR="00CD64BE">
        <w:t xml:space="preserve">that </w:t>
      </w:r>
      <w:r w:rsidRPr="00D231CB">
        <w:t>the Commission is generally tasked with reviewing. Typically, a shorter forecast period will result in a greater degree of reliability concerning accuracy. In addition, much of the near-</w:t>
      </w:r>
      <w:r w:rsidR="003975AA">
        <w:t>term pricing is based on actual</w:t>
      </w:r>
      <w:r w:rsidRPr="00D231CB">
        <w:t xml:space="preserve"> executed contracts. For these reasons, staff believes the forecasted fuel prices used in DEF’s economic evaluations of the Termination Agreement are reasonable.</w:t>
      </w:r>
    </w:p>
    <w:p w:rsidR="00E94D7E" w:rsidRDefault="00E94D7E" w:rsidP="00E94D7E">
      <w:pPr>
        <w:pStyle w:val="First-LevelSubheading"/>
      </w:pPr>
      <w:r w:rsidRPr="00E94D7E">
        <w:t>Reliability Impact (Reserve Margin)</w:t>
      </w:r>
    </w:p>
    <w:p w:rsidR="00E94D7E" w:rsidRDefault="00E94D7E" w:rsidP="0040181B">
      <w:pPr>
        <w:pStyle w:val="BodyText"/>
      </w:pPr>
      <w:r>
        <w:t xml:space="preserve">If the loss of the </w:t>
      </w:r>
      <w:r w:rsidRPr="00517689">
        <w:t>Ridge capacity cause</w:t>
      </w:r>
      <w:r>
        <w:t>s</w:t>
      </w:r>
      <w:r w:rsidRPr="00517689">
        <w:t xml:space="preserve"> a need to replace the capacity or accelerate any </w:t>
      </w:r>
      <w:r>
        <w:t xml:space="preserve">generating </w:t>
      </w:r>
      <w:r w:rsidRPr="00517689">
        <w:t>units</w:t>
      </w:r>
      <w:r>
        <w:t xml:space="preserve">, then the cost to replace the Ridge capacity must be evaluated. DEF argued that the 39.6 MW </w:t>
      </w:r>
      <w:proofErr w:type="gramStart"/>
      <w:r>
        <w:t>capacity</w:t>
      </w:r>
      <w:proofErr w:type="gramEnd"/>
      <w:r>
        <w:t xml:space="preserve"> from Ridge is not</w:t>
      </w:r>
      <w:r w:rsidR="003A661B">
        <w:t xml:space="preserve"> a material contributor to DEF’s reliability reserve margin</w:t>
      </w:r>
      <w:r>
        <w:t xml:space="preserve">. In response to </w:t>
      </w:r>
      <w:r w:rsidR="001C76DC">
        <w:t>S</w:t>
      </w:r>
      <w:r>
        <w:t xml:space="preserve">taff’s </w:t>
      </w:r>
      <w:r w:rsidR="001C76DC">
        <w:t>F</w:t>
      </w:r>
      <w:r>
        <w:t xml:space="preserve">irst </w:t>
      </w:r>
      <w:r w:rsidR="001C76DC">
        <w:t>D</w:t>
      </w:r>
      <w:r>
        <w:t xml:space="preserve">ata </w:t>
      </w:r>
      <w:r w:rsidR="001C76DC">
        <w:t>R</w:t>
      </w:r>
      <w:r>
        <w:t>equest, DEF provided an update of its</w:t>
      </w:r>
      <w:r w:rsidR="0005159F">
        <w:t xml:space="preserve"> Ten-Year Site Plan </w:t>
      </w:r>
      <w:r>
        <w:t>schedules for reliability reserve margin. The updated schedules reflect both the termination of the Ridge capacity and the capacity from the termination of the Florida Power Development</w:t>
      </w:r>
      <w:r w:rsidR="00961591">
        <w:t>,</w:t>
      </w:r>
      <w:r w:rsidR="00CD64BE">
        <w:t xml:space="preserve"> </w:t>
      </w:r>
      <w:r w:rsidR="00CD64BE">
        <w:lastRenderedPageBreak/>
        <w:t>LLC (FPD)</w:t>
      </w:r>
      <w:r>
        <w:t xml:space="preserve"> contract approved by the Commission in May 2018.</w:t>
      </w:r>
      <w:r>
        <w:rPr>
          <w:rStyle w:val="FootnoteReference"/>
        </w:rPr>
        <w:footnoteReference w:id="7"/>
      </w:r>
      <w:r>
        <w:t xml:space="preserve"> The impact of the loss of the Ridge capacity is less than 1 percent, resulting in a projected range of summer reserve margin during 2019-2023 that is still 8 to 11 percent above the 20 percent reserve margin approved by the Commission. B</w:t>
      </w:r>
      <w:r w:rsidR="00CD64BE">
        <w:t xml:space="preserve">ased on staff’s review, the provided information </w:t>
      </w:r>
      <w:r>
        <w:t>support</w:t>
      </w:r>
      <w:r w:rsidR="00CD64BE">
        <w:t>s a finding</w:t>
      </w:r>
      <w:r>
        <w:t xml:space="preserve"> that reliability considerations will not cause a need to replace the Ridge capacity or accelerate any </w:t>
      </w:r>
      <w:r w:rsidRPr="0040181B">
        <w:t xml:space="preserve">generating </w:t>
      </w:r>
      <w:r>
        <w:t>units.</w:t>
      </w:r>
    </w:p>
    <w:p w:rsidR="00D51336" w:rsidRDefault="00D51336" w:rsidP="00D51336">
      <w:pPr>
        <w:pStyle w:val="First-LevelSubheading"/>
      </w:pPr>
      <w:r>
        <w:t>Regulatory A</w:t>
      </w:r>
      <w:r w:rsidRPr="00331C2C">
        <w:t>sset</w:t>
      </w:r>
      <w:r>
        <w:t xml:space="preserve"> Treatment</w:t>
      </w:r>
    </w:p>
    <w:p w:rsidR="002D0D59" w:rsidRPr="002D0D59" w:rsidRDefault="002D0D59" w:rsidP="002D0D59">
      <w:pPr>
        <w:jc w:val="both"/>
      </w:pPr>
      <w:r w:rsidRPr="002D0D59">
        <w:t xml:space="preserve">Staff has </w:t>
      </w:r>
      <w:r w:rsidR="00D51336" w:rsidRPr="00872C44">
        <w:t>review</w:t>
      </w:r>
      <w:r>
        <w:t xml:space="preserve">ed </w:t>
      </w:r>
      <w:r w:rsidR="00D51336" w:rsidRPr="00872C44">
        <w:t>DEF’s proposed regulatory treat</w:t>
      </w:r>
      <w:r w:rsidR="00D51336">
        <w:t xml:space="preserve">ment </w:t>
      </w:r>
      <w:r w:rsidR="00D51336" w:rsidRPr="00872C44">
        <w:t xml:space="preserve">to establish a regulatory asset for the $34.5 million </w:t>
      </w:r>
      <w:r>
        <w:t>termination paymen</w:t>
      </w:r>
      <w:r w:rsidR="00E94D7E">
        <w:t>t and to amortize it</w:t>
      </w:r>
      <w:r w:rsidR="00E94D7E" w:rsidRPr="00E94D7E">
        <w:t xml:space="preserve"> over the remaining five-year term </w:t>
      </w:r>
      <w:r w:rsidR="00E94D7E">
        <w:t xml:space="preserve">for recovery </w:t>
      </w:r>
      <w:r w:rsidR="00E94D7E" w:rsidRPr="00E94D7E">
        <w:t>through December 2023</w:t>
      </w:r>
      <w:r>
        <w:t xml:space="preserve">. </w:t>
      </w:r>
      <w:r w:rsidRPr="002D0D59">
        <w:t xml:space="preserve">The regulatory asset treatment </w:t>
      </w:r>
      <w:r>
        <w:t xml:space="preserve">is consistent with </w:t>
      </w:r>
      <w:r w:rsidR="00E42782">
        <w:t xml:space="preserve">the </w:t>
      </w:r>
      <w:r>
        <w:t xml:space="preserve">Commission’s decision </w:t>
      </w:r>
      <w:r w:rsidR="00D87D6C">
        <w:t>on</w:t>
      </w:r>
      <w:r>
        <w:t xml:space="preserve"> </w:t>
      </w:r>
      <w:r w:rsidR="000F13DD">
        <w:t xml:space="preserve">a similar </w:t>
      </w:r>
      <w:r w:rsidRPr="002D0D59">
        <w:t xml:space="preserve">regulatory treatment </w:t>
      </w:r>
      <w:r w:rsidR="000F13DD">
        <w:t xml:space="preserve">for </w:t>
      </w:r>
      <w:r w:rsidRPr="002D0D59">
        <w:t xml:space="preserve">the </w:t>
      </w:r>
      <w:r w:rsidR="000F13DD">
        <w:t xml:space="preserve">termination of the </w:t>
      </w:r>
      <w:r w:rsidR="00CD64BE">
        <w:t xml:space="preserve">FPD </w:t>
      </w:r>
      <w:r w:rsidRPr="002D0D59">
        <w:t>contract</w:t>
      </w:r>
      <w:r w:rsidR="00B130F3" w:rsidRPr="00B130F3">
        <w:t xml:space="preserve"> </w:t>
      </w:r>
      <w:r w:rsidR="00B130F3">
        <w:t xml:space="preserve">in </w:t>
      </w:r>
      <w:r w:rsidR="00B130F3" w:rsidRPr="00B130F3">
        <w:t>Order No. PSC-2018-0240-PAA-EQ</w:t>
      </w:r>
      <w:r w:rsidR="000F13DD">
        <w:t>.</w:t>
      </w:r>
      <w:r w:rsidR="00E42782">
        <w:rPr>
          <w:rStyle w:val="FootnoteReference"/>
        </w:rPr>
        <w:footnoteReference w:id="8"/>
      </w:r>
      <w:r w:rsidR="000F13DD">
        <w:t xml:space="preserve"> </w:t>
      </w:r>
      <w:r w:rsidRPr="002D0D59">
        <w:t>Staff has calculated the revenue requirement based on the projected capital structure provided by DEF. Based on DEF’s projected capital structure and rate of return, staff recommends no adjustments to the proposed revenue requirement for the regulatory asset.</w:t>
      </w:r>
    </w:p>
    <w:p w:rsidR="000F13DD" w:rsidRDefault="000F13DD" w:rsidP="00BD55BD">
      <w:pPr>
        <w:pStyle w:val="First-LevelSubheading"/>
      </w:pPr>
    </w:p>
    <w:p w:rsidR="00BD55BD" w:rsidRDefault="00BD55BD" w:rsidP="00BD55BD">
      <w:pPr>
        <w:pStyle w:val="First-LevelSubheading"/>
      </w:pPr>
      <w:r>
        <w:t>Conclusion</w:t>
      </w:r>
    </w:p>
    <w:p w:rsidR="00BD55BD" w:rsidRDefault="0081148A" w:rsidP="00E0399E">
      <w:pPr>
        <w:pStyle w:val="BodyText"/>
      </w:pPr>
      <w:r w:rsidRPr="0081148A">
        <w:t>Based on staff’s review, the Termination Agreement</w:t>
      </w:r>
      <w:r w:rsidR="000524F4" w:rsidRPr="000524F4">
        <w:t xml:space="preserve"> </w:t>
      </w:r>
      <w:r w:rsidR="00F9041A">
        <w:t xml:space="preserve">is expected to save DEF and its customers </w:t>
      </w:r>
      <w:r w:rsidRPr="0081148A">
        <w:t xml:space="preserve">between $30 and $35 million in </w:t>
      </w:r>
      <w:r>
        <w:t>NPV</w:t>
      </w:r>
      <w:r w:rsidR="00E96957">
        <w:t xml:space="preserve"> and should be approved</w:t>
      </w:r>
      <w:r w:rsidRPr="0081148A">
        <w:t xml:space="preserve">. </w:t>
      </w:r>
      <w:r w:rsidR="00B720C4" w:rsidRPr="00B720C4">
        <w:t>Recovery of the</w:t>
      </w:r>
      <w:r w:rsidR="007974CA" w:rsidRPr="007974CA">
        <w:t xml:space="preserve"> termination payment as a</w:t>
      </w:r>
      <w:r w:rsidR="00B720C4" w:rsidRPr="00B720C4">
        <w:t xml:space="preserve"> regulatory asset through the Capacity</w:t>
      </w:r>
      <w:r w:rsidR="00B720C4">
        <w:t xml:space="preserve"> Clause should also be approved</w:t>
      </w:r>
      <w:r w:rsidRPr="0081148A">
        <w:t>.</w:t>
      </w:r>
    </w:p>
    <w:p w:rsidR="00B97FFB" w:rsidRDefault="00B97FFB">
      <w:pPr>
        <w:pStyle w:val="IssueHeading"/>
        <w:rPr>
          <w:b w:val="0"/>
          <w:i w:val="0"/>
        </w:rPr>
      </w:pPr>
    </w:p>
    <w:p w:rsidR="00B97FFB" w:rsidRPr="00B97FFB" w:rsidRDefault="00B97FFB" w:rsidP="00B97FFB"/>
    <w:p w:rsidR="00B97FFB" w:rsidRPr="00B97FFB" w:rsidRDefault="00B97FFB" w:rsidP="00B97FFB"/>
    <w:p w:rsidR="00B97FFB" w:rsidRPr="00B97FFB" w:rsidRDefault="00B97FFB" w:rsidP="00B97FFB"/>
    <w:p w:rsidR="00B97FFB" w:rsidRPr="00B97FFB" w:rsidRDefault="00B97FFB" w:rsidP="00B97FFB"/>
    <w:p w:rsidR="00B97FFB" w:rsidRPr="00B97FFB" w:rsidRDefault="00B97FFB" w:rsidP="00B97FFB"/>
    <w:p w:rsidR="00B97FFB" w:rsidRPr="00B97FFB" w:rsidRDefault="00B97FFB" w:rsidP="00B97FFB"/>
    <w:p w:rsidR="00B97FFB" w:rsidRPr="00B97FFB" w:rsidRDefault="00B97FFB" w:rsidP="00B97FFB"/>
    <w:p w:rsidR="00B97FFB" w:rsidRPr="00B97FFB" w:rsidRDefault="00B97FFB" w:rsidP="00B97FFB"/>
    <w:p w:rsidR="00B97FFB" w:rsidRPr="00B97FFB" w:rsidRDefault="00B97FFB" w:rsidP="00B97FFB"/>
    <w:p w:rsidR="00B97FFB" w:rsidRPr="00B97FFB" w:rsidRDefault="00B97FFB" w:rsidP="00B97FFB"/>
    <w:p w:rsidR="00B97FFB" w:rsidRPr="00B97FFB" w:rsidRDefault="00B97FFB" w:rsidP="00B97FFB"/>
    <w:p w:rsidR="00B97FFB" w:rsidRPr="00B97FFB" w:rsidRDefault="00B97FFB" w:rsidP="00B97FFB"/>
    <w:p w:rsidR="00B97FFB" w:rsidRPr="00B97FFB" w:rsidRDefault="00B97FFB" w:rsidP="00B97FFB"/>
    <w:p w:rsidR="00B97FFB" w:rsidRPr="00B97FFB" w:rsidRDefault="00B97FFB" w:rsidP="00B97FFB"/>
    <w:p w:rsidR="00450897" w:rsidRDefault="00450897">
      <w:pPr>
        <w:pStyle w:val="IssueHeading"/>
        <w:rPr>
          <w:vanish/>
          <w:specVanish/>
        </w:rPr>
      </w:pPr>
      <w:r w:rsidRPr="00B97FFB">
        <w:br w:type="page"/>
      </w:r>
      <w:r w:rsidRPr="004C3641">
        <w:lastRenderedPageBreak/>
        <w:t xml:space="preserve">Issue </w:t>
      </w:r>
      <w:r w:rsidR="00F457A7">
        <w:fldChar w:fldCharType="begin"/>
      </w:r>
      <w:r w:rsidR="00F457A7">
        <w:instrText xml:space="preserve"> SEQ Issue \* MERGEFORMAT </w:instrText>
      </w:r>
      <w:r w:rsidR="00F457A7">
        <w:fldChar w:fldCharType="separate"/>
      </w:r>
      <w:r w:rsidR="005510EF">
        <w:rPr>
          <w:noProof/>
        </w:rPr>
        <w:t>2</w:t>
      </w:r>
      <w:r w:rsidR="00F457A7">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5510EF">
        <w:rPr>
          <w:noProof/>
        </w:rPr>
        <w:instrText>2</w:instrText>
      </w:r>
      <w:r>
        <w:fldChar w:fldCharType="end"/>
      </w:r>
      <w:r>
        <w:tab/>
        <w:instrText xml:space="preserve">" \l 1 </w:instrText>
      </w:r>
      <w:r>
        <w:fldChar w:fldCharType="end"/>
      </w:r>
      <w:r>
        <w:t> </w:t>
      </w:r>
    </w:p>
    <w:p w:rsidR="00450897" w:rsidRDefault="00450897">
      <w:pPr>
        <w:pStyle w:val="BodyText"/>
      </w:pPr>
      <w:r>
        <w:t> Should this docket be closed?</w:t>
      </w:r>
    </w:p>
    <w:p w:rsidR="00450897" w:rsidRPr="004C3641" w:rsidRDefault="00450897">
      <w:pPr>
        <w:pStyle w:val="IssueSubsectionHeading"/>
        <w:rPr>
          <w:vanish/>
          <w:specVanish/>
        </w:rPr>
      </w:pPr>
      <w:r w:rsidRPr="004C3641">
        <w:t>Recommendation: </w:t>
      </w:r>
    </w:p>
    <w:p w:rsidR="00450897" w:rsidRDefault="00450897">
      <w:pPr>
        <w:pStyle w:val="BodyText"/>
      </w:pPr>
      <w:r>
        <w:t> </w:t>
      </w:r>
      <w:r w:rsidRPr="00450897">
        <w:t>Yes. This docket should be closed upon issuance of a Consummating Order unless a person whose substantial interests are affected by the Commission’s decision files a protest within 21 days of the issuance of the proposed agency action. (DuVal</w:t>
      </w:r>
      <w:r>
        <w:t xml:space="preserve">) </w:t>
      </w:r>
    </w:p>
    <w:p w:rsidR="00450897" w:rsidRPr="004C3641" w:rsidRDefault="00450897">
      <w:pPr>
        <w:pStyle w:val="IssueSubsectionHeading"/>
        <w:rPr>
          <w:vanish/>
          <w:specVanish/>
        </w:rPr>
      </w:pPr>
      <w:r w:rsidRPr="004C3641">
        <w:t>Staff Analysis: </w:t>
      </w:r>
    </w:p>
    <w:p w:rsidR="00450897" w:rsidRDefault="00450897">
      <w:pPr>
        <w:pStyle w:val="BodyText"/>
      </w:pPr>
      <w:r>
        <w:t> </w:t>
      </w:r>
      <w:r w:rsidRPr="00450897">
        <w:t>This docket should be closed upon issuance of a Consummating Order unless a person whose substantial interests are affected by the Commission’s decision files a protest within 21 days of the issuance of the proposed agency action.</w:t>
      </w:r>
    </w:p>
    <w:p w:rsidR="0007665B" w:rsidRDefault="0007665B" w:rsidP="0007665B">
      <w:pPr>
        <w:pStyle w:val="BodyText"/>
      </w:pPr>
    </w:p>
    <w:sectPr w:rsidR="0007665B"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1900" w:rsidRDefault="00A91900">
      <w:r>
        <w:separator/>
      </w:r>
    </w:p>
  </w:endnote>
  <w:endnote w:type="continuationSeparator" w:id="0">
    <w:p w:rsidR="00A91900" w:rsidRDefault="00A91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5510EF">
      <w:rPr>
        <w:rStyle w:val="PageNumber"/>
        <w:noProof/>
      </w:rPr>
      <w:t>2</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1900" w:rsidRDefault="00A91900">
      <w:r>
        <w:separator/>
      </w:r>
    </w:p>
  </w:footnote>
  <w:footnote w:type="continuationSeparator" w:id="0">
    <w:p w:rsidR="00A91900" w:rsidRDefault="00A91900">
      <w:r>
        <w:continuationSeparator/>
      </w:r>
    </w:p>
  </w:footnote>
  <w:footnote w:id="1">
    <w:p w:rsidR="00B27DCA" w:rsidRDefault="00B27DCA" w:rsidP="00B27DCA">
      <w:pPr>
        <w:pStyle w:val="FootnoteText"/>
      </w:pPr>
      <w:r>
        <w:rPr>
          <w:rStyle w:val="FootnoteReference"/>
        </w:rPr>
        <w:footnoteRef/>
      </w:r>
      <w:r>
        <w:t xml:space="preserve"> Order No. </w:t>
      </w:r>
      <w:r w:rsidRPr="00981CD0">
        <w:t>24734</w:t>
      </w:r>
      <w:r>
        <w:t xml:space="preserve">, issued July 1, 1991, in </w:t>
      </w:r>
      <w:r w:rsidRPr="00981CD0">
        <w:t xml:space="preserve">Docket No. </w:t>
      </w:r>
      <w:r w:rsidR="00183104">
        <w:t>19</w:t>
      </w:r>
      <w:r w:rsidRPr="00981CD0">
        <w:t>910401</w:t>
      </w:r>
      <w:r>
        <w:t xml:space="preserve">-EQ, </w:t>
      </w:r>
      <w:r w:rsidRPr="00502208">
        <w:rPr>
          <w:i/>
        </w:rPr>
        <w:t xml:space="preserve">In re: </w:t>
      </w:r>
      <w:r w:rsidRPr="00981CD0">
        <w:rPr>
          <w:i/>
        </w:rPr>
        <w:t>Petition for approval of contracts for purchase of firm capacity and energy by Florida Power Corporation</w:t>
      </w:r>
      <w:r>
        <w:t>.</w:t>
      </w:r>
    </w:p>
  </w:footnote>
  <w:footnote w:id="2">
    <w:p w:rsidR="00E30857" w:rsidRDefault="00E30857" w:rsidP="00E30857">
      <w:pPr>
        <w:pStyle w:val="FootnoteText"/>
      </w:pPr>
      <w:r>
        <w:rPr>
          <w:rStyle w:val="FootnoteReference"/>
        </w:rPr>
        <w:footnoteRef/>
      </w:r>
      <w:r>
        <w:t xml:space="preserve"> </w:t>
      </w:r>
      <w:proofErr w:type="gramStart"/>
      <w:r>
        <w:t>Exhibit</w:t>
      </w:r>
      <w:r w:rsidRPr="008E753A">
        <w:t xml:space="preserve"> BMHB-3</w:t>
      </w:r>
      <w:r>
        <w:t>,</w:t>
      </w:r>
      <w:r w:rsidRPr="00076EEF">
        <w:t xml:space="preserve"> </w:t>
      </w:r>
      <w:r w:rsidR="00183104">
        <w:t>pp.</w:t>
      </w:r>
      <w:r w:rsidR="00344AAE">
        <w:t xml:space="preserve"> 1-3, Row</w:t>
      </w:r>
      <w:r>
        <w:t xml:space="preserve"> E, </w:t>
      </w:r>
      <w:r w:rsidRPr="00076EEF">
        <w:t>direct testimony of DEF witness Borsch</w:t>
      </w:r>
      <w:r>
        <w:t>.</w:t>
      </w:r>
      <w:proofErr w:type="gramEnd"/>
    </w:p>
  </w:footnote>
  <w:footnote w:id="3">
    <w:p w:rsidR="002360AE" w:rsidRDefault="002360AE" w:rsidP="002360AE">
      <w:pPr>
        <w:pStyle w:val="FootnoteText"/>
      </w:pPr>
      <w:r>
        <w:rPr>
          <w:rStyle w:val="FootnoteReference"/>
        </w:rPr>
        <w:footnoteRef/>
      </w:r>
      <w:r>
        <w:t xml:space="preserve"> </w:t>
      </w:r>
      <w:proofErr w:type="gramStart"/>
      <w:r>
        <w:t>Exhibit</w:t>
      </w:r>
      <w:r w:rsidRPr="008E753A">
        <w:t xml:space="preserve"> BMHB-3</w:t>
      </w:r>
      <w:r>
        <w:t>,</w:t>
      </w:r>
      <w:r w:rsidRPr="00076EEF">
        <w:t xml:space="preserve"> </w:t>
      </w:r>
      <w:r w:rsidR="00183104">
        <w:t>pp.</w:t>
      </w:r>
      <w:r w:rsidR="00344AAE">
        <w:t xml:space="preserve"> 1-3, Row</w:t>
      </w:r>
      <w:r>
        <w:t xml:space="preserve"> H, </w:t>
      </w:r>
      <w:r w:rsidRPr="00076EEF">
        <w:t>direct testimony of DEF witness Borsch</w:t>
      </w:r>
      <w:r>
        <w:t>.</w:t>
      </w:r>
      <w:proofErr w:type="gramEnd"/>
    </w:p>
  </w:footnote>
  <w:footnote w:id="4">
    <w:p w:rsidR="00AB5D15" w:rsidRDefault="00AB5D15">
      <w:pPr>
        <w:pStyle w:val="FootnoteText"/>
      </w:pPr>
      <w:r>
        <w:rPr>
          <w:rStyle w:val="FootnoteReference"/>
        </w:rPr>
        <w:footnoteRef/>
      </w:r>
      <w:r>
        <w:t xml:space="preserve"> </w:t>
      </w:r>
      <w:r w:rsidRPr="00AB5D15">
        <w:t xml:space="preserve">Document No. 05683-2018, DEF’s response to </w:t>
      </w:r>
      <w:r w:rsidR="001C76DC">
        <w:t>S</w:t>
      </w:r>
      <w:r w:rsidRPr="00AB5D15">
        <w:t>taff’s</w:t>
      </w:r>
      <w:r w:rsidR="001C76DC">
        <w:t xml:space="preserve"> S</w:t>
      </w:r>
      <w:r w:rsidRPr="00AB5D15">
        <w:t xml:space="preserve">econd </w:t>
      </w:r>
      <w:r w:rsidR="001C76DC">
        <w:t>D</w:t>
      </w:r>
      <w:r w:rsidRPr="00AB5D15">
        <w:t>ata</w:t>
      </w:r>
      <w:r w:rsidR="001C76DC">
        <w:t xml:space="preserve"> R</w:t>
      </w:r>
      <w:r w:rsidRPr="00AB5D15">
        <w:t>equest, No. 4.</w:t>
      </w:r>
    </w:p>
  </w:footnote>
  <w:footnote w:id="5">
    <w:p w:rsidR="00DA355C" w:rsidRDefault="00DA355C" w:rsidP="00DA355C">
      <w:pPr>
        <w:pStyle w:val="FootnoteText"/>
      </w:pPr>
      <w:r>
        <w:rPr>
          <w:rStyle w:val="FootnoteReference"/>
        </w:rPr>
        <w:footnoteRef/>
      </w:r>
      <w:r>
        <w:t xml:space="preserve"> </w:t>
      </w:r>
      <w:proofErr w:type="gramStart"/>
      <w:r>
        <w:t>Exhibit</w:t>
      </w:r>
      <w:r w:rsidRPr="008E753A">
        <w:t xml:space="preserve"> BMHB-3</w:t>
      </w:r>
      <w:r>
        <w:t>,</w:t>
      </w:r>
      <w:r w:rsidRPr="00076EEF">
        <w:t xml:space="preserve"> </w:t>
      </w:r>
      <w:r w:rsidR="00FF1F56">
        <w:t xml:space="preserve">p. </w:t>
      </w:r>
      <w:r>
        <w:t>1, Row F</w:t>
      </w:r>
      <w:r w:rsidRPr="00675B96">
        <w:t xml:space="preserve">, </w:t>
      </w:r>
      <w:r w:rsidRPr="00076EEF">
        <w:t>direct testimony of DEF witness Borsch</w:t>
      </w:r>
      <w:r>
        <w:t>.</w:t>
      </w:r>
      <w:proofErr w:type="gramEnd"/>
    </w:p>
  </w:footnote>
  <w:footnote w:id="6">
    <w:p w:rsidR="00EE0B1E" w:rsidRDefault="00EE0B1E">
      <w:pPr>
        <w:pStyle w:val="FootnoteText"/>
      </w:pPr>
      <w:r>
        <w:rPr>
          <w:rStyle w:val="FootnoteReference"/>
        </w:rPr>
        <w:footnoteRef/>
      </w:r>
      <w:r>
        <w:t xml:space="preserve"> Document No. 05683-2018, DEF’s response to </w:t>
      </w:r>
      <w:r w:rsidR="0083630F">
        <w:t>S</w:t>
      </w:r>
      <w:r>
        <w:t xml:space="preserve">taff’s </w:t>
      </w:r>
      <w:r w:rsidR="0083630F">
        <w:t>S</w:t>
      </w:r>
      <w:r>
        <w:t>econd</w:t>
      </w:r>
      <w:r w:rsidRPr="00EE0B1E">
        <w:t xml:space="preserve"> </w:t>
      </w:r>
      <w:r w:rsidR="0083630F">
        <w:t>D</w:t>
      </w:r>
      <w:r w:rsidRPr="00EE0B1E">
        <w:t xml:space="preserve">ata </w:t>
      </w:r>
      <w:r w:rsidR="0083630F">
        <w:t>R</w:t>
      </w:r>
      <w:r w:rsidRPr="00EE0B1E">
        <w:t>equest</w:t>
      </w:r>
      <w:r>
        <w:t>, No. 4.</w:t>
      </w:r>
    </w:p>
  </w:footnote>
  <w:footnote w:id="7">
    <w:p w:rsidR="00E94D7E" w:rsidRDefault="00E94D7E" w:rsidP="00E94D7E">
      <w:pPr>
        <w:pStyle w:val="FootnoteText"/>
      </w:pPr>
      <w:r>
        <w:rPr>
          <w:rStyle w:val="FootnoteReference"/>
        </w:rPr>
        <w:footnoteRef/>
      </w:r>
      <w:r w:rsidR="006811B3">
        <w:t xml:space="preserve"> </w:t>
      </w:r>
      <w:proofErr w:type="gramStart"/>
      <w:r w:rsidRPr="00344AAE">
        <w:t>Order No.</w:t>
      </w:r>
      <w:proofErr w:type="gramEnd"/>
      <w:r w:rsidRPr="00344AAE">
        <w:t xml:space="preserve"> PSC-2018-0240-PAA-EQ</w:t>
      </w:r>
      <w:r>
        <w:t xml:space="preserve">, issued </w:t>
      </w:r>
      <w:r w:rsidRPr="00344AAE">
        <w:t>May 8, 2018</w:t>
      </w:r>
      <w:r>
        <w:t xml:space="preserve">, in </w:t>
      </w:r>
      <w:r w:rsidR="008902EA">
        <w:t>Docket No. 20170274-EQ</w:t>
      </w:r>
      <w:r>
        <w:t>,</w:t>
      </w:r>
      <w:r w:rsidRPr="00344AAE">
        <w:t xml:space="preserve"> </w:t>
      </w:r>
      <w:r w:rsidRPr="00344AAE">
        <w:rPr>
          <w:i/>
        </w:rPr>
        <w:t>In re: Petition for approval to terminate qualifying facility power purchase agreement with Florida Power Development, LLC, by Duke Energy Florida, LLC</w:t>
      </w:r>
      <w:r w:rsidRPr="00344AAE">
        <w:t>.</w:t>
      </w:r>
    </w:p>
  </w:footnote>
  <w:footnote w:id="8">
    <w:p w:rsidR="00E42782" w:rsidRPr="0005159F" w:rsidRDefault="00E42782">
      <w:pPr>
        <w:pStyle w:val="FootnoteText"/>
        <w:rPr>
          <w:i/>
        </w:rPr>
      </w:pPr>
      <w:r>
        <w:rPr>
          <w:rStyle w:val="FootnoteReference"/>
        </w:rPr>
        <w:footnoteRef/>
      </w:r>
      <w:r>
        <w:t xml:space="preserve"> </w:t>
      </w:r>
      <w:r w:rsidR="0083630F" w:rsidRPr="0005159F">
        <w:t>Id.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A91900" w:rsidP="00220732">
    <w:pPr>
      <w:pStyle w:val="Header"/>
      <w:tabs>
        <w:tab w:val="clear" w:pos="4320"/>
        <w:tab w:val="clear" w:pos="8640"/>
        <w:tab w:val="right" w:pos="9360"/>
      </w:tabs>
    </w:pPr>
    <w:bookmarkStart w:id="13" w:name="DocketLabel"/>
    <w:r>
      <w:t>Docket No.</w:t>
    </w:r>
    <w:bookmarkEnd w:id="13"/>
    <w:r w:rsidR="00BC402E">
      <w:t xml:space="preserve"> </w:t>
    </w:r>
    <w:bookmarkStart w:id="14" w:name="DocketList"/>
    <w:r>
      <w:t>20180152-EQ</w:t>
    </w:r>
    <w:bookmarkEnd w:id="14"/>
  </w:p>
  <w:p w:rsidR="00BC402E" w:rsidRDefault="00BC402E">
    <w:pPr>
      <w:pStyle w:val="Header"/>
    </w:pPr>
    <w:r>
      <w:t xml:space="preserve">Date: </w:t>
    </w:r>
    <w:r w:rsidR="00F457A7">
      <w:fldChar w:fldCharType="begin"/>
    </w:r>
    <w:r w:rsidR="00F457A7">
      <w:instrText xml:space="preserve"> REF FilingDate </w:instrText>
    </w:r>
    <w:r w:rsidR="00F457A7">
      <w:fldChar w:fldCharType="separate"/>
    </w:r>
    <w:r w:rsidR="005510EF">
      <w:t>September 28, 2018</w:t>
    </w:r>
    <w:r w:rsidR="00F457A7">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5510EF">
      <w:t>Docket No.</w:t>
    </w:r>
    <w:r>
      <w:fldChar w:fldCharType="end"/>
    </w:r>
    <w:r>
      <w:t xml:space="preserve"> </w:t>
    </w:r>
    <w:r>
      <w:fldChar w:fldCharType="begin"/>
    </w:r>
    <w:r>
      <w:instrText xml:space="preserve"> REF DocketList</w:instrText>
    </w:r>
    <w:r>
      <w:fldChar w:fldCharType="separate"/>
    </w:r>
    <w:r w:rsidR="005510EF">
      <w:t>20180152-EQ</w:t>
    </w:r>
    <w:r>
      <w:fldChar w:fldCharType="end"/>
    </w:r>
    <w:r>
      <w:tab/>
      <w:t xml:space="preserve">Issue </w:t>
    </w:r>
    <w:r w:rsidR="00F457A7">
      <w:fldChar w:fldCharType="begin"/>
    </w:r>
    <w:r w:rsidR="00F457A7">
      <w:instrText xml:space="preserve"> Seq Issue \c \* Arabic </w:instrText>
    </w:r>
    <w:r w:rsidR="00F457A7">
      <w:fldChar w:fldCharType="separate"/>
    </w:r>
    <w:r w:rsidR="005510EF">
      <w:rPr>
        <w:noProof/>
      </w:rPr>
      <w:t>2</w:t>
    </w:r>
    <w:r w:rsidR="00F457A7">
      <w:rPr>
        <w:noProof/>
      </w:rPr>
      <w:fldChar w:fldCharType="end"/>
    </w:r>
  </w:p>
  <w:p w:rsidR="00BC402E" w:rsidRDefault="00BC402E">
    <w:pPr>
      <w:pStyle w:val="Header"/>
    </w:pPr>
    <w:r>
      <w:t xml:space="preserve">Date: </w:t>
    </w:r>
    <w:r w:rsidR="00F457A7">
      <w:fldChar w:fldCharType="begin"/>
    </w:r>
    <w:r w:rsidR="00F457A7">
      <w:instrText xml:space="preserve"> REF FilingDate </w:instrText>
    </w:r>
    <w:r w:rsidR="00F457A7">
      <w:fldChar w:fldCharType="separate"/>
    </w:r>
    <w:r w:rsidR="005510EF">
      <w:t>September 28, 2018</w:t>
    </w:r>
    <w:r w:rsidR="00F457A7">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5734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A91900"/>
    <w:rsid w:val="000043D5"/>
    <w:rsid w:val="00006170"/>
    <w:rsid w:val="000073B7"/>
    <w:rsid w:val="0001030B"/>
    <w:rsid w:val="00010E37"/>
    <w:rsid w:val="00015582"/>
    <w:rsid w:val="000172DA"/>
    <w:rsid w:val="000247C5"/>
    <w:rsid w:val="00026E35"/>
    <w:rsid w:val="000277C2"/>
    <w:rsid w:val="00027DFC"/>
    <w:rsid w:val="00030012"/>
    <w:rsid w:val="000348FA"/>
    <w:rsid w:val="00035B48"/>
    <w:rsid w:val="00036CE2"/>
    <w:rsid w:val="00041805"/>
    <w:rsid w:val="000437FE"/>
    <w:rsid w:val="00046B66"/>
    <w:rsid w:val="000513BE"/>
    <w:rsid w:val="0005159F"/>
    <w:rsid w:val="000524F4"/>
    <w:rsid w:val="0005352C"/>
    <w:rsid w:val="00065A06"/>
    <w:rsid w:val="000666F3"/>
    <w:rsid w:val="00070DCB"/>
    <w:rsid w:val="00073120"/>
    <w:rsid w:val="000764D0"/>
    <w:rsid w:val="0007665B"/>
    <w:rsid w:val="000828D3"/>
    <w:rsid w:val="00085DE2"/>
    <w:rsid w:val="00097575"/>
    <w:rsid w:val="000A0B12"/>
    <w:rsid w:val="000A2B57"/>
    <w:rsid w:val="000A418B"/>
    <w:rsid w:val="000C4431"/>
    <w:rsid w:val="000D1C06"/>
    <w:rsid w:val="000D4319"/>
    <w:rsid w:val="000D7B37"/>
    <w:rsid w:val="000E7886"/>
    <w:rsid w:val="000F13DD"/>
    <w:rsid w:val="000F2DCC"/>
    <w:rsid w:val="000F374A"/>
    <w:rsid w:val="000F6B89"/>
    <w:rsid w:val="00100F52"/>
    <w:rsid w:val="001076AF"/>
    <w:rsid w:val="00110D45"/>
    <w:rsid w:val="00111687"/>
    <w:rsid w:val="00117C8C"/>
    <w:rsid w:val="001226EA"/>
    <w:rsid w:val="00124E2E"/>
    <w:rsid w:val="001257FE"/>
    <w:rsid w:val="00125ED4"/>
    <w:rsid w:val="001305E9"/>
    <w:rsid w:val="001307AF"/>
    <w:rsid w:val="00132286"/>
    <w:rsid w:val="00135687"/>
    <w:rsid w:val="001366C6"/>
    <w:rsid w:val="00142B7B"/>
    <w:rsid w:val="001442C6"/>
    <w:rsid w:val="0014480A"/>
    <w:rsid w:val="0015106B"/>
    <w:rsid w:val="00154D9B"/>
    <w:rsid w:val="0015506E"/>
    <w:rsid w:val="00163031"/>
    <w:rsid w:val="0017160C"/>
    <w:rsid w:val="00171A90"/>
    <w:rsid w:val="0017622B"/>
    <w:rsid w:val="00180254"/>
    <w:rsid w:val="00183104"/>
    <w:rsid w:val="00185C3C"/>
    <w:rsid w:val="00191E1F"/>
    <w:rsid w:val="00192943"/>
    <w:rsid w:val="00194582"/>
    <w:rsid w:val="001A3C8A"/>
    <w:rsid w:val="001A7406"/>
    <w:rsid w:val="001A75AB"/>
    <w:rsid w:val="001B39E0"/>
    <w:rsid w:val="001B4FEE"/>
    <w:rsid w:val="001B51C5"/>
    <w:rsid w:val="001B69EE"/>
    <w:rsid w:val="001B6F3F"/>
    <w:rsid w:val="001C4BC5"/>
    <w:rsid w:val="001C52B5"/>
    <w:rsid w:val="001C68EA"/>
    <w:rsid w:val="001C76DC"/>
    <w:rsid w:val="001D0D3E"/>
    <w:rsid w:val="001D17F2"/>
    <w:rsid w:val="001D4A31"/>
    <w:rsid w:val="001E3691"/>
    <w:rsid w:val="001F2245"/>
    <w:rsid w:val="001F2C63"/>
    <w:rsid w:val="001F48C7"/>
    <w:rsid w:val="001F5AD9"/>
    <w:rsid w:val="001F6DA1"/>
    <w:rsid w:val="002031E0"/>
    <w:rsid w:val="002044E6"/>
    <w:rsid w:val="00205C82"/>
    <w:rsid w:val="00205DC2"/>
    <w:rsid w:val="00212B17"/>
    <w:rsid w:val="00215985"/>
    <w:rsid w:val="002163B6"/>
    <w:rsid w:val="002172B8"/>
    <w:rsid w:val="00220732"/>
    <w:rsid w:val="00221D32"/>
    <w:rsid w:val="00225C3F"/>
    <w:rsid w:val="002360AE"/>
    <w:rsid w:val="002624B9"/>
    <w:rsid w:val="00263D44"/>
    <w:rsid w:val="002702AD"/>
    <w:rsid w:val="002769FC"/>
    <w:rsid w:val="00280D39"/>
    <w:rsid w:val="00292D82"/>
    <w:rsid w:val="00295901"/>
    <w:rsid w:val="002963CB"/>
    <w:rsid w:val="002B1EF0"/>
    <w:rsid w:val="002B26E6"/>
    <w:rsid w:val="002B2B95"/>
    <w:rsid w:val="002B3557"/>
    <w:rsid w:val="002B5CC6"/>
    <w:rsid w:val="002C1FD8"/>
    <w:rsid w:val="002C6927"/>
    <w:rsid w:val="002D0D59"/>
    <w:rsid w:val="002D226D"/>
    <w:rsid w:val="002D5E72"/>
    <w:rsid w:val="002F388F"/>
    <w:rsid w:val="002F4461"/>
    <w:rsid w:val="002F6030"/>
    <w:rsid w:val="003037E1"/>
    <w:rsid w:val="00307E51"/>
    <w:rsid w:val="003103EC"/>
    <w:rsid w:val="00313B8E"/>
    <w:rsid w:val="003144EF"/>
    <w:rsid w:val="003168DD"/>
    <w:rsid w:val="00316CB1"/>
    <w:rsid w:val="00322F74"/>
    <w:rsid w:val="00324F63"/>
    <w:rsid w:val="00331C2C"/>
    <w:rsid w:val="0033420F"/>
    <w:rsid w:val="00340073"/>
    <w:rsid w:val="00344AAE"/>
    <w:rsid w:val="00345199"/>
    <w:rsid w:val="00351F1D"/>
    <w:rsid w:val="00353D4D"/>
    <w:rsid w:val="00353F8C"/>
    <w:rsid w:val="00354232"/>
    <w:rsid w:val="0035664E"/>
    <w:rsid w:val="00357FC9"/>
    <w:rsid w:val="003632FD"/>
    <w:rsid w:val="00367D3E"/>
    <w:rsid w:val="00372805"/>
    <w:rsid w:val="00373180"/>
    <w:rsid w:val="00373264"/>
    <w:rsid w:val="00375AB9"/>
    <w:rsid w:val="00381656"/>
    <w:rsid w:val="003821A0"/>
    <w:rsid w:val="00385B04"/>
    <w:rsid w:val="003864CF"/>
    <w:rsid w:val="00386F26"/>
    <w:rsid w:val="00390E89"/>
    <w:rsid w:val="003975AA"/>
    <w:rsid w:val="00397A07"/>
    <w:rsid w:val="00397D8E"/>
    <w:rsid w:val="003A22A6"/>
    <w:rsid w:val="003A36B9"/>
    <w:rsid w:val="003A3DE8"/>
    <w:rsid w:val="003A5494"/>
    <w:rsid w:val="003A623B"/>
    <w:rsid w:val="003A661B"/>
    <w:rsid w:val="003A7247"/>
    <w:rsid w:val="003B0775"/>
    <w:rsid w:val="003B2510"/>
    <w:rsid w:val="003B31A5"/>
    <w:rsid w:val="003B5074"/>
    <w:rsid w:val="003B7723"/>
    <w:rsid w:val="003C2CC4"/>
    <w:rsid w:val="003C3710"/>
    <w:rsid w:val="003D3C68"/>
    <w:rsid w:val="003D780C"/>
    <w:rsid w:val="003E0EFC"/>
    <w:rsid w:val="003E4A2B"/>
    <w:rsid w:val="003E6676"/>
    <w:rsid w:val="003E76C2"/>
    <w:rsid w:val="003E79E4"/>
    <w:rsid w:val="003F1679"/>
    <w:rsid w:val="003F21EB"/>
    <w:rsid w:val="003F4A35"/>
    <w:rsid w:val="003F5C30"/>
    <w:rsid w:val="003F7FDD"/>
    <w:rsid w:val="0040181B"/>
    <w:rsid w:val="00402481"/>
    <w:rsid w:val="004042B4"/>
    <w:rsid w:val="0040788A"/>
    <w:rsid w:val="00410DC4"/>
    <w:rsid w:val="00412DAE"/>
    <w:rsid w:val="00417C74"/>
    <w:rsid w:val="00423FFB"/>
    <w:rsid w:val="004242E6"/>
    <w:rsid w:val="00431598"/>
    <w:rsid w:val="004319AD"/>
    <w:rsid w:val="0043471C"/>
    <w:rsid w:val="00434B9E"/>
    <w:rsid w:val="00441072"/>
    <w:rsid w:val="004426B8"/>
    <w:rsid w:val="00444432"/>
    <w:rsid w:val="00450897"/>
    <w:rsid w:val="004576E9"/>
    <w:rsid w:val="004650B9"/>
    <w:rsid w:val="00471860"/>
    <w:rsid w:val="004719B0"/>
    <w:rsid w:val="00480C94"/>
    <w:rsid w:val="004811CC"/>
    <w:rsid w:val="0048175E"/>
    <w:rsid w:val="004830DC"/>
    <w:rsid w:val="0048585C"/>
    <w:rsid w:val="004965E3"/>
    <w:rsid w:val="004977B3"/>
    <w:rsid w:val="004A2B80"/>
    <w:rsid w:val="004A6E76"/>
    <w:rsid w:val="004A744D"/>
    <w:rsid w:val="004B4D39"/>
    <w:rsid w:val="004B60BD"/>
    <w:rsid w:val="004C0AD5"/>
    <w:rsid w:val="004C3150"/>
    <w:rsid w:val="004C3641"/>
    <w:rsid w:val="004C4390"/>
    <w:rsid w:val="004C43DE"/>
    <w:rsid w:val="004C4AF7"/>
    <w:rsid w:val="004D2881"/>
    <w:rsid w:val="004D2B2D"/>
    <w:rsid w:val="004D385F"/>
    <w:rsid w:val="004D46F7"/>
    <w:rsid w:val="004D5B39"/>
    <w:rsid w:val="004D5EBD"/>
    <w:rsid w:val="004E330D"/>
    <w:rsid w:val="004E5147"/>
    <w:rsid w:val="004F107B"/>
    <w:rsid w:val="004F5C43"/>
    <w:rsid w:val="00503FEF"/>
    <w:rsid w:val="005040F6"/>
    <w:rsid w:val="0050652D"/>
    <w:rsid w:val="00506C03"/>
    <w:rsid w:val="00510CDD"/>
    <w:rsid w:val="00511A11"/>
    <w:rsid w:val="00514E8B"/>
    <w:rsid w:val="00516496"/>
    <w:rsid w:val="00517689"/>
    <w:rsid w:val="00523B11"/>
    <w:rsid w:val="00523E90"/>
    <w:rsid w:val="0052572A"/>
    <w:rsid w:val="00535873"/>
    <w:rsid w:val="00536BD1"/>
    <w:rsid w:val="0054236D"/>
    <w:rsid w:val="00543CB3"/>
    <w:rsid w:val="005442E4"/>
    <w:rsid w:val="0054469D"/>
    <w:rsid w:val="005510EF"/>
    <w:rsid w:val="00556D01"/>
    <w:rsid w:val="00557270"/>
    <w:rsid w:val="00560FF0"/>
    <w:rsid w:val="005614BD"/>
    <w:rsid w:val="0057154F"/>
    <w:rsid w:val="00574DBC"/>
    <w:rsid w:val="00580C2B"/>
    <w:rsid w:val="00580E58"/>
    <w:rsid w:val="00580F69"/>
    <w:rsid w:val="00581CA3"/>
    <w:rsid w:val="0058641C"/>
    <w:rsid w:val="00587A44"/>
    <w:rsid w:val="00597730"/>
    <w:rsid w:val="005977EC"/>
    <w:rsid w:val="00597DE7"/>
    <w:rsid w:val="005A4AA2"/>
    <w:rsid w:val="005B0745"/>
    <w:rsid w:val="005B11DB"/>
    <w:rsid w:val="005B34B6"/>
    <w:rsid w:val="005B5DC0"/>
    <w:rsid w:val="005B6C8F"/>
    <w:rsid w:val="005B6EC3"/>
    <w:rsid w:val="005B7596"/>
    <w:rsid w:val="005C41D2"/>
    <w:rsid w:val="005C4917"/>
    <w:rsid w:val="005D0F74"/>
    <w:rsid w:val="005D10FD"/>
    <w:rsid w:val="005D2E7D"/>
    <w:rsid w:val="005D4A8F"/>
    <w:rsid w:val="005D561B"/>
    <w:rsid w:val="005D5ECF"/>
    <w:rsid w:val="005F3557"/>
    <w:rsid w:val="005F379D"/>
    <w:rsid w:val="005F468D"/>
    <w:rsid w:val="005F69A3"/>
    <w:rsid w:val="00604CC7"/>
    <w:rsid w:val="00615423"/>
    <w:rsid w:val="006165B2"/>
    <w:rsid w:val="00617276"/>
    <w:rsid w:val="0062527B"/>
    <w:rsid w:val="00625D97"/>
    <w:rsid w:val="00625F1C"/>
    <w:rsid w:val="006279E1"/>
    <w:rsid w:val="00630CEB"/>
    <w:rsid w:val="00632264"/>
    <w:rsid w:val="006470BC"/>
    <w:rsid w:val="006554D3"/>
    <w:rsid w:val="00667036"/>
    <w:rsid w:val="00673BDB"/>
    <w:rsid w:val="00674341"/>
    <w:rsid w:val="00676129"/>
    <w:rsid w:val="006771B8"/>
    <w:rsid w:val="00677A9E"/>
    <w:rsid w:val="006811B3"/>
    <w:rsid w:val="006843B6"/>
    <w:rsid w:val="0068481F"/>
    <w:rsid w:val="006926EF"/>
    <w:rsid w:val="00694AF9"/>
    <w:rsid w:val="00696F5D"/>
    <w:rsid w:val="00697249"/>
    <w:rsid w:val="006B03FA"/>
    <w:rsid w:val="006B2577"/>
    <w:rsid w:val="006B3947"/>
    <w:rsid w:val="006B4293"/>
    <w:rsid w:val="006B624F"/>
    <w:rsid w:val="006C0C95"/>
    <w:rsid w:val="006C31E3"/>
    <w:rsid w:val="006D11D0"/>
    <w:rsid w:val="006D18D3"/>
    <w:rsid w:val="006D78DC"/>
    <w:rsid w:val="006D7FB8"/>
    <w:rsid w:val="006E08CB"/>
    <w:rsid w:val="006E598D"/>
    <w:rsid w:val="006F6CED"/>
    <w:rsid w:val="00703FB3"/>
    <w:rsid w:val="0070437D"/>
    <w:rsid w:val="00704CF1"/>
    <w:rsid w:val="00705B04"/>
    <w:rsid w:val="00714DA1"/>
    <w:rsid w:val="00724992"/>
    <w:rsid w:val="00734820"/>
    <w:rsid w:val="007349DC"/>
    <w:rsid w:val="007422A4"/>
    <w:rsid w:val="0074365E"/>
    <w:rsid w:val="00744B55"/>
    <w:rsid w:val="00746702"/>
    <w:rsid w:val="00746C1A"/>
    <w:rsid w:val="00750274"/>
    <w:rsid w:val="007515FD"/>
    <w:rsid w:val="00752575"/>
    <w:rsid w:val="00760D80"/>
    <w:rsid w:val="00764767"/>
    <w:rsid w:val="0077773D"/>
    <w:rsid w:val="00780C09"/>
    <w:rsid w:val="00780DDF"/>
    <w:rsid w:val="007834E9"/>
    <w:rsid w:val="007860CF"/>
    <w:rsid w:val="00787DBC"/>
    <w:rsid w:val="0079019A"/>
    <w:rsid w:val="00792935"/>
    <w:rsid w:val="007974CA"/>
    <w:rsid w:val="007A04A1"/>
    <w:rsid w:val="007A1840"/>
    <w:rsid w:val="007B6B37"/>
    <w:rsid w:val="007B6FD1"/>
    <w:rsid w:val="007C004C"/>
    <w:rsid w:val="007C0528"/>
    <w:rsid w:val="007C143C"/>
    <w:rsid w:val="007C3D38"/>
    <w:rsid w:val="007D0F35"/>
    <w:rsid w:val="007D4FEB"/>
    <w:rsid w:val="007D6146"/>
    <w:rsid w:val="007E0CE7"/>
    <w:rsid w:val="007E4D06"/>
    <w:rsid w:val="007F1193"/>
    <w:rsid w:val="007F1D4D"/>
    <w:rsid w:val="007F417F"/>
    <w:rsid w:val="007F427A"/>
    <w:rsid w:val="007F4904"/>
    <w:rsid w:val="007F7644"/>
    <w:rsid w:val="00800D61"/>
    <w:rsid w:val="008042BD"/>
    <w:rsid w:val="0081148A"/>
    <w:rsid w:val="00812583"/>
    <w:rsid w:val="00814F8F"/>
    <w:rsid w:val="00816624"/>
    <w:rsid w:val="00822427"/>
    <w:rsid w:val="00822562"/>
    <w:rsid w:val="00823663"/>
    <w:rsid w:val="00824759"/>
    <w:rsid w:val="00825232"/>
    <w:rsid w:val="00832DDC"/>
    <w:rsid w:val="0083630F"/>
    <w:rsid w:val="00836AC2"/>
    <w:rsid w:val="00846365"/>
    <w:rsid w:val="008474BE"/>
    <w:rsid w:val="00850BAC"/>
    <w:rsid w:val="0085200A"/>
    <w:rsid w:val="008541A3"/>
    <w:rsid w:val="008545BF"/>
    <w:rsid w:val="00854A3E"/>
    <w:rsid w:val="00855D08"/>
    <w:rsid w:val="008564F2"/>
    <w:rsid w:val="00860582"/>
    <w:rsid w:val="00870F53"/>
    <w:rsid w:val="00872C44"/>
    <w:rsid w:val="00874344"/>
    <w:rsid w:val="00875D77"/>
    <w:rsid w:val="00880D37"/>
    <w:rsid w:val="00882155"/>
    <w:rsid w:val="0088233B"/>
    <w:rsid w:val="00883C68"/>
    <w:rsid w:val="0088599E"/>
    <w:rsid w:val="00886C37"/>
    <w:rsid w:val="008902EA"/>
    <w:rsid w:val="00892D99"/>
    <w:rsid w:val="00893315"/>
    <w:rsid w:val="008954BD"/>
    <w:rsid w:val="008A1A5A"/>
    <w:rsid w:val="008B1597"/>
    <w:rsid w:val="008B62AE"/>
    <w:rsid w:val="008C04B5"/>
    <w:rsid w:val="008C14FA"/>
    <w:rsid w:val="008C7B0B"/>
    <w:rsid w:val="008D17CB"/>
    <w:rsid w:val="008D4057"/>
    <w:rsid w:val="008E1F19"/>
    <w:rsid w:val="008E3F14"/>
    <w:rsid w:val="008F2262"/>
    <w:rsid w:val="008F4D2B"/>
    <w:rsid w:val="008F5D82"/>
    <w:rsid w:val="008F7736"/>
    <w:rsid w:val="0090019E"/>
    <w:rsid w:val="00901086"/>
    <w:rsid w:val="00901C8A"/>
    <w:rsid w:val="00905886"/>
    <w:rsid w:val="009070D6"/>
    <w:rsid w:val="009076C6"/>
    <w:rsid w:val="0091019E"/>
    <w:rsid w:val="009106F1"/>
    <w:rsid w:val="00912404"/>
    <w:rsid w:val="009145D6"/>
    <w:rsid w:val="00920E64"/>
    <w:rsid w:val="00921C59"/>
    <w:rsid w:val="00922002"/>
    <w:rsid w:val="00924020"/>
    <w:rsid w:val="00926FB5"/>
    <w:rsid w:val="009271A7"/>
    <w:rsid w:val="0093242E"/>
    <w:rsid w:val="00932A9C"/>
    <w:rsid w:val="0093658B"/>
    <w:rsid w:val="009429FF"/>
    <w:rsid w:val="00945BD6"/>
    <w:rsid w:val="009479FB"/>
    <w:rsid w:val="00951C45"/>
    <w:rsid w:val="009532AC"/>
    <w:rsid w:val="00961591"/>
    <w:rsid w:val="00962C0E"/>
    <w:rsid w:val="009656F2"/>
    <w:rsid w:val="00966A08"/>
    <w:rsid w:val="00971207"/>
    <w:rsid w:val="00975CB4"/>
    <w:rsid w:val="00985FD8"/>
    <w:rsid w:val="009863B0"/>
    <w:rsid w:val="00986D0E"/>
    <w:rsid w:val="00987DE1"/>
    <w:rsid w:val="00990571"/>
    <w:rsid w:val="00994C75"/>
    <w:rsid w:val="00995493"/>
    <w:rsid w:val="0099673A"/>
    <w:rsid w:val="009A0A63"/>
    <w:rsid w:val="009A10AD"/>
    <w:rsid w:val="009A3330"/>
    <w:rsid w:val="009A7C96"/>
    <w:rsid w:val="009B3C79"/>
    <w:rsid w:val="009C3DB9"/>
    <w:rsid w:val="009D46E5"/>
    <w:rsid w:val="009D568A"/>
    <w:rsid w:val="009D7CAC"/>
    <w:rsid w:val="009E3FEA"/>
    <w:rsid w:val="009E42C6"/>
    <w:rsid w:val="009F04EC"/>
    <w:rsid w:val="009F2A7C"/>
    <w:rsid w:val="009F2C89"/>
    <w:rsid w:val="009F3B36"/>
    <w:rsid w:val="009F7A1D"/>
    <w:rsid w:val="00A019B9"/>
    <w:rsid w:val="00A033D7"/>
    <w:rsid w:val="00A034D3"/>
    <w:rsid w:val="00A05D5B"/>
    <w:rsid w:val="00A07EE0"/>
    <w:rsid w:val="00A114EB"/>
    <w:rsid w:val="00A12508"/>
    <w:rsid w:val="00A1282B"/>
    <w:rsid w:val="00A13A27"/>
    <w:rsid w:val="00A1642E"/>
    <w:rsid w:val="00A16B99"/>
    <w:rsid w:val="00A175B6"/>
    <w:rsid w:val="00A21835"/>
    <w:rsid w:val="00A2374B"/>
    <w:rsid w:val="00A27D0C"/>
    <w:rsid w:val="00A27D6E"/>
    <w:rsid w:val="00A328EC"/>
    <w:rsid w:val="00A33A51"/>
    <w:rsid w:val="00A35A8F"/>
    <w:rsid w:val="00A41CA6"/>
    <w:rsid w:val="00A47539"/>
    <w:rsid w:val="00A47927"/>
    <w:rsid w:val="00A47FFC"/>
    <w:rsid w:val="00A51AC6"/>
    <w:rsid w:val="00A5442F"/>
    <w:rsid w:val="00A54FF9"/>
    <w:rsid w:val="00A56765"/>
    <w:rsid w:val="00A675AC"/>
    <w:rsid w:val="00A703B8"/>
    <w:rsid w:val="00A7581F"/>
    <w:rsid w:val="00A76E55"/>
    <w:rsid w:val="00A838F4"/>
    <w:rsid w:val="00A91900"/>
    <w:rsid w:val="00A92FB1"/>
    <w:rsid w:val="00A95A0C"/>
    <w:rsid w:val="00AA2765"/>
    <w:rsid w:val="00AA5DB6"/>
    <w:rsid w:val="00AA77B5"/>
    <w:rsid w:val="00AB5D15"/>
    <w:rsid w:val="00AB6C5D"/>
    <w:rsid w:val="00AC3401"/>
    <w:rsid w:val="00AC51A7"/>
    <w:rsid w:val="00AC613E"/>
    <w:rsid w:val="00AD0D81"/>
    <w:rsid w:val="00AD2F53"/>
    <w:rsid w:val="00AD444B"/>
    <w:rsid w:val="00AD6C78"/>
    <w:rsid w:val="00AE2EAB"/>
    <w:rsid w:val="00AF0B70"/>
    <w:rsid w:val="00AF5F89"/>
    <w:rsid w:val="00AF73CB"/>
    <w:rsid w:val="00AF76DB"/>
    <w:rsid w:val="00B002D6"/>
    <w:rsid w:val="00B03379"/>
    <w:rsid w:val="00B04AEE"/>
    <w:rsid w:val="00B05B51"/>
    <w:rsid w:val="00B07806"/>
    <w:rsid w:val="00B130F3"/>
    <w:rsid w:val="00B14E5A"/>
    <w:rsid w:val="00B15370"/>
    <w:rsid w:val="00B16DA4"/>
    <w:rsid w:val="00B17BEB"/>
    <w:rsid w:val="00B17CE5"/>
    <w:rsid w:val="00B21A3C"/>
    <w:rsid w:val="00B223C0"/>
    <w:rsid w:val="00B227DB"/>
    <w:rsid w:val="00B234ED"/>
    <w:rsid w:val="00B249B2"/>
    <w:rsid w:val="00B25CA3"/>
    <w:rsid w:val="00B26C1A"/>
    <w:rsid w:val="00B2765A"/>
    <w:rsid w:val="00B27DCA"/>
    <w:rsid w:val="00B3109A"/>
    <w:rsid w:val="00B32E7C"/>
    <w:rsid w:val="00B41885"/>
    <w:rsid w:val="00B418E6"/>
    <w:rsid w:val="00B516ED"/>
    <w:rsid w:val="00B57A6A"/>
    <w:rsid w:val="00B64C76"/>
    <w:rsid w:val="00B720C4"/>
    <w:rsid w:val="00B74D68"/>
    <w:rsid w:val="00B760F1"/>
    <w:rsid w:val="00B7669E"/>
    <w:rsid w:val="00B77DA1"/>
    <w:rsid w:val="00B822A0"/>
    <w:rsid w:val="00B858AE"/>
    <w:rsid w:val="00B85964"/>
    <w:rsid w:val="00B91907"/>
    <w:rsid w:val="00B92B8A"/>
    <w:rsid w:val="00B9329C"/>
    <w:rsid w:val="00B9419A"/>
    <w:rsid w:val="00B94425"/>
    <w:rsid w:val="00B96250"/>
    <w:rsid w:val="00B97FFB"/>
    <w:rsid w:val="00BA0D55"/>
    <w:rsid w:val="00BA24A3"/>
    <w:rsid w:val="00BA37B3"/>
    <w:rsid w:val="00BA4CC6"/>
    <w:rsid w:val="00BB3493"/>
    <w:rsid w:val="00BB479A"/>
    <w:rsid w:val="00BB7468"/>
    <w:rsid w:val="00BC188A"/>
    <w:rsid w:val="00BC402E"/>
    <w:rsid w:val="00BD0F48"/>
    <w:rsid w:val="00BD55BD"/>
    <w:rsid w:val="00BD5BE1"/>
    <w:rsid w:val="00BE0B3C"/>
    <w:rsid w:val="00BE2780"/>
    <w:rsid w:val="00BE5BE5"/>
    <w:rsid w:val="00BF2811"/>
    <w:rsid w:val="00BF442B"/>
    <w:rsid w:val="00BF5010"/>
    <w:rsid w:val="00C03D5F"/>
    <w:rsid w:val="00C042D7"/>
    <w:rsid w:val="00C13791"/>
    <w:rsid w:val="00C2163C"/>
    <w:rsid w:val="00C31BB3"/>
    <w:rsid w:val="00C36977"/>
    <w:rsid w:val="00C467DA"/>
    <w:rsid w:val="00C477D9"/>
    <w:rsid w:val="00C5618B"/>
    <w:rsid w:val="00C60BA3"/>
    <w:rsid w:val="00C623F7"/>
    <w:rsid w:val="00C71189"/>
    <w:rsid w:val="00C75874"/>
    <w:rsid w:val="00C75BC5"/>
    <w:rsid w:val="00C81670"/>
    <w:rsid w:val="00C81773"/>
    <w:rsid w:val="00C82861"/>
    <w:rsid w:val="00C86896"/>
    <w:rsid w:val="00C907A8"/>
    <w:rsid w:val="00C93211"/>
    <w:rsid w:val="00C942EC"/>
    <w:rsid w:val="00C96047"/>
    <w:rsid w:val="00C979D0"/>
    <w:rsid w:val="00CA0818"/>
    <w:rsid w:val="00CA15C8"/>
    <w:rsid w:val="00CA2432"/>
    <w:rsid w:val="00CA2C8F"/>
    <w:rsid w:val="00CA30DA"/>
    <w:rsid w:val="00CA3A24"/>
    <w:rsid w:val="00CA5308"/>
    <w:rsid w:val="00CB1777"/>
    <w:rsid w:val="00CB33E9"/>
    <w:rsid w:val="00CB6150"/>
    <w:rsid w:val="00CC10A9"/>
    <w:rsid w:val="00CD055A"/>
    <w:rsid w:val="00CD61BA"/>
    <w:rsid w:val="00CD64BE"/>
    <w:rsid w:val="00CD6B85"/>
    <w:rsid w:val="00CE2BF8"/>
    <w:rsid w:val="00CE484E"/>
    <w:rsid w:val="00CE656F"/>
    <w:rsid w:val="00CF0DA8"/>
    <w:rsid w:val="00CF2E25"/>
    <w:rsid w:val="00CF4453"/>
    <w:rsid w:val="00CF5D94"/>
    <w:rsid w:val="00CF7E0F"/>
    <w:rsid w:val="00D034D7"/>
    <w:rsid w:val="00D04BE4"/>
    <w:rsid w:val="00D06A51"/>
    <w:rsid w:val="00D06FC7"/>
    <w:rsid w:val="00D07991"/>
    <w:rsid w:val="00D12565"/>
    <w:rsid w:val="00D14127"/>
    <w:rsid w:val="00D14B38"/>
    <w:rsid w:val="00D205C8"/>
    <w:rsid w:val="00D231CB"/>
    <w:rsid w:val="00D2566B"/>
    <w:rsid w:val="00D31339"/>
    <w:rsid w:val="00D373C4"/>
    <w:rsid w:val="00D47365"/>
    <w:rsid w:val="00D478FE"/>
    <w:rsid w:val="00D51336"/>
    <w:rsid w:val="00D52987"/>
    <w:rsid w:val="00D564B1"/>
    <w:rsid w:val="00D57ECC"/>
    <w:rsid w:val="00D60B16"/>
    <w:rsid w:val="00D60F02"/>
    <w:rsid w:val="00D63DDE"/>
    <w:rsid w:val="00D6605A"/>
    <w:rsid w:val="00D66E49"/>
    <w:rsid w:val="00D70D71"/>
    <w:rsid w:val="00D71610"/>
    <w:rsid w:val="00D71BF1"/>
    <w:rsid w:val="00D72F74"/>
    <w:rsid w:val="00D73664"/>
    <w:rsid w:val="00D77173"/>
    <w:rsid w:val="00D81563"/>
    <w:rsid w:val="00D85888"/>
    <w:rsid w:val="00D85907"/>
    <w:rsid w:val="00D87D6C"/>
    <w:rsid w:val="00D9073E"/>
    <w:rsid w:val="00D9221D"/>
    <w:rsid w:val="00D958DF"/>
    <w:rsid w:val="00D96DA1"/>
    <w:rsid w:val="00DA355C"/>
    <w:rsid w:val="00DA51E7"/>
    <w:rsid w:val="00DB0260"/>
    <w:rsid w:val="00DB1C78"/>
    <w:rsid w:val="00DB22E5"/>
    <w:rsid w:val="00DB4B5D"/>
    <w:rsid w:val="00DB7D96"/>
    <w:rsid w:val="00DC0379"/>
    <w:rsid w:val="00DC23FE"/>
    <w:rsid w:val="00DC59E6"/>
    <w:rsid w:val="00DD150B"/>
    <w:rsid w:val="00DD1A9F"/>
    <w:rsid w:val="00DD4FCD"/>
    <w:rsid w:val="00DD5025"/>
    <w:rsid w:val="00DE06FB"/>
    <w:rsid w:val="00DE09ED"/>
    <w:rsid w:val="00DE37E3"/>
    <w:rsid w:val="00DF1510"/>
    <w:rsid w:val="00E02F1F"/>
    <w:rsid w:val="00E0399E"/>
    <w:rsid w:val="00E06484"/>
    <w:rsid w:val="00E15F95"/>
    <w:rsid w:val="00E20A7D"/>
    <w:rsid w:val="00E275D8"/>
    <w:rsid w:val="00E30857"/>
    <w:rsid w:val="00E30F6A"/>
    <w:rsid w:val="00E3117C"/>
    <w:rsid w:val="00E375CA"/>
    <w:rsid w:val="00E4164A"/>
    <w:rsid w:val="00E41CD7"/>
    <w:rsid w:val="00E42782"/>
    <w:rsid w:val="00E43CEF"/>
    <w:rsid w:val="00E46F8E"/>
    <w:rsid w:val="00E53918"/>
    <w:rsid w:val="00E54EE9"/>
    <w:rsid w:val="00E567E8"/>
    <w:rsid w:val="00E6014E"/>
    <w:rsid w:val="00E62B1F"/>
    <w:rsid w:val="00E64679"/>
    <w:rsid w:val="00E65EBC"/>
    <w:rsid w:val="00E677FE"/>
    <w:rsid w:val="00E73432"/>
    <w:rsid w:val="00E77B0C"/>
    <w:rsid w:val="00E77FB8"/>
    <w:rsid w:val="00E82B1E"/>
    <w:rsid w:val="00E838B0"/>
    <w:rsid w:val="00E83FBD"/>
    <w:rsid w:val="00E84ABF"/>
    <w:rsid w:val="00E86A7C"/>
    <w:rsid w:val="00E878E1"/>
    <w:rsid w:val="00E87F2C"/>
    <w:rsid w:val="00E931A1"/>
    <w:rsid w:val="00E94B9F"/>
    <w:rsid w:val="00E94D7E"/>
    <w:rsid w:val="00E95278"/>
    <w:rsid w:val="00E96957"/>
    <w:rsid w:val="00EA02AB"/>
    <w:rsid w:val="00EA2273"/>
    <w:rsid w:val="00EA2981"/>
    <w:rsid w:val="00EA7C3C"/>
    <w:rsid w:val="00EB2DB3"/>
    <w:rsid w:val="00EB7043"/>
    <w:rsid w:val="00EC1F49"/>
    <w:rsid w:val="00EC3FBB"/>
    <w:rsid w:val="00EC6B7A"/>
    <w:rsid w:val="00ED3A87"/>
    <w:rsid w:val="00ED43F6"/>
    <w:rsid w:val="00ED5962"/>
    <w:rsid w:val="00ED5B67"/>
    <w:rsid w:val="00ED5E68"/>
    <w:rsid w:val="00ED7A1D"/>
    <w:rsid w:val="00EE0B1E"/>
    <w:rsid w:val="00EE1A31"/>
    <w:rsid w:val="00EE1BD1"/>
    <w:rsid w:val="00EF264C"/>
    <w:rsid w:val="00EF3FEE"/>
    <w:rsid w:val="00F04B59"/>
    <w:rsid w:val="00F11741"/>
    <w:rsid w:val="00F12B1C"/>
    <w:rsid w:val="00F13CF8"/>
    <w:rsid w:val="00F15855"/>
    <w:rsid w:val="00F32978"/>
    <w:rsid w:val="00F346E4"/>
    <w:rsid w:val="00F43C2F"/>
    <w:rsid w:val="00F4500F"/>
    <w:rsid w:val="00F45CB2"/>
    <w:rsid w:val="00F47216"/>
    <w:rsid w:val="00F474B2"/>
    <w:rsid w:val="00F50BEA"/>
    <w:rsid w:val="00F529F1"/>
    <w:rsid w:val="00F544C0"/>
    <w:rsid w:val="00F55332"/>
    <w:rsid w:val="00F61833"/>
    <w:rsid w:val="00F62E53"/>
    <w:rsid w:val="00F6504A"/>
    <w:rsid w:val="00F65519"/>
    <w:rsid w:val="00F655CA"/>
    <w:rsid w:val="00F668BC"/>
    <w:rsid w:val="00F713C0"/>
    <w:rsid w:val="00F73837"/>
    <w:rsid w:val="00F75DDC"/>
    <w:rsid w:val="00F7792F"/>
    <w:rsid w:val="00F842AA"/>
    <w:rsid w:val="00F8476F"/>
    <w:rsid w:val="00F853E1"/>
    <w:rsid w:val="00F85604"/>
    <w:rsid w:val="00F85EFA"/>
    <w:rsid w:val="00F87732"/>
    <w:rsid w:val="00F9041A"/>
    <w:rsid w:val="00F9338B"/>
    <w:rsid w:val="00F9415B"/>
    <w:rsid w:val="00F94B7A"/>
    <w:rsid w:val="00F95806"/>
    <w:rsid w:val="00FA17AC"/>
    <w:rsid w:val="00FA32DE"/>
    <w:rsid w:val="00FA3382"/>
    <w:rsid w:val="00FA4D52"/>
    <w:rsid w:val="00FA59CD"/>
    <w:rsid w:val="00FB1740"/>
    <w:rsid w:val="00FC5469"/>
    <w:rsid w:val="00FC570B"/>
    <w:rsid w:val="00FC61BF"/>
    <w:rsid w:val="00FC68BE"/>
    <w:rsid w:val="00FC6D7D"/>
    <w:rsid w:val="00FC73B1"/>
    <w:rsid w:val="00FD16B0"/>
    <w:rsid w:val="00FD17CA"/>
    <w:rsid w:val="00FD2386"/>
    <w:rsid w:val="00FD4FED"/>
    <w:rsid w:val="00FE0577"/>
    <w:rsid w:val="00FE3F36"/>
    <w:rsid w:val="00FE59EC"/>
    <w:rsid w:val="00FE5B67"/>
    <w:rsid w:val="00FE60D6"/>
    <w:rsid w:val="00FE6666"/>
    <w:rsid w:val="00FE769C"/>
    <w:rsid w:val="00FF0B45"/>
    <w:rsid w:val="00FF1F56"/>
    <w:rsid w:val="00FF69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uiPriority w:val="99"/>
    <w:unhideWhenUsed/>
    <w:rsid w:val="00BB479A"/>
    <w:rPr>
      <w:vertAlign w:val="superscript"/>
    </w:rPr>
  </w:style>
  <w:style w:type="character" w:customStyle="1" w:styleId="FootnoteTextChar">
    <w:name w:val="Footnote Text Char"/>
    <w:basedOn w:val="DefaultParagraphFont"/>
    <w:link w:val="FootnoteText"/>
    <w:uiPriority w:val="99"/>
    <w:rsid w:val="00BB47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uiPriority w:val="99"/>
    <w:unhideWhenUsed/>
    <w:rsid w:val="00BB479A"/>
    <w:rPr>
      <w:vertAlign w:val="superscript"/>
    </w:rPr>
  </w:style>
  <w:style w:type="character" w:customStyle="1" w:styleId="FootnoteTextChar">
    <w:name w:val="Footnote Text Char"/>
    <w:basedOn w:val="DefaultParagraphFont"/>
    <w:link w:val="FootnoteText"/>
    <w:uiPriority w:val="99"/>
    <w:rsid w:val="00BB47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4C9A3C-48E9-4FF5-A3D6-68BBB2525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7</Pages>
  <Words>2009</Words>
  <Characters>11454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13437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Daniel Lee</dc:creator>
  <cp:lastModifiedBy>Joann Parsons</cp:lastModifiedBy>
  <cp:revision>2</cp:revision>
  <cp:lastPrinted>2018-09-28T13:42:00Z</cp:lastPrinted>
  <dcterms:created xsi:type="dcterms:W3CDTF">2018-09-28T13:45:00Z</dcterms:created>
  <dcterms:modified xsi:type="dcterms:W3CDTF">2018-09-28T13:45:00Z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20180152-EQ</vt:lpwstr>
  </property>
  <property fmtid="{D5CDD505-2E9C-101B-9397-08002B2CF9AE}" pid="3" name="MasterDocument">
    <vt:bool>false</vt:bool>
  </property>
</Properties>
</file>