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FA2371">
            <w:pPr>
              <w:pStyle w:val="MastHeadState"/>
            </w:pPr>
            <w:bookmarkStart w:id="0" w:name="_GoBack"/>
            <w:bookmarkEnd w:id="0"/>
            <w:r>
              <w:t>State of Florida</w:t>
            </w:r>
          </w:p>
          <w:p w:rsidR="007C0528" w:rsidRDefault="0017463F">
            <w:pPr>
              <w:jc w:val="center"/>
            </w:pPr>
            <w:r>
              <w:rPr>
                <w:noProof/>
              </w:rPr>
              <w:drawing>
                <wp:inline distT="0" distB="0" distL="0" distR="0">
                  <wp:extent cx="922020" cy="914400"/>
                  <wp:effectExtent l="0" t="0" r="0"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2020"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C846DE">
            <w:pPr>
              <w:pStyle w:val="MemoHeading"/>
            </w:pPr>
            <w:bookmarkStart w:id="1" w:name="FilingDate"/>
            <w:r>
              <w:t>October 18, 2018</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C846DE" w:rsidRDefault="00C846DE">
            <w:pPr>
              <w:pStyle w:val="MemoHeading"/>
            </w:pPr>
            <w:bookmarkStart w:id="2" w:name="From"/>
            <w:r>
              <w:t>Division of Economics (Merryday)</w:t>
            </w:r>
          </w:p>
          <w:p w:rsidR="00C846DE" w:rsidRDefault="00C846DE">
            <w:pPr>
              <w:pStyle w:val="MemoHeading"/>
            </w:pPr>
            <w:r>
              <w:t xml:space="preserve">Division of Accounting and Finance </w:t>
            </w:r>
            <w:r w:rsidRPr="008918C0">
              <w:t>(</w:t>
            </w:r>
            <w:r w:rsidR="00DA3FC4">
              <w:t xml:space="preserve">D. </w:t>
            </w:r>
            <w:r w:rsidRPr="008918C0">
              <w:t>Buys, Cicchetti)</w:t>
            </w:r>
          </w:p>
          <w:p w:rsidR="007C0528" w:rsidRDefault="00C846DE">
            <w:pPr>
              <w:pStyle w:val="MemoHeading"/>
            </w:pPr>
            <w:r>
              <w:t>Office of the General Counsel (Davis)</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C846DE">
            <w:pPr>
              <w:pStyle w:val="MemoHeadingRe"/>
            </w:pPr>
            <w:bookmarkStart w:id="3" w:name="Re"/>
            <w:r>
              <w:t>Docket No. 20180163-GU – Joint petition for approval of GRIP cost recovery factors, by Florida Public Utilities Company, Florida Public Utilities Company-Fort Meade, and Florida Division of Chesapeake Utilities Corporation.</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C846DE">
            <w:pPr>
              <w:pStyle w:val="MemoHeading"/>
            </w:pPr>
            <w:bookmarkStart w:id="4" w:name="AgendaDate"/>
            <w:r>
              <w:t>10/30/18</w:t>
            </w:r>
            <w:bookmarkEnd w:id="4"/>
            <w:r w:rsidR="007C0528">
              <w:t xml:space="preserve"> – </w:t>
            </w:r>
            <w:bookmarkStart w:id="5" w:name="PermittedStatus"/>
            <w:r>
              <w:t>Regular Agenda – Tariff Filing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C846DE">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C846DE">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Pr="00C846DE" w:rsidRDefault="00646A59">
            <w:pPr>
              <w:pStyle w:val="MemoHeading"/>
              <w:rPr>
                <w:highlight w:val="yellow"/>
              </w:rPr>
            </w:pPr>
            <w:bookmarkStart w:id="9" w:name="CriticalDates"/>
            <w:r>
              <w:t>11/5</w:t>
            </w:r>
            <w:r w:rsidR="008918C0" w:rsidRPr="008918C0">
              <w:t>/2018</w:t>
            </w:r>
            <w:r w:rsidR="00C846DE" w:rsidRPr="008918C0">
              <w:t xml:space="preserve"> (60-Day Suspension Date)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C846DE">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4700B9" w:rsidRDefault="00C846DE">
      <w:pPr>
        <w:pStyle w:val="BodyText"/>
      </w:pPr>
      <w:r>
        <w:t xml:space="preserve">On September 4, 2018, Florida Public Utilities Company (FPUC), Florida Public Utilities Company-Fort Meade (Fort Meade), and Florida Division of Chesapeake Utilities Corporation (Chesapeake), collectively the </w:t>
      </w:r>
      <w:r w:rsidR="008A0D7D">
        <w:t>companies</w:t>
      </w:r>
      <w:r>
        <w:t>, filed a joint petition for approval of their gas reliability infrastructure program (GRIP or program) cost recovery factors for the period January through December 2019. The GRIP for FPUC and Chesapeake was first approved in Order No. PSC-12-0490-TRF-GU (2012 order) to recover the cost of accelerating the replacement of cast iron and bare steel distribution mains and services</w:t>
      </w:r>
      <w:r w:rsidR="00502029">
        <w:t>, including a return on investment,</w:t>
      </w:r>
      <w:r>
        <w:t xml:space="preserve"> through a surcharge on customers’ bills.</w:t>
      </w:r>
      <w:r>
        <w:rPr>
          <w:rStyle w:val="FootnoteReference"/>
        </w:rPr>
        <w:footnoteReference w:id="1"/>
      </w:r>
      <w:r w:rsidR="0017463F">
        <w:t xml:space="preserve"> Fort Meade’s GRIP </w:t>
      </w:r>
      <w:r w:rsidR="00502029">
        <w:t xml:space="preserve">was </w:t>
      </w:r>
      <w:r w:rsidR="0017463F">
        <w:t xml:space="preserve">originally </w:t>
      </w:r>
      <w:r w:rsidR="00502029">
        <w:t>approved in Order No. PSC-</w:t>
      </w:r>
      <w:r w:rsidR="00502029">
        <w:lastRenderedPageBreak/>
        <w:t xml:space="preserve">15-0578-TRF-GU, and </w:t>
      </w:r>
      <w:r w:rsidR="00375ABB">
        <w:t>allowed</w:t>
      </w:r>
      <w:r w:rsidR="00502029">
        <w:t xml:space="preserve"> Fort Meade to file its </w:t>
      </w:r>
      <w:r w:rsidR="0017463F">
        <w:t xml:space="preserve">annual </w:t>
      </w:r>
      <w:r w:rsidR="00502029">
        <w:t>petition for GRIP factors concurrently with FPUC and Chesapeake.</w:t>
      </w:r>
      <w:r w:rsidR="00502029">
        <w:rPr>
          <w:rStyle w:val="FootnoteReference"/>
        </w:rPr>
        <w:footnoteReference w:id="2"/>
      </w:r>
      <w:r w:rsidR="00AB4838">
        <w:t xml:space="preserve"> The current GRIP charges for January through December 2018 were approved</w:t>
      </w:r>
      <w:r w:rsidR="00123B82">
        <w:t xml:space="preserve"> in Order No. </w:t>
      </w:r>
      <w:proofErr w:type="gramStart"/>
      <w:r w:rsidR="00123B82">
        <w:t>PSC-2017-0437-TRF-GU.</w:t>
      </w:r>
      <w:proofErr w:type="gramEnd"/>
      <w:r w:rsidR="00123B82">
        <w:rPr>
          <w:rStyle w:val="FootnoteReference"/>
        </w:rPr>
        <w:footnoteReference w:id="3"/>
      </w:r>
    </w:p>
    <w:p w:rsidR="004700B9" w:rsidRPr="00434B0F" w:rsidRDefault="004700B9">
      <w:pPr>
        <w:pStyle w:val="BodyText"/>
        <w:rPr>
          <w:vertAlign w:val="subscript"/>
        </w:rPr>
      </w:pPr>
      <w:r>
        <w:t>On September 28, 2018, the compan</w:t>
      </w:r>
      <w:r w:rsidR="00B93B19">
        <w:t>ies</w:t>
      </w:r>
      <w:r>
        <w:t xml:space="preserve"> filed responses to staff’s first data request</w:t>
      </w:r>
      <w:r w:rsidR="00B93B19">
        <w:t xml:space="preserve"> and on October 8, 2018, the companies filed responses to staff’s second data request</w:t>
      </w:r>
      <w:r>
        <w:t xml:space="preserve">. The Office of Public Counsel intervened in this docket on </w:t>
      </w:r>
      <w:r w:rsidR="00434B0F">
        <w:t xml:space="preserve">September 14, 2018, which was acknowledged by Order No. </w:t>
      </w:r>
      <w:r w:rsidR="00310CF0">
        <w:t>PSC-2018-0502-PCO-GU</w:t>
      </w:r>
      <w:r w:rsidR="00434B0F">
        <w:t xml:space="preserve">, issued </w:t>
      </w:r>
      <w:r w:rsidR="00310CF0">
        <w:t>October 18</w:t>
      </w:r>
      <w:r w:rsidR="00434B0F">
        <w:t>, 2018.</w:t>
      </w:r>
      <w:r w:rsidR="00E64056">
        <w:t xml:space="preserve"> The proposed tariff sheets are contained in Attachment </w:t>
      </w:r>
      <w:r w:rsidR="003B6A01">
        <w:t>B</w:t>
      </w:r>
      <w:r w:rsidR="00E64056">
        <w:t xml:space="preserve"> (</w:t>
      </w:r>
      <w:r w:rsidR="00C76C59">
        <w:t>FPUC</w:t>
      </w:r>
      <w:r w:rsidR="00E64056">
        <w:t xml:space="preserve">), Attachment </w:t>
      </w:r>
      <w:r w:rsidR="003B6A01">
        <w:t>C</w:t>
      </w:r>
      <w:r w:rsidR="00E64056">
        <w:t xml:space="preserve"> (</w:t>
      </w:r>
      <w:r w:rsidR="00C76C59">
        <w:t>Chesapeake</w:t>
      </w:r>
      <w:r w:rsidR="00E64056">
        <w:t xml:space="preserve">), and Attachment </w:t>
      </w:r>
      <w:r w:rsidR="003B6A01">
        <w:t>D</w:t>
      </w:r>
      <w:r w:rsidR="00E64056">
        <w:t xml:space="preserve"> (Fort Meade). The Commission has jurisdiction over this matter pursuant to Sections 366.03, 366.04, 366.05, and 366.06, Florida Statutes. </w:t>
      </w:r>
    </w:p>
    <w:p w:rsidR="007C0528" w:rsidRDefault="007C0528" w:rsidP="0068481F"/>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BF3968" w:rsidRDefault="00BF3968">
      <w:pPr>
        <w:pStyle w:val="IssueHeading"/>
        <w:rPr>
          <w:vanish/>
          <w:specVanish/>
        </w:rPr>
      </w:pPr>
      <w:r w:rsidRPr="004C3641">
        <w:t xml:space="preserve">Issue </w:t>
      </w:r>
      <w:r w:rsidR="00611AB3">
        <w:fldChar w:fldCharType="begin"/>
      </w:r>
      <w:r w:rsidR="00611AB3">
        <w:instrText xml:space="preserve"> SEQ Issue \* MERGEFORMAT </w:instrText>
      </w:r>
      <w:r w:rsidR="00611AB3">
        <w:fldChar w:fldCharType="separate"/>
      </w:r>
      <w:r w:rsidR="00767E1D">
        <w:rPr>
          <w:noProof/>
        </w:rPr>
        <w:t>1</w:t>
      </w:r>
      <w:r w:rsidR="00611AB3">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767E1D">
        <w:rPr>
          <w:noProof/>
        </w:rPr>
        <w:instrText>1</w:instrText>
      </w:r>
      <w:r>
        <w:fldChar w:fldCharType="end"/>
      </w:r>
      <w:r>
        <w:tab/>
        <w:instrText xml:space="preserve">" \l 1 </w:instrText>
      </w:r>
      <w:r>
        <w:fldChar w:fldCharType="end"/>
      </w:r>
      <w:r>
        <w:t> </w:t>
      </w:r>
    </w:p>
    <w:p w:rsidR="00BF3968" w:rsidRDefault="00BF3968">
      <w:pPr>
        <w:pStyle w:val="BodyText"/>
      </w:pPr>
      <w:r>
        <w:t> Sho</w:t>
      </w:r>
      <w:r w:rsidR="00BC0F8D">
        <w:t>uld the Commission approve FPUC’</w:t>
      </w:r>
      <w:r>
        <w:t xml:space="preserve">s, </w:t>
      </w:r>
      <w:r w:rsidR="00BC0F8D">
        <w:t>Chesapeake’s, and Fort Meade’</w:t>
      </w:r>
      <w:r>
        <w:t>s proposed GRIP surcharges for</w:t>
      </w:r>
      <w:r w:rsidR="00BC00E4">
        <w:t xml:space="preserve"> the period January through December</w:t>
      </w:r>
      <w:r>
        <w:t xml:space="preserve"> 2019?</w:t>
      </w:r>
    </w:p>
    <w:p w:rsidR="00BF3968" w:rsidRPr="004C3641" w:rsidRDefault="00BF3968">
      <w:pPr>
        <w:pStyle w:val="IssueSubsectionHeading"/>
        <w:rPr>
          <w:vanish/>
          <w:specVanish/>
        </w:rPr>
      </w:pPr>
      <w:r w:rsidRPr="004C3641">
        <w:t>Recommendation: </w:t>
      </w:r>
    </w:p>
    <w:p w:rsidR="00BF3968" w:rsidRDefault="00BF3968">
      <w:pPr>
        <w:pStyle w:val="BodyText"/>
      </w:pPr>
      <w:r>
        <w:t> Yes, the</w:t>
      </w:r>
      <w:r w:rsidR="00375ABB">
        <w:t xml:space="preserve"> Commission should approve FPUC’s, Chesapeake’s, and Fort Meade’</w:t>
      </w:r>
      <w:r>
        <w:t>s proposed GRIP surcharge</w:t>
      </w:r>
      <w:r w:rsidR="00B93B19">
        <w:t>s for the</w:t>
      </w:r>
      <w:r>
        <w:t xml:space="preserve"> period January </w:t>
      </w:r>
      <w:r w:rsidR="00B93B19">
        <w:t>through</w:t>
      </w:r>
      <w:r w:rsidR="003B6A01">
        <w:t xml:space="preserve"> </w:t>
      </w:r>
      <w:r>
        <w:t>December 2019. (Merryday)</w:t>
      </w:r>
    </w:p>
    <w:p w:rsidR="00BF3968" w:rsidRPr="004C3641" w:rsidRDefault="00BF3968">
      <w:pPr>
        <w:pStyle w:val="IssueSubsectionHeading"/>
        <w:rPr>
          <w:vanish/>
          <w:specVanish/>
        </w:rPr>
      </w:pPr>
      <w:r w:rsidRPr="004C3641">
        <w:t>Staff Analysis: </w:t>
      </w:r>
    </w:p>
    <w:p w:rsidR="00276A52" w:rsidRDefault="00BF3968">
      <w:pPr>
        <w:pStyle w:val="BodyText"/>
      </w:pPr>
      <w:r>
        <w:t> </w:t>
      </w:r>
      <w:r w:rsidR="00A20279">
        <w:t xml:space="preserve">The GRIP </w:t>
      </w:r>
      <w:r w:rsidR="00B93B19">
        <w:t>surcharges</w:t>
      </w:r>
      <w:r w:rsidR="00A20279">
        <w:t xml:space="preserve"> have been in place since January 2013 for FPUC and Chesapeake, </w:t>
      </w:r>
      <w:r w:rsidR="003B6A01">
        <w:t>while Fort Meade’s surcharges were</w:t>
      </w:r>
      <w:r w:rsidR="00A20279">
        <w:t xml:space="preserve"> first implemented in January 2017. </w:t>
      </w:r>
      <w:r w:rsidR="00C76C59">
        <w:t xml:space="preserve">In response to staff’s data requests, the </w:t>
      </w:r>
      <w:r w:rsidR="008A0D7D">
        <w:t>companies</w:t>
      </w:r>
      <w:r w:rsidR="00C76C59">
        <w:t xml:space="preserve"> stated that replacement projects in Winter</w:t>
      </w:r>
      <w:r w:rsidR="008A0D7D">
        <w:t xml:space="preserve"> Haven, Eagle Lake, Lake Wales</w:t>
      </w:r>
      <w:r w:rsidR="00C76C59">
        <w:t xml:space="preserve">, West Palm Beach, </w:t>
      </w:r>
      <w:r w:rsidR="008A0D7D">
        <w:t xml:space="preserve">and </w:t>
      </w:r>
      <w:r w:rsidR="00C76C59">
        <w:t>Palm Beach</w:t>
      </w:r>
      <w:r w:rsidR="008A0D7D">
        <w:t xml:space="preserve"> were completed in 2018 and </w:t>
      </w:r>
      <w:r w:rsidR="00646A59">
        <w:t xml:space="preserve">additional </w:t>
      </w:r>
      <w:r w:rsidR="008A0D7D">
        <w:t>replacement proje</w:t>
      </w:r>
      <w:r w:rsidR="00B0110F">
        <w:t>cts in Winter Haven, Bartow, West Palm Be</w:t>
      </w:r>
      <w:r w:rsidR="008A0D7D">
        <w:t>ach</w:t>
      </w:r>
      <w:r w:rsidR="00B0110F">
        <w:t xml:space="preserve">, Lake Worth, Haines City, and Fort Meade </w:t>
      </w:r>
      <w:r w:rsidR="008A0D7D">
        <w:t xml:space="preserve">were </w:t>
      </w:r>
      <w:r w:rsidR="008A0D7D" w:rsidRPr="008A0D7D">
        <w:t>projected</w:t>
      </w:r>
      <w:r w:rsidR="008A0D7D">
        <w:t xml:space="preserve"> to continue</w:t>
      </w:r>
      <w:r w:rsidR="008A0D7D" w:rsidRPr="008A0D7D">
        <w:t xml:space="preserve"> into 2019.</w:t>
      </w:r>
      <w:r w:rsidR="008A0D7D">
        <w:t xml:space="preserve"> </w:t>
      </w:r>
      <w:r w:rsidR="003B6A01">
        <w:t xml:space="preserve">Attachment A provides an update of mains and services replaced and replacement forecasts. </w:t>
      </w:r>
      <w:r w:rsidR="008A0D7D">
        <w:t>The companies stated that they prioritize the potential replacement projects focusing on areas of high consequence</w:t>
      </w:r>
      <w:r w:rsidR="00B93B19">
        <w:t xml:space="preserve"> and areas more susceptible to corrosion</w:t>
      </w:r>
      <w:r w:rsidR="008A0D7D">
        <w:t>.</w:t>
      </w:r>
      <w:r w:rsidR="00276A52">
        <w:t xml:space="preserve"> </w:t>
      </w:r>
    </w:p>
    <w:p w:rsidR="00A20279" w:rsidRDefault="00E16F9A">
      <w:pPr>
        <w:pStyle w:val="BodyText"/>
      </w:pPr>
      <w:r>
        <w:t>T</w:t>
      </w:r>
      <w:r w:rsidR="00646A59">
        <w:t xml:space="preserve">he </w:t>
      </w:r>
      <w:r>
        <w:t xml:space="preserve">Commission’s </w:t>
      </w:r>
      <w:r w:rsidR="00646A59">
        <w:t xml:space="preserve">2012 </w:t>
      </w:r>
      <w:r>
        <w:t>o</w:t>
      </w:r>
      <w:r w:rsidR="00646A59">
        <w:t>rder</w:t>
      </w:r>
      <w:r>
        <w:t xml:space="preserve"> states that</w:t>
      </w:r>
      <w:r w:rsidR="00646A59">
        <w:t xml:space="preserve"> </w:t>
      </w:r>
      <w:r w:rsidR="00A20279">
        <w:t>FPUC</w:t>
      </w:r>
      <w:r w:rsidR="00B93B19">
        <w:t xml:space="preserve"> and </w:t>
      </w:r>
      <w:r w:rsidR="00A20279">
        <w:t>Chesapeake</w:t>
      </w:r>
      <w:r w:rsidR="007B22CD">
        <w:t xml:space="preserve"> agreed to report any </w:t>
      </w:r>
      <w:r w:rsidR="00B93B19">
        <w:t>o</w:t>
      </w:r>
      <w:r w:rsidR="007B22CD">
        <w:t xml:space="preserve">perations and </w:t>
      </w:r>
      <w:r w:rsidR="00B93B19">
        <w:t>m</w:t>
      </w:r>
      <w:r w:rsidR="007B22CD">
        <w:t xml:space="preserve">aintenance and depreciation expense savings in their annual petitions for the GRIP surcharge. </w:t>
      </w:r>
      <w:r w:rsidR="00B93B19">
        <w:t>I</w:t>
      </w:r>
      <w:r w:rsidR="00B0110F">
        <w:t xml:space="preserve">n response to staff’s second data request, the companies </w:t>
      </w:r>
      <w:r w:rsidR="00646A59">
        <w:t xml:space="preserve">stated that no depreciation </w:t>
      </w:r>
      <w:r w:rsidR="00B0110F">
        <w:t xml:space="preserve">or operations and maintenance expense savings were included as a reduction in expenses. </w:t>
      </w:r>
      <w:r w:rsidR="00B93B19">
        <w:t xml:space="preserve">The </w:t>
      </w:r>
      <w:r w:rsidR="000162C1">
        <w:t>companies further stated that they had determined that if there were any depreciation expense savings, they would be offset by the change in asset life caused by the increased cost of removal.</w:t>
      </w:r>
    </w:p>
    <w:p w:rsidR="00757DF5" w:rsidRDefault="00757DF5">
      <w:pPr>
        <w:pStyle w:val="BodyText"/>
      </w:pPr>
      <w:r>
        <w:t>T</w:t>
      </w:r>
      <w:r w:rsidR="00906F16">
        <w:t xml:space="preserve">he impacts of the </w:t>
      </w:r>
      <w:r>
        <w:t xml:space="preserve">Tax Cuts and Jobs Act of </w:t>
      </w:r>
      <w:r w:rsidR="00906F16">
        <w:t xml:space="preserve">2017 </w:t>
      </w:r>
      <w:r w:rsidR="001C5404">
        <w:t xml:space="preserve">on the companies’ 2018 GRIP calculations </w:t>
      </w:r>
      <w:r w:rsidR="00906F16">
        <w:t xml:space="preserve">are </w:t>
      </w:r>
      <w:r>
        <w:t>currently</w:t>
      </w:r>
      <w:r w:rsidR="00906F16">
        <w:t xml:space="preserve"> being considered in </w:t>
      </w:r>
      <w:r>
        <w:t>separate dockets</w:t>
      </w:r>
      <w:r w:rsidR="00E16F9A">
        <w:t xml:space="preserve"> that</w:t>
      </w:r>
      <w:r w:rsidR="00A6774F">
        <w:t xml:space="preserve"> are</w:t>
      </w:r>
      <w:r w:rsidR="000B455D">
        <w:t xml:space="preserve"> </w:t>
      </w:r>
      <w:r w:rsidR="00E16F9A">
        <w:t>scheduled</w:t>
      </w:r>
      <w:r w:rsidR="000B455D">
        <w:t xml:space="preserve"> to go to hearing</w:t>
      </w:r>
      <w:r w:rsidR="00E16F9A">
        <w:t xml:space="preserve"> </w:t>
      </w:r>
      <w:r w:rsidR="000B455D">
        <w:t xml:space="preserve">November </w:t>
      </w:r>
      <w:r w:rsidR="00E16F9A">
        <w:t xml:space="preserve">27-30, </w:t>
      </w:r>
      <w:r w:rsidR="000B455D">
        <w:t>2018</w:t>
      </w:r>
      <w:r>
        <w:t>. Specifically, in D</w:t>
      </w:r>
      <w:r w:rsidR="00906F16">
        <w:t>ocket</w:t>
      </w:r>
      <w:r>
        <w:t xml:space="preserve"> No.</w:t>
      </w:r>
      <w:r w:rsidR="00906F16">
        <w:t xml:space="preserve"> 20180051-GU,</w:t>
      </w:r>
      <w:r w:rsidR="00F461CF">
        <w:t xml:space="preserve"> FPUC </w:t>
      </w:r>
      <w:r>
        <w:t>proposed</w:t>
      </w:r>
      <w:r w:rsidR="00F461CF">
        <w:t xml:space="preserve"> to treat the $1,040,141 in 2018 tax savings as an over-recovery </w:t>
      </w:r>
      <w:r w:rsidR="001C5404">
        <w:t xml:space="preserve">in the </w:t>
      </w:r>
      <w:r w:rsidR="00F461CF">
        <w:t xml:space="preserve">2019 GRIP </w:t>
      </w:r>
      <w:r w:rsidR="001C5404">
        <w:t>projection</w:t>
      </w:r>
      <w:r>
        <w:t>. In Docket No. 20180054-GU</w:t>
      </w:r>
      <w:r w:rsidR="00646A59">
        <w:t>,</w:t>
      </w:r>
      <w:r w:rsidR="00F461CF">
        <w:t xml:space="preserve"> Chesapeake </w:t>
      </w:r>
      <w:r w:rsidR="00DB182E">
        <w:t>p</w:t>
      </w:r>
      <w:r>
        <w:t>roposed</w:t>
      </w:r>
      <w:r w:rsidR="00F461CF">
        <w:t xml:space="preserve"> to treat the $324,362 in 2018 tax savings as an over-recovery for the 2019 GRIP </w:t>
      </w:r>
      <w:r w:rsidR="001C5404">
        <w:t>projection</w:t>
      </w:r>
      <w:r w:rsidR="00F461CF">
        <w:t>.</w:t>
      </w:r>
      <w:r>
        <w:t xml:space="preserve"> In Docket No.</w:t>
      </w:r>
      <w:r w:rsidR="00F461CF">
        <w:t xml:space="preserve"> </w:t>
      </w:r>
      <w:r>
        <w:t>20180053-GU</w:t>
      </w:r>
      <w:r w:rsidR="00646A59">
        <w:t>,</w:t>
      </w:r>
      <w:r>
        <w:t xml:space="preserve"> </w:t>
      </w:r>
      <w:r w:rsidR="00F461CF">
        <w:t>Fort Meade propose</w:t>
      </w:r>
      <w:r>
        <w:t>d</w:t>
      </w:r>
      <w:r w:rsidR="00F461CF">
        <w:t xml:space="preserve"> to retain the $2,376 of 2018 tax savings. </w:t>
      </w:r>
      <w:r w:rsidR="00906F16">
        <w:t>In response to staff’s second data request, the companies suggested that the GRIP factors should be adjusted after the Commission makes a final decision in</w:t>
      </w:r>
      <w:r w:rsidR="00F461CF">
        <w:t xml:space="preserve"> those</w:t>
      </w:r>
      <w:r w:rsidR="00906F16">
        <w:t xml:space="preserve"> tax dockets.</w:t>
      </w:r>
      <w:r w:rsidR="001C5404">
        <w:t xml:space="preserve"> The 2019 GRIP calculations include the lower federal tax rate. </w:t>
      </w:r>
    </w:p>
    <w:p w:rsidR="007B22CD" w:rsidRDefault="007B22CD" w:rsidP="007B22CD">
      <w:pPr>
        <w:pStyle w:val="First-LevelSubheading"/>
      </w:pPr>
      <w:r>
        <w:t>FPUC’s True-ups by Year</w:t>
      </w:r>
    </w:p>
    <w:p w:rsidR="007B22CD" w:rsidRDefault="007B22CD" w:rsidP="007B22CD">
      <w:pPr>
        <w:pStyle w:val="BodyText"/>
      </w:pPr>
      <w:r>
        <w:t>FPUC’s calculatio</w:t>
      </w:r>
      <w:r w:rsidR="003B6A01">
        <w:t>n</w:t>
      </w:r>
      <w:r>
        <w:t xml:space="preserve"> for the 2019 GRIP </w:t>
      </w:r>
      <w:r w:rsidR="003B6A01">
        <w:t>revenue requirement and surcharges include</w:t>
      </w:r>
      <w:r>
        <w:t xml:space="preserve"> a fin</w:t>
      </w:r>
      <w:r w:rsidR="003B6A01">
        <w:t>al true-up for 2017, an actual/estimated true-up</w:t>
      </w:r>
      <w:r>
        <w:t xml:space="preserve"> for 2018, and projected costs for 2019. </w:t>
      </w:r>
      <w:r w:rsidR="003B6A01">
        <w:t xml:space="preserve">FPUC </w:t>
      </w:r>
      <w:r w:rsidR="001B2F88">
        <w:t>was authorized to recover</w:t>
      </w:r>
      <w:r w:rsidR="003B6A01">
        <w:t xml:space="preserve"> $747,727 of annual GRIP expenses in base rates</w:t>
      </w:r>
      <w:r>
        <w:t>; therefore, th</w:t>
      </w:r>
      <w:r w:rsidR="003B6A01">
        <w:t>e $747,727 is excluded from the GRIP surcharge calculation.</w:t>
      </w:r>
    </w:p>
    <w:p w:rsidR="007B22CD" w:rsidRDefault="007B22CD" w:rsidP="007B22CD">
      <w:pPr>
        <w:pStyle w:val="Second-LevelSubheading"/>
      </w:pPr>
      <w:r>
        <w:t>Final True-up for 2017</w:t>
      </w:r>
    </w:p>
    <w:p w:rsidR="002D67D1" w:rsidRPr="002D67D1" w:rsidRDefault="002D67D1" w:rsidP="002D67D1">
      <w:pPr>
        <w:pStyle w:val="BodyText"/>
      </w:pPr>
      <w:r>
        <w:t>FPUC</w:t>
      </w:r>
      <w:r w:rsidR="00AA59C1">
        <w:t xml:space="preserve"> </w:t>
      </w:r>
      <w:r w:rsidR="003B6A01">
        <w:t xml:space="preserve">stated that the revenues collected </w:t>
      </w:r>
      <w:r w:rsidR="00E16F9A">
        <w:t xml:space="preserve">through the GRIP surcharges </w:t>
      </w:r>
      <w:r w:rsidR="003B6A01">
        <w:t>for</w:t>
      </w:r>
      <w:r w:rsidR="008054A8">
        <w:t xml:space="preserve"> 2017 </w:t>
      </w:r>
      <w:r w:rsidR="003B6A01">
        <w:t>were</w:t>
      </w:r>
      <w:r w:rsidR="008054A8">
        <w:t xml:space="preserve"> $13,957,004, </w:t>
      </w:r>
      <w:r w:rsidR="003B6A01">
        <w:t>compared to a revenue requirement of $10,278,434</w:t>
      </w:r>
      <w:r w:rsidR="00CA0B12">
        <w:t>, resulting in an over-recovery of</w:t>
      </w:r>
      <w:r w:rsidR="008054A8">
        <w:t xml:space="preserve"> $3,678,570. </w:t>
      </w:r>
      <w:r w:rsidR="001B2F88">
        <w:t>T</w:t>
      </w:r>
      <w:r w:rsidR="00CA0B12">
        <w:t>he 2016</w:t>
      </w:r>
      <w:r w:rsidR="008054A8">
        <w:t xml:space="preserve"> under-recovery of $1,456,443</w:t>
      </w:r>
      <w:r w:rsidR="00CA0B12">
        <w:t>, the 2017 over-recovery of $3,678,570,</w:t>
      </w:r>
      <w:r w:rsidR="008054A8">
        <w:t xml:space="preserve"> and </w:t>
      </w:r>
      <w:r w:rsidR="00903820">
        <w:t xml:space="preserve">interest of </w:t>
      </w:r>
      <w:r w:rsidR="00CA0B12">
        <w:t>$9,137 associated with any over- and under-recoverie</w:t>
      </w:r>
      <w:r w:rsidR="001B2F88">
        <w:t>s results in a</w:t>
      </w:r>
      <w:r w:rsidR="008054A8">
        <w:t xml:space="preserve"> </w:t>
      </w:r>
      <w:r w:rsidR="00626C8E">
        <w:t xml:space="preserve">final 2017 </w:t>
      </w:r>
      <w:r w:rsidR="00CA0B12">
        <w:t>true-up is an o</w:t>
      </w:r>
      <w:r w:rsidR="008054A8">
        <w:t>ver-recovery of $2,231,264.</w:t>
      </w:r>
    </w:p>
    <w:p w:rsidR="007B22CD" w:rsidRDefault="007B22CD" w:rsidP="007B22CD">
      <w:pPr>
        <w:pStyle w:val="Second-LevelSubheading"/>
      </w:pPr>
      <w:r>
        <w:lastRenderedPageBreak/>
        <w:t>Actual/Estimated 2018 True-up</w:t>
      </w:r>
      <w:r w:rsidR="008054A8">
        <w:t>s</w:t>
      </w:r>
    </w:p>
    <w:p w:rsidR="00903820" w:rsidRPr="00903820" w:rsidRDefault="00903820" w:rsidP="00903820">
      <w:pPr>
        <w:pStyle w:val="BodyText"/>
      </w:pPr>
      <w:r>
        <w:t xml:space="preserve">FPUC provided actual revenues for January through July </w:t>
      </w:r>
      <w:r w:rsidR="001B2F88">
        <w:t xml:space="preserve">2018 </w:t>
      </w:r>
      <w:r>
        <w:t xml:space="preserve">and estimated revenues for August through December 2018, totaling $10,141,296, compared to an actual/estimated revenue requirement for 2018 of $11,000,516, resulting in an under-recovery of $859,220. </w:t>
      </w:r>
      <w:r w:rsidR="001B2F88">
        <w:t>T</w:t>
      </w:r>
      <w:r>
        <w:t>he 2017 over-recovery of $2,231,264, the 2018 under-recovery of $8</w:t>
      </w:r>
      <w:r w:rsidR="001B2F88">
        <w:t>59,220, and interest of $41,848 results in a</w:t>
      </w:r>
      <w:r>
        <w:t xml:space="preserve"> total 2018 over-recovery </w:t>
      </w:r>
      <w:r w:rsidR="001B2F88">
        <w:t>of</w:t>
      </w:r>
      <w:r>
        <w:t xml:space="preserve"> $1,413,891.</w:t>
      </w:r>
    </w:p>
    <w:p w:rsidR="007B22CD" w:rsidRDefault="007B22CD" w:rsidP="007B22CD">
      <w:pPr>
        <w:pStyle w:val="Second-LevelSubheading"/>
      </w:pPr>
      <w:r>
        <w:t>Projected 2019 Costs</w:t>
      </w:r>
    </w:p>
    <w:p w:rsidR="008349E7" w:rsidRDefault="00C07F20" w:rsidP="008349E7">
      <w:pPr>
        <w:pStyle w:val="BodyText"/>
      </w:pPr>
      <w:r>
        <w:t xml:space="preserve">FPUC expects </w:t>
      </w:r>
      <w:r w:rsidR="00561256">
        <w:t>capita</w:t>
      </w:r>
      <w:r w:rsidR="00903820">
        <w:t>l expenditures of $12,000,000 for the replacement of cast iron/bare steel infrastructure in 2019.</w:t>
      </w:r>
      <w:r w:rsidR="004F2D82">
        <w:t xml:space="preserve"> This compares with </w:t>
      </w:r>
      <w:r w:rsidR="0043051B">
        <w:t>final 2017 expenditures of $7,208,720 and actual/estimated 2018 expenditures of $6,133,092.</w:t>
      </w:r>
      <w:r w:rsidR="00307F34">
        <w:t xml:space="preserve"> The return on investment</w:t>
      </w:r>
      <w:r w:rsidR="00E75021">
        <w:t xml:space="preserve"> (which includes </w:t>
      </w:r>
      <w:r w:rsidR="00C261C4">
        <w:t>federal income taxes, regulatory assessment fees, and bad debt</w:t>
      </w:r>
      <w:r w:rsidR="00E75021">
        <w:t>)</w:t>
      </w:r>
      <w:r w:rsidR="00307F34">
        <w:t xml:space="preserve">, depreciation </w:t>
      </w:r>
      <w:r w:rsidR="00903820">
        <w:t>expense,</w:t>
      </w:r>
      <w:r w:rsidR="001B2F88">
        <w:t xml:space="preserve"> and</w:t>
      </w:r>
      <w:r w:rsidR="00903820">
        <w:t xml:space="preserve"> property tax</w:t>
      </w:r>
      <w:r w:rsidR="00307F34">
        <w:t xml:space="preserve"> and customer notification expense associated with </w:t>
      </w:r>
      <w:r w:rsidR="00903820">
        <w:t>that investment</w:t>
      </w:r>
      <w:r w:rsidR="00307F34">
        <w:t xml:space="preserve"> are $</w:t>
      </w:r>
      <w:r w:rsidR="005F621C">
        <w:t>11,414,481.</w:t>
      </w:r>
      <w:r w:rsidR="00024D5B">
        <w:t xml:space="preserve"> </w:t>
      </w:r>
      <w:r w:rsidR="00903820">
        <w:t>Subtracting</w:t>
      </w:r>
      <w:r w:rsidR="00024D5B">
        <w:t xml:space="preserve"> the revenue requirement for bare steel replacement</w:t>
      </w:r>
      <w:r w:rsidR="00E00B99">
        <w:t xml:space="preserve"> </w:t>
      </w:r>
      <w:r w:rsidR="00903820">
        <w:t>included</w:t>
      </w:r>
      <w:r w:rsidR="00E00B99">
        <w:t xml:space="preserve"> in base rates </w:t>
      </w:r>
      <w:r w:rsidR="00903820">
        <w:t xml:space="preserve">results in a 2019 revenue requirement of </w:t>
      </w:r>
      <w:r w:rsidR="001D1906">
        <w:t>$10,666,754. After subtracting the total 2018 over-recovery of $1,413,891, the 2019 revenue requirement is</w:t>
      </w:r>
      <w:r w:rsidR="00024D5B">
        <w:t xml:space="preserve"> $</w:t>
      </w:r>
      <w:r w:rsidR="00E00B99">
        <w:t>9,252,863</w:t>
      </w:r>
      <w:r w:rsidR="00024D5B">
        <w:t>.</w:t>
      </w:r>
      <w:r w:rsidR="001D1906">
        <w:t xml:space="preserve"> Table 1-1 shows FPUC’s 2019 </w:t>
      </w:r>
      <w:r w:rsidR="001B2F88">
        <w:t>revenue requirement calculation</w:t>
      </w:r>
      <w:r w:rsidR="001D1906">
        <w:t>.</w:t>
      </w:r>
      <w:r w:rsidR="00024D5B">
        <w:t xml:space="preserve"> </w:t>
      </w:r>
    </w:p>
    <w:p w:rsidR="00E00B99" w:rsidRDefault="00E00B99" w:rsidP="00E00B99">
      <w:pPr>
        <w:pStyle w:val="TableNumber"/>
        <w:keepNext/>
      </w:pPr>
      <w:r>
        <w:t xml:space="preserve">Table </w:t>
      </w:r>
      <w:r w:rsidR="00611AB3">
        <w:fldChar w:fldCharType="begin"/>
      </w:r>
      <w:r w:rsidR="00611AB3">
        <w:instrText xml:space="preserve"> SEQ Issue \c </w:instrText>
      </w:r>
      <w:r w:rsidR="00611AB3">
        <w:fldChar w:fldCharType="separate"/>
      </w:r>
      <w:r w:rsidR="00767E1D">
        <w:rPr>
          <w:noProof/>
        </w:rPr>
        <w:t>1</w:t>
      </w:r>
      <w:r w:rsidR="00611AB3">
        <w:rPr>
          <w:noProof/>
        </w:rPr>
        <w:fldChar w:fldCharType="end"/>
      </w:r>
      <w:r>
        <w:t>-1</w:t>
      </w:r>
    </w:p>
    <w:p w:rsidR="00E00B99" w:rsidRDefault="00E00B99" w:rsidP="00E00B99">
      <w:pPr>
        <w:pStyle w:val="TableTitle"/>
        <w:keepNext/>
      </w:pPr>
      <w:r>
        <w:t>FPUC 2019 Revenue Requirement Calculation</w:t>
      </w:r>
    </w:p>
    <w:tbl>
      <w:tblPr>
        <w:tblStyle w:val="TableGrid"/>
        <w:tblW w:w="0" w:type="auto"/>
        <w:tblInd w:w="288" w:type="dxa"/>
        <w:tblLook w:val="04A0" w:firstRow="1" w:lastRow="0" w:firstColumn="1" w:lastColumn="0" w:noHBand="0" w:noVBand="1"/>
      </w:tblPr>
      <w:tblGrid>
        <w:gridCol w:w="4500"/>
        <w:gridCol w:w="1710"/>
        <w:gridCol w:w="2700"/>
      </w:tblGrid>
      <w:tr w:rsidR="00E00B99" w:rsidTr="00E16F9A">
        <w:trPr>
          <w:trHeight w:val="251"/>
        </w:trPr>
        <w:tc>
          <w:tcPr>
            <w:tcW w:w="6210" w:type="dxa"/>
            <w:gridSpan w:val="2"/>
            <w:tcBorders>
              <w:top w:val="double" w:sz="4" w:space="0" w:color="auto"/>
              <w:left w:val="double" w:sz="4" w:space="0" w:color="auto"/>
              <w:bottom w:val="double" w:sz="4" w:space="0" w:color="auto"/>
              <w:right w:val="nil"/>
            </w:tcBorders>
          </w:tcPr>
          <w:p w:rsidR="00E00B99" w:rsidRDefault="00E00B99" w:rsidP="00E00B99">
            <w:r>
              <w:t>2019 Projected Expenditures</w:t>
            </w:r>
          </w:p>
        </w:tc>
        <w:tc>
          <w:tcPr>
            <w:tcW w:w="2700" w:type="dxa"/>
            <w:tcBorders>
              <w:top w:val="double" w:sz="4" w:space="0" w:color="auto"/>
              <w:left w:val="nil"/>
              <w:bottom w:val="double" w:sz="4" w:space="0" w:color="auto"/>
              <w:right w:val="double" w:sz="4" w:space="0" w:color="auto"/>
            </w:tcBorders>
          </w:tcPr>
          <w:p w:rsidR="00E00B99" w:rsidRDefault="00273E30" w:rsidP="00E75021">
            <w:pPr>
              <w:jc w:val="right"/>
            </w:pPr>
            <w:r>
              <w:t>$12,000,000</w:t>
            </w:r>
          </w:p>
        </w:tc>
      </w:tr>
      <w:tr w:rsidR="00E00B99" w:rsidTr="00E16F9A">
        <w:tc>
          <w:tcPr>
            <w:tcW w:w="4500" w:type="dxa"/>
            <w:tcBorders>
              <w:top w:val="double" w:sz="4" w:space="0" w:color="auto"/>
              <w:left w:val="single" w:sz="4" w:space="0" w:color="auto"/>
              <w:bottom w:val="nil"/>
              <w:right w:val="nil"/>
            </w:tcBorders>
          </w:tcPr>
          <w:p w:rsidR="00E00B99" w:rsidRDefault="00E00B99" w:rsidP="00E00B99">
            <w:r>
              <w:t>Return on Investment</w:t>
            </w:r>
          </w:p>
        </w:tc>
        <w:tc>
          <w:tcPr>
            <w:tcW w:w="4410" w:type="dxa"/>
            <w:gridSpan w:val="2"/>
            <w:tcBorders>
              <w:top w:val="double" w:sz="4" w:space="0" w:color="auto"/>
              <w:left w:val="nil"/>
              <w:bottom w:val="nil"/>
              <w:right w:val="single" w:sz="4" w:space="0" w:color="auto"/>
            </w:tcBorders>
          </w:tcPr>
          <w:p w:rsidR="00E00B99" w:rsidRDefault="00273E30" w:rsidP="00E75021">
            <w:pPr>
              <w:jc w:val="right"/>
            </w:pPr>
            <w:r w:rsidRPr="00273E30">
              <w:t xml:space="preserve">$7,063,378 </w:t>
            </w:r>
          </w:p>
        </w:tc>
      </w:tr>
      <w:tr w:rsidR="00E00B99" w:rsidTr="00E16F9A">
        <w:tc>
          <w:tcPr>
            <w:tcW w:w="4500" w:type="dxa"/>
            <w:tcBorders>
              <w:top w:val="nil"/>
              <w:left w:val="single" w:sz="4" w:space="0" w:color="auto"/>
              <w:bottom w:val="nil"/>
              <w:right w:val="nil"/>
            </w:tcBorders>
          </w:tcPr>
          <w:p w:rsidR="00E00B99" w:rsidRDefault="00E00B99" w:rsidP="00E00B99">
            <w:r>
              <w:t>Depreciation Expense</w:t>
            </w:r>
          </w:p>
        </w:tc>
        <w:tc>
          <w:tcPr>
            <w:tcW w:w="4410" w:type="dxa"/>
            <w:gridSpan w:val="2"/>
            <w:tcBorders>
              <w:top w:val="nil"/>
              <w:left w:val="nil"/>
              <w:bottom w:val="nil"/>
              <w:right w:val="single" w:sz="4" w:space="0" w:color="auto"/>
            </w:tcBorders>
          </w:tcPr>
          <w:p w:rsidR="00E00B99" w:rsidRDefault="00E75021" w:rsidP="00E75021">
            <w:pPr>
              <w:jc w:val="right"/>
            </w:pPr>
            <w:r>
              <w:t xml:space="preserve">   </w:t>
            </w:r>
            <w:r w:rsidR="00273E30" w:rsidRPr="00273E30">
              <w:t xml:space="preserve">2,589,547 </w:t>
            </w:r>
          </w:p>
        </w:tc>
      </w:tr>
      <w:tr w:rsidR="00E00B99" w:rsidTr="00E16F9A">
        <w:tc>
          <w:tcPr>
            <w:tcW w:w="4500" w:type="dxa"/>
            <w:tcBorders>
              <w:top w:val="nil"/>
              <w:left w:val="single" w:sz="4" w:space="0" w:color="auto"/>
              <w:bottom w:val="nil"/>
              <w:right w:val="nil"/>
            </w:tcBorders>
          </w:tcPr>
          <w:p w:rsidR="00E00B99" w:rsidRDefault="00892C3D" w:rsidP="00E00B99">
            <w:r>
              <w:t xml:space="preserve">Property </w:t>
            </w:r>
            <w:r w:rsidR="00E00B99">
              <w:t>Tax and Customer Notice Expense</w:t>
            </w:r>
          </w:p>
        </w:tc>
        <w:tc>
          <w:tcPr>
            <w:tcW w:w="4410" w:type="dxa"/>
            <w:gridSpan w:val="2"/>
            <w:tcBorders>
              <w:top w:val="nil"/>
              <w:left w:val="nil"/>
              <w:bottom w:val="nil"/>
              <w:right w:val="single" w:sz="4" w:space="0" w:color="auto"/>
            </w:tcBorders>
          </w:tcPr>
          <w:p w:rsidR="00E00B99" w:rsidRPr="001D1906" w:rsidRDefault="00273E30" w:rsidP="00E75021">
            <w:pPr>
              <w:jc w:val="right"/>
              <w:rPr>
                <w:u w:val="single"/>
              </w:rPr>
            </w:pPr>
            <w:r w:rsidRPr="001D1906">
              <w:rPr>
                <w:u w:val="single"/>
              </w:rPr>
              <w:t xml:space="preserve">1,761,557 </w:t>
            </w:r>
          </w:p>
        </w:tc>
      </w:tr>
      <w:tr w:rsidR="00E00B99" w:rsidTr="00E16F9A">
        <w:tc>
          <w:tcPr>
            <w:tcW w:w="4500" w:type="dxa"/>
            <w:tcBorders>
              <w:top w:val="nil"/>
              <w:left w:val="single" w:sz="4" w:space="0" w:color="auto"/>
              <w:bottom w:val="nil"/>
              <w:right w:val="nil"/>
            </w:tcBorders>
          </w:tcPr>
          <w:p w:rsidR="00E00B99" w:rsidRDefault="00E00B99" w:rsidP="00E00B99">
            <w:r>
              <w:t>2019 Revenue Requirement</w:t>
            </w:r>
          </w:p>
        </w:tc>
        <w:tc>
          <w:tcPr>
            <w:tcW w:w="4410" w:type="dxa"/>
            <w:gridSpan w:val="2"/>
            <w:tcBorders>
              <w:top w:val="nil"/>
              <w:left w:val="nil"/>
              <w:bottom w:val="nil"/>
              <w:right w:val="single" w:sz="4" w:space="0" w:color="auto"/>
            </w:tcBorders>
          </w:tcPr>
          <w:p w:rsidR="00E00B99" w:rsidRDefault="002F796D" w:rsidP="00E75021">
            <w:pPr>
              <w:jc w:val="right"/>
            </w:pPr>
            <w:r>
              <w:t>$11,414,481</w:t>
            </w:r>
          </w:p>
        </w:tc>
      </w:tr>
      <w:tr w:rsidR="00E00B99" w:rsidTr="00E16F9A">
        <w:tc>
          <w:tcPr>
            <w:tcW w:w="4500" w:type="dxa"/>
            <w:tcBorders>
              <w:top w:val="nil"/>
              <w:left w:val="single" w:sz="4" w:space="0" w:color="auto"/>
              <w:bottom w:val="nil"/>
              <w:right w:val="nil"/>
            </w:tcBorders>
          </w:tcPr>
          <w:p w:rsidR="00E00B99" w:rsidRDefault="00E00B99" w:rsidP="00E00B99">
            <w:r>
              <w:t>Less Revenue Requirement in Base Rates</w:t>
            </w:r>
          </w:p>
        </w:tc>
        <w:tc>
          <w:tcPr>
            <w:tcW w:w="4410" w:type="dxa"/>
            <w:gridSpan w:val="2"/>
            <w:tcBorders>
              <w:top w:val="nil"/>
              <w:left w:val="nil"/>
              <w:bottom w:val="nil"/>
              <w:right w:val="single" w:sz="4" w:space="0" w:color="auto"/>
            </w:tcBorders>
          </w:tcPr>
          <w:p w:rsidR="00E00B99" w:rsidRPr="001D1906" w:rsidRDefault="00F453DA" w:rsidP="00E75021">
            <w:pPr>
              <w:jc w:val="right"/>
              <w:rPr>
                <w:u w:val="single"/>
              </w:rPr>
            </w:pPr>
            <w:r>
              <w:rPr>
                <w:u w:val="single"/>
              </w:rPr>
              <w:t>-</w:t>
            </w:r>
            <w:r w:rsidR="002F796D" w:rsidRPr="001D1906">
              <w:rPr>
                <w:u w:val="single"/>
              </w:rPr>
              <w:t>747,727</w:t>
            </w:r>
          </w:p>
        </w:tc>
      </w:tr>
      <w:tr w:rsidR="00E00B99" w:rsidTr="00E16F9A">
        <w:tc>
          <w:tcPr>
            <w:tcW w:w="4500" w:type="dxa"/>
            <w:tcBorders>
              <w:top w:val="nil"/>
              <w:left w:val="single" w:sz="4" w:space="0" w:color="auto"/>
              <w:bottom w:val="nil"/>
              <w:right w:val="nil"/>
            </w:tcBorders>
          </w:tcPr>
          <w:p w:rsidR="00E00B99" w:rsidRDefault="00E00B99" w:rsidP="00E00B99">
            <w:r>
              <w:t>2019 GRIP Revenue Requirement</w:t>
            </w:r>
          </w:p>
        </w:tc>
        <w:tc>
          <w:tcPr>
            <w:tcW w:w="4410" w:type="dxa"/>
            <w:gridSpan w:val="2"/>
            <w:tcBorders>
              <w:top w:val="nil"/>
              <w:left w:val="nil"/>
              <w:bottom w:val="nil"/>
              <w:right w:val="single" w:sz="4" w:space="0" w:color="auto"/>
            </w:tcBorders>
          </w:tcPr>
          <w:p w:rsidR="00E00B99" w:rsidRDefault="002F796D" w:rsidP="00E75021">
            <w:pPr>
              <w:jc w:val="right"/>
            </w:pPr>
            <w:r>
              <w:t>$10,666,754</w:t>
            </w:r>
          </w:p>
        </w:tc>
      </w:tr>
      <w:tr w:rsidR="00E00B99" w:rsidTr="00E16F9A">
        <w:tc>
          <w:tcPr>
            <w:tcW w:w="4500" w:type="dxa"/>
            <w:tcBorders>
              <w:top w:val="nil"/>
              <w:left w:val="single" w:sz="4" w:space="0" w:color="auto"/>
              <w:bottom w:val="nil"/>
              <w:right w:val="nil"/>
            </w:tcBorders>
          </w:tcPr>
          <w:p w:rsidR="00E00B99" w:rsidRDefault="00E00B99" w:rsidP="00E00B99">
            <w:r>
              <w:t>Less 2018 Over-recovery</w:t>
            </w:r>
          </w:p>
        </w:tc>
        <w:tc>
          <w:tcPr>
            <w:tcW w:w="4410" w:type="dxa"/>
            <w:gridSpan w:val="2"/>
            <w:tcBorders>
              <w:top w:val="nil"/>
              <w:left w:val="nil"/>
              <w:bottom w:val="nil"/>
              <w:right w:val="single" w:sz="4" w:space="0" w:color="auto"/>
            </w:tcBorders>
          </w:tcPr>
          <w:p w:rsidR="00E00B99" w:rsidRPr="001D1906" w:rsidRDefault="00F453DA" w:rsidP="00E75021">
            <w:pPr>
              <w:jc w:val="right"/>
              <w:rPr>
                <w:u w:val="single"/>
              </w:rPr>
            </w:pPr>
            <w:r>
              <w:rPr>
                <w:u w:val="single"/>
              </w:rPr>
              <w:t>-</w:t>
            </w:r>
            <w:r w:rsidR="002F796D" w:rsidRPr="001D1906">
              <w:rPr>
                <w:u w:val="single"/>
              </w:rPr>
              <w:t>1,413,891</w:t>
            </w:r>
          </w:p>
        </w:tc>
      </w:tr>
      <w:tr w:rsidR="00E00B99" w:rsidTr="00E16F9A">
        <w:tc>
          <w:tcPr>
            <w:tcW w:w="4500" w:type="dxa"/>
            <w:tcBorders>
              <w:top w:val="nil"/>
              <w:left w:val="single" w:sz="4" w:space="0" w:color="auto"/>
              <w:bottom w:val="single" w:sz="4" w:space="0" w:color="auto"/>
              <w:right w:val="nil"/>
            </w:tcBorders>
          </w:tcPr>
          <w:p w:rsidR="00E00B99" w:rsidRDefault="00E00B99" w:rsidP="00E00B99">
            <w:r>
              <w:t>2019 Total Revenue Requirement</w:t>
            </w:r>
          </w:p>
        </w:tc>
        <w:tc>
          <w:tcPr>
            <w:tcW w:w="4410" w:type="dxa"/>
            <w:gridSpan w:val="2"/>
            <w:tcBorders>
              <w:top w:val="nil"/>
              <w:left w:val="nil"/>
              <w:bottom w:val="single" w:sz="4" w:space="0" w:color="auto"/>
              <w:right w:val="single" w:sz="4" w:space="0" w:color="auto"/>
            </w:tcBorders>
          </w:tcPr>
          <w:p w:rsidR="00E00B99" w:rsidRDefault="002F796D" w:rsidP="00E75021">
            <w:pPr>
              <w:jc w:val="right"/>
            </w:pPr>
            <w:r>
              <w:t>$9,252,863</w:t>
            </w:r>
          </w:p>
        </w:tc>
      </w:tr>
    </w:tbl>
    <w:p w:rsidR="007B22CD" w:rsidRDefault="00E16F9A" w:rsidP="00E00B99">
      <w:pPr>
        <w:pStyle w:val="TableSource"/>
      </w:pPr>
      <w:r>
        <w:t xml:space="preserve">    </w:t>
      </w:r>
      <w:r w:rsidR="00E00B99">
        <w:t>Source: Wight testimony</w:t>
      </w:r>
      <w:r w:rsidR="00273E30">
        <w:t xml:space="preserve"> page 5 of 5, Schedule C-2 page</w:t>
      </w:r>
      <w:r w:rsidR="002F796D">
        <w:t>s</w:t>
      </w:r>
      <w:r w:rsidR="00273E30">
        <w:t xml:space="preserve"> 4</w:t>
      </w:r>
      <w:r w:rsidR="002F796D">
        <w:t>-5</w:t>
      </w:r>
      <w:r w:rsidR="00273E30">
        <w:t xml:space="preserve"> of 15</w:t>
      </w:r>
    </w:p>
    <w:p w:rsidR="00E06484" w:rsidRDefault="00A55E6A" w:rsidP="00E20B8C">
      <w:pPr>
        <w:pStyle w:val="First-LevelSubheading"/>
      </w:pPr>
      <w:r>
        <w:t>Chesapeake’s True-ups by Year</w:t>
      </w:r>
    </w:p>
    <w:p w:rsidR="00E20B8C" w:rsidRDefault="00AC64BF" w:rsidP="00E20B8C">
      <w:pPr>
        <w:pStyle w:val="BodyText"/>
      </w:pPr>
      <w:r>
        <w:t>Chesapeake’s calculation</w:t>
      </w:r>
      <w:r w:rsidR="00E20B8C">
        <w:t xml:space="preserve"> for the 2019 GRIP revenue requirement and surcharges include a final true-up for 2017, an actual/estimated true-up for 2018, and projected costs for 2019. Chesapeake does not have a replacement recovery amount embedded in base rates.</w:t>
      </w:r>
    </w:p>
    <w:p w:rsidR="00E20B8C" w:rsidRDefault="00E20B8C" w:rsidP="00E20B8C">
      <w:pPr>
        <w:pStyle w:val="Second-LevelSubheading"/>
      </w:pPr>
      <w:r>
        <w:t>Final True-up for 2017</w:t>
      </w:r>
    </w:p>
    <w:p w:rsidR="005B0EDA" w:rsidRDefault="005B0EDA" w:rsidP="005B0EDA">
      <w:pPr>
        <w:pStyle w:val="BodyText"/>
      </w:pPr>
      <w:r>
        <w:t xml:space="preserve">Chesapeake stated that the revenues collected for 2017 were $2,919,064, compared to a revenue requirement of $3,073,570, resulting in an under-recovery of $154,506. </w:t>
      </w:r>
      <w:r w:rsidR="00AC64BF">
        <w:t>T</w:t>
      </w:r>
      <w:r>
        <w:t>he 2016 under-recovery of $9,679, 2017 under-recovery of $154,506, and $12 for interest associated with any over- and under-recoveries</w:t>
      </w:r>
      <w:r w:rsidR="00AC64BF">
        <w:t xml:space="preserve"> results in a</w:t>
      </w:r>
      <w:r>
        <w:t xml:space="preserve"> final 2017 under-recovery </w:t>
      </w:r>
      <w:r w:rsidR="00AC64BF">
        <w:t>of</w:t>
      </w:r>
      <w:r>
        <w:t xml:space="preserve"> $164,174.</w:t>
      </w:r>
    </w:p>
    <w:p w:rsidR="00F9651E" w:rsidRDefault="00F9651E" w:rsidP="00F9651E">
      <w:pPr>
        <w:pStyle w:val="Second-LevelSubheading"/>
      </w:pPr>
      <w:r>
        <w:t>Actual/Estimated 2018 True-up</w:t>
      </w:r>
    </w:p>
    <w:p w:rsidR="006D5713" w:rsidRDefault="00F9651E" w:rsidP="00F9651E">
      <w:pPr>
        <w:pStyle w:val="BodyText"/>
      </w:pPr>
      <w:r>
        <w:t xml:space="preserve">Chesapeake provided actual GRIP revenues for January through July 2018 and </w:t>
      </w:r>
      <w:r w:rsidR="00534176">
        <w:t>estimated</w:t>
      </w:r>
      <w:r>
        <w:t xml:space="preserve"> revenues f</w:t>
      </w:r>
      <w:r w:rsidR="006D5713">
        <w:t>or August through Dece</w:t>
      </w:r>
      <w:r w:rsidR="00534176">
        <w:t xml:space="preserve">mber 2018, totaling $3,495,194, compared </w:t>
      </w:r>
      <w:r w:rsidR="006D5713">
        <w:t xml:space="preserve">to an </w:t>
      </w:r>
      <w:r w:rsidR="006D5713">
        <w:lastRenderedPageBreak/>
        <w:t>actual/estimated revenue requirement of $3,630,319</w:t>
      </w:r>
      <w:r w:rsidR="00534176">
        <w:t>, resulting in an under-r</w:t>
      </w:r>
      <w:r w:rsidR="006D5713">
        <w:t xml:space="preserve">ecovery of $135,126. </w:t>
      </w:r>
      <w:r w:rsidR="00F453DA">
        <w:t>The 2017 under-</w:t>
      </w:r>
      <w:r w:rsidR="006D5713">
        <w:t>recover</w:t>
      </w:r>
      <w:r w:rsidR="00AC64BF">
        <w:t>y</w:t>
      </w:r>
      <w:r w:rsidR="006D5713">
        <w:t xml:space="preserve"> of $164,174</w:t>
      </w:r>
      <w:r w:rsidR="00725EDE">
        <w:t>,</w:t>
      </w:r>
      <w:r w:rsidR="00F453DA">
        <w:t xml:space="preserve"> 2018 under-recovery of $135,126,</w:t>
      </w:r>
      <w:r w:rsidR="006D5713">
        <w:t xml:space="preserve"> and interest of $2,526</w:t>
      </w:r>
      <w:r w:rsidR="00F453DA">
        <w:t xml:space="preserve"> </w:t>
      </w:r>
      <w:r w:rsidR="00AC64BF">
        <w:t xml:space="preserve">associated with any over- and under-recoveries </w:t>
      </w:r>
      <w:r w:rsidR="00F453DA">
        <w:t>result</w:t>
      </w:r>
      <w:r w:rsidR="00AC64BF">
        <w:t>s</w:t>
      </w:r>
      <w:r w:rsidR="00F453DA">
        <w:t xml:space="preserve"> in a </w:t>
      </w:r>
      <w:r w:rsidR="00725EDE">
        <w:t>total</w:t>
      </w:r>
      <w:r w:rsidR="00291DA4">
        <w:t xml:space="preserve"> </w:t>
      </w:r>
      <w:r w:rsidR="006D5713">
        <w:t>2018 under-recovery of $301,825.</w:t>
      </w:r>
    </w:p>
    <w:p w:rsidR="00D52CD0" w:rsidRDefault="00D52CD0" w:rsidP="00D52CD0">
      <w:pPr>
        <w:pStyle w:val="Second-LevelSubheading"/>
      </w:pPr>
      <w:r>
        <w:t>Projected 2019 Costs</w:t>
      </w:r>
    </w:p>
    <w:p w:rsidR="00D52CD0" w:rsidRDefault="00D52CD0" w:rsidP="00D52CD0">
      <w:pPr>
        <w:pStyle w:val="BodyText"/>
      </w:pPr>
      <w:r>
        <w:t xml:space="preserve">Chesapeake </w:t>
      </w:r>
      <w:r w:rsidR="00725EDE">
        <w:t>projects</w:t>
      </w:r>
      <w:r>
        <w:t xml:space="preserve"> capital expenditures of $3,000,000</w:t>
      </w:r>
      <w:r w:rsidR="00725EDE">
        <w:t xml:space="preserve"> for the replacement of cast iron/bare steel infrastructure in 2019.</w:t>
      </w:r>
      <w:r w:rsidR="00DD24D4">
        <w:t xml:space="preserve"> This compares w</w:t>
      </w:r>
      <w:r w:rsidR="00557D71">
        <w:t>ith final 2017 expenditures of $3,628,451 and actual/estimated 2018 expenditures of $6,799,478. The return on investment, depreci</w:t>
      </w:r>
      <w:r w:rsidR="00725EDE">
        <w:t>ation expense, and property tax</w:t>
      </w:r>
      <w:r w:rsidR="00557D71">
        <w:t xml:space="preserve"> and customer notification expense to be recovered in 2019 totals $3,868,130.</w:t>
      </w:r>
      <w:r w:rsidR="00557D71" w:rsidRPr="00557D71">
        <w:t xml:space="preserve"> </w:t>
      </w:r>
      <w:r w:rsidR="00725EDE">
        <w:t>After adding the total</w:t>
      </w:r>
      <w:r w:rsidR="00291DA4">
        <w:t xml:space="preserve"> 2018 under-recovery of $301,825, the total 2019 revenue requirement is $4,169,955. Table 1-2 shows Chesapeake’s 2019 revenue requirement calculation.</w:t>
      </w:r>
    </w:p>
    <w:p w:rsidR="00291DA4" w:rsidRDefault="00291DA4" w:rsidP="00291DA4">
      <w:pPr>
        <w:pStyle w:val="TableNumber"/>
        <w:keepNext/>
      </w:pPr>
      <w:r>
        <w:t xml:space="preserve">Table </w:t>
      </w:r>
      <w:r w:rsidR="00611AB3">
        <w:fldChar w:fldCharType="begin"/>
      </w:r>
      <w:r w:rsidR="00611AB3">
        <w:instrText xml:space="preserve"> SEQ Issue \c </w:instrText>
      </w:r>
      <w:r w:rsidR="00611AB3">
        <w:fldChar w:fldCharType="separate"/>
      </w:r>
      <w:r w:rsidR="00767E1D">
        <w:rPr>
          <w:noProof/>
        </w:rPr>
        <w:t>1</w:t>
      </w:r>
      <w:r w:rsidR="00611AB3">
        <w:rPr>
          <w:noProof/>
        </w:rPr>
        <w:fldChar w:fldCharType="end"/>
      </w:r>
      <w:r>
        <w:t>-2</w:t>
      </w:r>
    </w:p>
    <w:p w:rsidR="00291DA4" w:rsidRDefault="00291DA4" w:rsidP="00291DA4">
      <w:pPr>
        <w:pStyle w:val="TableTitle"/>
        <w:keepNext/>
      </w:pPr>
      <w:r>
        <w:t>Chesapeake 2019 Revenue Requirement Calculation</w:t>
      </w:r>
    </w:p>
    <w:tbl>
      <w:tblPr>
        <w:tblStyle w:val="TableGrid"/>
        <w:tblW w:w="0" w:type="auto"/>
        <w:tblInd w:w="288" w:type="dxa"/>
        <w:tblLook w:val="04A0" w:firstRow="1" w:lastRow="0" w:firstColumn="1" w:lastColumn="0" w:noHBand="0" w:noVBand="1"/>
      </w:tblPr>
      <w:tblGrid>
        <w:gridCol w:w="4500"/>
        <w:gridCol w:w="4410"/>
      </w:tblGrid>
      <w:tr w:rsidR="00291DA4" w:rsidTr="00334541">
        <w:tc>
          <w:tcPr>
            <w:tcW w:w="4500" w:type="dxa"/>
            <w:tcBorders>
              <w:top w:val="double" w:sz="4" w:space="0" w:color="auto"/>
              <w:left w:val="double" w:sz="4" w:space="0" w:color="auto"/>
              <w:bottom w:val="double" w:sz="4" w:space="0" w:color="auto"/>
              <w:right w:val="nil"/>
            </w:tcBorders>
          </w:tcPr>
          <w:p w:rsidR="00291DA4" w:rsidRDefault="00291DA4" w:rsidP="00291DA4">
            <w:r>
              <w:t>2019 Projected Expenditures</w:t>
            </w:r>
          </w:p>
        </w:tc>
        <w:tc>
          <w:tcPr>
            <w:tcW w:w="4410" w:type="dxa"/>
            <w:tcBorders>
              <w:top w:val="double" w:sz="4" w:space="0" w:color="auto"/>
              <w:left w:val="nil"/>
              <w:bottom w:val="double" w:sz="4" w:space="0" w:color="auto"/>
              <w:right w:val="double" w:sz="4" w:space="0" w:color="auto"/>
            </w:tcBorders>
          </w:tcPr>
          <w:p w:rsidR="00291DA4" w:rsidRDefault="00291DA4" w:rsidP="00E75021">
            <w:pPr>
              <w:jc w:val="right"/>
            </w:pPr>
            <w:r>
              <w:t>$3,000,000</w:t>
            </w:r>
          </w:p>
        </w:tc>
      </w:tr>
      <w:tr w:rsidR="00291DA4" w:rsidTr="00334541">
        <w:tc>
          <w:tcPr>
            <w:tcW w:w="4500" w:type="dxa"/>
            <w:tcBorders>
              <w:top w:val="double" w:sz="4" w:space="0" w:color="auto"/>
              <w:left w:val="single" w:sz="4" w:space="0" w:color="auto"/>
              <w:bottom w:val="nil"/>
              <w:right w:val="nil"/>
            </w:tcBorders>
          </w:tcPr>
          <w:p w:rsidR="00291DA4" w:rsidRDefault="00291DA4" w:rsidP="00291DA4">
            <w:r>
              <w:t>Return on Investment</w:t>
            </w:r>
          </w:p>
        </w:tc>
        <w:tc>
          <w:tcPr>
            <w:tcW w:w="4410" w:type="dxa"/>
            <w:tcBorders>
              <w:top w:val="double" w:sz="4" w:space="0" w:color="auto"/>
              <w:left w:val="nil"/>
              <w:bottom w:val="nil"/>
              <w:right w:val="single" w:sz="4" w:space="0" w:color="auto"/>
            </w:tcBorders>
          </w:tcPr>
          <w:p w:rsidR="00291DA4" w:rsidRDefault="00291DA4" w:rsidP="00E75021">
            <w:pPr>
              <w:jc w:val="right"/>
            </w:pPr>
            <w:r>
              <w:t>$</w:t>
            </w:r>
            <w:r w:rsidR="00892C3D">
              <w:t>2,353,222</w:t>
            </w:r>
          </w:p>
        </w:tc>
      </w:tr>
      <w:tr w:rsidR="00291DA4" w:rsidTr="00334541">
        <w:tc>
          <w:tcPr>
            <w:tcW w:w="4500" w:type="dxa"/>
            <w:tcBorders>
              <w:top w:val="nil"/>
              <w:left w:val="single" w:sz="4" w:space="0" w:color="auto"/>
              <w:bottom w:val="nil"/>
              <w:right w:val="nil"/>
            </w:tcBorders>
          </w:tcPr>
          <w:p w:rsidR="00291DA4" w:rsidRDefault="00892C3D" w:rsidP="00291DA4">
            <w:r>
              <w:t>Depreciation Expense</w:t>
            </w:r>
          </w:p>
        </w:tc>
        <w:tc>
          <w:tcPr>
            <w:tcW w:w="4410" w:type="dxa"/>
            <w:tcBorders>
              <w:top w:val="nil"/>
              <w:left w:val="nil"/>
              <w:bottom w:val="nil"/>
              <w:right w:val="single" w:sz="4" w:space="0" w:color="auto"/>
            </w:tcBorders>
          </w:tcPr>
          <w:p w:rsidR="00291DA4" w:rsidRDefault="00892C3D" w:rsidP="00E75021">
            <w:pPr>
              <w:jc w:val="right"/>
            </w:pPr>
            <w:r>
              <w:t>890,826</w:t>
            </w:r>
          </w:p>
        </w:tc>
      </w:tr>
      <w:tr w:rsidR="00291DA4" w:rsidTr="00334541">
        <w:tc>
          <w:tcPr>
            <w:tcW w:w="4500" w:type="dxa"/>
            <w:tcBorders>
              <w:top w:val="nil"/>
              <w:left w:val="single" w:sz="4" w:space="0" w:color="auto"/>
              <w:bottom w:val="nil"/>
              <w:right w:val="nil"/>
            </w:tcBorders>
          </w:tcPr>
          <w:p w:rsidR="00291DA4" w:rsidRDefault="00892C3D" w:rsidP="00291DA4">
            <w:r>
              <w:t>Property Tax and Customer Notice Expense</w:t>
            </w:r>
          </w:p>
        </w:tc>
        <w:tc>
          <w:tcPr>
            <w:tcW w:w="4410" w:type="dxa"/>
            <w:tcBorders>
              <w:top w:val="nil"/>
              <w:left w:val="nil"/>
              <w:bottom w:val="nil"/>
              <w:right w:val="single" w:sz="4" w:space="0" w:color="auto"/>
            </w:tcBorders>
          </w:tcPr>
          <w:p w:rsidR="00291DA4" w:rsidRPr="00725EDE" w:rsidRDefault="00892C3D" w:rsidP="00E75021">
            <w:pPr>
              <w:jc w:val="right"/>
              <w:rPr>
                <w:u w:val="single"/>
              </w:rPr>
            </w:pPr>
            <w:r w:rsidRPr="00725EDE">
              <w:rPr>
                <w:u w:val="single"/>
              </w:rPr>
              <w:t>624,082</w:t>
            </w:r>
          </w:p>
        </w:tc>
      </w:tr>
      <w:tr w:rsidR="00291DA4" w:rsidTr="00334541">
        <w:tc>
          <w:tcPr>
            <w:tcW w:w="4500" w:type="dxa"/>
            <w:tcBorders>
              <w:top w:val="nil"/>
              <w:left w:val="single" w:sz="4" w:space="0" w:color="auto"/>
              <w:bottom w:val="nil"/>
              <w:right w:val="nil"/>
            </w:tcBorders>
          </w:tcPr>
          <w:p w:rsidR="00291DA4" w:rsidRDefault="00976495" w:rsidP="00291DA4">
            <w:r>
              <w:t>2019</w:t>
            </w:r>
            <w:r w:rsidR="00892C3D">
              <w:t xml:space="preserve"> Revenue Requirement</w:t>
            </w:r>
          </w:p>
        </w:tc>
        <w:tc>
          <w:tcPr>
            <w:tcW w:w="4410" w:type="dxa"/>
            <w:tcBorders>
              <w:top w:val="nil"/>
              <w:left w:val="nil"/>
              <w:bottom w:val="nil"/>
              <w:right w:val="single" w:sz="4" w:space="0" w:color="auto"/>
            </w:tcBorders>
          </w:tcPr>
          <w:p w:rsidR="00291DA4" w:rsidRDefault="00892C3D" w:rsidP="00E75021">
            <w:pPr>
              <w:jc w:val="right"/>
            </w:pPr>
            <w:r>
              <w:t>$3,868,130</w:t>
            </w:r>
          </w:p>
        </w:tc>
      </w:tr>
      <w:tr w:rsidR="00291DA4" w:rsidTr="00334541">
        <w:tc>
          <w:tcPr>
            <w:tcW w:w="4500" w:type="dxa"/>
            <w:tcBorders>
              <w:top w:val="nil"/>
              <w:left w:val="single" w:sz="4" w:space="0" w:color="auto"/>
              <w:bottom w:val="nil"/>
              <w:right w:val="nil"/>
            </w:tcBorders>
          </w:tcPr>
          <w:p w:rsidR="00291DA4" w:rsidRDefault="00F453DA" w:rsidP="00291DA4">
            <w:r>
              <w:t xml:space="preserve">Plus </w:t>
            </w:r>
            <w:r w:rsidR="00976495">
              <w:t xml:space="preserve">2018 </w:t>
            </w:r>
            <w:r>
              <w:t>Under-r</w:t>
            </w:r>
            <w:r w:rsidR="00976495">
              <w:t>ecovery</w:t>
            </w:r>
          </w:p>
        </w:tc>
        <w:tc>
          <w:tcPr>
            <w:tcW w:w="4410" w:type="dxa"/>
            <w:tcBorders>
              <w:top w:val="nil"/>
              <w:left w:val="nil"/>
              <w:bottom w:val="nil"/>
              <w:right w:val="single" w:sz="4" w:space="0" w:color="auto"/>
            </w:tcBorders>
          </w:tcPr>
          <w:p w:rsidR="00291DA4" w:rsidRPr="00725EDE" w:rsidRDefault="00976495" w:rsidP="00E75021">
            <w:pPr>
              <w:jc w:val="right"/>
              <w:rPr>
                <w:u w:val="single"/>
              </w:rPr>
            </w:pPr>
            <w:r w:rsidRPr="00725EDE">
              <w:rPr>
                <w:u w:val="single"/>
              </w:rPr>
              <w:t>301,825</w:t>
            </w:r>
          </w:p>
        </w:tc>
      </w:tr>
      <w:tr w:rsidR="00291DA4" w:rsidTr="00334541">
        <w:tc>
          <w:tcPr>
            <w:tcW w:w="4500" w:type="dxa"/>
            <w:tcBorders>
              <w:top w:val="nil"/>
              <w:left w:val="single" w:sz="4" w:space="0" w:color="auto"/>
              <w:bottom w:val="single" w:sz="4" w:space="0" w:color="auto"/>
              <w:right w:val="nil"/>
            </w:tcBorders>
          </w:tcPr>
          <w:p w:rsidR="00291DA4" w:rsidRDefault="00976495" w:rsidP="00291DA4">
            <w:r>
              <w:t>2019 Total Revenue Requirement</w:t>
            </w:r>
          </w:p>
        </w:tc>
        <w:tc>
          <w:tcPr>
            <w:tcW w:w="4410" w:type="dxa"/>
            <w:tcBorders>
              <w:top w:val="nil"/>
              <w:left w:val="nil"/>
              <w:bottom w:val="single" w:sz="4" w:space="0" w:color="auto"/>
              <w:right w:val="single" w:sz="4" w:space="0" w:color="auto"/>
            </w:tcBorders>
          </w:tcPr>
          <w:p w:rsidR="00291DA4" w:rsidRDefault="00976495" w:rsidP="00E75021">
            <w:pPr>
              <w:jc w:val="right"/>
            </w:pPr>
            <w:r>
              <w:t>$4,169,955</w:t>
            </w:r>
          </w:p>
        </w:tc>
      </w:tr>
    </w:tbl>
    <w:p w:rsidR="00291DA4" w:rsidRDefault="00E16F9A" w:rsidP="003A1BC5">
      <w:pPr>
        <w:pStyle w:val="TableSource"/>
      </w:pPr>
      <w:r>
        <w:t xml:space="preserve">   </w:t>
      </w:r>
      <w:r w:rsidR="00291DA4">
        <w:t xml:space="preserve">Source: </w:t>
      </w:r>
      <w:r w:rsidR="00976495">
        <w:t>Wight Testimony Schedule C-2 and D-1</w:t>
      </w:r>
    </w:p>
    <w:p w:rsidR="003A1BC5" w:rsidRDefault="003A1BC5" w:rsidP="003A1BC5">
      <w:pPr>
        <w:pStyle w:val="First-LevelSubheading"/>
      </w:pPr>
      <w:r>
        <w:t>Fort Meade’s True-ups by Year</w:t>
      </w:r>
    </w:p>
    <w:p w:rsidR="003A1BC5" w:rsidRDefault="003A1BC5" w:rsidP="003A1BC5">
      <w:pPr>
        <w:pStyle w:val="BodyText"/>
      </w:pPr>
      <w:r>
        <w:t>Fort Meade started its replacement program in 2016 and first implemented GRIP surcharges in January 2017. Unlike FPUC and Chesapeake, only bare steel services (and no mains) require replacement in Fort Meade.</w:t>
      </w:r>
      <w:r w:rsidR="00276A52">
        <w:t xml:space="preserve"> Fort Meade’s replacement program was originally scheduled to be completed in 2018. However, the companies explained that as a result of delays in contractor availability and permitting the replacement program will conclude in 2019.</w:t>
      </w:r>
    </w:p>
    <w:p w:rsidR="003A1BC5" w:rsidRDefault="003A1BC5" w:rsidP="003A1BC5">
      <w:pPr>
        <w:pStyle w:val="Second-LevelSubheading"/>
      </w:pPr>
      <w:r>
        <w:t>Final True-up for 2017</w:t>
      </w:r>
    </w:p>
    <w:p w:rsidR="003A1BC5" w:rsidRDefault="000F4CFC" w:rsidP="003A1BC5">
      <w:pPr>
        <w:pStyle w:val="BodyText"/>
      </w:pPr>
      <w:r>
        <w:t xml:space="preserve">Fort Meade stated that the revenues collected for 2017 were $32,852, </w:t>
      </w:r>
      <w:r w:rsidR="005B0EDA">
        <w:t>compared to a revenue requirement of $16,822, resulting in an over-recovery of</w:t>
      </w:r>
      <w:r>
        <w:t xml:space="preserve"> $16,031. </w:t>
      </w:r>
      <w:r w:rsidR="005B0EDA">
        <w:t>Adding</w:t>
      </w:r>
      <w:r w:rsidR="00626C8E">
        <w:t xml:space="preserve"> the 2016 under-recovery of </w:t>
      </w:r>
      <w:r>
        <w:t>$2,582</w:t>
      </w:r>
      <w:r w:rsidR="005B0EDA">
        <w:t>, the 2017 over-recovery of $16,031, and $80 for interest associated with any over- and under-recoveries, the final 2017 over-recovery is</w:t>
      </w:r>
      <w:r>
        <w:t xml:space="preserve"> $13,528.</w:t>
      </w:r>
      <w:r w:rsidR="00BE6BCD">
        <w:t xml:space="preserve"> </w:t>
      </w:r>
    </w:p>
    <w:p w:rsidR="00BE6BCD" w:rsidRDefault="00BE6BCD" w:rsidP="00BE6BCD">
      <w:pPr>
        <w:pStyle w:val="Second-LevelSubheading"/>
      </w:pPr>
      <w:r>
        <w:t>Actual/Estimated 2018 True-up</w:t>
      </w:r>
    </w:p>
    <w:p w:rsidR="00BE6BCD" w:rsidRDefault="00BE6BCD" w:rsidP="00BE6BCD">
      <w:pPr>
        <w:pStyle w:val="BodyText"/>
      </w:pPr>
      <w:r>
        <w:t xml:space="preserve">Fort Meade provided actual GRIP revenues for January through July 2018 and </w:t>
      </w:r>
      <w:r w:rsidR="005B0EDA">
        <w:t>estimated</w:t>
      </w:r>
      <w:r>
        <w:t xml:space="preserve"> revenues for August through </w:t>
      </w:r>
      <w:r w:rsidR="005B0EDA">
        <w:t>December 2018 totaling $7,414, compared</w:t>
      </w:r>
      <w:r>
        <w:t xml:space="preserve"> to an actual/estimated revenue requirement of $27,205</w:t>
      </w:r>
      <w:r w:rsidR="005B0EDA">
        <w:t xml:space="preserve">, resulting in </w:t>
      </w:r>
      <w:r>
        <w:t>an under-recovery of $19,792. Adding the 2017 over-recovery of $13,528</w:t>
      </w:r>
      <w:r w:rsidR="005B0EDA">
        <w:t>, the 2018 under-recovery of $19,792,</w:t>
      </w:r>
      <w:r>
        <w:t xml:space="preserve"> and interest </w:t>
      </w:r>
      <w:r w:rsidR="005B0EDA">
        <w:t>of $85 associated with any over- and under-recoveries, the resulting total 2018 true-up is</w:t>
      </w:r>
      <w:r>
        <w:t xml:space="preserve"> </w:t>
      </w:r>
      <w:r w:rsidR="008F0736">
        <w:t xml:space="preserve">an </w:t>
      </w:r>
      <w:r>
        <w:t>under-recovery of $6,178.</w:t>
      </w:r>
    </w:p>
    <w:p w:rsidR="0099717D" w:rsidRDefault="0099717D" w:rsidP="00BE6BCD">
      <w:pPr>
        <w:pStyle w:val="BodyText"/>
      </w:pPr>
    </w:p>
    <w:p w:rsidR="00BE6BCD" w:rsidRDefault="00BE6BCD" w:rsidP="00BE6BCD">
      <w:pPr>
        <w:pStyle w:val="Second-LevelSubheading"/>
      </w:pPr>
      <w:r>
        <w:t>Projected 2019 Costs</w:t>
      </w:r>
    </w:p>
    <w:p w:rsidR="00BE6BCD" w:rsidRDefault="00BE6BCD" w:rsidP="00BE6BCD">
      <w:pPr>
        <w:pStyle w:val="BodyText"/>
      </w:pPr>
      <w:r>
        <w:t>Fort Meade projects capital expenditures of $20,000 for the replacement of cast iron/bare steel infrastructure in 2019. This compares with 2017 final expenditures of $</w:t>
      </w:r>
      <w:r w:rsidR="008D4F94">
        <w:t>117,860 and actual/estimated 2018 expenditures of $68,079. The return on investment, depreciation expense, and property tax expense to be recovered in 2019 totals $29,5</w:t>
      </w:r>
      <w:r w:rsidR="00AC64BF">
        <w:t>79. After adding the 2018 under-</w:t>
      </w:r>
      <w:r w:rsidR="008D4F94">
        <w:t>recovery of $6,178, the total 2019 revenue requirement is $35,757. Table 1-3 shows Fort Meade’s 2019 revenue requirement calculation.</w:t>
      </w:r>
    </w:p>
    <w:p w:rsidR="008D4F94" w:rsidRDefault="008D4F94" w:rsidP="008D4F94">
      <w:pPr>
        <w:pStyle w:val="TableNumber"/>
        <w:keepNext/>
      </w:pPr>
      <w:r>
        <w:t xml:space="preserve">Table </w:t>
      </w:r>
      <w:r w:rsidR="00611AB3">
        <w:fldChar w:fldCharType="begin"/>
      </w:r>
      <w:r w:rsidR="00611AB3">
        <w:instrText xml:space="preserve"> SEQ Issue \c </w:instrText>
      </w:r>
      <w:r w:rsidR="00611AB3">
        <w:fldChar w:fldCharType="separate"/>
      </w:r>
      <w:r w:rsidR="00767E1D">
        <w:rPr>
          <w:noProof/>
        </w:rPr>
        <w:t>1</w:t>
      </w:r>
      <w:r w:rsidR="00611AB3">
        <w:rPr>
          <w:noProof/>
        </w:rPr>
        <w:fldChar w:fldCharType="end"/>
      </w:r>
      <w:r>
        <w:t>-</w:t>
      </w:r>
      <w:r w:rsidR="00F14F5E">
        <w:t>3</w:t>
      </w:r>
    </w:p>
    <w:p w:rsidR="008D4F94" w:rsidRDefault="00F14F5E" w:rsidP="008D4F94">
      <w:pPr>
        <w:pStyle w:val="TableTitle"/>
        <w:keepNext/>
      </w:pPr>
      <w:r>
        <w:t>Fort Meade 2019 Revenue Requirement Calculation</w:t>
      </w:r>
    </w:p>
    <w:tbl>
      <w:tblPr>
        <w:tblStyle w:val="TableGrid"/>
        <w:tblW w:w="0" w:type="auto"/>
        <w:tblInd w:w="468" w:type="dxa"/>
        <w:tblLook w:val="04A0" w:firstRow="1" w:lastRow="0" w:firstColumn="1" w:lastColumn="0" w:noHBand="0" w:noVBand="1"/>
      </w:tblPr>
      <w:tblGrid>
        <w:gridCol w:w="4320"/>
        <w:gridCol w:w="4230"/>
      </w:tblGrid>
      <w:tr w:rsidR="008D4F94" w:rsidTr="00334541">
        <w:tc>
          <w:tcPr>
            <w:tcW w:w="4320" w:type="dxa"/>
            <w:tcBorders>
              <w:top w:val="double" w:sz="4" w:space="0" w:color="auto"/>
              <w:left w:val="double" w:sz="4" w:space="0" w:color="auto"/>
              <w:bottom w:val="double" w:sz="4" w:space="0" w:color="auto"/>
              <w:right w:val="nil"/>
            </w:tcBorders>
          </w:tcPr>
          <w:p w:rsidR="008D4F94" w:rsidRDefault="00F14F5E" w:rsidP="008D4F94">
            <w:r>
              <w:t>2019 Projected Expenditures</w:t>
            </w:r>
          </w:p>
        </w:tc>
        <w:tc>
          <w:tcPr>
            <w:tcW w:w="4230" w:type="dxa"/>
            <w:tcBorders>
              <w:top w:val="double" w:sz="4" w:space="0" w:color="auto"/>
              <w:left w:val="nil"/>
              <w:bottom w:val="double" w:sz="4" w:space="0" w:color="auto"/>
              <w:right w:val="double" w:sz="4" w:space="0" w:color="auto"/>
            </w:tcBorders>
          </w:tcPr>
          <w:p w:rsidR="008D4F94" w:rsidRDefault="00F14F5E" w:rsidP="00731030">
            <w:pPr>
              <w:jc w:val="right"/>
            </w:pPr>
            <w:r>
              <w:t>$20,000</w:t>
            </w:r>
          </w:p>
        </w:tc>
      </w:tr>
      <w:tr w:rsidR="008D4F94" w:rsidTr="00334541">
        <w:tc>
          <w:tcPr>
            <w:tcW w:w="4320" w:type="dxa"/>
            <w:tcBorders>
              <w:top w:val="double" w:sz="4" w:space="0" w:color="auto"/>
              <w:bottom w:val="nil"/>
              <w:right w:val="nil"/>
            </w:tcBorders>
          </w:tcPr>
          <w:p w:rsidR="008D4F94" w:rsidRDefault="00F14F5E" w:rsidP="008D4F94">
            <w:r>
              <w:t>Return on Investment</w:t>
            </w:r>
          </w:p>
        </w:tc>
        <w:tc>
          <w:tcPr>
            <w:tcW w:w="4230" w:type="dxa"/>
            <w:tcBorders>
              <w:top w:val="double" w:sz="4" w:space="0" w:color="auto"/>
              <w:left w:val="nil"/>
              <w:bottom w:val="nil"/>
            </w:tcBorders>
          </w:tcPr>
          <w:p w:rsidR="008D4F94" w:rsidRDefault="00F14F5E" w:rsidP="00731030">
            <w:pPr>
              <w:jc w:val="right"/>
            </w:pPr>
            <w:r>
              <w:t>$17,699</w:t>
            </w:r>
          </w:p>
        </w:tc>
      </w:tr>
      <w:tr w:rsidR="008D4F94" w:rsidTr="00334541">
        <w:tc>
          <w:tcPr>
            <w:tcW w:w="4320" w:type="dxa"/>
            <w:tcBorders>
              <w:top w:val="nil"/>
              <w:bottom w:val="nil"/>
              <w:right w:val="nil"/>
            </w:tcBorders>
          </w:tcPr>
          <w:p w:rsidR="008D4F94" w:rsidRDefault="00F14F5E" w:rsidP="008D4F94">
            <w:r>
              <w:t>Depreciation Expense</w:t>
            </w:r>
          </w:p>
        </w:tc>
        <w:tc>
          <w:tcPr>
            <w:tcW w:w="4230" w:type="dxa"/>
            <w:tcBorders>
              <w:top w:val="nil"/>
              <w:left w:val="nil"/>
              <w:bottom w:val="nil"/>
            </w:tcBorders>
          </w:tcPr>
          <w:p w:rsidR="008D4F94" w:rsidRDefault="00F14F5E" w:rsidP="00731030">
            <w:pPr>
              <w:jc w:val="right"/>
            </w:pPr>
            <w:r>
              <w:t>6,924</w:t>
            </w:r>
          </w:p>
        </w:tc>
      </w:tr>
      <w:tr w:rsidR="008D4F94" w:rsidTr="00334541">
        <w:tc>
          <w:tcPr>
            <w:tcW w:w="4320" w:type="dxa"/>
            <w:tcBorders>
              <w:top w:val="nil"/>
              <w:bottom w:val="nil"/>
              <w:right w:val="nil"/>
            </w:tcBorders>
          </w:tcPr>
          <w:p w:rsidR="008D4F94" w:rsidRDefault="005B0EDA" w:rsidP="008D4F94">
            <w:r>
              <w:t xml:space="preserve">Property </w:t>
            </w:r>
            <w:r w:rsidR="00F14F5E">
              <w:t>Tax Expense</w:t>
            </w:r>
          </w:p>
        </w:tc>
        <w:tc>
          <w:tcPr>
            <w:tcW w:w="4230" w:type="dxa"/>
            <w:tcBorders>
              <w:top w:val="nil"/>
              <w:left w:val="nil"/>
              <w:bottom w:val="nil"/>
            </w:tcBorders>
          </w:tcPr>
          <w:p w:rsidR="008D4F94" w:rsidRPr="005B0EDA" w:rsidRDefault="00F14F5E" w:rsidP="00731030">
            <w:pPr>
              <w:jc w:val="right"/>
              <w:rPr>
                <w:u w:val="single"/>
              </w:rPr>
            </w:pPr>
            <w:r w:rsidRPr="005B0EDA">
              <w:rPr>
                <w:u w:val="single"/>
              </w:rPr>
              <w:t>4,956</w:t>
            </w:r>
          </w:p>
        </w:tc>
      </w:tr>
      <w:tr w:rsidR="008D4F94" w:rsidTr="00334541">
        <w:tc>
          <w:tcPr>
            <w:tcW w:w="4320" w:type="dxa"/>
            <w:tcBorders>
              <w:top w:val="nil"/>
              <w:bottom w:val="nil"/>
              <w:right w:val="nil"/>
            </w:tcBorders>
          </w:tcPr>
          <w:p w:rsidR="008D4F94" w:rsidRDefault="00F14F5E" w:rsidP="008D4F94">
            <w:r>
              <w:t>2019 Revenue Requirement</w:t>
            </w:r>
          </w:p>
        </w:tc>
        <w:tc>
          <w:tcPr>
            <w:tcW w:w="4230" w:type="dxa"/>
            <w:tcBorders>
              <w:top w:val="nil"/>
              <w:left w:val="nil"/>
              <w:bottom w:val="nil"/>
            </w:tcBorders>
          </w:tcPr>
          <w:p w:rsidR="008D4F94" w:rsidRDefault="00F14F5E" w:rsidP="00731030">
            <w:pPr>
              <w:jc w:val="right"/>
            </w:pPr>
            <w:r>
              <w:t>$29,579</w:t>
            </w:r>
          </w:p>
        </w:tc>
      </w:tr>
      <w:tr w:rsidR="008D4F94" w:rsidTr="00334541">
        <w:tc>
          <w:tcPr>
            <w:tcW w:w="4320" w:type="dxa"/>
            <w:tcBorders>
              <w:top w:val="nil"/>
              <w:bottom w:val="nil"/>
              <w:right w:val="nil"/>
            </w:tcBorders>
          </w:tcPr>
          <w:p w:rsidR="008D4F94" w:rsidRDefault="00F14F5E" w:rsidP="008D4F94">
            <w:r>
              <w:t>Plus 2018 Under-recovery</w:t>
            </w:r>
          </w:p>
        </w:tc>
        <w:tc>
          <w:tcPr>
            <w:tcW w:w="4230" w:type="dxa"/>
            <w:tcBorders>
              <w:top w:val="nil"/>
              <w:left w:val="nil"/>
              <w:bottom w:val="nil"/>
            </w:tcBorders>
          </w:tcPr>
          <w:p w:rsidR="008D4F94" w:rsidRPr="005B0EDA" w:rsidRDefault="00F14F5E" w:rsidP="00731030">
            <w:pPr>
              <w:jc w:val="right"/>
              <w:rPr>
                <w:u w:val="single"/>
              </w:rPr>
            </w:pPr>
            <w:r w:rsidRPr="005B0EDA">
              <w:rPr>
                <w:u w:val="single"/>
              </w:rPr>
              <w:t>6,178</w:t>
            </w:r>
          </w:p>
        </w:tc>
      </w:tr>
      <w:tr w:rsidR="008D4F94" w:rsidTr="00334541">
        <w:tc>
          <w:tcPr>
            <w:tcW w:w="4320" w:type="dxa"/>
            <w:tcBorders>
              <w:top w:val="nil"/>
              <w:right w:val="nil"/>
            </w:tcBorders>
          </w:tcPr>
          <w:p w:rsidR="008D4F94" w:rsidRDefault="00F14F5E" w:rsidP="008D4F94">
            <w:r>
              <w:t>2019 Total Revenue Requirement</w:t>
            </w:r>
          </w:p>
        </w:tc>
        <w:tc>
          <w:tcPr>
            <w:tcW w:w="4230" w:type="dxa"/>
            <w:tcBorders>
              <w:top w:val="nil"/>
              <w:left w:val="nil"/>
            </w:tcBorders>
          </w:tcPr>
          <w:p w:rsidR="008D4F94" w:rsidRDefault="00F14F5E" w:rsidP="00731030">
            <w:pPr>
              <w:jc w:val="right"/>
            </w:pPr>
            <w:r>
              <w:t>$</w:t>
            </w:r>
            <w:r w:rsidR="00731030">
              <w:t xml:space="preserve"> </w:t>
            </w:r>
            <w:r>
              <w:t>35,757</w:t>
            </w:r>
          </w:p>
        </w:tc>
      </w:tr>
    </w:tbl>
    <w:p w:rsidR="00BE6BCD" w:rsidRDefault="00E16F9A" w:rsidP="008D4F94">
      <w:pPr>
        <w:pStyle w:val="TableSource"/>
      </w:pPr>
      <w:r>
        <w:t xml:space="preserve"> </w:t>
      </w:r>
      <w:r w:rsidR="008F0736">
        <w:t xml:space="preserve">  </w:t>
      </w:r>
      <w:r w:rsidR="00334541">
        <w:t xml:space="preserve">   </w:t>
      </w:r>
      <w:r w:rsidR="008D4F94">
        <w:t xml:space="preserve">Source: </w:t>
      </w:r>
      <w:r w:rsidR="00F14F5E">
        <w:t>Wight Testimony Schedules C-1 and D-1</w:t>
      </w:r>
    </w:p>
    <w:p w:rsidR="00283B92" w:rsidRDefault="00283B92" w:rsidP="00283B92">
      <w:pPr>
        <w:pStyle w:val="First-LevelSubheading"/>
      </w:pPr>
      <w:r>
        <w:t>Proposed Surcharges for FPUC, Chesapeake, and Fort Meade</w:t>
      </w:r>
    </w:p>
    <w:p w:rsidR="00283B92" w:rsidRDefault="00283B92" w:rsidP="00283B92">
      <w:pPr>
        <w:pStyle w:val="BodyText"/>
      </w:pPr>
      <w:r>
        <w:t xml:space="preserve">As established in the 2012 order approving the GRIP </w:t>
      </w:r>
      <w:r w:rsidR="00667FF4">
        <w:t>program</w:t>
      </w:r>
      <w:r>
        <w:t>, the total 2019 revenue requirement is allocated to the rate classes using the same methodology used for the allocation of mains and services in the cost of service study used in the companies’ most recent rate case. The respective percentages were multiplied by the 2019 revenue requirements and divided by each rate class’ projected therm sales to provide the GRIP surcharge for each rate class.</w:t>
      </w:r>
    </w:p>
    <w:p w:rsidR="00283B92" w:rsidRDefault="00283B92" w:rsidP="00283B92">
      <w:pPr>
        <w:pStyle w:val="BodyText"/>
      </w:pPr>
      <w:r>
        <w:t>The proposed 2019 GRIP surcharge for FPUC’s residential customers on the RS schedule is $0.21356 per therm (</w:t>
      </w:r>
      <w:r w:rsidR="005A4535">
        <w:t>compared to</w:t>
      </w:r>
      <w:r>
        <w:t xml:space="preserve"> the current surcharge of $0.24395 per therm). </w:t>
      </w:r>
      <w:r w:rsidR="005A4535">
        <w:t xml:space="preserve">The monthly bill impact is $4.27 for a residential customer using 20 therms per month. The proposed FPUC tariff page is Attachment </w:t>
      </w:r>
      <w:r w:rsidR="005B0EDA">
        <w:t>B</w:t>
      </w:r>
      <w:r w:rsidR="009A0541">
        <w:t>.</w:t>
      </w:r>
    </w:p>
    <w:p w:rsidR="005A4535" w:rsidRDefault="005A4535" w:rsidP="00283B92">
      <w:pPr>
        <w:pStyle w:val="BodyText"/>
      </w:pPr>
      <w:r>
        <w:t xml:space="preserve">The proposed 2019 GRIP surcharge for Chesapeake’s residential customers on the FTS-1 schedule is $0.13593 per therm (compared to the current surcharge of $0.11838). The </w:t>
      </w:r>
      <w:r w:rsidR="00362906">
        <w:t xml:space="preserve">monthly bill impact is $2.72 for a residential customer using 20 therms per month. The proposed Chesapeake tariff pages are contained in Attachment </w:t>
      </w:r>
      <w:r w:rsidR="005B0EDA">
        <w:t>C</w:t>
      </w:r>
      <w:r w:rsidR="00E72A78">
        <w:t>.</w:t>
      </w:r>
    </w:p>
    <w:p w:rsidR="001A61B0" w:rsidRDefault="00362906" w:rsidP="00283B92">
      <w:pPr>
        <w:pStyle w:val="BodyText"/>
      </w:pPr>
      <w:r>
        <w:t>The proposed 2019 GRIP</w:t>
      </w:r>
      <w:r w:rsidR="00E72A78">
        <w:t xml:space="preserve"> surcharge for Fort Meade’s residential customers on the RS schedule is $0.29382 per therm (compared to the current surcharge of $0.08198). The monthly bill impact is $5.88 for a residential customer using 20 therms per month. The proposed Fort Meade tariff pages are contained in Attachment </w:t>
      </w:r>
      <w:r w:rsidR="005B0EDA">
        <w:t>D</w:t>
      </w:r>
      <w:r w:rsidR="00E72A78">
        <w:t>.</w:t>
      </w:r>
    </w:p>
    <w:p w:rsidR="00667FF4" w:rsidRDefault="00667FF4" w:rsidP="00283B92">
      <w:pPr>
        <w:pStyle w:val="BodyText"/>
      </w:pPr>
    </w:p>
    <w:p w:rsidR="00DE1DDA" w:rsidRDefault="00DE1DDA" w:rsidP="00DE1DDA">
      <w:pPr>
        <w:pStyle w:val="First-LevelSubheading"/>
      </w:pPr>
      <w:r>
        <w:lastRenderedPageBreak/>
        <w:t>Conclusion</w:t>
      </w:r>
    </w:p>
    <w:p w:rsidR="00F9651E" w:rsidRDefault="00DE1DDA" w:rsidP="00E20B8C">
      <w:pPr>
        <w:pStyle w:val="BodyText"/>
      </w:pPr>
      <w:r>
        <w:t>Staff believes the calculation of the 2019 GRIP surcharge revenue requirement and the proposed GRIP surcharges for FPUC, Chesapeake, and Fort Meade are reasonable and accurate. Staff recommends approval of FPUC’s, Chesapeake’s, and Fort Meade’s proposed GRIP surcharge</w:t>
      </w:r>
      <w:r w:rsidR="0099717D">
        <w:t>s</w:t>
      </w:r>
      <w:r>
        <w:t xml:space="preserve"> for the period January </w:t>
      </w:r>
      <w:r w:rsidR="0099717D">
        <w:t>through</w:t>
      </w:r>
      <w:r>
        <w:t xml:space="preserve"> December 2019.</w:t>
      </w:r>
    </w:p>
    <w:p w:rsidR="00EC0FF6" w:rsidRDefault="00EC0FF6">
      <w:pPr>
        <w:pStyle w:val="IssueHeading"/>
        <w:rPr>
          <w:vanish/>
          <w:specVanish/>
        </w:rPr>
      </w:pPr>
      <w:r w:rsidRPr="004C3641">
        <w:rPr>
          <w:b w:val="0"/>
          <w:i w:val="0"/>
        </w:rPr>
        <w:br w:type="page"/>
      </w:r>
      <w:r w:rsidRPr="004C3641">
        <w:lastRenderedPageBreak/>
        <w:t xml:space="preserve">Issue </w:t>
      </w:r>
      <w:r w:rsidR="00611AB3">
        <w:fldChar w:fldCharType="begin"/>
      </w:r>
      <w:r w:rsidR="00611AB3">
        <w:instrText xml:space="preserve"> SEQ Issue \* MERGEFORMAT </w:instrText>
      </w:r>
      <w:r w:rsidR="00611AB3">
        <w:fldChar w:fldCharType="separate"/>
      </w:r>
      <w:r w:rsidR="00767E1D">
        <w:rPr>
          <w:noProof/>
        </w:rPr>
        <w:t>2</w:t>
      </w:r>
      <w:r w:rsidR="00611AB3">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767E1D">
        <w:rPr>
          <w:noProof/>
        </w:rPr>
        <w:instrText>2</w:instrText>
      </w:r>
      <w:r>
        <w:fldChar w:fldCharType="end"/>
      </w:r>
      <w:r>
        <w:tab/>
        <w:instrText xml:space="preserve">(Davis)" \l 1 </w:instrText>
      </w:r>
      <w:r>
        <w:fldChar w:fldCharType="end"/>
      </w:r>
      <w:r>
        <w:t> </w:t>
      </w:r>
    </w:p>
    <w:p w:rsidR="00EC0FF6" w:rsidRDefault="00EC0FF6">
      <w:pPr>
        <w:pStyle w:val="BodyText"/>
      </w:pPr>
      <w:r>
        <w:t> Should this docket be closed?</w:t>
      </w:r>
    </w:p>
    <w:p w:rsidR="00EC0FF6" w:rsidRPr="004C3641" w:rsidRDefault="00EC0FF6">
      <w:pPr>
        <w:pStyle w:val="IssueSubsectionHeading"/>
        <w:rPr>
          <w:vanish/>
          <w:specVanish/>
        </w:rPr>
      </w:pPr>
      <w:r w:rsidRPr="004C3641">
        <w:t>Recommendation: </w:t>
      </w:r>
    </w:p>
    <w:p w:rsidR="00EC0FF6" w:rsidRDefault="00EC0FF6">
      <w:pPr>
        <w:pStyle w:val="BodyText"/>
      </w:pPr>
      <w:r>
        <w:t>  </w:t>
      </w:r>
      <w:r w:rsidR="00BC00E4">
        <w:t xml:space="preserve">Yes. </w:t>
      </w:r>
      <w:r>
        <w:t>If Issue 1 is approved an</w:t>
      </w:r>
      <w:r w:rsidR="00375ABB">
        <w:t>d</w:t>
      </w:r>
      <w:r>
        <w:t xml:space="preserve"> a protest is filed within 21 days of the issuance of the order, the tariffs should remain in effect, with any revenues held subject to refund, pending resolution of the protest. If no timely protest is filed, this docket should be closed upon the issuance of a consummating order. (Davis)</w:t>
      </w:r>
    </w:p>
    <w:p w:rsidR="00EC0FF6" w:rsidRPr="004C3641" w:rsidRDefault="00EC0FF6">
      <w:pPr>
        <w:pStyle w:val="IssueSubsectionHeading"/>
        <w:rPr>
          <w:vanish/>
          <w:specVanish/>
        </w:rPr>
      </w:pPr>
      <w:r w:rsidRPr="004C3641">
        <w:t>Staff Analysis: </w:t>
      </w:r>
    </w:p>
    <w:p w:rsidR="00BB54D4" w:rsidRDefault="00EC0FF6" w:rsidP="000303C1">
      <w:pPr>
        <w:pStyle w:val="BodyText"/>
        <w:sectPr w:rsidR="00BB54D4"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r>
        <w:t>  If Issue 1 is approved an</w:t>
      </w:r>
      <w:r w:rsidR="00375ABB">
        <w:t>d</w:t>
      </w:r>
      <w:r>
        <w:t xml:space="preserve"> a protest is filed within 21 days of the issuance of the order, the tariffs should remain in effect, with any revenues held subject to refund, pending resolution of the protest. If no timely protest is filed, this docket should be closed upon the issuance of a consummating order.</w:t>
      </w:r>
    </w:p>
    <w:p w:rsidR="000303C1" w:rsidRPr="000303C1" w:rsidRDefault="000303C1" w:rsidP="000303C1">
      <w:pPr>
        <w:jc w:val="center"/>
        <w:rPr>
          <w:b/>
          <w:noProof/>
        </w:rPr>
      </w:pPr>
      <w:r w:rsidRPr="000303C1">
        <w:rPr>
          <w:b/>
          <w:noProof/>
        </w:rPr>
        <w:lastRenderedPageBreak/>
        <w:t>FPUC</w:t>
      </w:r>
      <w:r w:rsidR="005D3867">
        <w:rPr>
          <w:b/>
          <w:noProof/>
        </w:rPr>
        <w:t>, Chesapeake, and Fort Meade</w:t>
      </w:r>
      <w:r w:rsidRPr="000303C1">
        <w:rPr>
          <w:b/>
          <w:noProof/>
        </w:rPr>
        <w:t xml:space="preserve"> Pipe Replacement Program</w:t>
      </w:r>
      <w:r w:rsidR="004563E5">
        <w:rPr>
          <w:b/>
          <w:noProof/>
        </w:rPr>
        <w:t>s</w:t>
      </w:r>
      <w:r w:rsidRPr="000303C1">
        <w:rPr>
          <w:b/>
          <w:noProof/>
        </w:rPr>
        <w:t xml:space="preserve"> Progress</w:t>
      </w:r>
    </w:p>
    <w:p w:rsidR="000303C1" w:rsidRDefault="000303C1" w:rsidP="00BB54D4">
      <w:pPr>
        <w:sectPr w:rsidR="000303C1" w:rsidSect="0068481F">
          <w:headerReference w:type="default" r:id="rId15"/>
          <w:pgSz w:w="12240" w:h="15840" w:code="1"/>
          <w:pgMar w:top="1584" w:right="1440" w:bottom="1440" w:left="1440" w:header="720" w:footer="720" w:gutter="0"/>
          <w:cols w:space="720"/>
          <w:formProt w:val="0"/>
          <w:docGrid w:linePitch="360"/>
        </w:sectPr>
      </w:pPr>
      <w:r>
        <w:rPr>
          <w:noProof/>
        </w:rPr>
        <w:drawing>
          <wp:inline distT="0" distB="0" distL="0" distR="0">
            <wp:extent cx="5943600" cy="76904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0485"/>
                    </a:xfrm>
                    <a:prstGeom prst="rect">
                      <a:avLst/>
                    </a:prstGeom>
                  </pic:spPr>
                </pic:pic>
              </a:graphicData>
            </a:graphic>
          </wp:inline>
        </w:drawing>
      </w:r>
    </w:p>
    <w:p w:rsidR="00BB54D4" w:rsidRDefault="00BB54D4" w:rsidP="00BB54D4">
      <w:pPr>
        <w:sectPr w:rsidR="00BB54D4" w:rsidSect="0068481F">
          <w:headerReference w:type="default" r:id="rId17"/>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560CCC69" wp14:editId="440AC9D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f scans_Page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BB54D4" w:rsidRDefault="00BB54D4" w:rsidP="00BB54D4"/>
    <w:p w:rsidR="00BB54D4" w:rsidRDefault="00BB54D4" w:rsidP="00BB54D4">
      <w:r>
        <w:rPr>
          <w:noProof/>
        </w:rPr>
        <w:drawing>
          <wp:inline distT="0" distB="0" distL="0" distR="0" wp14:anchorId="3FD43698" wp14:editId="4B3F498C">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f scans_Page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BB54D4" w:rsidRDefault="00BB54D4" w:rsidP="00BB54D4">
      <w:r>
        <w:br w:type="page"/>
      </w:r>
    </w:p>
    <w:p w:rsidR="00D150BB" w:rsidRDefault="00BB54D4" w:rsidP="00BB54D4">
      <w:pPr>
        <w:sectPr w:rsidR="00D150BB" w:rsidSect="0068481F">
          <w:headerReference w:type="default" r:id="rId20"/>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55F56204" wp14:editId="41BE0B58">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f scans_Page_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BB54D4" w:rsidRDefault="00BB54D4" w:rsidP="00BB54D4"/>
    <w:p w:rsidR="00770222" w:rsidRPr="00E20B8C" w:rsidRDefault="00BB54D4" w:rsidP="00BB54D4">
      <w:r>
        <w:rPr>
          <w:noProof/>
        </w:rPr>
        <w:drawing>
          <wp:inline distT="0" distB="0" distL="0" distR="0" wp14:anchorId="22EDFEC7" wp14:editId="1F53EA91">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iff scans_Page_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770222" w:rsidRPr="00E20B8C" w:rsidSect="0068481F">
      <w:headerReference w:type="default" r:id="rId23"/>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6DE" w:rsidRDefault="00C846DE">
      <w:r>
        <w:separator/>
      </w:r>
    </w:p>
  </w:endnote>
  <w:endnote w:type="continuationSeparator" w:id="0">
    <w:p w:rsidR="00C846DE" w:rsidRDefault="00C84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50213D">
      <w:rPr>
        <w:rStyle w:val="PageNumber"/>
        <w:noProof/>
      </w:rPr>
      <w:t>13</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6DE" w:rsidRDefault="00C846DE">
      <w:r>
        <w:separator/>
      </w:r>
    </w:p>
  </w:footnote>
  <w:footnote w:type="continuationSeparator" w:id="0">
    <w:p w:rsidR="00C846DE" w:rsidRDefault="00C846DE">
      <w:r>
        <w:continuationSeparator/>
      </w:r>
    </w:p>
  </w:footnote>
  <w:footnote w:id="1">
    <w:p w:rsidR="00C846DE" w:rsidRPr="00C846DE" w:rsidRDefault="00C846DE">
      <w:pPr>
        <w:pStyle w:val="FootnoteText"/>
        <w:rPr>
          <w:i/>
        </w:rPr>
      </w:pPr>
      <w:r>
        <w:rPr>
          <w:rStyle w:val="FootnoteReference"/>
        </w:rPr>
        <w:footnoteRef/>
      </w:r>
      <w:r>
        <w:t xml:space="preserve"> </w:t>
      </w:r>
      <w:proofErr w:type="gramStart"/>
      <w:r>
        <w:t>Order No.</w:t>
      </w:r>
      <w:proofErr w:type="gramEnd"/>
      <w:r>
        <w:t xml:space="preserve"> PSC-12-0490-TRF-GU, issued September 24, 2012, in Docket No. 120036-GU, </w:t>
      </w:r>
      <w:r>
        <w:rPr>
          <w:i/>
        </w:rPr>
        <w:t>In re: Joint petition for approval of Gas Reliability Infrastructure Program (GRIP) by Florida Public Utilities Company and the Florida Division of Chesapeake Utilities Corporation</w:t>
      </w:r>
      <w:r w:rsidR="00BC0F8D">
        <w:rPr>
          <w:i/>
        </w:rPr>
        <w:t>.</w:t>
      </w:r>
    </w:p>
  </w:footnote>
  <w:footnote w:id="2">
    <w:p w:rsidR="00502029" w:rsidRPr="00502029" w:rsidRDefault="00502029">
      <w:pPr>
        <w:pStyle w:val="FootnoteText"/>
        <w:rPr>
          <w:i/>
        </w:rPr>
      </w:pPr>
      <w:r>
        <w:rPr>
          <w:rStyle w:val="FootnoteReference"/>
        </w:rPr>
        <w:footnoteRef/>
      </w:r>
      <w:r>
        <w:t xml:space="preserve"> </w:t>
      </w:r>
      <w:proofErr w:type="gramStart"/>
      <w:r>
        <w:t>Order No.</w:t>
      </w:r>
      <w:proofErr w:type="gramEnd"/>
      <w:r>
        <w:t xml:space="preserve"> PSC-15-0578-TRF-GU, issued December 21, 2015, in Docket No. 150191-GU, </w:t>
      </w:r>
      <w:r>
        <w:rPr>
          <w:i/>
        </w:rPr>
        <w:t>In re: Joint petition for approval to implement gas reliability infrastructure program (GRIP) for Florida Public Utilities Company-Fort Meade and for approval of GRIP cost recovery factors by Florida Public Utilities Company, Florida Public Utilities Company-Fort Meade and the Florida Division of Chesapeake Utilities Corporation.</w:t>
      </w:r>
    </w:p>
  </w:footnote>
  <w:footnote w:id="3">
    <w:p w:rsidR="00123B82" w:rsidRPr="00115EF0" w:rsidRDefault="00123B82">
      <w:pPr>
        <w:pStyle w:val="FootnoteText"/>
        <w:rPr>
          <w:i/>
        </w:rPr>
      </w:pPr>
      <w:r>
        <w:rPr>
          <w:rStyle w:val="FootnoteReference"/>
        </w:rPr>
        <w:footnoteRef/>
      </w:r>
      <w:r>
        <w:t xml:space="preserve"> </w:t>
      </w:r>
      <w:proofErr w:type="gramStart"/>
      <w:r>
        <w:t>Order No.</w:t>
      </w:r>
      <w:proofErr w:type="gramEnd"/>
      <w:r>
        <w:t xml:space="preserve"> PSC-17-0437-TRF-GU, issued</w:t>
      </w:r>
      <w:r w:rsidR="00BC0F8D">
        <w:t xml:space="preserve"> </w:t>
      </w:r>
      <w:r w:rsidR="00B93B19">
        <w:t xml:space="preserve">November 16, </w:t>
      </w:r>
      <w:r>
        <w:t>2017</w:t>
      </w:r>
      <w:r w:rsidR="00BC0F8D">
        <w:t>,</w:t>
      </w:r>
      <w:r w:rsidR="00115EF0">
        <w:t xml:space="preserve"> in Docket No. 20170190-GU, </w:t>
      </w:r>
      <w:r w:rsidR="00115EF0">
        <w:rPr>
          <w:i/>
        </w:rPr>
        <w:t>In re: Joint petition for approval of gas reliability infrastructure program (GRIP) cost recovery factors by Florida Public Utilities Company, Florida Public Utilities Company-Fort Meade, and Florida Division of Chesapeake Utilities Corporation.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C846DE"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20180163-GU</w:t>
    </w:r>
    <w:bookmarkEnd w:id="15"/>
  </w:p>
  <w:p w:rsidR="00BC402E" w:rsidRDefault="00BC402E">
    <w:pPr>
      <w:pStyle w:val="Header"/>
    </w:pPr>
    <w:r>
      <w:t xml:space="preserve">Date: </w:t>
    </w:r>
    <w:r w:rsidR="00611AB3">
      <w:fldChar w:fldCharType="begin"/>
    </w:r>
    <w:r w:rsidR="00611AB3">
      <w:instrText xml:space="preserve"> REF FilingDate </w:instrText>
    </w:r>
    <w:r w:rsidR="00611AB3">
      <w:fldChar w:fldCharType="separate"/>
    </w:r>
    <w:r w:rsidR="00767E1D">
      <w:t>October 18, 2018</w:t>
    </w:r>
    <w:r w:rsidR="00611AB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767E1D">
      <w:t>Docket No.</w:t>
    </w:r>
    <w:r>
      <w:fldChar w:fldCharType="end"/>
    </w:r>
    <w:r>
      <w:t xml:space="preserve"> </w:t>
    </w:r>
    <w:r>
      <w:fldChar w:fldCharType="begin"/>
    </w:r>
    <w:r>
      <w:instrText xml:space="preserve"> REF DocketList</w:instrText>
    </w:r>
    <w:r>
      <w:fldChar w:fldCharType="separate"/>
    </w:r>
    <w:r w:rsidR="00767E1D">
      <w:t>20180163-GU</w:t>
    </w:r>
    <w:r>
      <w:fldChar w:fldCharType="end"/>
    </w:r>
    <w:r>
      <w:tab/>
      <w:t xml:space="preserve">Issue </w:t>
    </w:r>
    <w:r w:rsidR="00611AB3">
      <w:fldChar w:fldCharType="begin"/>
    </w:r>
    <w:r w:rsidR="00611AB3">
      <w:instrText xml:space="preserve"> Seq Issue \c \* Arabic </w:instrText>
    </w:r>
    <w:r w:rsidR="00611AB3">
      <w:fldChar w:fldCharType="separate"/>
    </w:r>
    <w:r w:rsidR="0050213D">
      <w:rPr>
        <w:noProof/>
      </w:rPr>
      <w:t>2</w:t>
    </w:r>
    <w:r w:rsidR="00611AB3">
      <w:rPr>
        <w:noProof/>
      </w:rPr>
      <w:fldChar w:fldCharType="end"/>
    </w:r>
  </w:p>
  <w:p w:rsidR="00BC402E" w:rsidRDefault="00BC402E">
    <w:pPr>
      <w:pStyle w:val="Header"/>
    </w:pPr>
    <w:r>
      <w:t xml:space="preserve">Date: </w:t>
    </w:r>
    <w:r w:rsidR="00611AB3">
      <w:fldChar w:fldCharType="begin"/>
    </w:r>
    <w:r w:rsidR="00611AB3">
      <w:instrText xml:space="preserve"> REF FilingDate </w:instrText>
    </w:r>
    <w:r w:rsidR="00611AB3">
      <w:fldChar w:fldCharType="separate"/>
    </w:r>
    <w:r w:rsidR="00767E1D">
      <w:t>October 18, 2018</w:t>
    </w:r>
    <w:r w:rsidR="00611AB3">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4D4" w:rsidRDefault="00BB54D4" w:rsidP="00220732">
    <w:pPr>
      <w:pStyle w:val="Header"/>
      <w:tabs>
        <w:tab w:val="clear" w:pos="4320"/>
        <w:tab w:val="clear" w:pos="8640"/>
        <w:tab w:val="right" w:pos="9360"/>
      </w:tabs>
    </w:pPr>
    <w:r>
      <w:fldChar w:fldCharType="begin"/>
    </w:r>
    <w:r>
      <w:instrText xml:space="preserve"> REF DocketLabel</w:instrText>
    </w:r>
    <w:r>
      <w:fldChar w:fldCharType="separate"/>
    </w:r>
    <w:r w:rsidR="00767E1D">
      <w:t>Docket No.</w:t>
    </w:r>
    <w:r>
      <w:fldChar w:fldCharType="end"/>
    </w:r>
    <w:r>
      <w:t xml:space="preserve"> </w:t>
    </w:r>
    <w:r>
      <w:fldChar w:fldCharType="begin"/>
    </w:r>
    <w:r>
      <w:instrText xml:space="preserve"> REF DocketList</w:instrText>
    </w:r>
    <w:r>
      <w:fldChar w:fldCharType="separate"/>
    </w:r>
    <w:r w:rsidR="00767E1D">
      <w:t>20180163-GU</w:t>
    </w:r>
    <w:r>
      <w:fldChar w:fldCharType="end"/>
    </w:r>
    <w:r>
      <w:tab/>
    </w:r>
    <w:r>
      <w:fldChar w:fldCharType="begin"/>
    </w:r>
    <w:r>
      <w:instrText xml:space="preserve"> </w:instrText>
    </w:r>
    <w:r>
      <w:fldChar w:fldCharType="begin"/>
    </w:r>
    <w:r>
      <w:instrText xml:space="preserve">= Page </w:instrText>
    </w:r>
    <w:r>
      <w:fldChar w:fldCharType="separate"/>
    </w:r>
    <w:r w:rsidR="0050213D">
      <w:rPr>
        <w:b/>
        <w:noProof/>
      </w:rPr>
      <w:instrText>!Undefined Bookmark, PAGE</w:instrText>
    </w:r>
    <w:r>
      <w:fldChar w:fldCharType="end"/>
    </w:r>
    <w:r>
      <w:instrText xml:space="preserve"> - 8 </w:instrText>
    </w:r>
    <w:r>
      <w:fldChar w:fldCharType="separate"/>
    </w:r>
    <w:r>
      <w:rPr>
        <w:b/>
        <w:bCs/>
      </w:rPr>
      <w:t>Error! Bookmark not defined.</w:t>
    </w:r>
    <w:r>
      <w:fldChar w:fldCharType="end"/>
    </w:r>
    <w:r>
      <w:t>Attachment A</w:t>
    </w:r>
  </w:p>
  <w:p w:rsidR="00BB54D4" w:rsidRDefault="00BB54D4">
    <w:pPr>
      <w:pStyle w:val="Header"/>
    </w:pPr>
    <w:r>
      <w:t xml:space="preserve">Date: </w:t>
    </w:r>
    <w:fldSimple w:instr=" REF FilingDate ">
      <w:r w:rsidR="00767E1D">
        <w:t>October 18, 2018</w:t>
      </w:r>
    </w:fldSimple>
  </w:p>
  <w:p w:rsidR="00BB54D4" w:rsidRDefault="00BB54D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4D4" w:rsidRDefault="00BB54D4" w:rsidP="00220732">
    <w:pPr>
      <w:pStyle w:val="Header"/>
      <w:tabs>
        <w:tab w:val="clear" w:pos="4320"/>
        <w:tab w:val="clear" w:pos="8640"/>
        <w:tab w:val="right" w:pos="9360"/>
      </w:tabs>
    </w:pPr>
    <w:r>
      <w:fldChar w:fldCharType="begin"/>
    </w:r>
    <w:r>
      <w:instrText xml:space="preserve"> REF DocketLabel</w:instrText>
    </w:r>
    <w:r>
      <w:fldChar w:fldCharType="separate"/>
    </w:r>
    <w:r w:rsidR="00767E1D">
      <w:t>Docket No.</w:t>
    </w:r>
    <w:r>
      <w:fldChar w:fldCharType="end"/>
    </w:r>
    <w:r>
      <w:t xml:space="preserve"> </w:t>
    </w:r>
    <w:r>
      <w:fldChar w:fldCharType="begin"/>
    </w:r>
    <w:r>
      <w:instrText xml:space="preserve"> REF DocketList</w:instrText>
    </w:r>
    <w:r>
      <w:fldChar w:fldCharType="separate"/>
    </w:r>
    <w:r w:rsidR="00767E1D">
      <w:t>20180163-GU</w:t>
    </w:r>
    <w:r>
      <w:fldChar w:fldCharType="end"/>
    </w:r>
    <w:r>
      <w:tab/>
    </w:r>
    <w:r>
      <w:fldChar w:fldCharType="begin"/>
    </w:r>
    <w:r>
      <w:instrText xml:space="preserve"> </w:instrText>
    </w:r>
    <w:r>
      <w:fldChar w:fldCharType="begin"/>
    </w:r>
    <w:r>
      <w:instrText xml:space="preserve">= Page </w:instrText>
    </w:r>
    <w:r>
      <w:fldChar w:fldCharType="separate"/>
    </w:r>
    <w:r w:rsidR="0050213D">
      <w:rPr>
        <w:b/>
        <w:noProof/>
      </w:rPr>
      <w:instrText>!Undefined Bookmark, PAGE</w:instrText>
    </w:r>
    <w:r>
      <w:fldChar w:fldCharType="end"/>
    </w:r>
    <w:r>
      <w:instrText xml:space="preserve"> - 8 </w:instrText>
    </w:r>
    <w:r>
      <w:fldChar w:fldCharType="separate"/>
    </w:r>
    <w:r>
      <w:rPr>
        <w:b/>
        <w:bCs/>
      </w:rPr>
      <w:t>Error! Bookmark not defined.</w:t>
    </w:r>
    <w:r>
      <w:fldChar w:fldCharType="end"/>
    </w:r>
    <w:r>
      <w:t>Attachment B</w:t>
    </w:r>
  </w:p>
  <w:p w:rsidR="00BB54D4" w:rsidRDefault="00BB54D4">
    <w:pPr>
      <w:pStyle w:val="Header"/>
    </w:pPr>
    <w:r>
      <w:t xml:space="preserve">Date: </w:t>
    </w:r>
    <w:fldSimple w:instr=" REF FilingDate ">
      <w:r w:rsidR="00767E1D">
        <w:t>October 18, 2018</w:t>
      </w:r>
    </w:fldSimple>
  </w:p>
  <w:p w:rsidR="00BB54D4" w:rsidRDefault="00BB54D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4D4" w:rsidRDefault="00BB54D4" w:rsidP="00220732">
    <w:pPr>
      <w:pStyle w:val="Header"/>
      <w:tabs>
        <w:tab w:val="clear" w:pos="4320"/>
        <w:tab w:val="clear" w:pos="8640"/>
        <w:tab w:val="right" w:pos="9360"/>
      </w:tabs>
    </w:pPr>
    <w:r>
      <w:fldChar w:fldCharType="begin"/>
    </w:r>
    <w:r>
      <w:instrText xml:space="preserve"> REF DocketLabel</w:instrText>
    </w:r>
    <w:r>
      <w:fldChar w:fldCharType="separate"/>
    </w:r>
    <w:r w:rsidR="00767E1D">
      <w:t>Docket No.</w:t>
    </w:r>
    <w:r>
      <w:fldChar w:fldCharType="end"/>
    </w:r>
    <w:r>
      <w:t xml:space="preserve"> </w:t>
    </w:r>
    <w:r>
      <w:fldChar w:fldCharType="begin"/>
    </w:r>
    <w:r>
      <w:instrText xml:space="preserve"> REF DocketList</w:instrText>
    </w:r>
    <w:r>
      <w:fldChar w:fldCharType="separate"/>
    </w:r>
    <w:r w:rsidR="00767E1D">
      <w:t>20180163-GU</w:t>
    </w:r>
    <w:r>
      <w:fldChar w:fldCharType="end"/>
    </w:r>
    <w:r>
      <w:tab/>
    </w:r>
    <w:r>
      <w:fldChar w:fldCharType="begin"/>
    </w:r>
    <w:r>
      <w:instrText xml:space="preserve"> </w:instrText>
    </w:r>
    <w:r>
      <w:fldChar w:fldCharType="begin"/>
    </w:r>
    <w:r>
      <w:instrText xml:space="preserve">= Page </w:instrText>
    </w:r>
    <w:r>
      <w:fldChar w:fldCharType="separate"/>
    </w:r>
    <w:r w:rsidR="0050213D">
      <w:rPr>
        <w:b/>
        <w:noProof/>
      </w:rPr>
      <w:instrText>!Undefined Bookmark, PAGE</w:instrText>
    </w:r>
    <w:r>
      <w:fldChar w:fldCharType="end"/>
    </w:r>
    <w:r>
      <w:instrText xml:space="preserve"> - 8 </w:instrText>
    </w:r>
    <w:r>
      <w:fldChar w:fldCharType="separate"/>
    </w:r>
    <w:r>
      <w:rPr>
        <w:b/>
        <w:bCs/>
      </w:rPr>
      <w:t>Error! Bookmark not defined.</w:t>
    </w:r>
    <w:r>
      <w:fldChar w:fldCharType="end"/>
    </w:r>
    <w:r>
      <w:t>Attachment C</w:t>
    </w:r>
  </w:p>
  <w:p w:rsidR="00BB54D4" w:rsidRDefault="00BB54D4">
    <w:pPr>
      <w:pStyle w:val="Header"/>
    </w:pPr>
    <w:r>
      <w:t xml:space="preserve">Date: </w:t>
    </w:r>
    <w:fldSimple w:instr=" REF FilingDate ">
      <w:r w:rsidR="00767E1D">
        <w:t>October 18, 2018</w:t>
      </w:r>
    </w:fldSimple>
    <w:r w:rsidR="00D150BB">
      <w:tab/>
      <w:t xml:space="preserve">                                                                                                             </w:t>
    </w:r>
    <w:r w:rsidR="00D150BB">
      <w:fldChar w:fldCharType="begin"/>
    </w:r>
    <w:r w:rsidR="00D150BB">
      <w:instrText>=</w:instrText>
    </w:r>
    <w:r w:rsidR="00D150BB">
      <w:fldChar w:fldCharType="begin"/>
    </w:r>
    <w:r w:rsidR="00D150BB">
      <w:instrText>Page</w:instrText>
    </w:r>
    <w:r w:rsidR="00D150BB">
      <w:fldChar w:fldCharType="separate"/>
    </w:r>
    <w:r w:rsidR="0050213D">
      <w:rPr>
        <w:noProof/>
      </w:rPr>
      <w:instrText>12</w:instrText>
    </w:r>
    <w:r w:rsidR="00D150BB">
      <w:fldChar w:fldCharType="end"/>
    </w:r>
    <w:r w:rsidR="00D150BB">
      <w:instrText>-10</w:instrText>
    </w:r>
    <w:r w:rsidR="00D150BB">
      <w:fldChar w:fldCharType="separate"/>
    </w:r>
    <w:r w:rsidR="0050213D">
      <w:rPr>
        <w:noProof/>
      </w:rPr>
      <w:t>2</w:t>
    </w:r>
    <w:r w:rsidR="00D150BB">
      <w:fldChar w:fldCharType="end"/>
    </w:r>
    <w:r w:rsidR="00D150BB">
      <w:t xml:space="preserve"> of 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0BB" w:rsidRDefault="00D150BB" w:rsidP="00220732">
    <w:pPr>
      <w:pStyle w:val="Header"/>
      <w:tabs>
        <w:tab w:val="clear" w:pos="4320"/>
        <w:tab w:val="clear" w:pos="8640"/>
        <w:tab w:val="right" w:pos="9360"/>
      </w:tabs>
    </w:pPr>
    <w:r>
      <w:fldChar w:fldCharType="begin"/>
    </w:r>
    <w:r>
      <w:instrText xml:space="preserve"> REF DocketLabel</w:instrText>
    </w:r>
    <w:r>
      <w:fldChar w:fldCharType="separate"/>
    </w:r>
    <w:r w:rsidR="00767E1D">
      <w:t>Docket No.</w:t>
    </w:r>
    <w:r>
      <w:fldChar w:fldCharType="end"/>
    </w:r>
    <w:r>
      <w:t xml:space="preserve"> </w:t>
    </w:r>
    <w:r>
      <w:fldChar w:fldCharType="begin"/>
    </w:r>
    <w:r>
      <w:instrText xml:space="preserve"> REF DocketList</w:instrText>
    </w:r>
    <w:r>
      <w:fldChar w:fldCharType="separate"/>
    </w:r>
    <w:r w:rsidR="00767E1D">
      <w:t>20180163-GU</w:t>
    </w:r>
    <w:r>
      <w:fldChar w:fldCharType="end"/>
    </w:r>
    <w:r>
      <w:tab/>
    </w:r>
    <w:r>
      <w:fldChar w:fldCharType="begin"/>
    </w:r>
    <w:r>
      <w:instrText xml:space="preserve"> </w:instrText>
    </w:r>
    <w:r>
      <w:fldChar w:fldCharType="begin"/>
    </w:r>
    <w:r>
      <w:instrText xml:space="preserve">= Page </w:instrText>
    </w:r>
    <w:r>
      <w:fldChar w:fldCharType="separate"/>
    </w:r>
    <w:r w:rsidR="0050213D">
      <w:rPr>
        <w:b/>
        <w:noProof/>
      </w:rPr>
      <w:instrText>!Undefined Bookmark, PAGE</w:instrText>
    </w:r>
    <w:r>
      <w:fldChar w:fldCharType="end"/>
    </w:r>
    <w:r>
      <w:instrText xml:space="preserve"> - 8 </w:instrText>
    </w:r>
    <w:r>
      <w:fldChar w:fldCharType="separate"/>
    </w:r>
    <w:r>
      <w:rPr>
        <w:b/>
        <w:bCs/>
      </w:rPr>
      <w:t>Error! Bookmark not defined.</w:t>
    </w:r>
    <w:r>
      <w:fldChar w:fldCharType="end"/>
    </w:r>
    <w:r>
      <w:t>Attachment D</w:t>
    </w:r>
  </w:p>
  <w:p w:rsidR="00D150BB" w:rsidRDefault="00D150BB">
    <w:pPr>
      <w:pStyle w:val="Header"/>
    </w:pPr>
    <w:r>
      <w:t xml:space="preserve">Date: </w:t>
    </w:r>
    <w:fldSimple w:instr=" REF FilingDate ">
      <w:r w:rsidR="00767E1D">
        <w:t>October 18, 2018</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532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C846DE"/>
    <w:rsid w:val="000043D5"/>
    <w:rsid w:val="00006170"/>
    <w:rsid w:val="00010E37"/>
    <w:rsid w:val="000162C1"/>
    <w:rsid w:val="000172DA"/>
    <w:rsid w:val="000247C5"/>
    <w:rsid w:val="00024D5B"/>
    <w:rsid w:val="000277C2"/>
    <w:rsid w:val="000303C1"/>
    <w:rsid w:val="00035B48"/>
    <w:rsid w:val="00036CE2"/>
    <w:rsid w:val="000437FE"/>
    <w:rsid w:val="000513BE"/>
    <w:rsid w:val="000619AF"/>
    <w:rsid w:val="00065A06"/>
    <w:rsid w:val="000666F3"/>
    <w:rsid w:val="0007026E"/>
    <w:rsid w:val="00070DCB"/>
    <w:rsid w:val="00073120"/>
    <w:rsid w:val="000764D0"/>
    <w:rsid w:val="000828D3"/>
    <w:rsid w:val="000A2B57"/>
    <w:rsid w:val="000A418B"/>
    <w:rsid w:val="000B455D"/>
    <w:rsid w:val="000C4431"/>
    <w:rsid w:val="000C6240"/>
    <w:rsid w:val="000D1C06"/>
    <w:rsid w:val="000D4319"/>
    <w:rsid w:val="000F2850"/>
    <w:rsid w:val="000F374A"/>
    <w:rsid w:val="000F4CFC"/>
    <w:rsid w:val="001076AF"/>
    <w:rsid w:val="00115EF0"/>
    <w:rsid w:val="00117C8C"/>
    <w:rsid w:val="00123B82"/>
    <w:rsid w:val="00124E2E"/>
    <w:rsid w:val="00125ED4"/>
    <w:rsid w:val="001305E9"/>
    <w:rsid w:val="001307AF"/>
    <w:rsid w:val="001312DE"/>
    <w:rsid w:val="00132414"/>
    <w:rsid w:val="00135687"/>
    <w:rsid w:val="00144855"/>
    <w:rsid w:val="0015506E"/>
    <w:rsid w:val="00163031"/>
    <w:rsid w:val="00171A90"/>
    <w:rsid w:val="0017463F"/>
    <w:rsid w:val="00180254"/>
    <w:rsid w:val="00191E1F"/>
    <w:rsid w:val="00192943"/>
    <w:rsid w:val="00193443"/>
    <w:rsid w:val="001A61B0"/>
    <w:rsid w:val="001A6E3B"/>
    <w:rsid w:val="001A7406"/>
    <w:rsid w:val="001B2F88"/>
    <w:rsid w:val="001B4FEE"/>
    <w:rsid w:val="001B51C5"/>
    <w:rsid w:val="001B6F3F"/>
    <w:rsid w:val="001C52B5"/>
    <w:rsid w:val="001C5404"/>
    <w:rsid w:val="001D0D3E"/>
    <w:rsid w:val="001D1906"/>
    <w:rsid w:val="001F09D7"/>
    <w:rsid w:val="001F2245"/>
    <w:rsid w:val="001F2C63"/>
    <w:rsid w:val="001F48C7"/>
    <w:rsid w:val="001F6DA1"/>
    <w:rsid w:val="002044E6"/>
    <w:rsid w:val="00205C82"/>
    <w:rsid w:val="00205DC2"/>
    <w:rsid w:val="00212B17"/>
    <w:rsid w:val="002163B6"/>
    <w:rsid w:val="002202CD"/>
    <w:rsid w:val="00220732"/>
    <w:rsid w:val="00221D32"/>
    <w:rsid w:val="00225C3F"/>
    <w:rsid w:val="0023076D"/>
    <w:rsid w:val="0026250F"/>
    <w:rsid w:val="00263D44"/>
    <w:rsid w:val="002702AD"/>
    <w:rsid w:val="00273E30"/>
    <w:rsid w:val="00276A52"/>
    <w:rsid w:val="00283B92"/>
    <w:rsid w:val="00291DA4"/>
    <w:rsid w:val="00292D82"/>
    <w:rsid w:val="002963CB"/>
    <w:rsid w:val="002D226D"/>
    <w:rsid w:val="002D67D1"/>
    <w:rsid w:val="002F6030"/>
    <w:rsid w:val="002F796D"/>
    <w:rsid w:val="003037E1"/>
    <w:rsid w:val="00307E51"/>
    <w:rsid w:val="00307F34"/>
    <w:rsid w:val="003103EC"/>
    <w:rsid w:val="00310CF0"/>
    <w:rsid w:val="003144EF"/>
    <w:rsid w:val="00322F74"/>
    <w:rsid w:val="00334541"/>
    <w:rsid w:val="00340073"/>
    <w:rsid w:val="003518DC"/>
    <w:rsid w:val="00354898"/>
    <w:rsid w:val="00355913"/>
    <w:rsid w:val="00362906"/>
    <w:rsid w:val="003632FD"/>
    <w:rsid w:val="00372805"/>
    <w:rsid w:val="00373180"/>
    <w:rsid w:val="00375AB9"/>
    <w:rsid w:val="00375ABB"/>
    <w:rsid w:val="003821A0"/>
    <w:rsid w:val="00383AB9"/>
    <w:rsid w:val="00385B04"/>
    <w:rsid w:val="003864CF"/>
    <w:rsid w:val="003A1BC5"/>
    <w:rsid w:val="003A22A6"/>
    <w:rsid w:val="003A5494"/>
    <w:rsid w:val="003B2510"/>
    <w:rsid w:val="003B6A01"/>
    <w:rsid w:val="003C0D6A"/>
    <w:rsid w:val="003C2CC4"/>
    <w:rsid w:val="003C3710"/>
    <w:rsid w:val="003E0EFC"/>
    <w:rsid w:val="003E4A2B"/>
    <w:rsid w:val="003E76C2"/>
    <w:rsid w:val="003F1679"/>
    <w:rsid w:val="003F21EB"/>
    <w:rsid w:val="003F4A35"/>
    <w:rsid w:val="003F7FDD"/>
    <w:rsid w:val="00402481"/>
    <w:rsid w:val="004042B4"/>
    <w:rsid w:val="00406417"/>
    <w:rsid w:val="00410DC4"/>
    <w:rsid w:val="00412DAE"/>
    <w:rsid w:val="004242E6"/>
    <w:rsid w:val="0043051B"/>
    <w:rsid w:val="00431598"/>
    <w:rsid w:val="004319AD"/>
    <w:rsid w:val="00434B0F"/>
    <w:rsid w:val="004426B8"/>
    <w:rsid w:val="00444432"/>
    <w:rsid w:val="004563E5"/>
    <w:rsid w:val="004700B9"/>
    <w:rsid w:val="00471860"/>
    <w:rsid w:val="004A744D"/>
    <w:rsid w:val="004B60BD"/>
    <w:rsid w:val="004C3150"/>
    <w:rsid w:val="004C3641"/>
    <w:rsid w:val="004C4390"/>
    <w:rsid w:val="004C4AF7"/>
    <w:rsid w:val="004D2881"/>
    <w:rsid w:val="004D385F"/>
    <w:rsid w:val="004D5B39"/>
    <w:rsid w:val="004E330D"/>
    <w:rsid w:val="004E5147"/>
    <w:rsid w:val="004F2D82"/>
    <w:rsid w:val="004F5C43"/>
    <w:rsid w:val="00502029"/>
    <w:rsid w:val="0050213D"/>
    <w:rsid w:val="0050652D"/>
    <w:rsid w:val="00506C03"/>
    <w:rsid w:val="00511A11"/>
    <w:rsid w:val="00516496"/>
    <w:rsid w:val="00523B11"/>
    <w:rsid w:val="0052572A"/>
    <w:rsid w:val="00527A02"/>
    <w:rsid w:val="00532BBD"/>
    <w:rsid w:val="00534176"/>
    <w:rsid w:val="00543CB3"/>
    <w:rsid w:val="005442E4"/>
    <w:rsid w:val="00557D71"/>
    <w:rsid w:val="00560FF0"/>
    <w:rsid w:val="00561256"/>
    <w:rsid w:val="005614BD"/>
    <w:rsid w:val="0057154F"/>
    <w:rsid w:val="00580F69"/>
    <w:rsid w:val="00581CA3"/>
    <w:rsid w:val="00587A44"/>
    <w:rsid w:val="00597730"/>
    <w:rsid w:val="005977EC"/>
    <w:rsid w:val="00597DE7"/>
    <w:rsid w:val="005A4535"/>
    <w:rsid w:val="005A4AA2"/>
    <w:rsid w:val="005B0EDA"/>
    <w:rsid w:val="005B34B6"/>
    <w:rsid w:val="005B6C8F"/>
    <w:rsid w:val="005B6EC3"/>
    <w:rsid w:val="005D0F74"/>
    <w:rsid w:val="005D2E7D"/>
    <w:rsid w:val="005D3867"/>
    <w:rsid w:val="005D4A8F"/>
    <w:rsid w:val="005D561B"/>
    <w:rsid w:val="005D5ECF"/>
    <w:rsid w:val="005F468D"/>
    <w:rsid w:val="005F621C"/>
    <w:rsid w:val="005F69A3"/>
    <w:rsid w:val="00600CBC"/>
    <w:rsid w:val="00604CC7"/>
    <w:rsid w:val="00615423"/>
    <w:rsid w:val="006165B2"/>
    <w:rsid w:val="00617276"/>
    <w:rsid w:val="0062527B"/>
    <w:rsid w:val="00625D97"/>
    <w:rsid w:val="00625F1C"/>
    <w:rsid w:val="00626C8E"/>
    <w:rsid w:val="006279E1"/>
    <w:rsid w:val="00630CEB"/>
    <w:rsid w:val="00632264"/>
    <w:rsid w:val="00646A59"/>
    <w:rsid w:val="006470BC"/>
    <w:rsid w:val="006554D3"/>
    <w:rsid w:val="00667036"/>
    <w:rsid w:val="00667FF4"/>
    <w:rsid w:val="00673BDB"/>
    <w:rsid w:val="00674341"/>
    <w:rsid w:val="006771B8"/>
    <w:rsid w:val="006843B6"/>
    <w:rsid w:val="0068481F"/>
    <w:rsid w:val="00696F5D"/>
    <w:rsid w:val="00697249"/>
    <w:rsid w:val="006B3947"/>
    <w:rsid w:val="006B4293"/>
    <w:rsid w:val="006B624F"/>
    <w:rsid w:val="006C0C95"/>
    <w:rsid w:val="006C31E3"/>
    <w:rsid w:val="006D18D3"/>
    <w:rsid w:val="006D5713"/>
    <w:rsid w:val="006E08CB"/>
    <w:rsid w:val="006E598D"/>
    <w:rsid w:val="0070437D"/>
    <w:rsid w:val="00704CF1"/>
    <w:rsid w:val="00705B04"/>
    <w:rsid w:val="00724992"/>
    <w:rsid w:val="00725EDE"/>
    <w:rsid w:val="00731030"/>
    <w:rsid w:val="00734820"/>
    <w:rsid w:val="007349DC"/>
    <w:rsid w:val="0074365E"/>
    <w:rsid w:val="00744B55"/>
    <w:rsid w:val="007515FD"/>
    <w:rsid w:val="00757DF5"/>
    <w:rsid w:val="00760D80"/>
    <w:rsid w:val="00767E1D"/>
    <w:rsid w:val="00770222"/>
    <w:rsid w:val="00780C09"/>
    <w:rsid w:val="00780DDF"/>
    <w:rsid w:val="007834E9"/>
    <w:rsid w:val="00787DBC"/>
    <w:rsid w:val="0079019A"/>
    <w:rsid w:val="00792935"/>
    <w:rsid w:val="007A04A1"/>
    <w:rsid w:val="007A1840"/>
    <w:rsid w:val="007B22CD"/>
    <w:rsid w:val="007C0528"/>
    <w:rsid w:val="007C3D38"/>
    <w:rsid w:val="007D0F35"/>
    <w:rsid w:val="007D4FEB"/>
    <w:rsid w:val="007D6146"/>
    <w:rsid w:val="007E0CE7"/>
    <w:rsid w:val="007F1193"/>
    <w:rsid w:val="007F417F"/>
    <w:rsid w:val="007F7644"/>
    <w:rsid w:val="008042BD"/>
    <w:rsid w:val="008054A8"/>
    <w:rsid w:val="00816624"/>
    <w:rsid w:val="00822427"/>
    <w:rsid w:val="00822562"/>
    <w:rsid w:val="00823663"/>
    <w:rsid w:val="00832DDC"/>
    <w:rsid w:val="008349E7"/>
    <w:rsid w:val="00844488"/>
    <w:rsid w:val="00850BAC"/>
    <w:rsid w:val="00854A3E"/>
    <w:rsid w:val="00855D08"/>
    <w:rsid w:val="00874344"/>
    <w:rsid w:val="00882155"/>
    <w:rsid w:val="0088233B"/>
    <w:rsid w:val="0088599E"/>
    <w:rsid w:val="00886C37"/>
    <w:rsid w:val="008918C0"/>
    <w:rsid w:val="00892C3D"/>
    <w:rsid w:val="00892D99"/>
    <w:rsid w:val="00893315"/>
    <w:rsid w:val="008A0D7D"/>
    <w:rsid w:val="008B62AE"/>
    <w:rsid w:val="008C04B5"/>
    <w:rsid w:val="008C14FA"/>
    <w:rsid w:val="008C7B0B"/>
    <w:rsid w:val="008D4057"/>
    <w:rsid w:val="008D4F94"/>
    <w:rsid w:val="008E1F19"/>
    <w:rsid w:val="008F0736"/>
    <w:rsid w:val="008F2262"/>
    <w:rsid w:val="008F4D2B"/>
    <w:rsid w:val="008F6840"/>
    <w:rsid w:val="008F7736"/>
    <w:rsid w:val="0090019E"/>
    <w:rsid w:val="00901086"/>
    <w:rsid w:val="00901C8A"/>
    <w:rsid w:val="00903820"/>
    <w:rsid w:val="00905886"/>
    <w:rsid w:val="00906F16"/>
    <w:rsid w:val="009070D6"/>
    <w:rsid w:val="009076C6"/>
    <w:rsid w:val="0091019E"/>
    <w:rsid w:val="009106F1"/>
    <w:rsid w:val="00912404"/>
    <w:rsid w:val="009145D6"/>
    <w:rsid w:val="00920E64"/>
    <w:rsid w:val="00922002"/>
    <w:rsid w:val="00924020"/>
    <w:rsid w:val="009271A7"/>
    <w:rsid w:val="009346EF"/>
    <w:rsid w:val="0093658B"/>
    <w:rsid w:val="009429FF"/>
    <w:rsid w:val="00945BD6"/>
    <w:rsid w:val="009479FB"/>
    <w:rsid w:val="00951C45"/>
    <w:rsid w:val="009656F2"/>
    <w:rsid w:val="00966A08"/>
    <w:rsid w:val="00971207"/>
    <w:rsid w:val="00975CB4"/>
    <w:rsid w:val="00976495"/>
    <w:rsid w:val="009863B0"/>
    <w:rsid w:val="00987DE1"/>
    <w:rsid w:val="00990571"/>
    <w:rsid w:val="0099673A"/>
    <w:rsid w:val="0099717D"/>
    <w:rsid w:val="009A0541"/>
    <w:rsid w:val="009A3330"/>
    <w:rsid w:val="009A7C96"/>
    <w:rsid w:val="009C3DB9"/>
    <w:rsid w:val="009D46E5"/>
    <w:rsid w:val="009D568A"/>
    <w:rsid w:val="009F04EC"/>
    <w:rsid w:val="009F2A7C"/>
    <w:rsid w:val="009F3B36"/>
    <w:rsid w:val="00A019B9"/>
    <w:rsid w:val="00A12508"/>
    <w:rsid w:val="00A1282B"/>
    <w:rsid w:val="00A13A27"/>
    <w:rsid w:val="00A175B6"/>
    <w:rsid w:val="00A20279"/>
    <w:rsid w:val="00A21835"/>
    <w:rsid w:val="00A2374B"/>
    <w:rsid w:val="00A27D6E"/>
    <w:rsid w:val="00A328EC"/>
    <w:rsid w:val="00A33A51"/>
    <w:rsid w:val="00A41CA6"/>
    <w:rsid w:val="00A47927"/>
    <w:rsid w:val="00A47FFC"/>
    <w:rsid w:val="00A5442F"/>
    <w:rsid w:val="00A54FF9"/>
    <w:rsid w:val="00A55E6A"/>
    <w:rsid w:val="00A56765"/>
    <w:rsid w:val="00A675AC"/>
    <w:rsid w:val="00A6774F"/>
    <w:rsid w:val="00A7581F"/>
    <w:rsid w:val="00A92FB1"/>
    <w:rsid w:val="00A95A0C"/>
    <w:rsid w:val="00AA2765"/>
    <w:rsid w:val="00AA59C1"/>
    <w:rsid w:val="00AA77B5"/>
    <w:rsid w:val="00AB4838"/>
    <w:rsid w:val="00AB6C5D"/>
    <w:rsid w:val="00AC3401"/>
    <w:rsid w:val="00AC51A7"/>
    <w:rsid w:val="00AC64BF"/>
    <w:rsid w:val="00AD444B"/>
    <w:rsid w:val="00AD6C78"/>
    <w:rsid w:val="00AE2EAB"/>
    <w:rsid w:val="00AE780E"/>
    <w:rsid w:val="00AF5F89"/>
    <w:rsid w:val="00AF73CB"/>
    <w:rsid w:val="00B002D6"/>
    <w:rsid w:val="00B0110F"/>
    <w:rsid w:val="00B03379"/>
    <w:rsid w:val="00B05B51"/>
    <w:rsid w:val="00B14E5A"/>
    <w:rsid w:val="00B15370"/>
    <w:rsid w:val="00B16DA4"/>
    <w:rsid w:val="00B17BEB"/>
    <w:rsid w:val="00B21A3C"/>
    <w:rsid w:val="00B223C0"/>
    <w:rsid w:val="00B234ED"/>
    <w:rsid w:val="00B249B2"/>
    <w:rsid w:val="00B25CA3"/>
    <w:rsid w:val="00B2765A"/>
    <w:rsid w:val="00B3109A"/>
    <w:rsid w:val="00B516ED"/>
    <w:rsid w:val="00B57A6A"/>
    <w:rsid w:val="00B616E6"/>
    <w:rsid w:val="00B760F1"/>
    <w:rsid w:val="00B7669E"/>
    <w:rsid w:val="00B76A9C"/>
    <w:rsid w:val="00B77DA1"/>
    <w:rsid w:val="00B822A0"/>
    <w:rsid w:val="00B83F15"/>
    <w:rsid w:val="00B858AE"/>
    <w:rsid w:val="00B85964"/>
    <w:rsid w:val="00B93B19"/>
    <w:rsid w:val="00B96250"/>
    <w:rsid w:val="00BA0D55"/>
    <w:rsid w:val="00BA37B3"/>
    <w:rsid w:val="00BA4CC6"/>
    <w:rsid w:val="00BB3493"/>
    <w:rsid w:val="00BB54D4"/>
    <w:rsid w:val="00BB7468"/>
    <w:rsid w:val="00BC00E4"/>
    <w:rsid w:val="00BC0C1A"/>
    <w:rsid w:val="00BC0F8D"/>
    <w:rsid w:val="00BC188A"/>
    <w:rsid w:val="00BC402E"/>
    <w:rsid w:val="00BD0F48"/>
    <w:rsid w:val="00BE6BCD"/>
    <w:rsid w:val="00BF3968"/>
    <w:rsid w:val="00BF5010"/>
    <w:rsid w:val="00C03D5F"/>
    <w:rsid w:val="00C07F20"/>
    <w:rsid w:val="00C13791"/>
    <w:rsid w:val="00C225F5"/>
    <w:rsid w:val="00C261C4"/>
    <w:rsid w:val="00C31BB3"/>
    <w:rsid w:val="00C36977"/>
    <w:rsid w:val="00C467DA"/>
    <w:rsid w:val="00C477D9"/>
    <w:rsid w:val="00C53DFA"/>
    <w:rsid w:val="00C60BA3"/>
    <w:rsid w:val="00C623F7"/>
    <w:rsid w:val="00C7599D"/>
    <w:rsid w:val="00C75BC5"/>
    <w:rsid w:val="00C76C59"/>
    <w:rsid w:val="00C81670"/>
    <w:rsid w:val="00C81773"/>
    <w:rsid w:val="00C82861"/>
    <w:rsid w:val="00C846DE"/>
    <w:rsid w:val="00C86896"/>
    <w:rsid w:val="00C907A8"/>
    <w:rsid w:val="00C93211"/>
    <w:rsid w:val="00C942EC"/>
    <w:rsid w:val="00C96047"/>
    <w:rsid w:val="00C979D0"/>
    <w:rsid w:val="00CA0818"/>
    <w:rsid w:val="00CA0B12"/>
    <w:rsid w:val="00CA15C8"/>
    <w:rsid w:val="00CA2C8F"/>
    <w:rsid w:val="00CA30DA"/>
    <w:rsid w:val="00CA3A24"/>
    <w:rsid w:val="00CB1777"/>
    <w:rsid w:val="00CB33E9"/>
    <w:rsid w:val="00CB470C"/>
    <w:rsid w:val="00CC10A9"/>
    <w:rsid w:val="00CE2BF8"/>
    <w:rsid w:val="00CE484E"/>
    <w:rsid w:val="00CE656F"/>
    <w:rsid w:val="00CF0DA8"/>
    <w:rsid w:val="00CF2E25"/>
    <w:rsid w:val="00CF4453"/>
    <w:rsid w:val="00CF5D94"/>
    <w:rsid w:val="00CF7E0F"/>
    <w:rsid w:val="00D034D7"/>
    <w:rsid w:val="00D04194"/>
    <w:rsid w:val="00D04BE4"/>
    <w:rsid w:val="00D06FC7"/>
    <w:rsid w:val="00D12565"/>
    <w:rsid w:val="00D137EA"/>
    <w:rsid w:val="00D14127"/>
    <w:rsid w:val="00D150BB"/>
    <w:rsid w:val="00D52CD0"/>
    <w:rsid w:val="00D60B16"/>
    <w:rsid w:val="00D60F02"/>
    <w:rsid w:val="00D66E49"/>
    <w:rsid w:val="00D70D71"/>
    <w:rsid w:val="00D72F74"/>
    <w:rsid w:val="00D81563"/>
    <w:rsid w:val="00D85907"/>
    <w:rsid w:val="00D9073E"/>
    <w:rsid w:val="00D9221D"/>
    <w:rsid w:val="00D958DF"/>
    <w:rsid w:val="00D96DA1"/>
    <w:rsid w:val="00DA3FC4"/>
    <w:rsid w:val="00DA51E7"/>
    <w:rsid w:val="00DB0260"/>
    <w:rsid w:val="00DB182E"/>
    <w:rsid w:val="00DB1C78"/>
    <w:rsid w:val="00DB7D96"/>
    <w:rsid w:val="00DC23FE"/>
    <w:rsid w:val="00DC59E6"/>
    <w:rsid w:val="00DD150B"/>
    <w:rsid w:val="00DD24D4"/>
    <w:rsid w:val="00DD5025"/>
    <w:rsid w:val="00DE1DDA"/>
    <w:rsid w:val="00DF1510"/>
    <w:rsid w:val="00E00B99"/>
    <w:rsid w:val="00E02F1F"/>
    <w:rsid w:val="00E06484"/>
    <w:rsid w:val="00E16F9A"/>
    <w:rsid w:val="00E20A7D"/>
    <w:rsid w:val="00E20B8C"/>
    <w:rsid w:val="00E275D8"/>
    <w:rsid w:val="00E30F6A"/>
    <w:rsid w:val="00E3117C"/>
    <w:rsid w:val="00E375CA"/>
    <w:rsid w:val="00E567E8"/>
    <w:rsid w:val="00E64056"/>
    <w:rsid w:val="00E64679"/>
    <w:rsid w:val="00E65EBC"/>
    <w:rsid w:val="00E677FE"/>
    <w:rsid w:val="00E72599"/>
    <w:rsid w:val="00E72A78"/>
    <w:rsid w:val="00E73432"/>
    <w:rsid w:val="00E75021"/>
    <w:rsid w:val="00E77B0C"/>
    <w:rsid w:val="00E77FB8"/>
    <w:rsid w:val="00E81D87"/>
    <w:rsid w:val="00E838B0"/>
    <w:rsid w:val="00E86A7C"/>
    <w:rsid w:val="00E878E1"/>
    <w:rsid w:val="00E87F2C"/>
    <w:rsid w:val="00E95278"/>
    <w:rsid w:val="00EA2273"/>
    <w:rsid w:val="00EA7C3C"/>
    <w:rsid w:val="00EB2DB3"/>
    <w:rsid w:val="00EC0FF6"/>
    <w:rsid w:val="00EC3FBB"/>
    <w:rsid w:val="00EC6B7A"/>
    <w:rsid w:val="00ED3A87"/>
    <w:rsid w:val="00ED5B67"/>
    <w:rsid w:val="00EF264C"/>
    <w:rsid w:val="00EF3FEE"/>
    <w:rsid w:val="00F04B59"/>
    <w:rsid w:val="00F11741"/>
    <w:rsid w:val="00F12B1C"/>
    <w:rsid w:val="00F13CF8"/>
    <w:rsid w:val="00F14F5E"/>
    <w:rsid w:val="00F15855"/>
    <w:rsid w:val="00F32978"/>
    <w:rsid w:val="00F346AD"/>
    <w:rsid w:val="00F453DA"/>
    <w:rsid w:val="00F45CB2"/>
    <w:rsid w:val="00F461CF"/>
    <w:rsid w:val="00F544C0"/>
    <w:rsid w:val="00F55332"/>
    <w:rsid w:val="00F6504A"/>
    <w:rsid w:val="00F65519"/>
    <w:rsid w:val="00F713C0"/>
    <w:rsid w:val="00F75DDC"/>
    <w:rsid w:val="00F7792F"/>
    <w:rsid w:val="00F8087C"/>
    <w:rsid w:val="00F842AA"/>
    <w:rsid w:val="00F8476F"/>
    <w:rsid w:val="00F853E1"/>
    <w:rsid w:val="00F85604"/>
    <w:rsid w:val="00F94B7A"/>
    <w:rsid w:val="00F9651E"/>
    <w:rsid w:val="00FA17AC"/>
    <w:rsid w:val="00FA2371"/>
    <w:rsid w:val="00FA32DE"/>
    <w:rsid w:val="00FA3382"/>
    <w:rsid w:val="00FA59CD"/>
    <w:rsid w:val="00FB1740"/>
    <w:rsid w:val="00FC5469"/>
    <w:rsid w:val="00FC6D7D"/>
    <w:rsid w:val="00FD16B0"/>
    <w:rsid w:val="00FD4FED"/>
    <w:rsid w:val="00FE0577"/>
    <w:rsid w:val="00FE3428"/>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C846DE"/>
    <w:rPr>
      <w:vertAlign w:val="superscript"/>
    </w:rPr>
  </w:style>
  <w:style w:type="character" w:styleId="EndnoteReference">
    <w:name w:val="endnote reference"/>
    <w:basedOn w:val="DefaultParagraphFont"/>
    <w:rsid w:val="0050202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C846DE"/>
    <w:rPr>
      <w:vertAlign w:val="superscript"/>
    </w:rPr>
  </w:style>
  <w:style w:type="character" w:styleId="EndnoteReference">
    <w:name w:val="endnote reference"/>
    <w:basedOn w:val="DefaultParagraphFont"/>
    <w:rsid w:val="0050202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200439">
      <w:bodyDiv w:val="1"/>
      <w:marLeft w:val="0"/>
      <w:marRight w:val="0"/>
      <w:marTop w:val="0"/>
      <w:marBottom w:val="0"/>
      <w:divBdr>
        <w:top w:val="none" w:sz="0" w:space="0" w:color="auto"/>
        <w:left w:val="none" w:sz="0" w:space="0" w:color="auto"/>
        <w:bottom w:val="none" w:sz="0" w:space="0" w:color="auto"/>
        <w:right w:val="none" w:sz="0" w:space="0" w:color="auto"/>
      </w:divBdr>
    </w:div>
    <w:div w:id="795753602">
      <w:bodyDiv w:val="1"/>
      <w:marLeft w:val="0"/>
      <w:marRight w:val="0"/>
      <w:marTop w:val="0"/>
      <w:marBottom w:val="0"/>
      <w:divBdr>
        <w:top w:val="none" w:sz="0" w:space="0" w:color="auto"/>
        <w:left w:val="none" w:sz="0" w:space="0" w:color="auto"/>
        <w:bottom w:val="none" w:sz="0" w:space="0" w:color="auto"/>
        <w:right w:val="none" w:sz="0" w:space="0" w:color="auto"/>
      </w:divBdr>
    </w:div>
    <w:div w:id="1006251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jpg"/><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6649F6-4D22-4691-AE2A-696D538C6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13</Pages>
  <Words>2055</Words>
  <Characters>12393</Characters>
  <Application>Microsoft Office Word</Application>
  <DocSecurity>0</DocSecurity>
  <Lines>103</Lines>
  <Paragraphs>28</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14420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Henry Merryday</dc:creator>
  <cp:lastModifiedBy>Jackie Colson</cp:lastModifiedBy>
  <cp:revision>2</cp:revision>
  <cp:lastPrinted>2018-10-18T13:06:00Z</cp:lastPrinted>
  <dcterms:created xsi:type="dcterms:W3CDTF">2018-10-18T14:37:00Z</dcterms:created>
  <dcterms:modified xsi:type="dcterms:W3CDTF">2018-10-18T14:37:00Z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20180163-GU</vt:lpwstr>
  </property>
  <property fmtid="{D5CDD505-2E9C-101B-9397-08002B2CF9AE}" pid="3" name="MasterDocument">
    <vt:bool>false</vt:bool>
  </property>
</Properties>
</file>