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BD5909">
            <w:pPr>
              <w:pStyle w:val="MemoHeading"/>
            </w:pPr>
            <w:bookmarkStart w:id="1" w:name="FilingDate"/>
            <w:r>
              <w:t>May 28,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D5909" w:rsidRDefault="00BD5909">
            <w:pPr>
              <w:pStyle w:val="MemoHeading"/>
            </w:pPr>
            <w:bookmarkStart w:id="2" w:name="From"/>
            <w:r>
              <w:t>Division of Economics (Forrest)</w:t>
            </w:r>
          </w:p>
          <w:p w:rsidR="007C0528" w:rsidRDefault="00BD5909">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D5909">
            <w:pPr>
              <w:pStyle w:val="MemoHeadingRe"/>
            </w:pPr>
            <w:bookmarkStart w:id="3" w:name="Re"/>
            <w:r>
              <w:t>Docket No. 20200097-EI – Petition for approval of budget billing tariff modifications by Gulf Power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D5909">
            <w:pPr>
              <w:pStyle w:val="MemoHeading"/>
            </w:pPr>
            <w:bookmarkStart w:id="4" w:name="AgendaDate"/>
            <w:r>
              <w:t>06/09/20</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D590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D5909">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D5909">
            <w:pPr>
              <w:pStyle w:val="MemoHeading"/>
            </w:pPr>
            <w:bookmarkStart w:id="9" w:name="CriticalDates"/>
            <w:r>
              <w:t>06/09/20</w:t>
            </w:r>
            <w:bookmarkEnd w:id="9"/>
            <w:r>
              <w:t xml:space="preserve"> (Gulf Power Company waived the 60-Day Suspension Date to the June 9, 2020 Agenda Conference)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D5909">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bookmarkEnd w:id="12"/>
    <w:p w:rsidR="00BD5909" w:rsidRPr="00AE1A79" w:rsidRDefault="00BD5909" w:rsidP="00BD5909">
      <w:pPr>
        <w:spacing w:before="360" w:after="360"/>
        <w:jc w:val="both"/>
      </w:pPr>
      <w:r w:rsidRPr="00AE1A79">
        <w:t xml:space="preserve">On March 20, 2020, Gulf Power </w:t>
      </w:r>
      <w:r>
        <w:t xml:space="preserve">Company </w:t>
      </w:r>
      <w:r w:rsidRPr="00AE1A79">
        <w:t xml:space="preserve">(Gulf or utility) filed a petition with the Commission </w:t>
      </w:r>
      <w:r>
        <w:t>t</w:t>
      </w:r>
      <w:r w:rsidRPr="00AE1A79">
        <w:rPr>
          <w:color w:val="000000"/>
        </w:rPr>
        <w:t>hat seeks to revise its budget billing tariff</w:t>
      </w:r>
      <w:r>
        <w:t xml:space="preserve">. </w:t>
      </w:r>
      <w:r w:rsidRPr="00AE1A79">
        <w:t xml:space="preserve">This revision </w:t>
      </w:r>
      <w:r w:rsidRPr="006806BF">
        <w:t>would affect customers participating in the optional budget billing tariff that also have outdoor lighting service.  The proposed revisions</w:t>
      </w:r>
      <w:r>
        <w:rPr>
          <w:u w:val="single"/>
        </w:rPr>
        <w:t xml:space="preserve"> </w:t>
      </w:r>
      <w:r w:rsidRPr="00AE1A79">
        <w:t>would remove the costs associated with Rate Schedule OS (outdoor lighting tariff), from inclusion in the budget billing calculation.</w:t>
      </w:r>
      <w:r>
        <w:t xml:space="preserve"> </w:t>
      </w:r>
      <w:r w:rsidRPr="00AE1A79">
        <w:t>Rather, the outdoor lighting tariff costs would be charged as a separate line item on the customer’s bill. The utility states that this change is necessary as a result of modifications to its account management system.</w:t>
      </w:r>
      <w:r>
        <w:t xml:space="preserve"> </w:t>
      </w:r>
      <w:r w:rsidRPr="00AE1A79">
        <w:t>This petition would modify Tariff Sheet Nos. 6.32, 6.32.1, and 6.33</w:t>
      </w:r>
      <w:r w:rsidRPr="00493FB6">
        <w:t>,</w:t>
      </w:r>
      <w:r w:rsidRPr="00AE1A79">
        <w:t xml:space="preserve"> </w:t>
      </w:r>
      <w:r w:rsidRPr="00AE1A79">
        <w:rPr>
          <w:color w:val="000000"/>
        </w:rPr>
        <w:t>as shown in legislative format in Attachment A to the recommendation.</w:t>
      </w:r>
    </w:p>
    <w:p w:rsidR="00BD5909" w:rsidRPr="00AE1A79" w:rsidRDefault="00BD5909" w:rsidP="00BD5909">
      <w:pPr>
        <w:spacing w:before="360" w:after="360"/>
        <w:jc w:val="both"/>
      </w:pPr>
      <w:r w:rsidRPr="00AE1A79">
        <w:lastRenderedPageBreak/>
        <w:t>During the review of this petition, staff issued a data request to Gulf on March 31, 2020, for which responses were received on April 14, 2020.</w:t>
      </w:r>
      <w:r>
        <w:t xml:space="preserve"> </w:t>
      </w:r>
      <w:r w:rsidRPr="00AE1A79">
        <w:t>The Commission has jurisdiction over this matter pursuant to Sections 366.03, 366.04, 366.05, and 366.06, Florida Statutes (F.S.).</w:t>
      </w:r>
    </w:p>
    <w:p w:rsidR="00BD5909" w:rsidRDefault="00BD5909" w:rsidP="00BD5909">
      <w:pPr>
        <w:pStyle w:val="BodyText"/>
      </w:pPr>
    </w:p>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D5909" w:rsidRDefault="00BD5909" w:rsidP="00BD5909">
      <w:pPr>
        <w:pStyle w:val="IssueHeading"/>
        <w:rPr>
          <w:vanish/>
          <w:specVanish/>
        </w:rPr>
      </w:pPr>
      <w:r>
        <w:t>I</w:t>
      </w:r>
      <w:r w:rsidRPr="004C3641">
        <w:t xml:space="preserve">ssue </w:t>
      </w:r>
      <w:fldSimple w:instr=" SEQ Issue \* MERGEFORMAT ">
        <w:r w:rsidR="00EC216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C216A">
        <w:rPr>
          <w:noProof/>
        </w:rPr>
        <w:instrText>1</w:instrText>
      </w:r>
      <w:r>
        <w:fldChar w:fldCharType="end"/>
      </w:r>
      <w:r>
        <w:tab/>
        <w:instrText xml:space="preserve">" \l 1 </w:instrText>
      </w:r>
      <w:r>
        <w:fldChar w:fldCharType="end"/>
      </w:r>
      <w:r>
        <w:t> </w:t>
      </w:r>
    </w:p>
    <w:p w:rsidR="00BD5909" w:rsidRPr="00ED3ECB" w:rsidRDefault="00BD5909" w:rsidP="00BD5909">
      <w:pPr>
        <w:pStyle w:val="BodyText"/>
      </w:pPr>
      <w:r>
        <w:t> </w:t>
      </w:r>
      <w:r w:rsidRPr="00ED3ECB">
        <w:rPr>
          <w:color w:val="000000"/>
        </w:rPr>
        <w:t>Should the Commission approve Gulf's proposed modifications to its budget billing tariff?</w:t>
      </w:r>
    </w:p>
    <w:p w:rsidR="00BD5909" w:rsidRPr="004C3641" w:rsidRDefault="00BD5909" w:rsidP="00BD5909">
      <w:pPr>
        <w:pStyle w:val="IssueSubsectionHeading"/>
        <w:rPr>
          <w:vanish/>
          <w:specVanish/>
        </w:rPr>
      </w:pPr>
      <w:r w:rsidRPr="004C3641">
        <w:t>Recommendation: </w:t>
      </w:r>
    </w:p>
    <w:p w:rsidR="00BD5909" w:rsidRDefault="00BD5909" w:rsidP="00BD5909">
      <w:pPr>
        <w:pStyle w:val="BodyText"/>
      </w:pPr>
      <w:r>
        <w:t> </w:t>
      </w:r>
      <w:r w:rsidRPr="00F736C2">
        <w:t xml:space="preserve">Yes, the Commission </w:t>
      </w:r>
      <w:r>
        <w:rPr>
          <w:color w:val="000000"/>
        </w:rPr>
        <w:t xml:space="preserve">should </w:t>
      </w:r>
      <w:r w:rsidRPr="00ED3ECB">
        <w:rPr>
          <w:color w:val="000000"/>
        </w:rPr>
        <w:t>approve Gulf's proposed modifications to its budget billing tariff</w:t>
      </w:r>
      <w:r>
        <w:t xml:space="preserve"> </w:t>
      </w:r>
      <w:r w:rsidRPr="00F736C2">
        <w:t xml:space="preserve">effective </w:t>
      </w:r>
      <w:r>
        <w:t>June 9</w:t>
      </w:r>
      <w:r w:rsidRPr="00F736C2">
        <w:t>, 2020.</w:t>
      </w:r>
      <w:r>
        <w:rPr>
          <w:lang w:val="en"/>
        </w:rPr>
        <w:t xml:space="preserve"> </w:t>
      </w:r>
      <w:r>
        <w:t>(Forrest)</w:t>
      </w:r>
    </w:p>
    <w:p w:rsidR="00BD5909" w:rsidRPr="004C3641" w:rsidRDefault="00BD5909" w:rsidP="00BD5909">
      <w:pPr>
        <w:pStyle w:val="IssueSubsectionHeading"/>
        <w:rPr>
          <w:vanish/>
          <w:specVanish/>
        </w:rPr>
      </w:pPr>
      <w:r w:rsidRPr="004C3641">
        <w:t>Staff Analysis: </w:t>
      </w:r>
    </w:p>
    <w:p w:rsidR="00BD5909" w:rsidRDefault="00BD5909" w:rsidP="00BD5909">
      <w:pPr>
        <w:spacing w:before="360" w:after="360"/>
        <w:jc w:val="both"/>
      </w:pPr>
      <w:r w:rsidRPr="00AF0AE9">
        <w:t xml:space="preserve">The </w:t>
      </w:r>
      <w:r>
        <w:t>optional budget billing</w:t>
      </w:r>
      <w:r w:rsidRPr="00AF0AE9">
        <w:t xml:space="preserve"> </w:t>
      </w:r>
      <w:r>
        <w:t xml:space="preserve">tariff provides customers with </w:t>
      </w:r>
      <w:r w:rsidRPr="00AF0AE9">
        <w:t>stable electric bills by averaging and leveling out energy costs</w:t>
      </w:r>
      <w:r>
        <w:t xml:space="preserve"> over an annual cycle. This allows participating </w:t>
      </w:r>
      <w:r w:rsidRPr="00AF0AE9">
        <w:t>customers to pay approximately the same amount each month.</w:t>
      </w:r>
      <w:r>
        <w:t xml:space="preserve"> Currently, a customer participating in the utility’s outdoor lighting tariff would have the lighting costs incorporated into its budget billing calculation and billing amount. In February 2020, the utility</w:t>
      </w:r>
      <w:r w:rsidRPr="00AF0AE9">
        <w:t xml:space="preserve"> transition</w:t>
      </w:r>
      <w:r>
        <w:t xml:space="preserve">ed </w:t>
      </w:r>
      <w:r w:rsidRPr="00AF0AE9">
        <w:t xml:space="preserve">to a new customer management program called Customer Account Management System </w:t>
      </w:r>
      <w:r>
        <w:t>(</w:t>
      </w:r>
      <w:r w:rsidRPr="00AF0AE9">
        <w:t>CAMS</w:t>
      </w:r>
      <w:r>
        <w:t xml:space="preserve">). </w:t>
      </w:r>
      <w:r w:rsidRPr="006806BF">
        <w:t>Gulf states that the</w:t>
      </w:r>
      <w:r>
        <w:t xml:space="preserve"> new system does not allow the outdoor lighting tariff costs to be incorporated into the budget billing calculation.</w:t>
      </w:r>
      <w:r w:rsidRPr="00AF0AE9">
        <w:t xml:space="preserve">  </w:t>
      </w:r>
    </w:p>
    <w:p w:rsidR="00BD5909" w:rsidRDefault="00BD5909" w:rsidP="00BD5909">
      <w:pPr>
        <w:spacing w:before="360" w:after="360"/>
        <w:jc w:val="both"/>
      </w:pPr>
      <w:r w:rsidRPr="00AF0AE9">
        <w:t>According to Gulf</w:t>
      </w:r>
      <w:r>
        <w:t xml:space="preserve">, </w:t>
      </w:r>
      <w:r w:rsidRPr="00AF0AE9">
        <w:t>the CAMS</w:t>
      </w:r>
      <w:r>
        <w:t xml:space="preserve"> system</w:t>
      </w:r>
      <w:r w:rsidRPr="00AF0AE9">
        <w:t xml:space="preserve"> requires electric and multi-service accounts, like</w:t>
      </w:r>
      <w:r>
        <w:t xml:space="preserve"> outdoor</w:t>
      </w:r>
      <w:r w:rsidRPr="00AF0AE9">
        <w:t xml:space="preserve"> lighting, to be viewed and treated as two separate contracts under one single account.</w:t>
      </w:r>
      <w:r>
        <w:t xml:space="preserve"> This</w:t>
      </w:r>
      <w:r w:rsidRPr="00AF0AE9">
        <w:t xml:space="preserve"> technical limitation does not allow for budget billing to occur across multiple contracts. </w:t>
      </w:r>
      <w:r>
        <w:t>Therefore, the utility</w:t>
      </w:r>
      <w:r w:rsidRPr="00AF0AE9">
        <w:t xml:space="preserve"> </w:t>
      </w:r>
      <w:r>
        <w:t xml:space="preserve">must </w:t>
      </w:r>
      <w:r w:rsidRPr="00AF0AE9">
        <w:t>remove the</w:t>
      </w:r>
      <w:r>
        <w:t xml:space="preserve"> outdoor</w:t>
      </w:r>
      <w:r w:rsidRPr="00AF0AE9">
        <w:t xml:space="preserve"> lighting contract from the budget bill calculation, while keeping the elec</w:t>
      </w:r>
      <w:r>
        <w:t>tric contract on budget billing.</w:t>
      </w:r>
    </w:p>
    <w:p w:rsidR="00BD5909" w:rsidRDefault="00BD5909" w:rsidP="00BD5909">
      <w:pPr>
        <w:spacing w:before="360" w:after="360"/>
        <w:jc w:val="both"/>
      </w:pPr>
      <w:r w:rsidRPr="00AF0AE9">
        <w:t xml:space="preserve">Gulf states that </w:t>
      </w:r>
      <w:r>
        <w:t>customers</w:t>
      </w:r>
      <w:r w:rsidRPr="00AF0AE9">
        <w:t xml:space="preserve"> enrolled</w:t>
      </w:r>
      <w:r>
        <w:t xml:space="preserve"> in the outdoor lighting tariff</w:t>
      </w:r>
      <w:r w:rsidRPr="00AF0AE9">
        <w:t xml:space="preserve"> incur</w:t>
      </w:r>
      <w:r>
        <w:t xml:space="preserve"> </w:t>
      </w:r>
      <w:r w:rsidRPr="00AF0AE9">
        <w:t xml:space="preserve">an average monthly </w:t>
      </w:r>
      <w:r>
        <w:t xml:space="preserve">usage </w:t>
      </w:r>
      <w:r w:rsidRPr="00AF0AE9">
        <w:t xml:space="preserve">charge </w:t>
      </w:r>
      <w:r>
        <w:t xml:space="preserve">of </w:t>
      </w:r>
      <w:r w:rsidRPr="00AF0AE9">
        <w:t xml:space="preserve">$11.10 for lighting services. Due to the </w:t>
      </w:r>
      <w:r>
        <w:t xml:space="preserve">limited </w:t>
      </w:r>
      <w:r w:rsidRPr="00AF0AE9">
        <w:t>fluctuations in</w:t>
      </w:r>
      <w:r>
        <w:t xml:space="preserve"> </w:t>
      </w:r>
      <w:r w:rsidRPr="00AF0AE9">
        <w:t xml:space="preserve">outdoor lighting usage, these customers </w:t>
      </w:r>
      <w:r>
        <w:t>would only see a</w:t>
      </w:r>
      <w:r w:rsidRPr="00AF0AE9">
        <w:t xml:space="preserve"> small fluctuation in their bills</w:t>
      </w:r>
      <w:r>
        <w:t xml:space="preserve"> as a result of the lighting costs being a separate line item charge</w:t>
      </w:r>
      <w:r w:rsidRPr="00AF0AE9">
        <w:t>.</w:t>
      </w:r>
      <w:r>
        <w:t xml:space="preserve"> Currently, Gulf states that this change would affect approximately 5,000 of the 38,000 budget billing customers. </w:t>
      </w:r>
      <w:r w:rsidRPr="00AF0AE9">
        <w:t>The</w:t>
      </w:r>
      <w:r>
        <w:t xml:space="preserve"> affected outdoor lighting tariff customers will be notified of the change </w:t>
      </w:r>
      <w:r w:rsidRPr="00AF0AE9">
        <w:t xml:space="preserve">pursuant to the terms of </w:t>
      </w:r>
      <w:r>
        <w:t>the budget billing tariff</w:t>
      </w:r>
      <w:r w:rsidRPr="00AF0AE9">
        <w:t xml:space="preserve">. Any over/under billing will be charged or refunded in accordance with the terms of </w:t>
      </w:r>
      <w:r>
        <w:t>Gulf’s budget billing tariff</w:t>
      </w:r>
      <w:r w:rsidRPr="00AF0AE9">
        <w:t xml:space="preserve">.  </w:t>
      </w:r>
    </w:p>
    <w:p w:rsidR="00BD5909" w:rsidRDefault="00BD5909" w:rsidP="00BD5909">
      <w:pPr>
        <w:pStyle w:val="First-LevelSubheading"/>
      </w:pPr>
      <w:r>
        <w:t xml:space="preserve">Conclusion </w:t>
      </w:r>
    </w:p>
    <w:p w:rsidR="00BD5909" w:rsidRDefault="00BD5909" w:rsidP="00BD5909">
      <w:pPr>
        <w:spacing w:after="360"/>
        <w:jc w:val="both"/>
      </w:pPr>
      <w:r w:rsidRPr="006806BF">
        <w:rPr>
          <w:color w:val="000000"/>
        </w:rPr>
        <w:t>According to Gulf, the company’s recently installed customer billing system will not allow for customer outdoor lighting tariff costs to be incorporated into the budget billing calculation.  In addition, due</w:t>
      </w:r>
      <w:r w:rsidRPr="00AE1A79">
        <w:rPr>
          <w:color w:val="000000"/>
        </w:rPr>
        <w:t xml:space="preserve"> to the limited fluctuation in outdoor lighting bills, removing the lighting billing from the budget billing calculation would not adversely impact customers.</w:t>
      </w:r>
      <w:r>
        <w:rPr>
          <w:color w:val="000000"/>
        </w:rPr>
        <w:t xml:space="preserve"> </w:t>
      </w:r>
      <w:r w:rsidRPr="00BB1BE8">
        <w:rPr>
          <w:color w:val="000000"/>
        </w:rPr>
        <w:t>For the reasons stated above, s</w:t>
      </w:r>
      <w:r w:rsidRPr="00D774F3">
        <w:rPr>
          <w:color w:val="000000"/>
        </w:rPr>
        <w:t xml:space="preserve">taff believes that the </w:t>
      </w:r>
      <w:r w:rsidRPr="00BB1BE8">
        <w:rPr>
          <w:color w:val="000000"/>
        </w:rPr>
        <w:t>proposed</w:t>
      </w:r>
      <w:r>
        <w:rPr>
          <w:color w:val="000000"/>
        </w:rPr>
        <w:t xml:space="preserve"> </w:t>
      </w:r>
      <w:r w:rsidRPr="00D774F3">
        <w:rPr>
          <w:color w:val="000000"/>
        </w:rPr>
        <w:t xml:space="preserve">changes </w:t>
      </w:r>
      <w:r w:rsidRPr="00BB1BE8">
        <w:rPr>
          <w:color w:val="000000"/>
        </w:rPr>
        <w:t>to Gulf’s budget billing tariff are</w:t>
      </w:r>
      <w:r w:rsidRPr="00D774F3">
        <w:rPr>
          <w:color w:val="000000"/>
        </w:rPr>
        <w:t xml:space="preserve"> appropriate</w:t>
      </w:r>
      <w:r>
        <w:rPr>
          <w:color w:val="000000"/>
        </w:rPr>
        <w:t xml:space="preserve">. </w:t>
      </w:r>
      <w:r w:rsidRPr="00D774F3">
        <w:rPr>
          <w:color w:val="000000"/>
        </w:rPr>
        <w:t>Gulf stated that impacted customers would be notified via a bill message on their next bill.</w:t>
      </w:r>
      <w:r>
        <w:rPr>
          <w:color w:val="000000"/>
        </w:rPr>
        <w:t xml:space="preserve"> </w:t>
      </w:r>
      <w:r w:rsidRPr="00AE1A79">
        <w:t>Staff recommends that the Commission should approve Gulf</w:t>
      </w:r>
      <w:r>
        <w:t>’s proposed</w:t>
      </w:r>
      <w:r w:rsidRPr="00AE1A79">
        <w:t xml:space="preserve"> modifications to </w:t>
      </w:r>
      <w:r>
        <w:t>its</w:t>
      </w:r>
      <w:r w:rsidRPr="00AE1A79">
        <w:t xml:space="preserve"> </w:t>
      </w:r>
      <w:r>
        <w:t>budget billing t</w:t>
      </w:r>
      <w:r w:rsidRPr="00AE1A79">
        <w:t>ariff effective June 9, 2020.</w:t>
      </w:r>
    </w:p>
    <w:p w:rsidR="00BD5909" w:rsidRDefault="00BD5909" w:rsidP="00BD5909">
      <w:r>
        <w:br w:type="page"/>
      </w:r>
    </w:p>
    <w:p w:rsidR="00BD5909" w:rsidRDefault="00BD5909" w:rsidP="00BD5909">
      <w:pPr>
        <w:pStyle w:val="IssueHeading"/>
        <w:rPr>
          <w:vanish/>
          <w:specVanish/>
        </w:rPr>
      </w:pPr>
      <w:r>
        <w:lastRenderedPageBreak/>
        <w:t xml:space="preserve">Issue </w:t>
      </w:r>
      <w:fldSimple w:instr=" SEQ Issue \* MERGEFORMAT ">
        <w:r w:rsidR="00EC216A">
          <w:rPr>
            <w:noProof/>
          </w:rPr>
          <w:t>2</w:t>
        </w:r>
      </w:fldSimple>
      <w:r>
        <w:t>:</w:t>
      </w:r>
      <w:r>
        <w:fldChar w:fldCharType="begin"/>
      </w:r>
      <w:r>
        <w:instrText xml:space="preserve"> TC "</w:instrText>
      </w:r>
      <w:r>
        <w:fldChar w:fldCharType="begin"/>
      </w:r>
      <w:r>
        <w:instrText xml:space="preserve"> SEQ issue \c </w:instrText>
      </w:r>
      <w:r>
        <w:fldChar w:fldCharType="separate"/>
      </w:r>
      <w:r w:rsidR="00EC216A">
        <w:rPr>
          <w:noProof/>
        </w:rPr>
        <w:instrText>2</w:instrText>
      </w:r>
      <w:r>
        <w:fldChar w:fldCharType="end"/>
      </w:r>
      <w:r>
        <w:instrText xml:space="preserve"> " \l 1 </w:instrText>
      </w:r>
      <w:r>
        <w:fldChar w:fldCharType="end"/>
      </w:r>
      <w:r>
        <w:t> </w:t>
      </w:r>
    </w:p>
    <w:p w:rsidR="00BD5909" w:rsidRDefault="00BD5909" w:rsidP="00BD5909">
      <w:pPr>
        <w:pStyle w:val="BodyText"/>
      </w:pPr>
      <w:r>
        <w:t> Should this docket be closed?</w:t>
      </w:r>
    </w:p>
    <w:p w:rsidR="00BD5909" w:rsidRDefault="00BD5909" w:rsidP="00BD5909">
      <w:pPr>
        <w:pStyle w:val="IssueSubsectionHeading"/>
        <w:rPr>
          <w:vanish/>
          <w:specVanish/>
        </w:rPr>
      </w:pPr>
      <w:r>
        <w:t>Recommendation: </w:t>
      </w:r>
    </w:p>
    <w:p w:rsidR="00BD5909" w:rsidRDefault="00BD5909" w:rsidP="00BD5909">
      <w:pPr>
        <w:pStyle w:val="BodyText"/>
      </w:pPr>
      <w:r>
        <w:t xml:space="preserve">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(Trierweiler) </w:t>
      </w:r>
    </w:p>
    <w:p w:rsidR="00BD5909" w:rsidRDefault="00BD5909" w:rsidP="00BD5909">
      <w:pPr>
        <w:pStyle w:val="IssueSubsectionHeading"/>
        <w:rPr>
          <w:vanish/>
          <w:specVanish/>
        </w:rPr>
      </w:pPr>
      <w:r>
        <w:t>Staff Analysis: </w:t>
      </w:r>
    </w:p>
    <w:p w:rsidR="00BD5909" w:rsidRDefault="00BD5909" w:rsidP="00BD5909">
      <w:pPr>
        <w:jc w:val="both"/>
      </w:pPr>
      <w:r>
        <w:t>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BD5909" w:rsidRDefault="00BD5909" w:rsidP="00BD5909">
      <w:pPr>
        <w:jc w:val="both"/>
      </w:pPr>
    </w:p>
    <w:p w:rsidR="00BD5909" w:rsidRDefault="00BD5909" w:rsidP="00BD5909">
      <w:pPr>
        <w:jc w:val="both"/>
        <w:sectPr w:rsidR="00BD5909" w:rsidSect="0068481F">
          <w:headerReference w:type="default" r:id="rId11"/>
          <w:pgSz w:w="12240" w:h="15840" w:code="1"/>
          <w:pgMar w:top="1584" w:right="1440" w:bottom="1440" w:left="1440" w:header="720" w:footer="720" w:gutter="0"/>
          <w:cols w:space="720"/>
          <w:formProt w:val="0"/>
          <w:docGrid w:linePitch="360"/>
        </w:sectPr>
      </w:pPr>
    </w:p>
    <w:p w:rsidR="00BD5909" w:rsidRDefault="00BD5909" w:rsidP="00BD5909">
      <w:pPr>
        <w:jc w:val="both"/>
      </w:pPr>
    </w:p>
    <w:p w:rsidR="00BD5909" w:rsidRDefault="00BD5909" w:rsidP="00BD5909">
      <w:pPr>
        <w:pStyle w:val="BodyText"/>
      </w:pPr>
    </w:p>
    <w:p w:rsidR="00BD5909" w:rsidRDefault="00BD5909" w:rsidP="00BD5909">
      <w:pPr>
        <w:pStyle w:val="BodyText"/>
        <w:sectPr w:rsidR="00BD5909" w:rsidSect="00BD5909">
          <w:type w:val="continuous"/>
          <w:pgSz w:w="12240" w:h="15840" w:code="1"/>
          <w:pgMar w:top="1584" w:right="1440" w:bottom="1440" w:left="1440" w:header="720" w:footer="720" w:gutter="0"/>
          <w:cols w:space="720"/>
          <w:formProt w:val="0"/>
          <w:docGrid w:linePitch="360"/>
        </w:sectPr>
      </w:pPr>
    </w:p>
    <w:p w:rsidR="00BD5909" w:rsidRDefault="00BD5909" w:rsidP="00BD5909">
      <w:pPr>
        <w:pStyle w:val="BodyText"/>
      </w:pPr>
      <w:r>
        <w:rPr>
          <w:noProof/>
        </w:rPr>
        <w:lastRenderedPageBreak/>
        <w:drawing>
          <wp:inline distT="0" distB="0" distL="0" distR="0" wp14:anchorId="0AFE0829" wp14:editId="4E8BB894">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f BB_Page_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6134DBA2" wp14:editId="43DAB5D6">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f BB_Page_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rPr>
        <w:lastRenderedPageBreak/>
        <w:drawing>
          <wp:inline distT="0" distB="0" distL="0" distR="0" wp14:anchorId="387EA05E" wp14:editId="6CDB16E1">
            <wp:extent cx="5943600" cy="7691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lf BB_Page_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E06484" w:rsidRDefault="00E06484" w:rsidP="00E275D8">
      <w:pPr>
        <w:pStyle w:val="BodyText"/>
      </w:pPr>
    </w:p>
    <w:sectPr w:rsidR="00E06484"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909" w:rsidRDefault="00BD5909">
      <w:r>
        <w:separator/>
      </w:r>
    </w:p>
  </w:endnote>
  <w:endnote w:type="continuationSeparator" w:id="0">
    <w:p w:rsidR="00BD5909" w:rsidRDefault="00BD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83043">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909" w:rsidRDefault="00BD5909">
      <w:r>
        <w:separator/>
      </w:r>
    </w:p>
  </w:footnote>
  <w:footnote w:type="continuationSeparator" w:id="0">
    <w:p w:rsidR="00BD5909" w:rsidRDefault="00BD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D5909"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20200097-EI</w:t>
    </w:r>
    <w:bookmarkEnd w:id="15"/>
  </w:p>
  <w:p w:rsidR="00BC402E" w:rsidRDefault="00BC402E">
    <w:pPr>
      <w:pStyle w:val="Header"/>
    </w:pPr>
    <w:r>
      <w:t xml:space="preserve">Date: </w:t>
    </w:r>
    <w:fldSimple w:instr=" REF FilingDate ">
      <w:r w:rsidR="00EC216A">
        <w:t>May 28,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909" w:rsidRDefault="00BD5909" w:rsidP="00220732">
    <w:pPr>
      <w:pStyle w:val="Header"/>
      <w:tabs>
        <w:tab w:val="clear" w:pos="4320"/>
        <w:tab w:val="clear" w:pos="8640"/>
        <w:tab w:val="right" w:pos="9360"/>
      </w:tabs>
    </w:pPr>
    <w:r>
      <w:fldChar w:fldCharType="begin"/>
    </w:r>
    <w:r>
      <w:instrText xml:space="preserve"> REF DocketLabel</w:instrText>
    </w:r>
    <w:r>
      <w:fldChar w:fldCharType="separate"/>
    </w:r>
    <w:r w:rsidR="00EC216A">
      <w:t>Docket No.</w:t>
    </w:r>
    <w:r>
      <w:fldChar w:fldCharType="end"/>
    </w:r>
    <w:r>
      <w:t xml:space="preserve"> </w:t>
    </w:r>
    <w:r>
      <w:fldChar w:fldCharType="begin"/>
    </w:r>
    <w:r>
      <w:instrText xml:space="preserve"> REF DocketList</w:instrText>
    </w:r>
    <w:r>
      <w:fldChar w:fldCharType="separate"/>
    </w:r>
    <w:r w:rsidR="00EC216A">
      <w:t>20200097-EI</w:t>
    </w:r>
    <w:r>
      <w:fldChar w:fldCharType="end"/>
    </w:r>
    <w:r>
      <w:tab/>
      <w:t xml:space="preserve">Issue </w:t>
    </w:r>
    <w:fldSimple w:instr=" Seq Issue \c \* Arabic ">
      <w:r w:rsidR="00483043">
        <w:rPr>
          <w:noProof/>
        </w:rPr>
        <w:t>2</w:t>
      </w:r>
    </w:fldSimple>
  </w:p>
  <w:p w:rsidR="00BD5909" w:rsidRDefault="00BD5909">
    <w:pPr>
      <w:pStyle w:val="Header"/>
    </w:pPr>
    <w:r>
      <w:t xml:space="preserve">Date: </w:t>
    </w:r>
    <w:fldSimple w:instr=" REF FilingDate ">
      <w:r w:rsidR="00EC216A">
        <w:t>May 28,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C216A">
      <w:t>Docket No.</w:t>
    </w:r>
    <w:r>
      <w:fldChar w:fldCharType="end"/>
    </w:r>
    <w:r>
      <w:t xml:space="preserve"> </w:t>
    </w:r>
    <w:r>
      <w:fldChar w:fldCharType="begin"/>
    </w:r>
    <w:r>
      <w:instrText xml:space="preserve"> REF DocketList</w:instrText>
    </w:r>
    <w:r>
      <w:fldChar w:fldCharType="separate"/>
    </w:r>
    <w:r w:rsidR="00EC216A">
      <w:t>20200097-EI</w:t>
    </w:r>
    <w:r>
      <w:fldChar w:fldCharType="end"/>
    </w:r>
    <w:r w:rsidR="00FE403E">
      <w:tab/>
      <w:t>Attachment A</w:t>
    </w:r>
  </w:p>
  <w:p w:rsidR="00BC402E" w:rsidRDefault="00BC402E">
    <w:pPr>
      <w:pStyle w:val="Header"/>
    </w:pPr>
    <w:r>
      <w:t xml:space="preserve">Date: </w:t>
    </w:r>
    <w:fldSimple w:instr=" REF FilingDate ">
      <w:r w:rsidR="00EC216A">
        <w:t>May 28, 2020</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BD5909"/>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83043"/>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D5909"/>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216A"/>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403E"/>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797</Words>
  <Characters>4699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Holly Forrest</dc:creator>
  <cp:lastModifiedBy>Tripp Coston</cp:lastModifiedBy>
  <cp:revision>2</cp:revision>
  <cp:lastPrinted>2020-05-28T15:21:00Z</cp:lastPrinted>
  <dcterms:created xsi:type="dcterms:W3CDTF">2020-05-28T15:29:00Z</dcterms:created>
  <dcterms:modified xsi:type="dcterms:W3CDTF">2020-05-28T15:29:00Z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20200097-EI</vt:lpwstr>
  </property>
  <property fmtid="{D5CDD505-2E9C-101B-9397-08002B2CF9AE}" pid="3" name="MasterDocument">
    <vt:bool>false</vt:bool>
  </property>
</Properties>
</file>