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5B9D" w:rsidP="00A15B9D">
      <w:pPr>
        <w:pStyle w:val="OrderHeading"/>
      </w:pPr>
      <w:r>
        <w:t>BEFORE THE FLORIDA PUBLIC SERVICE COMMISSION</w:t>
      </w:r>
    </w:p>
    <w:p w:rsidR="00A15B9D" w:rsidRDefault="00A15B9D" w:rsidP="00A15B9D">
      <w:pPr>
        <w:pStyle w:val="OrderBody"/>
      </w:pPr>
    </w:p>
    <w:p w:rsidR="00A15B9D" w:rsidRDefault="00A15B9D" w:rsidP="00A15B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5B9D" w:rsidRPr="00C63FCF" w:rsidTr="00C63FCF">
        <w:trPr>
          <w:trHeight w:val="828"/>
        </w:trPr>
        <w:tc>
          <w:tcPr>
            <w:tcW w:w="4788" w:type="dxa"/>
            <w:tcBorders>
              <w:bottom w:val="nil"/>
              <w:right w:val="double" w:sz="6" w:space="0" w:color="auto"/>
            </w:tcBorders>
            <w:shd w:val="clear" w:color="auto" w:fill="auto"/>
          </w:tcPr>
          <w:p w:rsidR="00A15B9D" w:rsidRDefault="00A15B9D"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A15B9D" w:rsidRDefault="00A15B9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15B9D" w:rsidRDefault="00A15B9D" w:rsidP="00C63FCF">
            <w:pPr>
              <w:pStyle w:val="OrderBody"/>
              <w:tabs>
                <w:tab w:val="center" w:pos="4320"/>
                <w:tab w:val="right" w:pos="8640"/>
              </w:tabs>
              <w:jc w:val="left"/>
            </w:pPr>
            <w:r>
              <w:t xml:space="preserve">DOCKET NO. </w:t>
            </w:r>
            <w:bookmarkStart w:id="1" w:name="SMDocketNo"/>
            <w:bookmarkEnd w:id="1"/>
            <w:r>
              <w:t>20210034-EI</w:t>
            </w:r>
          </w:p>
        </w:tc>
      </w:tr>
      <w:tr w:rsidR="00A15B9D" w:rsidRPr="00C63FCF" w:rsidTr="00C63FCF">
        <w:trPr>
          <w:trHeight w:val="828"/>
        </w:trPr>
        <w:tc>
          <w:tcPr>
            <w:tcW w:w="4788" w:type="dxa"/>
            <w:tcBorders>
              <w:top w:val="nil"/>
              <w:bottom w:val="single" w:sz="8" w:space="0" w:color="auto"/>
              <w:right w:val="double" w:sz="6" w:space="0" w:color="auto"/>
            </w:tcBorders>
            <w:shd w:val="clear" w:color="auto" w:fill="auto"/>
          </w:tcPr>
          <w:p w:rsidR="00A15B9D" w:rsidRDefault="00A15B9D" w:rsidP="00C63FCF">
            <w:pPr>
              <w:pStyle w:val="OrderBody"/>
              <w:tabs>
                <w:tab w:val="center" w:pos="4320"/>
                <w:tab w:val="right" w:pos="8640"/>
              </w:tabs>
              <w:jc w:val="left"/>
            </w:pPr>
            <w:r>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A15B9D" w:rsidRDefault="00A15B9D" w:rsidP="00A15B9D">
            <w:pPr>
              <w:pStyle w:val="OrderBody"/>
            </w:pPr>
            <w:r>
              <w:t xml:space="preserve">DOCKET NO. </w:t>
            </w:r>
            <w:bookmarkStart w:id="2" w:name="SMDocketNo2"/>
            <w:bookmarkEnd w:id="2"/>
            <w:r>
              <w:t>20200264-EI</w:t>
            </w:r>
          </w:p>
          <w:p w:rsidR="00A15B9D" w:rsidRDefault="00A15B9D" w:rsidP="00C63FCF">
            <w:pPr>
              <w:pStyle w:val="OrderBody"/>
              <w:tabs>
                <w:tab w:val="center" w:pos="4320"/>
                <w:tab w:val="right" w:pos="8640"/>
              </w:tabs>
              <w:jc w:val="left"/>
            </w:pPr>
            <w:r>
              <w:t xml:space="preserve">ORDER NO. </w:t>
            </w:r>
            <w:bookmarkStart w:id="3" w:name="OrderNo0147"/>
            <w:r w:rsidR="00733616">
              <w:t>PSC-2021-0147-PCO-EI</w:t>
            </w:r>
            <w:bookmarkEnd w:id="3"/>
          </w:p>
          <w:p w:rsidR="00A15B9D" w:rsidRDefault="00A15B9D" w:rsidP="00C63FCF">
            <w:pPr>
              <w:pStyle w:val="OrderBody"/>
              <w:tabs>
                <w:tab w:val="center" w:pos="4320"/>
                <w:tab w:val="right" w:pos="8640"/>
              </w:tabs>
              <w:jc w:val="left"/>
            </w:pPr>
            <w:r>
              <w:t xml:space="preserve">ISSUED: </w:t>
            </w:r>
            <w:r w:rsidR="00733616">
              <w:t>April 22, 2021</w:t>
            </w:r>
          </w:p>
          <w:p w:rsidR="00A15B9D" w:rsidRDefault="00A15B9D" w:rsidP="00C63FCF">
            <w:pPr>
              <w:pStyle w:val="OrderBody"/>
              <w:tabs>
                <w:tab w:val="center" w:pos="4320"/>
                <w:tab w:val="right" w:pos="8640"/>
              </w:tabs>
              <w:jc w:val="left"/>
            </w:pPr>
          </w:p>
        </w:tc>
      </w:tr>
    </w:tbl>
    <w:p w:rsidR="00A15B9D" w:rsidRDefault="00A15B9D" w:rsidP="00A15B9D"/>
    <w:p w:rsidR="00A15B9D" w:rsidRDefault="00A15B9D" w:rsidP="00A15B9D"/>
    <w:p w:rsidR="00CB5276" w:rsidRDefault="00A15B9D" w:rsidP="00A15B9D">
      <w:pPr>
        <w:pStyle w:val="CenterUnderline"/>
      </w:pPr>
      <w:bookmarkStart w:id="4" w:name="Commissioners"/>
      <w:bookmarkEnd w:id="4"/>
      <w:r>
        <w:t>ORDE</w:t>
      </w:r>
      <w:r w:rsidR="00127579">
        <w:t>R CO</w:t>
      </w:r>
      <w:r w:rsidR="00C032E7">
        <w:t>NSOLIDATING DOCKET NOS. 20200264-EI AND 20210034</w:t>
      </w:r>
      <w:r w:rsidR="00127579">
        <w:t>-EI</w:t>
      </w:r>
    </w:p>
    <w:p w:rsidR="00A15B9D" w:rsidRDefault="00A15B9D" w:rsidP="00A15B9D">
      <w:pPr>
        <w:pStyle w:val="CenterUnderline"/>
        <w:jc w:val="left"/>
      </w:pPr>
      <w:bookmarkStart w:id="5" w:name="OrderText"/>
      <w:bookmarkEnd w:id="5"/>
    </w:p>
    <w:p w:rsidR="00127579" w:rsidRDefault="00127579" w:rsidP="00D66B79">
      <w:pPr>
        <w:pStyle w:val="CenterUnderline"/>
        <w:jc w:val="both"/>
        <w:rPr>
          <w:u w:val="none"/>
        </w:rPr>
      </w:pPr>
      <w:r>
        <w:rPr>
          <w:u w:val="none"/>
        </w:rPr>
        <w:tab/>
        <w:t>On December 30, 2020, Tampa Electric</w:t>
      </w:r>
      <w:r w:rsidR="00D66B79">
        <w:rPr>
          <w:u w:val="none"/>
        </w:rPr>
        <w:t xml:space="preserve"> Company (Tampa Electric or Company</w:t>
      </w:r>
      <w:r>
        <w:rPr>
          <w:u w:val="none"/>
        </w:rPr>
        <w:t>) filed a Petition for Approval of its 2020 Depreciation and Dismantlement Study and Capital Recovery Schedules in Docket No. 20200264</w:t>
      </w:r>
      <w:r w:rsidR="00D66B79">
        <w:rPr>
          <w:u w:val="none"/>
        </w:rPr>
        <w:t>-EI</w:t>
      </w:r>
      <w:r w:rsidR="00A36801">
        <w:rPr>
          <w:u w:val="none"/>
        </w:rPr>
        <w:t>. On April 9, 2021, Tampa Electric filed its Petition for Rate Increase and minimum filing requirement (MFR) schedules in Docket No. 20210034-EI.</w:t>
      </w:r>
    </w:p>
    <w:p w:rsidR="00D66B79" w:rsidRDefault="00D66B79" w:rsidP="00D66B79">
      <w:pPr>
        <w:pStyle w:val="CenterUnderline"/>
        <w:jc w:val="both"/>
        <w:rPr>
          <w:u w:val="none"/>
        </w:rPr>
      </w:pPr>
    </w:p>
    <w:p w:rsidR="00D66B79" w:rsidRDefault="00D66B79" w:rsidP="00D57611">
      <w:pPr>
        <w:pStyle w:val="CenterUnderline"/>
        <w:rPr>
          <w:u w:val="none"/>
        </w:rPr>
      </w:pPr>
      <w:r>
        <w:t>Motion to Consolidate</w:t>
      </w:r>
    </w:p>
    <w:p w:rsidR="00D66B79" w:rsidRDefault="00D66B79" w:rsidP="00D66B79">
      <w:pPr>
        <w:pStyle w:val="CenterUnderline"/>
        <w:jc w:val="both"/>
        <w:rPr>
          <w:u w:val="none"/>
        </w:rPr>
      </w:pPr>
    </w:p>
    <w:p w:rsidR="00D66B79" w:rsidRDefault="00D66B79" w:rsidP="00D66B79">
      <w:pPr>
        <w:pStyle w:val="CenterUnderline"/>
        <w:jc w:val="both"/>
        <w:rPr>
          <w:u w:val="none"/>
        </w:rPr>
      </w:pPr>
      <w:r>
        <w:rPr>
          <w:u w:val="none"/>
        </w:rPr>
        <w:tab/>
        <w:t xml:space="preserve">On April 9, 2021, Tampa Electric filed a motion to consolidate for hearing Docket Nos. 20200264-EI and 20210034-EI (Motion). In the Motion, Tampa Electric argues that consolidation of the two dockets is administratively efficient </w:t>
      </w:r>
      <w:r w:rsidR="00A807F8">
        <w:rPr>
          <w:u w:val="none"/>
        </w:rPr>
        <w:t xml:space="preserve">as the </w:t>
      </w:r>
      <w:r w:rsidR="009D29EB">
        <w:rPr>
          <w:u w:val="none"/>
        </w:rPr>
        <w:t>dockets</w:t>
      </w:r>
      <w:r w:rsidR="00A807F8">
        <w:rPr>
          <w:u w:val="none"/>
        </w:rPr>
        <w:t xml:space="preserve"> are interrelated and contain many overlapping </w:t>
      </w:r>
      <w:r w:rsidR="00C032E7">
        <w:rPr>
          <w:u w:val="none"/>
        </w:rPr>
        <w:t>issues</w:t>
      </w:r>
      <w:r w:rsidR="00A807F8">
        <w:rPr>
          <w:u w:val="none"/>
        </w:rPr>
        <w:t xml:space="preserve"> of fact and law. </w:t>
      </w:r>
      <w:r w:rsidR="00250525">
        <w:rPr>
          <w:u w:val="none"/>
        </w:rPr>
        <w:t>The Company</w:t>
      </w:r>
      <w:r w:rsidR="00A807F8">
        <w:rPr>
          <w:u w:val="none"/>
        </w:rPr>
        <w:t xml:space="preserve"> </w:t>
      </w:r>
      <w:r w:rsidR="00250525">
        <w:rPr>
          <w:u w:val="none"/>
        </w:rPr>
        <w:t>adds</w:t>
      </w:r>
      <w:r w:rsidR="00A807F8">
        <w:rPr>
          <w:u w:val="none"/>
        </w:rPr>
        <w:t xml:space="preserve"> that the requested consolidation will provide for a consistent and unified record for the two interrelated dockets. </w:t>
      </w:r>
      <w:r w:rsidR="00250525">
        <w:rPr>
          <w:u w:val="none"/>
        </w:rPr>
        <w:t>Finally</w:t>
      </w:r>
      <w:r w:rsidR="00A807F8">
        <w:rPr>
          <w:u w:val="none"/>
        </w:rPr>
        <w:t>, Tampa Electric assert</w:t>
      </w:r>
      <w:r w:rsidR="00C032E7">
        <w:rPr>
          <w:u w:val="none"/>
        </w:rPr>
        <w:t>s</w:t>
      </w:r>
      <w:r w:rsidR="00A807F8">
        <w:rPr>
          <w:u w:val="none"/>
        </w:rPr>
        <w:t xml:space="preserve"> that consolidating the two dockets will conserve the costs and labor borne by the affected parties and the Commission, and will otherwise be prudent and just. Tampa Electric has conferred with the Office of Public Counsel</w:t>
      </w:r>
      <w:r w:rsidR="00C032E7">
        <w:rPr>
          <w:u w:val="none"/>
        </w:rPr>
        <w:t xml:space="preserve"> (OPC)</w:t>
      </w:r>
      <w:r w:rsidR="00A807F8">
        <w:rPr>
          <w:u w:val="none"/>
        </w:rPr>
        <w:t xml:space="preserve"> and Florida Industrial Powers Users Group </w:t>
      </w:r>
      <w:r w:rsidR="00C032E7">
        <w:rPr>
          <w:u w:val="none"/>
        </w:rPr>
        <w:t xml:space="preserve">(FIPUG) </w:t>
      </w:r>
      <w:r w:rsidR="00A807F8">
        <w:rPr>
          <w:u w:val="none"/>
        </w:rPr>
        <w:t>and is au</w:t>
      </w:r>
      <w:r w:rsidR="00C032E7">
        <w:rPr>
          <w:u w:val="none"/>
        </w:rPr>
        <w:t xml:space="preserve">thorized to represent that each supports the Motion. </w:t>
      </w:r>
    </w:p>
    <w:p w:rsidR="00C032E7" w:rsidRDefault="00C032E7" w:rsidP="00D66B79">
      <w:pPr>
        <w:pStyle w:val="CenterUnderline"/>
        <w:jc w:val="both"/>
        <w:rPr>
          <w:u w:val="none"/>
        </w:rPr>
      </w:pPr>
    </w:p>
    <w:p w:rsidR="00C032E7" w:rsidRDefault="00C032E7" w:rsidP="00D57611">
      <w:pPr>
        <w:pStyle w:val="CenterUnderline"/>
        <w:rPr>
          <w:u w:val="none"/>
        </w:rPr>
      </w:pPr>
      <w:r>
        <w:t>Analysis and Decision</w:t>
      </w:r>
    </w:p>
    <w:p w:rsidR="00C032E7" w:rsidRDefault="00C032E7" w:rsidP="00D66B79">
      <w:pPr>
        <w:pStyle w:val="CenterUnderline"/>
        <w:jc w:val="both"/>
        <w:rPr>
          <w:u w:val="none"/>
        </w:rPr>
      </w:pPr>
    </w:p>
    <w:p w:rsidR="00C032E7" w:rsidRPr="00C032E7" w:rsidRDefault="00C032E7" w:rsidP="00D66B79">
      <w:pPr>
        <w:pStyle w:val="CenterUnderline"/>
        <w:jc w:val="both"/>
        <w:rPr>
          <w:u w:val="none"/>
        </w:rPr>
      </w:pPr>
      <w:r>
        <w:rPr>
          <w:u w:val="none"/>
        </w:rPr>
        <w:tab/>
        <w:t>Pursuant to Rule 28-106.10</w:t>
      </w:r>
      <w:r w:rsidR="001540B8">
        <w:rPr>
          <w:u w:val="none"/>
        </w:rPr>
        <w:t>8, F.A.C.</w:t>
      </w:r>
      <w:r>
        <w:rPr>
          <w:u w:val="none"/>
        </w:rPr>
        <w:t>, matters may be consolidated when separate proceedings involve similar issues of law or fact, it appears that consolidation would promote the just, speedy, and inexpensive resolution of the proceedings, and consolidation would not unduly prejudice the rights of a party. Docket Nos. 20200264-EI and 20210034-EI involve similar issues of law or fact, and OPC and FIPUG agree to consolidation; therefore, the dockets shall be consolidate</w:t>
      </w:r>
      <w:r w:rsidR="00A36801">
        <w:rPr>
          <w:u w:val="none"/>
        </w:rPr>
        <w:t xml:space="preserve">d, including for purposes of </w:t>
      </w:r>
      <w:r>
        <w:rPr>
          <w:u w:val="none"/>
        </w:rPr>
        <w:t>hearing</w:t>
      </w:r>
      <w:r w:rsidR="00396C26">
        <w:rPr>
          <w:u w:val="none"/>
        </w:rPr>
        <w:t xml:space="preserve">. </w:t>
      </w:r>
      <w:r>
        <w:rPr>
          <w:u w:val="none"/>
        </w:rPr>
        <w:t>Accordingly, 20210034-EI shall be the primary docket, and all future filings for both dockets shall be filed in 20210034-EI. Consolidation promotes the just, speedy, and inexpensive resolution of the proceedings in accordance with Rule 28-106.108, F.A.C.</w:t>
      </w:r>
    </w:p>
    <w:p w:rsidR="00CD49CA" w:rsidRDefault="00CD49CA" w:rsidP="0082685B">
      <w:pPr>
        <w:pStyle w:val="CenterUnderline"/>
        <w:jc w:val="left"/>
      </w:pPr>
    </w:p>
    <w:p w:rsidR="00CD49CA" w:rsidRDefault="00CD49CA" w:rsidP="0082685B">
      <w:pPr>
        <w:pStyle w:val="CenterUnderline"/>
        <w:jc w:val="left"/>
      </w:pPr>
    </w:p>
    <w:p w:rsidR="00CD49CA" w:rsidRDefault="00CD49CA" w:rsidP="0082685B">
      <w:pPr>
        <w:pStyle w:val="CenterUnderline"/>
        <w:jc w:val="left"/>
      </w:pPr>
    </w:p>
    <w:p w:rsidR="00CD49CA" w:rsidRDefault="00CD49CA" w:rsidP="0082685B">
      <w:pPr>
        <w:pStyle w:val="CenterUnderline"/>
        <w:jc w:val="left"/>
      </w:pPr>
    </w:p>
    <w:p w:rsidR="00A15B9D" w:rsidRPr="0082685B" w:rsidRDefault="00C032E7" w:rsidP="0082685B">
      <w:pPr>
        <w:pStyle w:val="CenterUnderline"/>
        <w:jc w:val="left"/>
        <w:rPr>
          <w:u w:val="none"/>
        </w:rPr>
      </w:pPr>
      <w:r>
        <w:rPr>
          <w:u w:val="none"/>
        </w:rPr>
        <w:lastRenderedPageBreak/>
        <w:tab/>
        <w:t>Based upon the foregoing, it is</w:t>
      </w:r>
    </w:p>
    <w:p w:rsidR="00A15B9D" w:rsidRPr="00817318" w:rsidRDefault="00A15B9D" w:rsidP="00A15B9D">
      <w:pPr>
        <w:pStyle w:val="ListParagraph"/>
        <w:ind w:left="0"/>
        <w:jc w:val="both"/>
        <w:rPr>
          <w:rFonts w:ascii="Times New Roman" w:hAnsi="Times New Roman"/>
          <w:iCs/>
          <w:color w:val="212121"/>
        </w:rPr>
      </w:pPr>
    </w:p>
    <w:p w:rsidR="00A15B9D" w:rsidRDefault="00A15B9D" w:rsidP="00A15B9D">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Art Graham</w:t>
      </w:r>
      <w:r w:rsidRPr="00817318">
        <w:rPr>
          <w:rFonts w:ascii="Times New Roman" w:hAnsi="Times New Roman"/>
          <w:iCs/>
          <w:color w:val="212121"/>
        </w:rPr>
        <w:t>,</w:t>
      </w:r>
      <w:r w:rsidR="00C032E7">
        <w:rPr>
          <w:rFonts w:ascii="Times New Roman" w:hAnsi="Times New Roman"/>
          <w:iCs/>
          <w:color w:val="212121"/>
        </w:rPr>
        <w:t xml:space="preserve"> as Prehearing Officer, that Docket Nos. 20200264-EI and 20210034-EI are hereby consolidated for purposes of adminis</w:t>
      </w:r>
      <w:r w:rsidR="00A36801">
        <w:rPr>
          <w:rFonts w:ascii="Times New Roman" w:hAnsi="Times New Roman"/>
          <w:iCs/>
          <w:color w:val="212121"/>
        </w:rPr>
        <w:t xml:space="preserve">trative efficiency, including </w:t>
      </w:r>
      <w:r w:rsidR="00C032E7">
        <w:rPr>
          <w:rFonts w:ascii="Times New Roman" w:hAnsi="Times New Roman"/>
          <w:iCs/>
          <w:color w:val="212121"/>
        </w:rPr>
        <w:t>hearing, as set forth in the body of this Order. It is further</w:t>
      </w:r>
    </w:p>
    <w:p w:rsidR="00C032E7" w:rsidRDefault="00C032E7" w:rsidP="00A15B9D">
      <w:pPr>
        <w:pStyle w:val="ListParagraph"/>
        <w:ind w:left="0"/>
        <w:jc w:val="both"/>
        <w:rPr>
          <w:rFonts w:ascii="Times New Roman" w:hAnsi="Times New Roman"/>
          <w:iCs/>
          <w:color w:val="212121"/>
        </w:rPr>
      </w:pPr>
    </w:p>
    <w:p w:rsidR="00C032E7" w:rsidRDefault="00C032E7" w:rsidP="00A15B9D">
      <w:pPr>
        <w:pStyle w:val="ListParagraph"/>
        <w:ind w:left="0"/>
        <w:jc w:val="both"/>
        <w:rPr>
          <w:rFonts w:ascii="Times New Roman" w:hAnsi="Times New Roman"/>
          <w:iCs/>
          <w:color w:val="212121"/>
        </w:rPr>
      </w:pPr>
      <w:r>
        <w:rPr>
          <w:rFonts w:ascii="Times New Roman" w:hAnsi="Times New Roman"/>
          <w:iCs/>
          <w:color w:val="212121"/>
        </w:rPr>
        <w:tab/>
        <w:t>ORDERED that Docket No. 20210034-EI shall be the primary docket. It is further</w:t>
      </w:r>
    </w:p>
    <w:p w:rsidR="00C032E7" w:rsidRDefault="00C032E7" w:rsidP="00A15B9D">
      <w:pPr>
        <w:pStyle w:val="ListParagraph"/>
        <w:ind w:left="0"/>
        <w:jc w:val="both"/>
        <w:rPr>
          <w:rFonts w:ascii="Times New Roman" w:hAnsi="Times New Roman"/>
          <w:iCs/>
          <w:color w:val="212121"/>
        </w:rPr>
      </w:pPr>
    </w:p>
    <w:p w:rsidR="00C032E7" w:rsidRPr="00817318" w:rsidRDefault="00C032E7" w:rsidP="00A15B9D">
      <w:pPr>
        <w:pStyle w:val="ListParagraph"/>
        <w:ind w:left="0"/>
        <w:jc w:val="both"/>
        <w:rPr>
          <w:rFonts w:ascii="Times New Roman" w:hAnsi="Times New Roman"/>
          <w:iCs/>
          <w:color w:val="212121"/>
        </w:rPr>
      </w:pPr>
      <w:r>
        <w:rPr>
          <w:rFonts w:ascii="Times New Roman" w:hAnsi="Times New Roman"/>
          <w:iCs/>
          <w:color w:val="212121"/>
        </w:rPr>
        <w:tab/>
        <w:t>ORDERED that all future filings for both dockets shall be filed in Docket No. 20210034-EI.</w:t>
      </w:r>
    </w:p>
    <w:p w:rsidR="00A15B9D" w:rsidRDefault="00A15B9D" w:rsidP="00A15B9D">
      <w:pPr>
        <w:pStyle w:val="ListParagraph"/>
        <w:ind w:left="0"/>
        <w:jc w:val="both"/>
        <w:rPr>
          <w:rFonts w:ascii="Times New Roman" w:hAnsi="Times New Roman"/>
          <w:iCs/>
          <w:color w:val="212121"/>
        </w:rPr>
      </w:pPr>
    </w:p>
    <w:p w:rsidR="00A15B9D" w:rsidRDefault="00A15B9D" w:rsidP="00A15B9D">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Art Graham, as Prehearing Officer, this </w:t>
      </w:r>
      <w:bookmarkStart w:id="6" w:name="replaceDate"/>
      <w:bookmarkEnd w:id="6"/>
      <w:r w:rsidR="00733616">
        <w:rPr>
          <w:rFonts w:ascii="Times New Roman" w:hAnsi="Times New Roman"/>
          <w:iCs/>
          <w:color w:val="212121"/>
          <w:u w:val="single"/>
        </w:rPr>
        <w:t>22nd</w:t>
      </w:r>
      <w:r w:rsidR="00733616">
        <w:rPr>
          <w:rFonts w:ascii="Times New Roman" w:hAnsi="Times New Roman"/>
          <w:iCs/>
          <w:color w:val="212121"/>
        </w:rPr>
        <w:t xml:space="preserve"> day of </w:t>
      </w:r>
      <w:r w:rsidR="00733616">
        <w:rPr>
          <w:rFonts w:ascii="Times New Roman" w:hAnsi="Times New Roman"/>
          <w:iCs/>
          <w:color w:val="212121"/>
          <w:u w:val="single"/>
        </w:rPr>
        <w:t>April</w:t>
      </w:r>
      <w:r w:rsidR="00733616">
        <w:rPr>
          <w:rFonts w:ascii="Times New Roman" w:hAnsi="Times New Roman"/>
          <w:iCs/>
          <w:color w:val="212121"/>
        </w:rPr>
        <w:t xml:space="preserve">, </w:t>
      </w:r>
      <w:r w:rsidR="00733616">
        <w:rPr>
          <w:rFonts w:ascii="Times New Roman" w:hAnsi="Times New Roman"/>
          <w:iCs/>
          <w:color w:val="212121"/>
          <w:u w:val="single"/>
        </w:rPr>
        <w:t>2021</w:t>
      </w:r>
      <w:r w:rsidR="00733616">
        <w:rPr>
          <w:rFonts w:ascii="Times New Roman" w:hAnsi="Times New Roman"/>
          <w:iCs/>
          <w:color w:val="212121"/>
        </w:rPr>
        <w:t>.</w:t>
      </w:r>
    </w:p>
    <w:p w:rsidR="00733616" w:rsidRPr="00733616" w:rsidRDefault="00733616" w:rsidP="00A15B9D">
      <w:pPr>
        <w:pStyle w:val="ListParagraph"/>
        <w:keepNext/>
        <w:keepLines/>
        <w:ind w:left="0"/>
        <w:jc w:val="both"/>
        <w:rPr>
          <w:rFonts w:ascii="Times New Roman" w:hAnsi="Times New Roman"/>
          <w:iCs/>
          <w:color w:val="212121"/>
        </w:rPr>
      </w:pPr>
    </w:p>
    <w:p w:rsidR="00A15B9D" w:rsidRDefault="00A15B9D" w:rsidP="00A15B9D">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A15B9D" w:rsidTr="00A15B9D">
        <w:tc>
          <w:tcPr>
            <w:tcW w:w="720" w:type="dxa"/>
            <w:shd w:val="clear" w:color="auto" w:fill="auto"/>
          </w:tcPr>
          <w:p w:rsidR="00A15B9D" w:rsidRDefault="00A15B9D" w:rsidP="00A15B9D">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A15B9D" w:rsidRDefault="008E1B93" w:rsidP="00A15B9D">
            <w:pPr>
              <w:pStyle w:val="ListParagraph"/>
              <w:keepNext/>
              <w:keepLines/>
              <w:ind w:left="0"/>
              <w:jc w:val="both"/>
              <w:rPr>
                <w:rFonts w:ascii="Times New Roman" w:hAnsi="Times New Roman"/>
                <w:iCs/>
                <w:color w:val="212121"/>
              </w:rPr>
            </w:pPr>
            <w:r>
              <w:rPr>
                <w:rFonts w:ascii="Times New Roman" w:hAnsi="Times New Roman"/>
                <w:iCs/>
                <w:color w:val="212121"/>
              </w:rPr>
              <w:t>/s/ Art Graham</w:t>
            </w:r>
            <w:bookmarkStart w:id="8" w:name="_GoBack"/>
            <w:bookmarkEnd w:id="8"/>
          </w:p>
        </w:tc>
      </w:tr>
      <w:bookmarkEnd w:id="7"/>
      <w:tr w:rsidR="00A15B9D" w:rsidTr="00A15B9D">
        <w:tc>
          <w:tcPr>
            <w:tcW w:w="720" w:type="dxa"/>
            <w:shd w:val="clear" w:color="auto" w:fill="auto"/>
          </w:tcPr>
          <w:p w:rsidR="00A15B9D" w:rsidRDefault="00A15B9D" w:rsidP="00A15B9D">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A15B9D" w:rsidRDefault="00A15B9D" w:rsidP="00A15B9D">
            <w:pPr>
              <w:pStyle w:val="ListParagraph"/>
              <w:keepNext/>
              <w:keepLines/>
              <w:ind w:left="0"/>
              <w:jc w:val="both"/>
              <w:rPr>
                <w:rFonts w:ascii="Times New Roman" w:hAnsi="Times New Roman"/>
                <w:iCs/>
                <w:color w:val="212121"/>
              </w:rPr>
            </w:pPr>
            <w:r>
              <w:rPr>
                <w:rFonts w:ascii="Times New Roman" w:hAnsi="Times New Roman"/>
                <w:iCs/>
                <w:color w:val="212121"/>
              </w:rPr>
              <w:t>ART GRAHAM</w:t>
            </w:r>
          </w:p>
          <w:p w:rsidR="00A15B9D" w:rsidRDefault="00A15B9D" w:rsidP="00A15B9D">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A15B9D" w:rsidRDefault="00A15B9D" w:rsidP="00A15B9D">
      <w:pPr>
        <w:pStyle w:val="OrderSigInfo"/>
        <w:keepNext/>
        <w:keepLines/>
      </w:pPr>
      <w:r>
        <w:t>Florida Public Service Commission</w:t>
      </w:r>
    </w:p>
    <w:p w:rsidR="00A15B9D" w:rsidRDefault="00A15B9D" w:rsidP="00A15B9D">
      <w:pPr>
        <w:pStyle w:val="OrderSigInfo"/>
        <w:keepNext/>
        <w:keepLines/>
      </w:pPr>
      <w:r>
        <w:t>2540 Shumard Oak Boulevard</w:t>
      </w:r>
    </w:p>
    <w:p w:rsidR="00A15B9D" w:rsidRDefault="00A15B9D" w:rsidP="00A15B9D">
      <w:pPr>
        <w:pStyle w:val="OrderSigInfo"/>
        <w:keepNext/>
        <w:keepLines/>
      </w:pPr>
      <w:r>
        <w:t>Tallahassee, Florida 32399</w:t>
      </w:r>
    </w:p>
    <w:p w:rsidR="00A15B9D" w:rsidRDefault="00A15B9D" w:rsidP="00A15B9D">
      <w:pPr>
        <w:pStyle w:val="OrderSigInfo"/>
        <w:keepNext/>
        <w:keepLines/>
      </w:pPr>
      <w:r>
        <w:t>(850) 413</w:t>
      </w:r>
      <w:r>
        <w:noBreakHyphen/>
        <w:t>6770</w:t>
      </w:r>
    </w:p>
    <w:p w:rsidR="00A15B9D" w:rsidRDefault="00A15B9D" w:rsidP="00A15B9D">
      <w:pPr>
        <w:pStyle w:val="OrderSigInfo"/>
        <w:keepNext/>
        <w:keepLines/>
      </w:pPr>
      <w:r>
        <w:t>www.floridapsc.com</w:t>
      </w:r>
    </w:p>
    <w:p w:rsidR="00A15B9D" w:rsidRDefault="00A15B9D" w:rsidP="00A15B9D">
      <w:pPr>
        <w:pStyle w:val="OrderSigInfo"/>
        <w:keepNext/>
        <w:keepLines/>
      </w:pPr>
    </w:p>
    <w:p w:rsidR="00A15B9D" w:rsidRDefault="00A15B9D" w:rsidP="00A15B9D">
      <w:pPr>
        <w:pStyle w:val="OrderSigInfo"/>
        <w:keepNext/>
        <w:keepLines/>
      </w:pPr>
      <w:r>
        <w:t>Copies furnished:  A copy of this document is provided to the parties of record at the time of issuance and, if applicable, interested persons.</w:t>
      </w:r>
    </w:p>
    <w:p w:rsidR="00A15B9D" w:rsidRDefault="00A15B9D" w:rsidP="00A15B9D">
      <w:pPr>
        <w:pStyle w:val="OrderBody"/>
        <w:keepNext/>
        <w:keepLines/>
      </w:pPr>
    </w:p>
    <w:p w:rsidR="00A15B9D" w:rsidRDefault="00A15B9D" w:rsidP="00A15B9D">
      <w:pPr>
        <w:pStyle w:val="ListParagraph"/>
        <w:keepNext/>
        <w:keepLines/>
        <w:ind w:left="0"/>
        <w:jc w:val="both"/>
        <w:rPr>
          <w:rFonts w:ascii="Times New Roman" w:hAnsi="Times New Roman"/>
          <w:iCs/>
          <w:color w:val="212121"/>
        </w:rPr>
      </w:pPr>
    </w:p>
    <w:p w:rsidR="00A15B9D" w:rsidRDefault="00A15B9D" w:rsidP="00A15B9D">
      <w:pPr>
        <w:pStyle w:val="ListParagraph"/>
        <w:keepNext/>
        <w:keepLines/>
        <w:ind w:left="0"/>
        <w:jc w:val="both"/>
        <w:rPr>
          <w:rFonts w:ascii="Times New Roman" w:hAnsi="Times New Roman"/>
          <w:iCs/>
          <w:color w:val="212121"/>
        </w:rPr>
      </w:pPr>
      <w:r>
        <w:rPr>
          <w:rFonts w:ascii="Times New Roman" w:hAnsi="Times New Roman"/>
          <w:iCs/>
          <w:color w:val="212121"/>
        </w:rPr>
        <w:t>GAP</w:t>
      </w:r>
    </w:p>
    <w:p w:rsidR="00A15B9D" w:rsidRDefault="00A15B9D"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82685B" w:rsidRDefault="0082685B" w:rsidP="00A15B9D">
      <w:pPr>
        <w:pStyle w:val="ListParagraph"/>
        <w:ind w:left="0"/>
        <w:jc w:val="both"/>
        <w:rPr>
          <w:rFonts w:ascii="Times New Roman" w:hAnsi="Times New Roman"/>
          <w:iCs/>
          <w:color w:val="212121"/>
        </w:rPr>
      </w:pPr>
    </w:p>
    <w:p w:rsidR="00396C26" w:rsidRDefault="00396C26">
      <w:pPr>
        <w:rPr>
          <w:rFonts w:eastAsia="Calibri"/>
          <w:iCs/>
          <w:color w:val="212121"/>
        </w:rPr>
      </w:pPr>
      <w:r>
        <w:rPr>
          <w:iCs/>
          <w:color w:val="212121"/>
        </w:rPr>
        <w:br w:type="page"/>
      </w:r>
    </w:p>
    <w:p w:rsidR="0082685B" w:rsidRDefault="0082685B" w:rsidP="00A15B9D">
      <w:pPr>
        <w:pStyle w:val="ListParagraph"/>
        <w:ind w:left="0"/>
        <w:jc w:val="both"/>
        <w:rPr>
          <w:rFonts w:ascii="Times New Roman" w:hAnsi="Times New Roman"/>
          <w:iCs/>
          <w:color w:val="212121"/>
        </w:rPr>
      </w:pPr>
    </w:p>
    <w:p w:rsidR="00A15B9D" w:rsidRDefault="00A15B9D" w:rsidP="00A15B9D">
      <w:pPr>
        <w:pStyle w:val="ListParagraph"/>
        <w:ind w:left="0"/>
        <w:jc w:val="both"/>
        <w:rPr>
          <w:rFonts w:ascii="Times New Roman" w:hAnsi="Times New Roman"/>
          <w:iCs/>
          <w:color w:val="212121"/>
        </w:rPr>
      </w:pPr>
    </w:p>
    <w:p w:rsidR="00A15B9D" w:rsidRDefault="00A15B9D" w:rsidP="00A15B9D">
      <w:pPr>
        <w:pStyle w:val="CenterUnderline"/>
      </w:pPr>
      <w:r>
        <w:t>NOTICE OF FURTHER PROCEEDINGS OR JUDICIAL REVIEW</w:t>
      </w:r>
    </w:p>
    <w:p w:rsidR="00CB5276" w:rsidRDefault="00CB5276" w:rsidP="00A15B9D">
      <w:pPr>
        <w:pStyle w:val="CenterUnderline"/>
      </w:pPr>
    </w:p>
    <w:p w:rsidR="00A15B9D" w:rsidRDefault="00A15B9D" w:rsidP="00A15B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5B9D" w:rsidRDefault="00A15B9D" w:rsidP="00A15B9D">
      <w:pPr>
        <w:pStyle w:val="OrderBody"/>
      </w:pPr>
    </w:p>
    <w:p w:rsidR="00A15B9D" w:rsidRDefault="00A15B9D" w:rsidP="00A15B9D">
      <w:pPr>
        <w:pStyle w:val="OrderBody"/>
      </w:pPr>
      <w:r>
        <w:tab/>
        <w:t>Mediation may be available on a case-by-case basis.  If mediation is conducted, it does not affect a substantially interested person's right to a hearing.</w:t>
      </w:r>
    </w:p>
    <w:p w:rsidR="00A15B9D" w:rsidRDefault="00A15B9D" w:rsidP="00A15B9D">
      <w:pPr>
        <w:pStyle w:val="OrderBody"/>
      </w:pPr>
    </w:p>
    <w:p w:rsidR="00A15B9D" w:rsidRDefault="00A15B9D" w:rsidP="00A15B9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21C4" w:rsidRDefault="006E21C4" w:rsidP="00A15B9D">
      <w:pPr>
        <w:pStyle w:val="CenterUnderline"/>
      </w:pPr>
    </w:p>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9D" w:rsidRDefault="00A15B9D">
      <w:r>
        <w:separator/>
      </w:r>
    </w:p>
  </w:endnote>
  <w:endnote w:type="continuationSeparator" w:id="0">
    <w:p w:rsidR="00A15B9D" w:rsidRDefault="00A1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9D" w:rsidRDefault="00A15B9D">
      <w:r>
        <w:separator/>
      </w:r>
    </w:p>
  </w:footnote>
  <w:footnote w:type="continuationSeparator" w:id="0">
    <w:p w:rsidR="00A15B9D" w:rsidRDefault="00A1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1B93">
      <w:fldChar w:fldCharType="begin"/>
    </w:r>
    <w:r w:rsidR="008E1B93">
      <w:instrText xml:space="preserve"> REF OrderNo0147 </w:instrText>
    </w:r>
    <w:r w:rsidR="008E1B93">
      <w:fldChar w:fldCharType="separate"/>
    </w:r>
    <w:r w:rsidR="008E1B93">
      <w:t>PSC-2021-0147-PCO-EI</w:t>
    </w:r>
    <w:r w:rsidR="008E1B93">
      <w:fldChar w:fldCharType="end"/>
    </w:r>
  </w:p>
  <w:p w:rsidR="00FA6EFD" w:rsidRDefault="00A15B9D">
    <w:pPr>
      <w:pStyle w:val="OrderHeader"/>
    </w:pPr>
    <w:bookmarkStart w:id="9" w:name="HeaderDocketNo"/>
    <w:bookmarkEnd w:id="9"/>
    <w:r>
      <w:t>DOCKET NOS. 20210034-EI,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B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20200264-EI"/>
  </w:docVars>
  <w:rsids>
    <w:rsidRoot w:val="00A15B9D"/>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27579"/>
    <w:rsid w:val="00134177"/>
    <w:rsid w:val="00136087"/>
    <w:rsid w:val="00140129"/>
    <w:rsid w:val="00142A96"/>
    <w:rsid w:val="001513DE"/>
    <w:rsid w:val="001540B8"/>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0525"/>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C2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61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1BB4"/>
    <w:rsid w:val="00814292"/>
    <w:rsid w:val="008169A4"/>
    <w:rsid w:val="0082685B"/>
    <w:rsid w:val="008278FE"/>
    <w:rsid w:val="00832598"/>
    <w:rsid w:val="0083397E"/>
    <w:rsid w:val="0083534B"/>
    <w:rsid w:val="00842035"/>
    <w:rsid w:val="00842602"/>
    <w:rsid w:val="008449F0"/>
    <w:rsid w:val="00847B45"/>
    <w:rsid w:val="008559BA"/>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1B93"/>
    <w:rsid w:val="008E26A5"/>
    <w:rsid w:val="008E42D2"/>
    <w:rsid w:val="008E6328"/>
    <w:rsid w:val="008F578F"/>
    <w:rsid w:val="008F5D04"/>
    <w:rsid w:val="008F6A2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29EB"/>
    <w:rsid w:val="009D4C29"/>
    <w:rsid w:val="009E58E9"/>
    <w:rsid w:val="009F6AD2"/>
    <w:rsid w:val="009F7C1B"/>
    <w:rsid w:val="00A00D8D"/>
    <w:rsid w:val="00A01BB6"/>
    <w:rsid w:val="00A15B9D"/>
    <w:rsid w:val="00A22B28"/>
    <w:rsid w:val="00A36801"/>
    <w:rsid w:val="00A4303C"/>
    <w:rsid w:val="00A46CAF"/>
    <w:rsid w:val="00A470FD"/>
    <w:rsid w:val="00A50B5E"/>
    <w:rsid w:val="00A62DAB"/>
    <w:rsid w:val="00A6757A"/>
    <w:rsid w:val="00A726A6"/>
    <w:rsid w:val="00A74842"/>
    <w:rsid w:val="00A807F8"/>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2E7"/>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49CA"/>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611"/>
    <w:rsid w:val="00D57BB2"/>
    <w:rsid w:val="00D57E57"/>
    <w:rsid w:val="00D66B79"/>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15B9D"/>
    <w:pPr>
      <w:ind w:left="720"/>
      <w:contextualSpacing/>
    </w:pPr>
    <w:rPr>
      <w:rFonts w:ascii="Calibri" w:eastAsia="Calibri" w:hAnsi="Calibri"/>
    </w:rPr>
  </w:style>
  <w:style w:type="paragraph" w:styleId="BalloonText">
    <w:name w:val="Balloon Text"/>
    <w:basedOn w:val="Normal"/>
    <w:link w:val="BalloonTextChar"/>
    <w:semiHidden/>
    <w:unhideWhenUsed/>
    <w:rsid w:val="008E1B93"/>
    <w:rPr>
      <w:rFonts w:ascii="Segoe UI" w:hAnsi="Segoe UI" w:cs="Segoe UI"/>
      <w:sz w:val="18"/>
      <w:szCs w:val="18"/>
    </w:rPr>
  </w:style>
  <w:style w:type="character" w:customStyle="1" w:styleId="BalloonTextChar">
    <w:name w:val="Balloon Text Char"/>
    <w:basedOn w:val="DefaultParagraphFont"/>
    <w:link w:val="BalloonText"/>
    <w:semiHidden/>
    <w:rsid w:val="008E1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2021-04-22T00:50:00Z</dcterms:created>
  <dcterms:modified xsi:type="dcterms:W3CDTF">2021-04-22T17:59:00Z</dcterms:modified>
</cp:coreProperties>
</file>