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B52409" w:rsidP="00B52409">
      <w:pPr>
        <w:pStyle w:val="OrderHeading"/>
      </w:pPr>
      <w:bookmarkStart w:id="0" w:name="_GoBack"/>
      <w:bookmarkEnd w:id="0"/>
      <w:r>
        <w:t>BEFORE THE FLORIDA PUBLIC SERVICE COMMISSION</w:t>
      </w:r>
    </w:p>
    <w:p w:rsidR="00B52409" w:rsidRDefault="00B52409" w:rsidP="00B52409">
      <w:pPr>
        <w:pStyle w:val="OrderBody"/>
      </w:pPr>
    </w:p>
    <w:p w:rsidR="00B52409" w:rsidRDefault="00B52409" w:rsidP="00B52409">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52409" w:rsidRPr="00C63FCF" w:rsidTr="00C63FCF">
        <w:trPr>
          <w:trHeight w:val="828"/>
        </w:trPr>
        <w:tc>
          <w:tcPr>
            <w:tcW w:w="4788" w:type="dxa"/>
            <w:tcBorders>
              <w:bottom w:val="single" w:sz="8" w:space="0" w:color="auto"/>
              <w:right w:val="double" w:sz="6" w:space="0" w:color="auto"/>
            </w:tcBorders>
            <w:shd w:val="clear" w:color="auto" w:fill="auto"/>
          </w:tcPr>
          <w:p w:rsidR="00B52409" w:rsidRDefault="00B52409" w:rsidP="00C63FCF">
            <w:pPr>
              <w:pStyle w:val="OrderBody"/>
              <w:tabs>
                <w:tab w:val="center" w:pos="4320"/>
                <w:tab w:val="right" w:pos="8640"/>
              </w:tabs>
              <w:jc w:val="left"/>
            </w:pPr>
            <w:r>
              <w:t xml:space="preserve">In re: </w:t>
            </w:r>
            <w:bookmarkStart w:id="1" w:name="SSInRe"/>
            <w:bookmarkEnd w:id="1"/>
            <w:r>
              <w:t>Petition for approval of revised standard offer contract and a revised accompanying rate schedule QS-2, by Florida Power &amp; Light Company.</w:t>
            </w:r>
          </w:p>
        </w:tc>
        <w:tc>
          <w:tcPr>
            <w:tcW w:w="4788" w:type="dxa"/>
            <w:tcBorders>
              <w:left w:val="double" w:sz="6" w:space="0" w:color="auto"/>
            </w:tcBorders>
            <w:shd w:val="clear" w:color="auto" w:fill="auto"/>
          </w:tcPr>
          <w:p w:rsidR="00B52409" w:rsidRDefault="00B52409" w:rsidP="00B52409">
            <w:pPr>
              <w:pStyle w:val="OrderBody"/>
            </w:pPr>
            <w:r>
              <w:t xml:space="preserve">DOCKET NO. </w:t>
            </w:r>
            <w:bookmarkStart w:id="2" w:name="SSDocketNo"/>
            <w:bookmarkEnd w:id="2"/>
            <w:r>
              <w:t>20210067-EQ</w:t>
            </w:r>
          </w:p>
          <w:p w:rsidR="00B52409" w:rsidRDefault="00B52409" w:rsidP="00C63FCF">
            <w:pPr>
              <w:pStyle w:val="OrderBody"/>
              <w:tabs>
                <w:tab w:val="center" w:pos="4320"/>
                <w:tab w:val="right" w:pos="8640"/>
              </w:tabs>
              <w:jc w:val="left"/>
            </w:pPr>
            <w:r>
              <w:t xml:space="preserve">ORDER NO. </w:t>
            </w:r>
            <w:bookmarkStart w:id="3" w:name="OrderNo0252"/>
            <w:r w:rsidR="000B2E9C">
              <w:t>PSC-2021-0252-PAA-EQ</w:t>
            </w:r>
            <w:bookmarkEnd w:id="3"/>
          </w:p>
          <w:p w:rsidR="00B52409" w:rsidRDefault="00B52409" w:rsidP="00C63FCF">
            <w:pPr>
              <w:pStyle w:val="OrderBody"/>
              <w:tabs>
                <w:tab w:val="center" w:pos="4320"/>
                <w:tab w:val="right" w:pos="8640"/>
              </w:tabs>
              <w:jc w:val="left"/>
            </w:pPr>
            <w:r>
              <w:t xml:space="preserve">ISSUED: </w:t>
            </w:r>
            <w:r w:rsidR="000B2E9C">
              <w:t>July 12, 2021</w:t>
            </w:r>
          </w:p>
        </w:tc>
      </w:tr>
    </w:tbl>
    <w:p w:rsidR="00B52409" w:rsidRDefault="00B52409" w:rsidP="00B52409"/>
    <w:p w:rsidR="00B52409" w:rsidRDefault="00B52409" w:rsidP="00B52409"/>
    <w:p w:rsidR="00B52409" w:rsidRDefault="00B52409" w:rsidP="00B67A43">
      <w:pPr>
        <w:ind w:firstLine="720"/>
        <w:jc w:val="both"/>
      </w:pPr>
      <w:bookmarkStart w:id="4" w:name="Commissioners"/>
      <w:bookmarkEnd w:id="4"/>
      <w:r>
        <w:t>The following Commissioners participated in the disposition of this matter:</w:t>
      </w:r>
    </w:p>
    <w:p w:rsidR="00B52409" w:rsidRDefault="00B52409" w:rsidP="00B67A43"/>
    <w:p w:rsidR="00B52409" w:rsidRDefault="00B52409" w:rsidP="00B67A43">
      <w:pPr>
        <w:jc w:val="center"/>
      </w:pPr>
      <w:r>
        <w:t>GARY F. CLARK, Chairman</w:t>
      </w:r>
    </w:p>
    <w:p w:rsidR="00B52409" w:rsidRDefault="00B52409" w:rsidP="00B67A43">
      <w:pPr>
        <w:jc w:val="center"/>
      </w:pPr>
      <w:r>
        <w:t>ART GRAHAM</w:t>
      </w:r>
    </w:p>
    <w:p w:rsidR="00B52409" w:rsidRDefault="00B52409" w:rsidP="00B67A43">
      <w:pPr>
        <w:jc w:val="center"/>
      </w:pPr>
      <w:r>
        <w:t>ANDREW GILES FAY</w:t>
      </w:r>
    </w:p>
    <w:p w:rsidR="00B52409" w:rsidRDefault="00B52409" w:rsidP="00B67A43">
      <w:pPr>
        <w:jc w:val="center"/>
      </w:pPr>
      <w:r>
        <w:t>MIKE LA ROSA</w:t>
      </w:r>
    </w:p>
    <w:p w:rsidR="00B52409" w:rsidRPr="005F2751" w:rsidRDefault="00B52409" w:rsidP="00B67A43">
      <w:pPr>
        <w:jc w:val="center"/>
      </w:pPr>
      <w:r w:rsidRPr="005F2751">
        <w:rPr>
          <w:lang w:val="en"/>
        </w:rPr>
        <w:t>GABRIELLA PASSIDOMO</w:t>
      </w:r>
    </w:p>
    <w:p w:rsidR="00B52409" w:rsidRDefault="00B52409" w:rsidP="00B67A43"/>
    <w:p w:rsidR="00B52409" w:rsidRDefault="00B52409" w:rsidP="00B52409">
      <w:pPr>
        <w:pStyle w:val="OrderBody"/>
      </w:pPr>
    </w:p>
    <w:bookmarkStart w:id="5" w:name="OrderText"/>
    <w:bookmarkEnd w:id="5"/>
    <w:p w:rsidR="00C13B29" w:rsidRDefault="00B52409" w:rsidP="00C13B29">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C13B29">
        <w:rPr>
          <w:u w:val="single"/>
        </w:rPr>
        <w:t xml:space="preserve"> </w:t>
      </w:r>
      <w:r w:rsidRPr="003E4B2D">
        <w:rPr>
          <w:u w:val="single"/>
        </w:rPr>
        <w:t>ORDER</w:t>
      </w:r>
      <w:bookmarkStart w:id="6" w:name="OrderTitle"/>
      <w:r>
        <w:rPr>
          <w:u w:val="single"/>
        </w:rPr>
        <w:t xml:space="preserve"> </w:t>
      </w:r>
      <w:bookmarkEnd w:id="6"/>
      <w:r w:rsidR="00C13B29">
        <w:rPr>
          <w:u w:val="single"/>
        </w:rPr>
        <w:t xml:space="preserve"> </w:t>
      </w:r>
    </w:p>
    <w:p w:rsidR="00C13B29" w:rsidRDefault="00C13B29">
      <w:pPr>
        <w:pStyle w:val="OrderBody"/>
        <w:jc w:val="center"/>
        <w:rPr>
          <w:u w:val="single"/>
        </w:rPr>
      </w:pPr>
      <w:r>
        <w:rPr>
          <w:u w:val="single"/>
        </w:rPr>
        <w:t xml:space="preserve">APPROVING REVISED STANDARD OFFER CONTRACT </w:t>
      </w:r>
    </w:p>
    <w:p w:rsidR="00C13B29" w:rsidRDefault="00C13B29">
      <w:pPr>
        <w:pStyle w:val="OrderBody"/>
        <w:jc w:val="center"/>
        <w:rPr>
          <w:u w:val="single"/>
        </w:rPr>
      </w:pPr>
      <w:r>
        <w:rPr>
          <w:u w:val="single"/>
        </w:rPr>
        <w:t xml:space="preserve">AND </w:t>
      </w:r>
    </w:p>
    <w:p w:rsidR="00B52409" w:rsidRDefault="00C13B29">
      <w:pPr>
        <w:pStyle w:val="OrderBody"/>
        <w:jc w:val="center"/>
      </w:pPr>
      <w:r>
        <w:rPr>
          <w:u w:val="single"/>
        </w:rPr>
        <w:t>ASSOCIATED RATE SCHEDULE QS-2</w:t>
      </w:r>
    </w:p>
    <w:p w:rsidR="00C13B29" w:rsidRDefault="00C13B29">
      <w:pPr>
        <w:pStyle w:val="OrderBody"/>
        <w:jc w:val="center"/>
      </w:pPr>
    </w:p>
    <w:p w:rsidR="00B52409" w:rsidRPr="003E4B2D" w:rsidRDefault="00B52409">
      <w:pPr>
        <w:pStyle w:val="OrderBody"/>
      </w:pPr>
    </w:p>
    <w:p w:rsidR="00B52409" w:rsidRPr="003E4B2D" w:rsidRDefault="00B52409">
      <w:pPr>
        <w:pStyle w:val="OrderBody"/>
      </w:pPr>
      <w:r w:rsidRPr="003E4B2D">
        <w:t>BY THE COMMISSION:</w:t>
      </w:r>
    </w:p>
    <w:p w:rsidR="00B52409" w:rsidRPr="003E4B2D" w:rsidRDefault="00B52409">
      <w:pPr>
        <w:pStyle w:val="OrderBody"/>
      </w:pPr>
    </w:p>
    <w:p w:rsidR="00B52409" w:rsidRDefault="00B52409">
      <w:pPr>
        <w:pStyle w:val="OrderBody"/>
      </w:pPr>
      <w:r w:rsidRPr="003E4B2D">
        <w:tab/>
        <w:t xml:space="preserve">NOTICE is hereby given by the Florida Public Service Commission </w:t>
      </w:r>
      <w:r w:rsidR="00C13B29">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B52409"/>
    <w:p w:rsidR="00B52409" w:rsidRDefault="00B52409" w:rsidP="00B52409">
      <w:pPr>
        <w:pStyle w:val="RecommendationMajorSectionHeading"/>
      </w:pPr>
      <w:r>
        <w:t>Case Background</w:t>
      </w:r>
    </w:p>
    <w:p w:rsidR="005F2751" w:rsidRDefault="00B52409" w:rsidP="00C13B29">
      <w:pPr>
        <w:jc w:val="both"/>
      </w:pPr>
      <w:r>
        <w:tab/>
      </w: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Rules 25-17.200 through 25-17.310, Florida Administrative Code (F.A.C.), implement the statute and require each IOU to file with th</w:t>
      </w:r>
      <w:r w:rsidR="00C13B29">
        <w:t>is</w:t>
      </w:r>
      <w:r w:rsidRPr="00830EFA">
        <w:t xml:space="preserve"> Commission, by April 1 of each year, a revised standard offer contract based on the next avoidable fossil fueled generating unit of each technology type identified in the utilit</w:t>
      </w:r>
      <w:r>
        <w:t xml:space="preserve">y’s current Ten-Year Site Plan (TYSP). On April l, 2021, </w:t>
      </w:r>
      <w:bookmarkStart w:id="7" w:name="_Hlk37233197"/>
      <w:r>
        <w:t xml:space="preserve">Florida Power &amp; Light Company </w:t>
      </w:r>
      <w:bookmarkEnd w:id="7"/>
      <w:r>
        <w:t>(FPL) filed a p</w:t>
      </w:r>
      <w:r w:rsidRPr="007E1784">
        <w:t xml:space="preserve">etition for approval of </w:t>
      </w:r>
      <w:r>
        <w:t xml:space="preserve">its </w:t>
      </w:r>
      <w:bookmarkStart w:id="8" w:name="_Hlk37233164"/>
      <w:r>
        <w:t>revised</w:t>
      </w:r>
      <w:r w:rsidRPr="007E1784">
        <w:t xml:space="preserve"> standard offer contract</w:t>
      </w:r>
      <w:bookmarkEnd w:id="8"/>
      <w:r w:rsidRPr="007E1784">
        <w:t>,</w:t>
      </w:r>
      <w:r>
        <w:t xml:space="preserve"> based on its 2021 TYSP. </w:t>
      </w:r>
      <w:r w:rsidR="00C13B29">
        <w:t xml:space="preserve">We have </w:t>
      </w:r>
      <w:r w:rsidRPr="00830EFA">
        <w:t>jurisdiction over this standard offer contract pursuant to Sections 366.04 through 366.055</w:t>
      </w:r>
      <w:r>
        <w:t>,</w:t>
      </w:r>
      <w:r w:rsidRPr="00830EFA">
        <w:t xml:space="preserve"> and 366</w:t>
      </w:r>
      <w:r>
        <w:t>.9</w:t>
      </w:r>
      <w:r w:rsidRPr="00830EFA">
        <w:t>1, F.S</w:t>
      </w:r>
      <w:r>
        <w:t>.</w:t>
      </w:r>
    </w:p>
    <w:p w:rsidR="00B52409" w:rsidRDefault="00B52409" w:rsidP="00B52409"/>
    <w:p w:rsidR="00B52409" w:rsidRPr="00B52409" w:rsidRDefault="00C13B29" w:rsidP="00B52409">
      <w:pPr>
        <w:keepNext/>
        <w:spacing w:after="240"/>
        <w:jc w:val="center"/>
        <w:outlineLvl w:val="0"/>
        <w:rPr>
          <w:rFonts w:ascii="Arial" w:hAnsi="Arial" w:cs="Arial"/>
          <w:b/>
          <w:bCs/>
          <w:kern w:val="32"/>
          <w:szCs w:val="32"/>
        </w:rPr>
      </w:pPr>
      <w:bookmarkStart w:id="9" w:name="DiscussionOfIssues"/>
      <w:r>
        <w:rPr>
          <w:rFonts w:ascii="Arial" w:hAnsi="Arial" w:cs="Arial"/>
          <w:b/>
          <w:bCs/>
          <w:kern w:val="32"/>
          <w:szCs w:val="32"/>
        </w:rPr>
        <w:t xml:space="preserve">Review and Decision </w:t>
      </w:r>
    </w:p>
    <w:bookmarkEnd w:id="9"/>
    <w:p w:rsidR="00B52409" w:rsidRPr="00B52409" w:rsidRDefault="00B52409" w:rsidP="00B52409">
      <w:pPr>
        <w:spacing w:after="240"/>
        <w:jc w:val="both"/>
      </w:pPr>
      <w:r w:rsidRPr="00B52409">
        <w:t xml:space="preserve">Section 366.91(3), F.S., and Rule 25-17.250, F.A.C., require that FPL, as an IOU, continuously make available a standard offer contract for the purchase of firm capacity and energy from </w:t>
      </w:r>
      <w:r w:rsidRPr="00B52409">
        <w:lastRenderedPageBreak/>
        <w:t>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w:t>
      </w:r>
    </w:p>
    <w:p w:rsidR="00B52409" w:rsidRPr="00B52409" w:rsidRDefault="00B52409" w:rsidP="00B52409">
      <w:pPr>
        <w:spacing w:after="240"/>
        <w:jc w:val="both"/>
      </w:pPr>
      <w:r>
        <w:tab/>
      </w:r>
      <w:r w:rsidRPr="00B52409">
        <w:t xml:space="preserve">Similar to last year’s standard offer contract, FPL submitted a joint TYSP with Gulf Power Company (Gulf) for 2021, with the companies planning to merge into a single remaining entity by 2022. While the joint 2021 TYSP does not feature an avoidable fossil-fueled generating unit or planned purchases that could be deferred during the planning period, FPL has identified a 1,991 megawatt (MW) natural gas-fired combined cycle unit (CC) as the next planned generating unit. The projected in-service date of the unit is June 1, 2031. </w:t>
      </w:r>
      <w:r w:rsidR="00C13B29">
        <w:t xml:space="preserve">We have </w:t>
      </w:r>
      <w:r w:rsidRPr="00B52409">
        <w:t>previously approved using a unit outside of the TYSP planning period as the avoided unit for standard offer contract purposes.</w:t>
      </w:r>
      <w:r w:rsidRPr="00B52409">
        <w:rPr>
          <w:vertAlign w:val="superscript"/>
        </w:rPr>
        <w:footnoteReference w:id="1"/>
      </w:r>
    </w:p>
    <w:p w:rsidR="00B52409" w:rsidRPr="00B52409" w:rsidRDefault="00B52409" w:rsidP="00B52409">
      <w:pPr>
        <w:spacing w:after="240"/>
        <w:jc w:val="both"/>
      </w:pPr>
      <w:r>
        <w:tab/>
      </w:r>
      <w:r w:rsidRPr="00B52409">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B52409" w:rsidRPr="00B52409" w:rsidRDefault="00B52409" w:rsidP="00B52409">
      <w:pPr>
        <w:spacing w:after="240"/>
        <w:jc w:val="both"/>
      </w:pPr>
      <w:r>
        <w:tab/>
      </w:r>
      <w:r w:rsidRPr="00B52409">
        <w:t xml:space="preserve">In order to promote renewable generation, </w:t>
      </w:r>
      <w:r w:rsidR="00906A5B">
        <w:t>we require</w:t>
      </w:r>
      <w:r w:rsidRPr="00B52409">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2031),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B52409" w:rsidRDefault="00B52409" w:rsidP="00906A5B">
      <w:pPr>
        <w:jc w:val="both"/>
      </w:pPr>
      <w:r>
        <w:tab/>
      </w:r>
      <w:r w:rsidR="00906A5B">
        <w:t xml:space="preserve">The table below </w:t>
      </w:r>
      <w:r w:rsidRPr="00B52409">
        <w:t>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2031) and continue for 10 years, while early and early levelized capacity payments begin five years prior to the in-service date, or 2027 for this example.</w:t>
      </w:r>
    </w:p>
    <w:p w:rsidR="00B52409" w:rsidRDefault="00B52409" w:rsidP="00B52409"/>
    <w:p w:rsidR="00B52409" w:rsidRPr="00B52409" w:rsidRDefault="00B52409" w:rsidP="00B52409">
      <w:pPr>
        <w:jc w:val="center"/>
        <w:rPr>
          <w:rFonts w:ascii="Arial" w:hAnsi="Arial" w:cs="Arial"/>
          <w:b/>
        </w:rPr>
      </w:pP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B52409" w:rsidRPr="00B52409" w:rsidTr="008039C0">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Year</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Energy Payment</w:t>
            </w:r>
          </w:p>
        </w:tc>
        <w:tc>
          <w:tcPr>
            <w:tcW w:w="6384" w:type="dxa"/>
            <w:gridSpan w:val="4"/>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Capacity Payment (By Type)</w:t>
            </w:r>
          </w:p>
        </w:tc>
      </w:tr>
      <w:tr w:rsidR="00B52409" w:rsidRPr="00B52409" w:rsidTr="008039C0">
        <w:tc>
          <w:tcPr>
            <w:tcW w:w="0" w:type="auto"/>
            <w:vMerge/>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rPr>
                <w:bCs/>
                <w:kern w:val="32"/>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Normal</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Levelized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Early</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Early Levelized</w:t>
            </w:r>
          </w:p>
        </w:tc>
      </w:tr>
      <w:tr w:rsidR="00B52409" w:rsidRPr="00B52409" w:rsidTr="008039C0">
        <w:tc>
          <w:tcPr>
            <w:tcW w:w="0" w:type="auto"/>
            <w:vMerge/>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outlineLvl w:val="0"/>
              <w:rPr>
                <w:bCs/>
                <w:kern w:val="32"/>
                <w:szCs w:val="20"/>
              </w:rPr>
            </w:pPr>
            <w:r w:rsidRPr="00B52409">
              <w:rPr>
                <w:bCs/>
                <w:kern w:val="32"/>
                <w:szCs w:val="20"/>
              </w:rPr>
              <w:t>$(000)</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hideMark/>
          </w:tcPr>
          <w:p w:rsidR="00B52409" w:rsidRPr="00B52409" w:rsidRDefault="00B52409" w:rsidP="00B52409">
            <w:pPr>
              <w:jc w:val="center"/>
              <w:rPr>
                <w:color w:val="000000"/>
                <w:sz w:val="22"/>
                <w:szCs w:val="22"/>
                <w:lang w:eastAsia="ja-JP"/>
              </w:rPr>
            </w:pPr>
            <w:r w:rsidRPr="00B52409">
              <w:rPr>
                <w:color w:val="000000"/>
              </w:rPr>
              <w:t>2022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7,667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6,793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7,418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8,347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rPr>
            </w:pPr>
            <w:r w:rsidRPr="00B52409">
              <w:rPr>
                <w:color w:val="000000"/>
              </w:rPr>
              <w:t>2026</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8,650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8,862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1,210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1,357</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9,109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2,100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2029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9,419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2,144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9,908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2,189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 xml:space="preserve">  9,607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2,063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2,242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2,235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9,695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3,581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2,282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10,171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3,656</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2,330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10,675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3,733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2,379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11,053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3,812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2,429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2036</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 xml:space="preserve"> 11,589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3,892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2,480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11,935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3,974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2,532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12,188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4,057</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2,583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2039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12,315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4,143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2,640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rPr>
              <w:t>2040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12,601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4,230</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2,695</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2,326</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bottom"/>
          </w:tcPr>
          <w:p w:rsidR="00B52409" w:rsidRPr="00B52409" w:rsidRDefault="00B52409" w:rsidP="00B52409">
            <w:pPr>
              <w:jc w:val="center"/>
              <w:rPr>
                <w:color w:val="000000"/>
                <w:sz w:val="22"/>
                <w:szCs w:val="22"/>
                <w:lang w:eastAsia="ja-JP"/>
              </w:rPr>
            </w:pPr>
            <w:r w:rsidRPr="00B52409">
              <w:rPr>
                <w:color w:val="000000"/>
                <w:sz w:val="22"/>
                <w:szCs w:val="22"/>
                <w:lang w:eastAsia="ja-JP"/>
              </w:rPr>
              <w:t>2041*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5,289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1,778</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1,602</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1,133</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969</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rPr>
                <w:color w:val="000000"/>
                <w:sz w:val="22"/>
                <w:szCs w:val="22"/>
                <w:lang w:eastAsia="ja-JP"/>
              </w:rPr>
            </w:pPr>
            <w:r w:rsidRPr="00B52409">
              <w:rPr>
                <w:color w:val="000000"/>
              </w:rPr>
              <w:t>Total</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193,291</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38,919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38,439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33,364</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32,564</w:t>
            </w:r>
          </w:p>
        </w:tc>
      </w:tr>
      <w:tr w:rsidR="00B52409" w:rsidRPr="00B52409" w:rsidTr="008039C0">
        <w:tc>
          <w:tcPr>
            <w:tcW w:w="1488" w:type="dxa"/>
            <w:tcBorders>
              <w:top w:val="single" w:sz="4" w:space="0" w:color="auto"/>
              <w:left w:val="single" w:sz="4" w:space="0" w:color="auto"/>
              <w:bottom w:val="single" w:sz="4" w:space="0" w:color="auto"/>
              <w:right w:val="single" w:sz="4" w:space="0" w:color="auto"/>
            </w:tcBorders>
            <w:vAlign w:val="center"/>
            <w:hideMark/>
          </w:tcPr>
          <w:p w:rsidR="00B52409" w:rsidRPr="00B52409" w:rsidRDefault="00B52409" w:rsidP="00B52409">
            <w:pPr>
              <w:jc w:val="center"/>
              <w:rPr>
                <w:color w:val="000000"/>
                <w:sz w:val="22"/>
                <w:szCs w:val="22"/>
                <w:lang w:eastAsia="ja-JP"/>
              </w:rPr>
            </w:pPr>
            <w:r w:rsidRPr="00B52409">
              <w:rPr>
                <w:color w:val="000000"/>
              </w:rPr>
              <w:t>Total (NPV)</w:t>
            </w:r>
          </w:p>
        </w:tc>
        <w:tc>
          <w:tcPr>
            <w:tcW w:w="1596" w:type="dxa"/>
            <w:tcBorders>
              <w:top w:val="single" w:sz="4" w:space="0" w:color="auto"/>
              <w:left w:val="single" w:sz="4" w:space="0" w:color="auto"/>
              <w:bottom w:val="single" w:sz="4" w:space="0" w:color="auto"/>
              <w:right w:val="single" w:sz="4" w:space="0" w:color="auto"/>
            </w:tcBorders>
            <w:shd w:val="clear" w:color="auto" w:fill="auto"/>
          </w:tcPr>
          <w:p w:rsidR="00B52409" w:rsidRPr="00B52409" w:rsidRDefault="00B52409" w:rsidP="00B52409">
            <w:pPr>
              <w:jc w:val="right"/>
            </w:pPr>
            <w:r w:rsidRPr="00B52409">
              <w:t>93,259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13,319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13,319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13,319</w:t>
            </w:r>
          </w:p>
        </w:tc>
        <w:tc>
          <w:tcPr>
            <w:tcW w:w="1596" w:type="dxa"/>
            <w:tcBorders>
              <w:top w:val="single" w:sz="4" w:space="0" w:color="auto"/>
              <w:left w:val="single" w:sz="4" w:space="0" w:color="auto"/>
              <w:bottom w:val="single" w:sz="4" w:space="0" w:color="auto"/>
              <w:right w:val="single" w:sz="4" w:space="0" w:color="auto"/>
            </w:tcBorders>
          </w:tcPr>
          <w:p w:rsidR="00B52409" w:rsidRPr="00B52409" w:rsidRDefault="00B52409" w:rsidP="00B52409">
            <w:pPr>
              <w:jc w:val="right"/>
            </w:pPr>
            <w:r w:rsidRPr="00B52409">
              <w:t>13,319</w:t>
            </w:r>
          </w:p>
        </w:tc>
      </w:tr>
    </w:tbl>
    <w:p w:rsidR="00B52409" w:rsidRPr="00B52409" w:rsidRDefault="00B52409" w:rsidP="00B52409">
      <w:pPr>
        <w:spacing w:after="240"/>
        <w:jc w:val="both"/>
        <w:rPr>
          <w:sz w:val="20"/>
          <w:szCs w:val="20"/>
        </w:rPr>
      </w:pPr>
      <w:r w:rsidRPr="00B52409">
        <w:rPr>
          <w:sz w:val="20"/>
          <w:szCs w:val="20"/>
        </w:rPr>
        <w:t>*Payments end in May 2041, resulting in a partial year of energy capacity and payments.</w:t>
      </w:r>
    </w:p>
    <w:p w:rsidR="00B52409" w:rsidRDefault="00B52409" w:rsidP="00B52409">
      <w:pPr>
        <w:spacing w:after="240"/>
        <w:contextualSpacing/>
        <w:jc w:val="both"/>
      </w:pPr>
      <w:r>
        <w:tab/>
      </w:r>
      <w:r w:rsidRPr="00B52409">
        <w:t xml:space="preserve">FPL’s standard offer contract, in type-and-strike format, is included as Attachment A to this </w:t>
      </w:r>
      <w:r w:rsidR="00906A5B">
        <w:t xml:space="preserve">Order. </w:t>
      </w:r>
      <w:r w:rsidRPr="00B52409">
        <w:t>The changes made to FPL’s tariff sheets are consistent with the updated avoided unit. Revisions include updates to calendar dates and payment information which reflect the current economic and financial assumptions for the avoided unit. At this time FPL and Gulf operate as separate utilities; however they have requested to consolidate rates in the ongoing rate case.</w:t>
      </w:r>
    </w:p>
    <w:p w:rsidR="00B52409" w:rsidRDefault="00B52409" w:rsidP="00B52409">
      <w:pPr>
        <w:spacing w:after="240"/>
        <w:contextualSpacing/>
        <w:jc w:val="both"/>
      </w:pPr>
    </w:p>
    <w:p w:rsidR="00B52409" w:rsidRDefault="00B52409" w:rsidP="00B52409">
      <w:pPr>
        <w:contextualSpacing/>
        <w:jc w:val="both"/>
      </w:pPr>
      <w:r>
        <w:tab/>
      </w:r>
      <w:r w:rsidR="00906A5B">
        <w:t xml:space="preserve">Upon review, </w:t>
      </w:r>
      <w:r>
        <w:t>FPL’s revised standard offer contract and associated rate schedule QS-2</w:t>
      </w:r>
      <w:r w:rsidRPr="00721D3C">
        <w:t xml:space="preserve"> </w:t>
      </w:r>
      <w:r w:rsidR="00906A5B">
        <w:t xml:space="preserve">shall </w:t>
      </w:r>
      <w:r w:rsidRPr="00721D3C">
        <w:t>be approved as filed.</w:t>
      </w:r>
      <w:r>
        <w:t xml:space="preserve"> </w:t>
      </w:r>
      <w:r w:rsidRPr="001022D6">
        <w:t xml:space="preserve">The provisions of </w:t>
      </w:r>
      <w:r>
        <w:t>FPL’s revised</w:t>
      </w:r>
      <w:r w:rsidRPr="001022D6">
        <w:t xml:space="preserve"> standard offer contract</w:t>
      </w:r>
      <w:r>
        <w:t xml:space="preserve"> </w:t>
      </w:r>
      <w:r w:rsidRPr="001022D6">
        <w:t>conform to all requirements of Rules 25-17.200 throu</w:t>
      </w:r>
      <w:r>
        <w:t xml:space="preserve">gh 25-17.310, F.A.C. The revised </w:t>
      </w:r>
      <w:r w:rsidRPr="001022D6">
        <w:t>standard offer contract provides flexibility in the arrangements for payments so that a developer</w:t>
      </w:r>
      <w:r>
        <w:t xml:space="preserve"> </w:t>
      </w:r>
      <w:r w:rsidRPr="001022D6">
        <w:t>of renewable generation may select the payment stream best suited to its financial needs</w:t>
      </w:r>
      <w:r>
        <w:t>.</w:t>
      </w:r>
    </w:p>
    <w:p w:rsidR="00B52409" w:rsidRDefault="00B52409" w:rsidP="00B52409">
      <w:pPr>
        <w:contextualSpacing/>
        <w:jc w:val="both"/>
      </w:pPr>
    </w:p>
    <w:p w:rsidR="00B52409" w:rsidRDefault="00B52409" w:rsidP="00B52409">
      <w:pPr>
        <w:pStyle w:val="OrderBody"/>
      </w:pPr>
      <w:r>
        <w:tab/>
        <w:t>Based on the foregoing, it is</w:t>
      </w:r>
    </w:p>
    <w:p w:rsidR="00B52409" w:rsidRDefault="00B52409" w:rsidP="00B52409">
      <w:pPr>
        <w:pStyle w:val="OrderBody"/>
      </w:pPr>
    </w:p>
    <w:p w:rsidR="00B52409" w:rsidRDefault="00B52409" w:rsidP="00C13B29">
      <w:pPr>
        <w:spacing w:after="240"/>
        <w:jc w:val="both"/>
      </w:pPr>
      <w:r>
        <w:tab/>
        <w:t>ORDERED by the Florida Public Service Commission that</w:t>
      </w:r>
      <w:r w:rsidR="00C13B29" w:rsidRPr="00C13B29">
        <w:t xml:space="preserve"> </w:t>
      </w:r>
      <w:r w:rsidR="00C13B29">
        <w:t xml:space="preserve">Florida Power &amp; Light Company’s </w:t>
      </w:r>
      <w:r w:rsidR="00C13B29" w:rsidRPr="00B52409">
        <w:t xml:space="preserve">revised standard offer contract and associated rate schedule QS-2 </w:t>
      </w:r>
      <w:r w:rsidR="00C13B29">
        <w:t>is hereby approved. It is further</w:t>
      </w:r>
    </w:p>
    <w:p w:rsidR="00906A5B" w:rsidRDefault="00C13B29" w:rsidP="00906A5B">
      <w:pPr>
        <w:pStyle w:val="OrderBody"/>
        <w:ind w:firstLine="720"/>
      </w:pPr>
      <w:r>
        <w:t>O</w:t>
      </w:r>
      <w:r w:rsidR="00B52409">
        <w:t xml:space="preserve">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Pr="00906A5B">
        <w:t xml:space="preserve">Potential signatories should be aware that, if a timely protest is filed, </w:t>
      </w:r>
      <w:r w:rsidR="009069BF">
        <w:t>Florida Power &amp; Light Company</w:t>
      </w:r>
      <w:r w:rsidRPr="00906A5B">
        <w:t>’s standard offer contract may subsequently be revised.</w:t>
      </w:r>
      <w:r w:rsidR="00906A5B">
        <w:t xml:space="preserve"> It is further</w:t>
      </w:r>
    </w:p>
    <w:p w:rsidR="00C13B29" w:rsidRDefault="00C13B29" w:rsidP="00906A5B">
      <w:pPr>
        <w:pStyle w:val="OrderBody"/>
        <w:ind w:firstLine="720"/>
      </w:pPr>
    </w:p>
    <w:p w:rsidR="00B52409" w:rsidRDefault="00B52409" w:rsidP="00906A5B">
      <w:pPr>
        <w:pStyle w:val="OrderBody"/>
        <w:ind w:firstLine="720"/>
      </w:pPr>
      <w:r>
        <w:t>ORDERED that in the event this Order becomes final, this docket shall be closed.</w:t>
      </w:r>
    </w:p>
    <w:p w:rsidR="00B52409" w:rsidRDefault="00B52409" w:rsidP="00B52409">
      <w:pPr>
        <w:pStyle w:val="OrderBody"/>
      </w:pPr>
    </w:p>
    <w:p w:rsidR="00B52409" w:rsidRDefault="00B52409" w:rsidP="00B52409">
      <w:pPr>
        <w:pStyle w:val="OrderBody"/>
        <w:keepNext/>
        <w:keepLines/>
      </w:pPr>
      <w:r>
        <w:tab/>
        <w:t xml:space="preserve">By ORDER of the Florida Public Service Commission this </w:t>
      </w:r>
      <w:bookmarkStart w:id="10" w:name="replaceDate"/>
      <w:bookmarkEnd w:id="10"/>
      <w:r w:rsidR="000B2E9C">
        <w:rPr>
          <w:u w:val="single"/>
        </w:rPr>
        <w:t>12th</w:t>
      </w:r>
      <w:r w:rsidR="000B2E9C">
        <w:t xml:space="preserve"> day of </w:t>
      </w:r>
      <w:r w:rsidR="000B2E9C">
        <w:rPr>
          <w:u w:val="single"/>
        </w:rPr>
        <w:t>July</w:t>
      </w:r>
      <w:r w:rsidR="000B2E9C">
        <w:t xml:space="preserve">, </w:t>
      </w:r>
      <w:r w:rsidR="000B2E9C">
        <w:rPr>
          <w:u w:val="single"/>
        </w:rPr>
        <w:t>2021</w:t>
      </w:r>
      <w:r w:rsidR="000B2E9C">
        <w:t>.</w:t>
      </w:r>
    </w:p>
    <w:p w:rsidR="000B2E9C" w:rsidRPr="000B2E9C" w:rsidRDefault="000B2E9C" w:rsidP="00B52409">
      <w:pPr>
        <w:pStyle w:val="OrderBody"/>
        <w:keepNext/>
        <w:keepLines/>
      </w:pPr>
    </w:p>
    <w:p w:rsidR="00B52409" w:rsidRDefault="00B52409" w:rsidP="00B52409">
      <w:pPr>
        <w:pStyle w:val="OrderBody"/>
        <w:keepNext/>
        <w:keepLines/>
      </w:pPr>
    </w:p>
    <w:p w:rsidR="00B52409" w:rsidRDefault="00B52409" w:rsidP="00B52409">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B52409" w:rsidTr="00B52409">
        <w:tc>
          <w:tcPr>
            <w:tcW w:w="720" w:type="dxa"/>
            <w:shd w:val="clear" w:color="auto" w:fill="auto"/>
          </w:tcPr>
          <w:p w:rsidR="00B52409" w:rsidRDefault="00B52409" w:rsidP="00B52409">
            <w:pPr>
              <w:pStyle w:val="OrderBody"/>
              <w:keepNext/>
              <w:keepLines/>
            </w:pPr>
            <w:bookmarkStart w:id="11" w:name="bkmrkSignature" w:colFirst="0" w:colLast="0"/>
          </w:p>
        </w:tc>
        <w:tc>
          <w:tcPr>
            <w:tcW w:w="4320" w:type="dxa"/>
            <w:tcBorders>
              <w:bottom w:val="single" w:sz="4" w:space="0" w:color="auto"/>
            </w:tcBorders>
            <w:shd w:val="clear" w:color="auto" w:fill="auto"/>
          </w:tcPr>
          <w:p w:rsidR="00B52409" w:rsidRDefault="000B2E9C" w:rsidP="00B52409">
            <w:pPr>
              <w:pStyle w:val="OrderBody"/>
              <w:keepNext/>
              <w:keepLines/>
            </w:pPr>
            <w:r>
              <w:t>/s/ Adam J. Teitzman</w:t>
            </w:r>
          </w:p>
        </w:tc>
      </w:tr>
      <w:bookmarkEnd w:id="11"/>
      <w:tr w:rsidR="00B52409" w:rsidTr="00B52409">
        <w:tc>
          <w:tcPr>
            <w:tcW w:w="720" w:type="dxa"/>
            <w:shd w:val="clear" w:color="auto" w:fill="auto"/>
          </w:tcPr>
          <w:p w:rsidR="00B52409" w:rsidRDefault="00B52409" w:rsidP="00B52409">
            <w:pPr>
              <w:pStyle w:val="OrderBody"/>
              <w:keepNext/>
              <w:keepLines/>
            </w:pPr>
          </w:p>
        </w:tc>
        <w:tc>
          <w:tcPr>
            <w:tcW w:w="4320" w:type="dxa"/>
            <w:tcBorders>
              <w:top w:val="single" w:sz="4" w:space="0" w:color="auto"/>
            </w:tcBorders>
            <w:shd w:val="clear" w:color="auto" w:fill="auto"/>
          </w:tcPr>
          <w:p w:rsidR="00B52409" w:rsidRDefault="00B52409" w:rsidP="00B52409">
            <w:pPr>
              <w:pStyle w:val="OrderBody"/>
              <w:keepNext/>
              <w:keepLines/>
            </w:pPr>
            <w:r>
              <w:t>ADAM J. TEITZMAN</w:t>
            </w:r>
          </w:p>
          <w:p w:rsidR="00B52409" w:rsidRDefault="00B52409" w:rsidP="00B52409">
            <w:pPr>
              <w:pStyle w:val="OrderBody"/>
              <w:keepNext/>
              <w:keepLines/>
            </w:pPr>
            <w:r>
              <w:t>Commission Clerk</w:t>
            </w:r>
          </w:p>
        </w:tc>
      </w:tr>
    </w:tbl>
    <w:p w:rsidR="00B52409" w:rsidRDefault="00B52409" w:rsidP="00B52409">
      <w:pPr>
        <w:pStyle w:val="OrderSigInfo"/>
        <w:keepNext/>
        <w:keepLines/>
      </w:pPr>
      <w:r>
        <w:t>Florida Public Service Commission</w:t>
      </w:r>
    </w:p>
    <w:p w:rsidR="00B52409" w:rsidRDefault="00B52409" w:rsidP="00B52409">
      <w:pPr>
        <w:pStyle w:val="OrderSigInfo"/>
        <w:keepNext/>
        <w:keepLines/>
      </w:pPr>
      <w:r>
        <w:t>2540 Shumard Oak Boulevard</w:t>
      </w:r>
    </w:p>
    <w:p w:rsidR="00B52409" w:rsidRDefault="00B52409" w:rsidP="00B52409">
      <w:pPr>
        <w:pStyle w:val="OrderSigInfo"/>
        <w:keepNext/>
        <w:keepLines/>
      </w:pPr>
      <w:r>
        <w:t>Tallahassee, Florida 32399</w:t>
      </w:r>
    </w:p>
    <w:p w:rsidR="00B52409" w:rsidRDefault="00B52409" w:rsidP="00B52409">
      <w:pPr>
        <w:pStyle w:val="OrderSigInfo"/>
        <w:keepNext/>
        <w:keepLines/>
      </w:pPr>
      <w:r>
        <w:t>(850) 413</w:t>
      </w:r>
      <w:r>
        <w:noBreakHyphen/>
        <w:t>6770</w:t>
      </w:r>
    </w:p>
    <w:p w:rsidR="00B52409" w:rsidRDefault="00B52409" w:rsidP="00B52409">
      <w:pPr>
        <w:pStyle w:val="OrderSigInfo"/>
        <w:keepNext/>
        <w:keepLines/>
      </w:pPr>
      <w:r>
        <w:t>www.floridapsc.com</w:t>
      </w:r>
    </w:p>
    <w:p w:rsidR="00B52409" w:rsidRDefault="00B52409" w:rsidP="00B52409">
      <w:pPr>
        <w:pStyle w:val="OrderSigInfo"/>
        <w:keepNext/>
        <w:keepLines/>
      </w:pPr>
    </w:p>
    <w:p w:rsidR="00B52409" w:rsidRDefault="00B52409" w:rsidP="00B52409">
      <w:pPr>
        <w:pStyle w:val="OrderSigInfo"/>
        <w:keepNext/>
        <w:keepLines/>
      </w:pPr>
      <w:r>
        <w:t>Copies furnished:  A copy of this document is provided to the parties of record at the time of issuance and, if applicable, interested persons.</w:t>
      </w:r>
    </w:p>
    <w:p w:rsidR="00B52409" w:rsidRDefault="00B52409" w:rsidP="00B52409">
      <w:pPr>
        <w:pStyle w:val="OrderBody"/>
        <w:keepNext/>
        <w:keepLines/>
      </w:pPr>
    </w:p>
    <w:p w:rsidR="00B52409" w:rsidRDefault="00B52409" w:rsidP="00B52409">
      <w:pPr>
        <w:pStyle w:val="OrderBody"/>
        <w:keepNext/>
        <w:keepLines/>
      </w:pPr>
    </w:p>
    <w:p w:rsidR="00B52409" w:rsidRDefault="00B52409" w:rsidP="00B52409">
      <w:pPr>
        <w:pStyle w:val="OrderBody"/>
        <w:keepNext/>
        <w:keepLines/>
      </w:pPr>
      <w:r>
        <w:t>CWM</w:t>
      </w:r>
    </w:p>
    <w:p w:rsidR="00B52409" w:rsidRDefault="00B52409" w:rsidP="00B52409">
      <w:pPr>
        <w:pStyle w:val="OrderBody"/>
      </w:pPr>
    </w:p>
    <w:p w:rsidR="00B52409" w:rsidRDefault="00B52409" w:rsidP="00B52409">
      <w:pPr>
        <w:pStyle w:val="CenterUnderline"/>
      </w:pPr>
      <w:r>
        <w:t>NOTICE OF FURTHER PROCEEDINGS OR JUDICIAL REVIEW</w:t>
      </w:r>
    </w:p>
    <w:p w:rsidR="00B52409" w:rsidRDefault="00B52409" w:rsidP="00B52409">
      <w:pPr>
        <w:pStyle w:val="CenterUnderline"/>
        <w:rPr>
          <w:u w:val="none"/>
        </w:rPr>
      </w:pPr>
    </w:p>
    <w:p w:rsidR="00B52409" w:rsidRDefault="00B52409" w:rsidP="00B52409">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B52409" w:rsidRDefault="00B52409" w:rsidP="00B52409">
      <w:pPr>
        <w:pStyle w:val="OrderBody"/>
      </w:pPr>
    </w:p>
    <w:p w:rsidR="00B52409" w:rsidRDefault="00B52409" w:rsidP="00B52409">
      <w:pPr>
        <w:pStyle w:val="OrderBody"/>
      </w:pPr>
      <w:r>
        <w:tab/>
        <w:t>Mediation may be available on a case-by-case basis.  If mediation is conducted, it does not affect a substantially interested person's right to a hearing.</w:t>
      </w:r>
    </w:p>
    <w:p w:rsidR="00B52409" w:rsidRDefault="00B52409" w:rsidP="00B52409">
      <w:pPr>
        <w:pStyle w:val="OrderBody"/>
      </w:pPr>
    </w:p>
    <w:p w:rsidR="00B52409" w:rsidRDefault="00B52409" w:rsidP="00B52409">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0B2E9C">
        <w:rPr>
          <w:u w:val="single"/>
        </w:rPr>
        <w:t>August 2, 2021</w:t>
      </w:r>
      <w:r>
        <w:t>.</w:t>
      </w:r>
    </w:p>
    <w:p w:rsidR="00B52409" w:rsidRDefault="00B52409" w:rsidP="00B52409">
      <w:pPr>
        <w:pStyle w:val="OrderBody"/>
      </w:pPr>
    </w:p>
    <w:p w:rsidR="00B52409" w:rsidRDefault="00B52409" w:rsidP="00B52409">
      <w:pPr>
        <w:pStyle w:val="OrderBody"/>
      </w:pPr>
      <w:r>
        <w:tab/>
        <w:t>In the absence of such a petition, this order shall become final and effective upon the issuance of a Consummating Order.</w:t>
      </w:r>
    </w:p>
    <w:p w:rsidR="00B52409" w:rsidRDefault="00B52409" w:rsidP="00B52409">
      <w:pPr>
        <w:pStyle w:val="OrderBody"/>
      </w:pPr>
    </w:p>
    <w:p w:rsidR="00B52409" w:rsidRDefault="00B52409" w:rsidP="00B52409">
      <w:pPr>
        <w:pStyle w:val="OrderBody"/>
      </w:pPr>
      <w:r>
        <w:tab/>
        <w:t>Any objection or protest filed in this/these docket(s) before the issuance date of this order is considered abandoned unless it satisfies the foregoing conditions and is renewed within the specified protest period.</w:t>
      </w:r>
    </w:p>
    <w:p w:rsidR="00B52409" w:rsidRDefault="00B52409" w:rsidP="00B52409">
      <w:pPr>
        <w:pStyle w:val="OrderBody"/>
      </w:pPr>
    </w:p>
    <w:p w:rsidR="00B52409" w:rsidRDefault="00B52409" w:rsidP="00B52409">
      <w:pPr>
        <w:pStyle w:val="OrderBody"/>
      </w:pPr>
    </w:p>
    <w:p w:rsidR="00B52409" w:rsidRDefault="00B52409" w:rsidP="00B52409">
      <w:pPr>
        <w:pStyle w:val="OrderBody"/>
        <w:sectPr w:rsidR="00B52409">
          <w:headerReference w:type="default" r:id="rId6"/>
          <w:footerReference w:type="first" r:id="rId7"/>
          <w:pgSz w:w="12240" w:h="15840" w:code="1"/>
          <w:pgMar w:top="1440" w:right="1440" w:bottom="1440" w:left="1440" w:header="720" w:footer="720" w:gutter="0"/>
          <w:cols w:space="720"/>
          <w:titlePg/>
          <w:docGrid w:linePitch="360"/>
        </w:sectPr>
      </w:pPr>
    </w:p>
    <w:p w:rsidR="00B52409" w:rsidRDefault="00E331D3" w:rsidP="00B52409">
      <w:pPr>
        <w:pStyle w:val="OrderBody"/>
      </w:pPr>
      <w:r>
        <w:rPr>
          <w:noProof/>
        </w:rPr>
        <w:drawing>
          <wp:inline distT="0" distB="0" distL="0" distR="0" wp14:anchorId="17C35459" wp14:editId="3B87A722">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034D25CA" wp14:editId="41AF5A33">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4A6A8369" wp14:editId="73402D4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67721366" wp14:editId="1E5F20F9">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2977BF00" wp14:editId="71E71C3E">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5FC5275F" wp14:editId="29843F7B">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59A985D0" wp14:editId="577F5D25">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26CE1385" wp14:editId="4ACF94B5">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28F3D312" wp14:editId="2CF52B7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175EE692" wp14:editId="2EC02597">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58BA431A" wp14:editId="7CAD20B2">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33E17349" wp14:editId="6B108272">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4B1411F0" wp14:editId="5C010119">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6C013271" wp14:editId="04F8FAFC">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330BB7A6" wp14:editId="63912555">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79D5A27B" wp14:editId="13C753E7">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2BFAF8F4" wp14:editId="562D65A2">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0C916402" wp14:editId="40B6490A">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4E27EFD4" wp14:editId="6D286B1C">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18D59DCC" wp14:editId="561368E2">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6885BE0D" wp14:editId="6DD8E67D">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5B0CBFB8" wp14:editId="1323DD06">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66A86845" wp14:editId="65B518E6">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E331D3" w:rsidP="00B52409">
      <w:pPr>
        <w:pStyle w:val="OrderBody"/>
      </w:pPr>
      <w:r>
        <w:rPr>
          <w:noProof/>
        </w:rPr>
        <w:drawing>
          <wp:inline distT="0" distB="0" distL="0" distR="0" wp14:anchorId="5DC846D7" wp14:editId="67529572">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1D3" w:rsidRDefault="00C241BA" w:rsidP="00B52409">
      <w:pPr>
        <w:pStyle w:val="OrderBody"/>
      </w:pPr>
      <w:r>
        <w:rPr>
          <w:noProof/>
        </w:rPr>
        <w:drawing>
          <wp:inline distT="0" distB="0" distL="0" distR="0" wp14:anchorId="29F9764D" wp14:editId="623C40D6">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73CE3A82" wp14:editId="49A780EA">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40881DE1" wp14:editId="40EF12B6">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45D3AD31" wp14:editId="64A802D8">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7468DFB0" wp14:editId="765A6A68">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3C8AAAE7" wp14:editId="2ECB438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50B74FA3" wp14:editId="2376F94F">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7444259C" wp14:editId="7563BF7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1FA3DCB7" wp14:editId="6C5717DE">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4789F806" wp14:editId="12FCD5B3">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7B87723B" wp14:editId="16364D54">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1653DC45" wp14:editId="2A360F32">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524EA74F" wp14:editId="2E756295">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182F6C09" wp14:editId="6E5052A2">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7AB5D762" wp14:editId="2D14B29A">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1B05F1D4" wp14:editId="4E1B1407">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41BA" w:rsidRDefault="00C241BA" w:rsidP="00B52409">
      <w:pPr>
        <w:pStyle w:val="OrderBody"/>
      </w:pPr>
      <w:r>
        <w:rPr>
          <w:noProof/>
        </w:rPr>
        <w:drawing>
          <wp:inline distT="0" distB="0" distL="0" distR="0" wp14:anchorId="57FAF44D" wp14:editId="517B0723">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F4C42" w:rsidRDefault="006F4C42" w:rsidP="00B52409">
      <w:pPr>
        <w:pStyle w:val="OrderBody"/>
      </w:pPr>
      <w:r>
        <w:rPr>
          <w:noProof/>
        </w:rPr>
        <w:drawing>
          <wp:inline distT="0" distB="0" distL="0" distR="0" wp14:anchorId="3B960FA4" wp14:editId="06E2D089">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F4C42" w:rsidRDefault="006F4C42" w:rsidP="00B52409">
      <w:pPr>
        <w:pStyle w:val="OrderBody"/>
      </w:pPr>
      <w:r>
        <w:rPr>
          <w:noProof/>
        </w:rPr>
        <w:drawing>
          <wp:inline distT="0" distB="0" distL="0" distR="0" wp14:anchorId="4D42B618" wp14:editId="13509428">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F4C42" w:rsidRDefault="006F4C42" w:rsidP="00B52409">
      <w:pPr>
        <w:pStyle w:val="OrderBody"/>
      </w:pPr>
      <w:r>
        <w:rPr>
          <w:noProof/>
        </w:rPr>
        <w:drawing>
          <wp:inline distT="0" distB="0" distL="0" distR="0" wp14:anchorId="41A1E4C3" wp14:editId="7AD1E028">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F4C42" w:rsidRPr="00B52409" w:rsidRDefault="006F4C42" w:rsidP="00B52409">
      <w:pPr>
        <w:pStyle w:val="OrderBody"/>
      </w:pPr>
    </w:p>
    <w:sectPr w:rsidR="006F4C42" w:rsidRPr="00B52409">
      <w:headerReference w:type="default" r:id="rId52"/>
      <w:headerReference w:type="first" r:id="rId5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2409" w:rsidRDefault="00B52409">
      <w:r>
        <w:separator/>
      </w:r>
    </w:p>
  </w:endnote>
  <w:endnote w:type="continuationSeparator" w:id="0">
    <w:p w:rsidR="00B52409" w:rsidRDefault="00B524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2409" w:rsidRDefault="00B52409">
      <w:r>
        <w:separator/>
      </w:r>
    </w:p>
  </w:footnote>
  <w:footnote w:type="continuationSeparator" w:id="0">
    <w:p w:rsidR="00B52409" w:rsidRDefault="00B52409">
      <w:r>
        <w:continuationSeparator/>
      </w:r>
    </w:p>
  </w:footnote>
  <w:footnote w:id="1">
    <w:p w:rsidR="00B52409" w:rsidRPr="00422D55" w:rsidRDefault="00B52409" w:rsidP="00B52409">
      <w:pPr>
        <w:pStyle w:val="FootnoteText"/>
      </w:pPr>
      <w:r w:rsidRPr="00C13B29">
        <w:rPr>
          <w:rStyle w:val="FootnoteReference"/>
          <w:i/>
        </w:rPr>
        <w:footnoteRef/>
      </w:r>
      <w:r w:rsidRPr="00C13B29">
        <w:rPr>
          <w:i/>
        </w:rPr>
        <w:t xml:space="preserve">See </w:t>
      </w:r>
      <w:r w:rsidRPr="00447003">
        <w:t>Order No. PSC-2018-0316-PAA-EQ</w:t>
      </w:r>
      <w:r>
        <w:t xml:space="preserve">, </w:t>
      </w:r>
      <w:r w:rsidRPr="00447003">
        <w:t xml:space="preserve">issued June 20, </w:t>
      </w:r>
      <w:r>
        <w:t xml:space="preserve">2018, in Docket No. 20180083-EQ, </w:t>
      </w:r>
      <w:r w:rsidRPr="0092092D">
        <w:t xml:space="preserve">In re: </w:t>
      </w:r>
      <w:r w:rsidRPr="0092092D">
        <w:rPr>
          <w:i/>
        </w:rPr>
        <w:t>Petition for approval of renewable energy tariff and standard offer contract, b</w:t>
      </w:r>
      <w:r>
        <w:rPr>
          <w:i/>
        </w:rPr>
        <w:t>y Florida Power &amp; Light Company;</w:t>
      </w:r>
      <w:r>
        <w:t xml:space="preserve"> </w:t>
      </w:r>
      <w:r w:rsidRPr="00447003">
        <w:t>Order No. PSC-2020-0212-PAA-EQ</w:t>
      </w:r>
      <w:r>
        <w:t>,</w:t>
      </w:r>
      <w:r w:rsidRPr="00447003">
        <w:t xml:space="preserve"> iss</w:t>
      </w:r>
      <w:r>
        <w:t xml:space="preserve">ued June 26, 2020, in Docket No. </w:t>
      </w:r>
      <w:r w:rsidRPr="00447003">
        <w:t>20200114-EQ</w:t>
      </w:r>
      <w:r>
        <w:t xml:space="preserve">, In re: </w:t>
      </w:r>
      <w:r w:rsidRPr="0092092D">
        <w:rPr>
          <w:i/>
        </w:rPr>
        <w:t>Florida Power &amp; Light Company’s Petition for Approval of a Renewable Energy Tar</w:t>
      </w:r>
      <w:r>
        <w:rPr>
          <w:i/>
        </w:rPr>
        <w:t>iff and Standard Offer Contract;</w:t>
      </w:r>
      <w:r>
        <w:t xml:space="preserve"> and </w:t>
      </w:r>
      <w:r w:rsidRPr="00447003">
        <w:t>Order No. PSC-2020-0213-PAA-EQ</w:t>
      </w:r>
      <w:r>
        <w:t>,</w:t>
      </w:r>
      <w:r w:rsidRPr="00447003">
        <w:t xml:space="preserve"> issued June </w:t>
      </w:r>
      <w:r>
        <w:t>26, 2020, in Docket No. 20200115</w:t>
      </w:r>
      <w:r w:rsidRPr="00447003">
        <w:t>-EQ</w:t>
      </w:r>
      <w:r>
        <w:rPr>
          <w:i/>
        </w:rPr>
        <w:t>,</w:t>
      </w:r>
      <w:r w:rsidRPr="0092092D">
        <w:t xml:space="preserve"> In re</w:t>
      </w:r>
      <w:r w:rsidRPr="0092092D">
        <w:rPr>
          <w:i/>
        </w:rPr>
        <w:t>: Petition for approval of new standard offer for purchase of firm capacity and energy from renewable energy facilities or small qualifying facilities and rate schedule QS-2, by Gulf Power Company</w:t>
      </w:r>
      <w:r>
        <w:rPr>
          <w:i/>
        </w:rPr>
        <w:t>.</w:t>
      </w:r>
    </w:p>
    <w:p w:rsidR="00B52409" w:rsidRPr="00914B03" w:rsidRDefault="00B52409" w:rsidP="00B52409">
      <w:pPr>
        <w:pStyle w:val="FootnoteText"/>
        <w:rPr>
          <w:i/>
          <w:iC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r w:rsidR="00FB7159">
      <w:fldChar w:fldCharType="begin"/>
    </w:r>
    <w:r w:rsidR="00FB7159">
      <w:instrText xml:space="preserve"> REF OrderNo0252 </w:instrText>
    </w:r>
    <w:r w:rsidR="00FB7159">
      <w:fldChar w:fldCharType="separate"/>
    </w:r>
    <w:r w:rsidR="000B2E9C">
      <w:t>PSC-2021-0252-PAA-EQ</w:t>
    </w:r>
    <w:r w:rsidR="00FB7159">
      <w:fldChar w:fldCharType="end"/>
    </w:r>
  </w:p>
  <w:p w:rsidR="00FA6EFD" w:rsidRDefault="00B52409">
    <w:pPr>
      <w:pStyle w:val="OrderHeader"/>
    </w:pPr>
    <w:bookmarkStart w:id="12" w:name="HeaderDocketNo"/>
    <w:bookmarkEnd w:id="12"/>
    <w:r>
      <w:t>DOCKET NO. 20210067-EQ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B7159">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C42" w:rsidRDefault="006F4C42" w:rsidP="006F4C42">
    <w:pPr>
      <w:pStyle w:val="OrderHeader"/>
      <w:tabs>
        <w:tab w:val="left" w:pos="7200"/>
      </w:tabs>
    </w:pPr>
    <w:r>
      <w:t xml:space="preserve">ORDER NO. </w:t>
    </w:r>
    <w:r w:rsidR="000B2E9C" w:rsidRPr="000B2E9C">
      <w:t>PSC-2021-0252-PAA-EQ</w:t>
    </w:r>
    <w:r>
      <w:tab/>
    </w:r>
    <w:r>
      <w:tab/>
      <w:t>Attachment A</w:t>
    </w:r>
  </w:p>
  <w:p w:rsidR="006F4C42" w:rsidRDefault="006F4C42">
    <w:pPr>
      <w:pStyle w:val="OrderHeader"/>
    </w:pPr>
    <w:r>
      <w:t>DOCKET NO. 20210067-EQ</w:t>
    </w:r>
  </w:p>
  <w:p w:rsidR="006F4C42" w:rsidRDefault="006F4C4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B7159">
      <w:rPr>
        <w:rStyle w:val="PageNumber"/>
        <w:noProof/>
      </w:rPr>
      <w:t>21</w:t>
    </w:r>
    <w:r>
      <w:rPr>
        <w:rStyle w:val="PageNumber"/>
      </w:rPr>
      <w:fldChar w:fldCharType="end"/>
    </w:r>
  </w:p>
  <w:p w:rsidR="006F4C42" w:rsidRDefault="006F4C42">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2409" w:rsidRDefault="00B52409" w:rsidP="00B52409">
    <w:pPr>
      <w:pStyle w:val="OrderHeader"/>
      <w:tabs>
        <w:tab w:val="left" w:pos="7200"/>
      </w:tabs>
    </w:pPr>
    <w:r>
      <w:t xml:space="preserve">ORDER NO. </w:t>
    </w:r>
    <w:r w:rsidR="000B2E9C" w:rsidRPr="000B2E9C">
      <w:t>PSC-2021-0252-PAA-EQ</w:t>
    </w:r>
    <w:r>
      <w:tab/>
    </w:r>
    <w:r>
      <w:tab/>
      <w:t>Attachment A</w:t>
    </w:r>
  </w:p>
  <w:p w:rsidR="00B52409" w:rsidRDefault="00B52409" w:rsidP="00B52409">
    <w:pPr>
      <w:pStyle w:val="OrderHeader"/>
    </w:pPr>
    <w:r>
      <w:t>DOCKET NO. 20210067-EQ</w:t>
    </w:r>
  </w:p>
  <w:p w:rsidR="00B52409" w:rsidRDefault="00B52409" w:rsidP="00B52409">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B7159">
      <w:rPr>
        <w:rStyle w:val="PageNumber"/>
        <w:noProof/>
      </w:rPr>
      <w:t>6</w:t>
    </w:r>
    <w:r>
      <w:rPr>
        <w:rStyle w:val="PageNumber"/>
      </w:rPr>
      <w:fldChar w:fldCharType="end"/>
    </w:r>
  </w:p>
  <w:p w:rsidR="00B52409" w:rsidRDefault="00B5240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10067-EQ"/>
  </w:docVars>
  <w:rsids>
    <w:rsidRoot w:val="00B52409"/>
    <w:rsid w:val="000022B8"/>
    <w:rsid w:val="00003883"/>
    <w:rsid w:val="00011251"/>
    <w:rsid w:val="00025C9D"/>
    <w:rsid w:val="0003433F"/>
    <w:rsid w:val="00035A8C"/>
    <w:rsid w:val="00036BDD"/>
    <w:rsid w:val="00041FFD"/>
    <w:rsid w:val="00053AB9"/>
    <w:rsid w:val="00056229"/>
    <w:rsid w:val="00057AF1"/>
    <w:rsid w:val="00065FC2"/>
    <w:rsid w:val="00067685"/>
    <w:rsid w:val="00067B07"/>
    <w:rsid w:val="000730D7"/>
    <w:rsid w:val="00076E6B"/>
    <w:rsid w:val="00081AE4"/>
    <w:rsid w:val="0008247D"/>
    <w:rsid w:val="00090AFC"/>
    <w:rsid w:val="00096507"/>
    <w:rsid w:val="000B2E9C"/>
    <w:rsid w:val="000B783E"/>
    <w:rsid w:val="000B7D81"/>
    <w:rsid w:val="000C1994"/>
    <w:rsid w:val="000C6926"/>
    <w:rsid w:val="000D02B8"/>
    <w:rsid w:val="000D06E8"/>
    <w:rsid w:val="000D6E65"/>
    <w:rsid w:val="000D78FB"/>
    <w:rsid w:val="000E050C"/>
    <w:rsid w:val="000E20F0"/>
    <w:rsid w:val="000E2593"/>
    <w:rsid w:val="000E344D"/>
    <w:rsid w:val="000E3F6D"/>
    <w:rsid w:val="000F359F"/>
    <w:rsid w:val="000F3B2C"/>
    <w:rsid w:val="000F3F6C"/>
    <w:rsid w:val="000F63EB"/>
    <w:rsid w:val="000F648A"/>
    <w:rsid w:val="000F7BE3"/>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36B0"/>
    <w:rsid w:val="001F4CA3"/>
    <w:rsid w:val="001F59E0"/>
    <w:rsid w:val="002002ED"/>
    <w:rsid w:val="002044DD"/>
    <w:rsid w:val="002170E5"/>
    <w:rsid w:val="00220D57"/>
    <w:rsid w:val="0022721A"/>
    <w:rsid w:val="00230BB9"/>
    <w:rsid w:val="00241CEF"/>
    <w:rsid w:val="0025124E"/>
    <w:rsid w:val="00252B30"/>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2A9D"/>
    <w:rsid w:val="002F31C2"/>
    <w:rsid w:val="002F7BF6"/>
    <w:rsid w:val="00303FDE"/>
    <w:rsid w:val="00313C5B"/>
    <w:rsid w:val="003140E8"/>
    <w:rsid w:val="003231C7"/>
    <w:rsid w:val="00323839"/>
    <w:rsid w:val="003270C4"/>
    <w:rsid w:val="00331ED0"/>
    <w:rsid w:val="00332B0A"/>
    <w:rsid w:val="00333A41"/>
    <w:rsid w:val="00345434"/>
    <w:rsid w:val="0035495B"/>
    <w:rsid w:val="00355A93"/>
    <w:rsid w:val="00361522"/>
    <w:rsid w:val="0037196E"/>
    <w:rsid w:val="003744F5"/>
    <w:rsid w:val="003875A9"/>
    <w:rsid w:val="00387BDE"/>
    <w:rsid w:val="00390DD8"/>
    <w:rsid w:val="00394DC6"/>
    <w:rsid w:val="00397C3E"/>
    <w:rsid w:val="003B1A09"/>
    <w:rsid w:val="003C0431"/>
    <w:rsid w:val="003D3989"/>
    <w:rsid w:val="003D4CCA"/>
    <w:rsid w:val="003D52A6"/>
    <w:rsid w:val="003D6416"/>
    <w:rsid w:val="003E1D48"/>
    <w:rsid w:val="003E711F"/>
    <w:rsid w:val="003F1D2B"/>
    <w:rsid w:val="003F49A6"/>
    <w:rsid w:val="003F7445"/>
    <w:rsid w:val="004052D0"/>
    <w:rsid w:val="00411DF2"/>
    <w:rsid w:val="00411E8F"/>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7826"/>
    <w:rsid w:val="0050097F"/>
    <w:rsid w:val="00514B1F"/>
    <w:rsid w:val="00523C5C"/>
    <w:rsid w:val="00525E93"/>
    <w:rsid w:val="0052671D"/>
    <w:rsid w:val="005300C0"/>
    <w:rsid w:val="00540E6B"/>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6DF2"/>
    <w:rsid w:val="0062385D"/>
    <w:rsid w:val="0063168D"/>
    <w:rsid w:val="00635C79"/>
    <w:rsid w:val="006455DF"/>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21C4"/>
    <w:rsid w:val="006E42BE"/>
    <w:rsid w:val="006E5D4D"/>
    <w:rsid w:val="006E6D16"/>
    <w:rsid w:val="006F4C42"/>
    <w:rsid w:val="00703F2A"/>
    <w:rsid w:val="00704C5D"/>
    <w:rsid w:val="007072BC"/>
    <w:rsid w:val="00715275"/>
    <w:rsid w:val="00721B44"/>
    <w:rsid w:val="007232A2"/>
    <w:rsid w:val="00726366"/>
    <w:rsid w:val="00733B6B"/>
    <w:rsid w:val="00737BDF"/>
    <w:rsid w:val="00740808"/>
    <w:rsid w:val="007467C4"/>
    <w:rsid w:val="0076170F"/>
    <w:rsid w:val="0076669C"/>
    <w:rsid w:val="00766E46"/>
    <w:rsid w:val="007725C3"/>
    <w:rsid w:val="00777727"/>
    <w:rsid w:val="0078166A"/>
    <w:rsid w:val="00782B79"/>
    <w:rsid w:val="00783811"/>
    <w:rsid w:val="007865E9"/>
    <w:rsid w:val="0079237D"/>
    <w:rsid w:val="00792383"/>
    <w:rsid w:val="00794D5A"/>
    <w:rsid w:val="00794DD9"/>
    <w:rsid w:val="007A060F"/>
    <w:rsid w:val="007B350E"/>
    <w:rsid w:val="007C0FBC"/>
    <w:rsid w:val="007C29C9"/>
    <w:rsid w:val="007C35B8"/>
    <w:rsid w:val="007C36E3"/>
    <w:rsid w:val="007C3ABB"/>
    <w:rsid w:val="007C7134"/>
    <w:rsid w:val="007D3D20"/>
    <w:rsid w:val="007D44F9"/>
    <w:rsid w:val="007D742E"/>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97740"/>
    <w:rsid w:val="008A12EC"/>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9BF"/>
    <w:rsid w:val="00906A5B"/>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718C5"/>
    <w:rsid w:val="009735B6"/>
    <w:rsid w:val="00976AFF"/>
    <w:rsid w:val="009924CF"/>
    <w:rsid w:val="00994100"/>
    <w:rsid w:val="009A6B17"/>
    <w:rsid w:val="009B052E"/>
    <w:rsid w:val="009D4C29"/>
    <w:rsid w:val="009E58E9"/>
    <w:rsid w:val="009F6AD2"/>
    <w:rsid w:val="009F7C1B"/>
    <w:rsid w:val="00A00D8D"/>
    <w:rsid w:val="00A01BB6"/>
    <w:rsid w:val="00A219DD"/>
    <w:rsid w:val="00A22B28"/>
    <w:rsid w:val="00A4303C"/>
    <w:rsid w:val="00A46CAF"/>
    <w:rsid w:val="00A470FD"/>
    <w:rsid w:val="00A50B5E"/>
    <w:rsid w:val="00A62DAB"/>
    <w:rsid w:val="00A6757A"/>
    <w:rsid w:val="00A726A6"/>
    <w:rsid w:val="00A74842"/>
    <w:rsid w:val="00A8269A"/>
    <w:rsid w:val="00A9178A"/>
    <w:rsid w:val="00A9515B"/>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2409"/>
    <w:rsid w:val="00B54DAA"/>
    <w:rsid w:val="00B552E0"/>
    <w:rsid w:val="00B55AB0"/>
    <w:rsid w:val="00B55EE5"/>
    <w:rsid w:val="00B67A43"/>
    <w:rsid w:val="00B71D1F"/>
    <w:rsid w:val="00B72CFF"/>
    <w:rsid w:val="00B73DE6"/>
    <w:rsid w:val="00B761CD"/>
    <w:rsid w:val="00B76B66"/>
    <w:rsid w:val="00B86EF0"/>
    <w:rsid w:val="00B96969"/>
    <w:rsid w:val="00B97900"/>
    <w:rsid w:val="00BA1229"/>
    <w:rsid w:val="00BA44A8"/>
    <w:rsid w:val="00BA49C5"/>
    <w:rsid w:val="00BB0182"/>
    <w:rsid w:val="00BC786E"/>
    <w:rsid w:val="00BD5C92"/>
    <w:rsid w:val="00BE50E6"/>
    <w:rsid w:val="00BE7A0C"/>
    <w:rsid w:val="00BF2928"/>
    <w:rsid w:val="00BF6691"/>
    <w:rsid w:val="00C028FC"/>
    <w:rsid w:val="00C037F2"/>
    <w:rsid w:val="00C0386D"/>
    <w:rsid w:val="00C065A1"/>
    <w:rsid w:val="00C10ED5"/>
    <w:rsid w:val="00C12574"/>
    <w:rsid w:val="00C13B29"/>
    <w:rsid w:val="00C151A6"/>
    <w:rsid w:val="00C24098"/>
    <w:rsid w:val="00C241BA"/>
    <w:rsid w:val="00C25BA0"/>
    <w:rsid w:val="00C30A4E"/>
    <w:rsid w:val="00C411F3"/>
    <w:rsid w:val="00C44105"/>
    <w:rsid w:val="00C55A33"/>
    <w:rsid w:val="00C63D13"/>
    <w:rsid w:val="00C66692"/>
    <w:rsid w:val="00C673B5"/>
    <w:rsid w:val="00C7063D"/>
    <w:rsid w:val="00C830BC"/>
    <w:rsid w:val="00C8524D"/>
    <w:rsid w:val="00C90904"/>
    <w:rsid w:val="00C91123"/>
    <w:rsid w:val="00CA71FF"/>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46FAA"/>
    <w:rsid w:val="00D47A40"/>
    <w:rsid w:val="00D47EAA"/>
    <w:rsid w:val="00D51D33"/>
    <w:rsid w:val="00D57BB2"/>
    <w:rsid w:val="00D57E57"/>
    <w:rsid w:val="00D70752"/>
    <w:rsid w:val="00D80E2D"/>
    <w:rsid w:val="00D84D5E"/>
    <w:rsid w:val="00D8560E"/>
    <w:rsid w:val="00D8758F"/>
    <w:rsid w:val="00DA4EDD"/>
    <w:rsid w:val="00DA6B78"/>
    <w:rsid w:val="00DB122B"/>
    <w:rsid w:val="00DC1D94"/>
    <w:rsid w:val="00DC42CF"/>
    <w:rsid w:val="00DD382A"/>
    <w:rsid w:val="00DE057F"/>
    <w:rsid w:val="00DE2082"/>
    <w:rsid w:val="00DE2289"/>
    <w:rsid w:val="00DF09A7"/>
    <w:rsid w:val="00DF2B51"/>
    <w:rsid w:val="00E001D6"/>
    <w:rsid w:val="00E03A76"/>
    <w:rsid w:val="00E04410"/>
    <w:rsid w:val="00E07484"/>
    <w:rsid w:val="00E11351"/>
    <w:rsid w:val="00E331D3"/>
    <w:rsid w:val="00E4225C"/>
    <w:rsid w:val="00E44879"/>
    <w:rsid w:val="00E72914"/>
    <w:rsid w:val="00E75AE0"/>
    <w:rsid w:val="00E83C1F"/>
    <w:rsid w:val="00E85684"/>
    <w:rsid w:val="00E8794B"/>
    <w:rsid w:val="00E97656"/>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A092B"/>
    <w:rsid w:val="00FA4F6C"/>
    <w:rsid w:val="00FA6EFD"/>
    <w:rsid w:val="00FB3791"/>
    <w:rsid w:val="00FB6780"/>
    <w:rsid w:val="00FB7159"/>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B52409"/>
    <w:pPr>
      <w:jc w:val="center"/>
    </w:pPr>
    <w:rPr>
      <w:rFonts w:ascii="Arial" w:hAnsi="Arial"/>
      <w:b/>
    </w:rPr>
  </w:style>
  <w:style w:type="character" w:customStyle="1" w:styleId="FootnoteTextChar">
    <w:name w:val="Footnote Text Char"/>
    <w:basedOn w:val="DefaultParagraphFont"/>
    <w:link w:val="FootnoteText"/>
    <w:rsid w:val="00B52409"/>
  </w:style>
  <w:style w:type="paragraph" w:customStyle="1" w:styleId="First-LevelSubheading">
    <w:name w:val="First-Level Subheading"/>
    <w:basedOn w:val="Normal"/>
    <w:next w:val="BodyText"/>
    <w:qFormat/>
    <w:rsid w:val="00B52409"/>
    <w:pPr>
      <w:jc w:val="both"/>
      <w:outlineLvl w:val="2"/>
    </w:pPr>
    <w:rPr>
      <w:rFonts w:ascii="Arial" w:hAnsi="Arial" w:cs="Arial"/>
      <w:b/>
      <w:bCs/>
      <w:iCs/>
      <w:szCs w:val="28"/>
    </w:rPr>
  </w:style>
  <w:style w:type="paragraph" w:styleId="BalloonText">
    <w:name w:val="Balloon Text"/>
    <w:basedOn w:val="Normal"/>
    <w:link w:val="BalloonTextChar"/>
    <w:semiHidden/>
    <w:unhideWhenUsed/>
    <w:rsid w:val="000B2E9C"/>
    <w:rPr>
      <w:rFonts w:ascii="Segoe UI" w:hAnsi="Segoe UI" w:cs="Segoe UI"/>
      <w:sz w:val="18"/>
      <w:szCs w:val="18"/>
    </w:rPr>
  </w:style>
  <w:style w:type="character" w:customStyle="1" w:styleId="BalloonTextChar">
    <w:name w:val="Balloon Text Char"/>
    <w:basedOn w:val="DefaultParagraphFont"/>
    <w:link w:val="BalloonText"/>
    <w:semiHidden/>
    <w:rsid w:val="000B2E9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805854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header" Target="header3.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Fay,%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Fay, La Rosa, and Passidomo.dotm</Template>
  <TotalTime>0</TotalTime>
  <Pages>49</Pages>
  <Words>1472</Words>
  <Characters>8396</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2021-07-12T13:04:00Z</dcterms:created>
  <dcterms:modified xsi:type="dcterms:W3CDTF">2021-07-12T13:04:00Z</dcterms:modified>
</cp:coreProperties>
</file>