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5167F">
            <w:pPr>
              <w:pStyle w:val="MemoHeading"/>
            </w:pPr>
            <w:bookmarkStart w:id="1" w:name="FilingDate"/>
            <w:r>
              <w:t>August 27</w:t>
            </w:r>
            <w:r w:rsidR="00036495">
              <w:t>,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36495" w:rsidRDefault="00036495">
            <w:pPr>
              <w:pStyle w:val="MemoHeading"/>
            </w:pPr>
            <w:bookmarkStart w:id="2" w:name="From"/>
            <w:r>
              <w:t>Divisi</w:t>
            </w:r>
            <w:r w:rsidR="0035167F">
              <w:t>on of Economics (Forrest</w:t>
            </w:r>
            <w:r w:rsidR="00965507">
              <w:t>, Coston</w:t>
            </w:r>
            <w:r>
              <w:t>)</w:t>
            </w:r>
          </w:p>
          <w:p w:rsidR="007C0528" w:rsidRDefault="00036495">
            <w:pPr>
              <w:pStyle w:val="MemoHeading"/>
            </w:pPr>
            <w:r>
              <w:t>Office of the G</w:t>
            </w:r>
            <w:r w:rsidR="0035167F">
              <w:t>eneral Counsel (Osborn</w:t>
            </w:r>
            <w:r w:rsidR="00965507">
              <w:t>, Crawford</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36495">
            <w:pPr>
              <w:pStyle w:val="MemoHeadingRe"/>
            </w:pPr>
            <w:bookmarkStart w:id="3" w:name="Re"/>
            <w:r>
              <w:t>Docket No. 20210088-GU – Joint petition to modify tariffs to accommodate receipt and transport of renewable natural gas, by Florida Public Utilities Company, Florida Public Utilities - Indiantown Division, Florida Public Utilities - Fort Meade, and Florida Division of Chesapeake Utilities Corporation.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36495">
            <w:pPr>
              <w:pStyle w:val="MemoHeading"/>
            </w:pPr>
            <w:bookmarkStart w:id="4" w:name="AgendaDate"/>
            <w:r>
              <w:t>09/08/21</w:t>
            </w:r>
            <w:bookmarkEnd w:id="4"/>
            <w:r w:rsidR="007C0528">
              <w:t xml:space="preserve"> – </w:t>
            </w:r>
            <w:bookmarkStart w:id="5" w:name="PermittedStatus"/>
            <w:r>
              <w:t xml:space="preserve">Regular Agenda – </w:t>
            </w:r>
            <w:r w:rsidR="00672419">
              <w:t xml:space="preserve">Tariff Filing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36495">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36495">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036495">
            <w:pPr>
              <w:pStyle w:val="MemoHeading"/>
            </w:pPr>
            <w:bookmarkStart w:id="9" w:name="CriticalDates"/>
            <w:r>
              <w:t xml:space="preserve">12/21/21 </w:t>
            </w:r>
            <w:bookmarkEnd w:id="9"/>
            <w:r w:rsidR="00C008DB">
              <w:t>(8-Month Effective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36495">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72419" w:rsidRDefault="00036495" w:rsidP="00036495">
      <w:pPr>
        <w:pStyle w:val="BodyText"/>
      </w:pPr>
      <w:r>
        <w:t>Florida Public Utilities Company, Florida Public Utilities-Indiantown Division, Florida Public Utilities-Fort Meade, and Florida Division of Chesapeake Utilities Corporation (</w:t>
      </w:r>
      <w:r w:rsidR="00672419">
        <w:t xml:space="preserve">jointly, </w:t>
      </w:r>
      <w:r>
        <w:t xml:space="preserve">Companies) are local </w:t>
      </w:r>
      <w:r w:rsidR="00073E98">
        <w:t>distribution</w:t>
      </w:r>
      <w:r>
        <w:t xml:space="preserve"> companies subject to the Commission’s jurisdiction pursuant to Chapter 366, Florida Statu</w:t>
      </w:r>
      <w:r w:rsidR="00C97398">
        <w:t>t</w:t>
      </w:r>
      <w:r>
        <w:t xml:space="preserve">es (F.S.). The Companies serve customers in </w:t>
      </w:r>
      <w:r w:rsidR="00DA6120">
        <w:t>26</w:t>
      </w:r>
      <w:r w:rsidR="0079727F">
        <w:t xml:space="preserve"> </w:t>
      </w:r>
      <w:r>
        <w:t xml:space="preserve">counties </w:t>
      </w:r>
      <w:r w:rsidR="00DA6120">
        <w:t>with</w:t>
      </w:r>
      <w:r>
        <w:t>in Florida. On April 21, 2021</w:t>
      </w:r>
      <w:r w:rsidR="00411786">
        <w:t>,</w:t>
      </w:r>
      <w:r>
        <w:t xml:space="preserve"> the Companies submitted a</w:t>
      </w:r>
      <w:r w:rsidR="00E202FE">
        <w:t xml:space="preserve"> joint</w:t>
      </w:r>
      <w:r>
        <w:t xml:space="preserve"> petition </w:t>
      </w:r>
      <w:r w:rsidR="00E86BD6">
        <w:t>for a new Renewa</w:t>
      </w:r>
      <w:r w:rsidR="00C21259">
        <w:t>ble Natural Gas Service (RNGS) tariff</w:t>
      </w:r>
      <w:r w:rsidR="00E86BD6">
        <w:t xml:space="preserve"> for biogas</w:t>
      </w:r>
      <w:r w:rsidR="00E86BD6">
        <w:rPr>
          <w:rStyle w:val="FootnoteReference"/>
        </w:rPr>
        <w:footnoteReference w:id="1"/>
      </w:r>
      <w:r w:rsidR="00E86BD6">
        <w:t xml:space="preserve"> producers to allow the Companies to </w:t>
      </w:r>
      <w:r w:rsidR="00637BFA">
        <w:t xml:space="preserve">provide services for the purposes of </w:t>
      </w:r>
      <w:r w:rsidR="00E86BD6">
        <w:t>convert</w:t>
      </w:r>
      <w:r w:rsidR="00637BFA">
        <w:t>ing</w:t>
      </w:r>
      <w:r w:rsidR="00E86BD6">
        <w:t xml:space="preserve"> biogas into usable </w:t>
      </w:r>
      <w:r w:rsidR="00411786">
        <w:t>Renewable Natural Gas (</w:t>
      </w:r>
      <w:r w:rsidR="00E86BD6">
        <w:t>RNG</w:t>
      </w:r>
      <w:r w:rsidR="00411786">
        <w:t>)</w:t>
      </w:r>
      <w:r w:rsidR="00E86BD6">
        <w:t xml:space="preserve"> that meets pipeline quality gas standards. </w:t>
      </w:r>
      <w:r w:rsidR="00E202FE">
        <w:t xml:space="preserve">RNG is produced by cleaning and conditioning biogas in </w:t>
      </w:r>
      <w:r w:rsidR="00E202FE">
        <w:lastRenderedPageBreak/>
        <w:t xml:space="preserve">order to meet </w:t>
      </w:r>
      <w:r w:rsidR="00073E98">
        <w:t>pipeline</w:t>
      </w:r>
      <w:r w:rsidR="00805209">
        <w:t xml:space="preserve"> quality gas and heat standards</w:t>
      </w:r>
      <w:r w:rsidR="00C008DB">
        <w:t xml:space="preserve">, </w:t>
      </w:r>
      <w:r w:rsidR="00805209">
        <w:t>which</w:t>
      </w:r>
      <w:r w:rsidR="00C008DB">
        <w:t xml:space="preserve"> can then</w:t>
      </w:r>
      <w:r w:rsidR="00E202FE">
        <w:t xml:space="preserve"> be used </w:t>
      </w:r>
      <w:r w:rsidR="00073E98">
        <w:t>interchangeably</w:t>
      </w:r>
      <w:r w:rsidR="00E202FE">
        <w:t xml:space="preserve"> with natural gas within a gas distribution system.</w:t>
      </w:r>
      <w:r w:rsidR="00E86BD6">
        <w:t xml:space="preserve"> </w:t>
      </w:r>
    </w:p>
    <w:p w:rsidR="00AA1DA4" w:rsidRDefault="00AA1DA4" w:rsidP="00AA1DA4">
      <w:pPr>
        <w:pStyle w:val="BodyText"/>
      </w:pPr>
      <w:r>
        <w:t>The Commission has approved similar RNG rate schedules for Peoples Gas System in Order No. PSC-2017-0497-TRF-GU</w:t>
      </w:r>
      <w:r>
        <w:rPr>
          <w:rStyle w:val="FootnoteReference"/>
        </w:rPr>
        <w:footnoteReference w:id="2"/>
      </w:r>
      <w:r>
        <w:t xml:space="preserve"> and for Florida City Gas in Order No. PSC-2021-0040-TRF-GU.</w:t>
      </w:r>
      <w:r>
        <w:rPr>
          <w:rStyle w:val="FootnoteReference"/>
        </w:rPr>
        <w:footnoteReference w:id="3"/>
      </w:r>
      <w:r>
        <w:t xml:space="preserve"> </w:t>
      </w:r>
      <w:r w:rsidR="00805209">
        <w:t>I</w:t>
      </w:r>
      <w:r>
        <w:t>n 2020</w:t>
      </w:r>
      <w:r w:rsidR="00805209">
        <w:t>,</w:t>
      </w:r>
      <w:r>
        <w:t xml:space="preserve"> the Companies received Commission approval to modify the quality of gas provisions in their tariff to allow for the receipt and transportation of RNG.</w:t>
      </w:r>
      <w:r w:rsidRPr="00AA1DA4">
        <w:rPr>
          <w:rStyle w:val="FootnoteReference"/>
        </w:rPr>
        <w:t xml:space="preserve"> </w:t>
      </w:r>
      <w:r>
        <w:rPr>
          <w:rStyle w:val="FootnoteReference"/>
        </w:rPr>
        <w:footnoteReference w:id="4"/>
      </w:r>
    </w:p>
    <w:p w:rsidR="00805209" w:rsidRDefault="00931982" w:rsidP="00036495">
      <w:pPr>
        <w:pStyle w:val="BodyText"/>
      </w:pPr>
      <w:r>
        <w:t xml:space="preserve">The proposed tariff modifications include the new RNGS tariff (tariff sheet Nos. 7.506-7.507) and certain other tariff revisions to include definitions of RNG. </w:t>
      </w:r>
      <w:r w:rsidR="00036495">
        <w:t>Duri</w:t>
      </w:r>
      <w:r w:rsidR="00C008DB">
        <w:t xml:space="preserve">ng </w:t>
      </w:r>
      <w:r w:rsidR="00E546BE">
        <w:t xml:space="preserve">the </w:t>
      </w:r>
      <w:r w:rsidR="00411786">
        <w:t xml:space="preserve">review </w:t>
      </w:r>
      <w:r w:rsidR="00E546BE">
        <w:t>of this petition</w:t>
      </w:r>
      <w:r w:rsidR="00411786">
        <w:t xml:space="preserve">, </w:t>
      </w:r>
      <w:r w:rsidR="00706307">
        <w:t>staff</w:t>
      </w:r>
      <w:r w:rsidR="00411786">
        <w:t xml:space="preserve"> issued</w:t>
      </w:r>
      <w:r w:rsidR="00E546BE">
        <w:t xml:space="preserve"> two</w:t>
      </w:r>
      <w:r w:rsidR="00036495">
        <w:t xml:space="preserve"> data request</w:t>
      </w:r>
      <w:r w:rsidR="00C008DB">
        <w:t xml:space="preserve">s </w:t>
      </w:r>
      <w:r w:rsidR="00411786">
        <w:t xml:space="preserve">for </w:t>
      </w:r>
      <w:r w:rsidR="00706307">
        <w:t>which</w:t>
      </w:r>
      <w:r w:rsidR="00036495">
        <w:t xml:space="preserve"> response</w:t>
      </w:r>
      <w:r w:rsidR="00E546BE">
        <w:t>s were</w:t>
      </w:r>
      <w:r w:rsidR="00036495">
        <w:t xml:space="preserve"> </w:t>
      </w:r>
      <w:r w:rsidR="00411786">
        <w:t xml:space="preserve">received </w:t>
      </w:r>
      <w:r w:rsidR="00036495">
        <w:t>on June 22, 2021</w:t>
      </w:r>
      <w:r w:rsidR="00E546BE">
        <w:t xml:space="preserve"> and July 23, 2021</w:t>
      </w:r>
      <w:r w:rsidR="00036495">
        <w:t xml:space="preserve">. </w:t>
      </w:r>
      <w:r w:rsidR="00805209">
        <w:t xml:space="preserve">On August </w:t>
      </w:r>
      <w:r w:rsidR="00965507">
        <w:t>24</w:t>
      </w:r>
      <w:r w:rsidR="00805209">
        <w:t>, 2021, the Companies filed an amended tariff to include additional language concerning ratepayer protections</w:t>
      </w:r>
      <w:r w:rsidR="00D21820">
        <w:t xml:space="preserve"> and </w:t>
      </w:r>
      <w:r w:rsidR="00A1741F">
        <w:t xml:space="preserve">to </w:t>
      </w:r>
      <w:r w:rsidR="00D21820">
        <w:t>correct a scriveners error in the availability provision</w:t>
      </w:r>
      <w:r w:rsidR="00805209">
        <w:t xml:space="preserve">. The proposed RNGS tariffs are included as Attachment A to the recommendation. </w:t>
      </w:r>
    </w:p>
    <w:p w:rsidR="0068481F" w:rsidRDefault="00036495" w:rsidP="00036495">
      <w:pPr>
        <w:pStyle w:val="BodyText"/>
      </w:pPr>
      <w:r>
        <w:t>By Order No. PSC-2021-0239-PCO-GU</w:t>
      </w:r>
      <w:r w:rsidR="00C97398">
        <w:t>,</w:t>
      </w:r>
      <w:r>
        <w:t xml:space="preserve"> issued on July 1, 2021</w:t>
      </w:r>
      <w:r w:rsidR="00C97398">
        <w:t>,</w:t>
      </w:r>
      <w:r>
        <w:t xml:space="preserve"> the Commission suspended the </w:t>
      </w:r>
      <w:r w:rsidR="0095691F">
        <w:t xml:space="preserve">proposed </w:t>
      </w:r>
      <w:r>
        <w:t>tariffs pursuant to the 60-day file and suspend provision in Section 366.06(3), F.S. The Commission has jurisdiction over this matter pursuant to Sections 366.03, 366.04, 366.05, and 366.06,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FC1100" w:rsidRDefault="00FC1100">
      <w:pPr>
        <w:pStyle w:val="IssueHeading"/>
        <w:rPr>
          <w:vanish/>
          <w:specVanish/>
        </w:rPr>
      </w:pPr>
      <w:r w:rsidRPr="004C3641">
        <w:t xml:space="preserve">Issue </w:t>
      </w:r>
      <w:fldSimple w:instr=" SEQ Issue \* MERGEFORMAT ">
        <w:r w:rsidR="00D42F09">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D42F09">
        <w:rPr>
          <w:noProof/>
        </w:rPr>
        <w:instrText>1</w:instrText>
      </w:r>
      <w:r>
        <w:fldChar w:fldCharType="end"/>
      </w:r>
      <w:r>
        <w:tab/>
        <w:instrText xml:space="preserve">" \l 1 </w:instrText>
      </w:r>
      <w:r>
        <w:fldChar w:fldCharType="end"/>
      </w:r>
      <w:r>
        <w:t> </w:t>
      </w:r>
    </w:p>
    <w:p w:rsidR="00FC1100" w:rsidRDefault="00FC1100">
      <w:pPr>
        <w:pStyle w:val="BodyText"/>
      </w:pPr>
      <w:r>
        <w:t> </w:t>
      </w:r>
      <w:r w:rsidRPr="00FC1100">
        <w:t>Should the Commission approve the Companies</w:t>
      </w:r>
      <w:r w:rsidR="004263F9">
        <w:t>’</w:t>
      </w:r>
      <w:r w:rsidRPr="00FC1100">
        <w:t xml:space="preserve"> proposed new RNGS rate</w:t>
      </w:r>
      <w:r w:rsidR="00D53602">
        <w:t xml:space="preserve"> schedule and associated tariff modifications</w:t>
      </w:r>
      <w:r w:rsidRPr="00FC1100">
        <w:t>?</w:t>
      </w:r>
    </w:p>
    <w:p w:rsidR="00FC1100" w:rsidRPr="004C3641" w:rsidRDefault="00FC1100">
      <w:pPr>
        <w:pStyle w:val="IssueSubsectionHeading"/>
        <w:rPr>
          <w:vanish/>
          <w:specVanish/>
        </w:rPr>
      </w:pPr>
      <w:r w:rsidRPr="004C3641">
        <w:t>Recommendation: </w:t>
      </w:r>
    </w:p>
    <w:p w:rsidR="00FC1100" w:rsidRDefault="00FC1100">
      <w:pPr>
        <w:pStyle w:val="BodyText"/>
      </w:pPr>
      <w:r>
        <w:t> </w:t>
      </w:r>
      <w:r w:rsidRPr="00FC1100">
        <w:t>Yes, the Commission should approve the Companies</w:t>
      </w:r>
      <w:r w:rsidR="004263F9">
        <w:t>’</w:t>
      </w:r>
      <w:r w:rsidRPr="00FC1100">
        <w:t xml:space="preserve"> proposed new RNGS rate</w:t>
      </w:r>
      <w:r w:rsidR="00D53602">
        <w:t xml:space="preserve"> schedule and associated tariff modifications</w:t>
      </w:r>
      <w:r w:rsidRPr="00FC1100">
        <w:t xml:space="preserve"> effective</w:t>
      </w:r>
      <w:r w:rsidR="00D53602">
        <w:t xml:space="preserve"> September 8, 2021. The RNGS rate schedule would</w:t>
      </w:r>
      <w:r w:rsidRPr="00FC1100">
        <w:t xml:space="preserve"> </w:t>
      </w:r>
      <w:r w:rsidR="0095691F">
        <w:t>furnish</w:t>
      </w:r>
      <w:r w:rsidRPr="00FC1100">
        <w:t xml:space="preserve"> the Companies with an opportunity to provide biogas </w:t>
      </w:r>
      <w:r w:rsidR="00E202FE">
        <w:t xml:space="preserve">cleaning and </w:t>
      </w:r>
      <w:r w:rsidRPr="00FC1100">
        <w:t>conditioning services to interested customers. The utility demonstrated a reasonabl</w:t>
      </w:r>
      <w:r w:rsidR="00E202FE">
        <w:t>e approach to implementing the t</w:t>
      </w:r>
      <w:r w:rsidRPr="00FC1100">
        <w:t xml:space="preserve">ariff. A participating customer would enter into an agreement with the </w:t>
      </w:r>
      <w:r w:rsidR="00E202FE">
        <w:t>respective Company</w:t>
      </w:r>
      <w:r w:rsidRPr="00FC1100">
        <w:t xml:space="preserve"> and all capital </w:t>
      </w:r>
      <w:r w:rsidR="00C83B9F">
        <w:t xml:space="preserve">and </w:t>
      </w:r>
      <w:r w:rsidRPr="00FC1100">
        <w:t xml:space="preserve">operating costs associated with </w:t>
      </w:r>
      <w:r w:rsidR="00C83B9F">
        <w:t xml:space="preserve">the biogas upgrading and conditioning </w:t>
      </w:r>
      <w:r w:rsidR="00D53602">
        <w:t>service would</w:t>
      </w:r>
      <w:r w:rsidRPr="00FC1100">
        <w:t xml:space="preserve"> be borne by the customer over the life of the contract. (Forrest)</w:t>
      </w:r>
      <w:r>
        <w:t xml:space="preserve"> </w:t>
      </w:r>
    </w:p>
    <w:p w:rsidR="00FC1100" w:rsidRPr="004C3641" w:rsidRDefault="00FC1100">
      <w:pPr>
        <w:pStyle w:val="IssueSubsectionHeading"/>
        <w:rPr>
          <w:vanish/>
          <w:specVanish/>
        </w:rPr>
      </w:pPr>
      <w:r w:rsidRPr="004C3641">
        <w:t>Staff Analysis: </w:t>
      </w:r>
    </w:p>
    <w:p w:rsidR="00FC1100" w:rsidRDefault="00FC1100" w:rsidP="00FC1100">
      <w:pPr>
        <w:pStyle w:val="BodyText"/>
      </w:pPr>
      <w:r>
        <w:t> </w:t>
      </w:r>
      <w:r w:rsidR="00D53602" w:rsidRPr="00D53602">
        <w:t>The Companies state</w:t>
      </w:r>
      <w:r w:rsidR="006D2DBB">
        <w:t>d</w:t>
      </w:r>
      <w:r w:rsidR="00D53602" w:rsidRPr="00D53602">
        <w:t xml:space="preserve"> in the petition that RNG captures methane from animal waste and other biomass sources that otherwise would have directly entered the atmosphere. When it is eventually combusted, the RNG releases significantly fewer greenhouse gas emissions.</w:t>
      </w:r>
      <w:r w:rsidR="00E546BE">
        <w:rPr>
          <w:rStyle w:val="FootnoteReference"/>
        </w:rPr>
        <w:footnoteReference w:id="5"/>
      </w:r>
      <w:r w:rsidR="00E546BE">
        <w:t xml:space="preserve"> </w:t>
      </w:r>
      <w:r w:rsidR="00D53602" w:rsidRPr="00D53602">
        <w:t>Without the collection of the biogas to be conditioned into RNG, the biogas produced would escape into the atmosphere or be burned off at the source with emissions from the burning process released into the atmosphere.</w:t>
      </w:r>
      <w:r w:rsidR="0099242A">
        <w:t xml:space="preserve"> </w:t>
      </w:r>
      <w:r w:rsidR="00600093" w:rsidRPr="00600093">
        <w:t>Once conditioned, RNG can be interchangeable with conventional</w:t>
      </w:r>
      <w:r w:rsidR="00600093">
        <w:t xml:space="preserve"> natural gas from other sources </w:t>
      </w:r>
      <w:r>
        <w:t xml:space="preserve">and can be used as a carbon neutral fuel source for a variety of applications </w:t>
      </w:r>
      <w:r w:rsidR="00C97398">
        <w:t>by</w:t>
      </w:r>
      <w:r>
        <w:t xml:space="preserve"> different types of customers. The Companies </w:t>
      </w:r>
      <w:r w:rsidR="006D2DBB">
        <w:t xml:space="preserve"> explained </w:t>
      </w:r>
      <w:r>
        <w:t>that not only can RNG be used for fuel and generation purposes</w:t>
      </w:r>
      <w:r w:rsidR="00411786">
        <w:t>,</w:t>
      </w:r>
      <w:r>
        <w:t xml:space="preserve"> but also has the opportunity to encourage growth in the agriculture industry by providing a solution to waste management.</w:t>
      </w:r>
    </w:p>
    <w:p w:rsidR="00AE5153" w:rsidRDefault="00AE5153" w:rsidP="00AE5153">
      <w:pPr>
        <w:pStyle w:val="First-LevelSubheading"/>
      </w:pPr>
      <w:r>
        <w:t>Proposed New RNGS Tariff</w:t>
      </w:r>
    </w:p>
    <w:p w:rsidR="00FB2481" w:rsidRDefault="00FB2481" w:rsidP="00672419">
      <w:pPr>
        <w:jc w:val="both"/>
      </w:pPr>
      <w:r>
        <w:t xml:space="preserve">Under the proposal, a biogas-producing customer would enter into a </w:t>
      </w:r>
      <w:r w:rsidR="002D5BAC">
        <w:t xml:space="preserve">mutually satisfactory RNG Service Agreement (agreement) </w:t>
      </w:r>
      <w:r>
        <w:t xml:space="preserve">with </w:t>
      </w:r>
      <w:r w:rsidR="003323B1">
        <w:t>one of the</w:t>
      </w:r>
      <w:r>
        <w:t xml:space="preserve"> </w:t>
      </w:r>
      <w:r w:rsidR="003323B1">
        <w:t xml:space="preserve">Companies </w:t>
      </w:r>
      <w:r>
        <w:t xml:space="preserve">to construct and operate the RNG facilities on behalf of the customer. </w:t>
      </w:r>
      <w:r w:rsidR="002D5BAC">
        <w:t>In the response to staff’s first data request, the Companies stated that the estimated cost for biogas conditioning equipment and facility could range from $2 to $40 million for a single facility based on size and scope of the project.</w:t>
      </w:r>
      <w:r w:rsidR="002D5BAC">
        <w:rPr>
          <w:rStyle w:val="FootnoteReference"/>
        </w:rPr>
        <w:footnoteReference w:id="6"/>
      </w:r>
      <w:r w:rsidR="002D5BAC">
        <w:t xml:space="preserve"> </w:t>
      </w:r>
      <w:r>
        <w:t xml:space="preserve">The tariff requires that all RNG be conditioned to meet the </w:t>
      </w:r>
      <w:r w:rsidR="0095691F">
        <w:t>Companies’</w:t>
      </w:r>
      <w:r w:rsidR="00FC5516">
        <w:t xml:space="preserve"> pipeline quality</w:t>
      </w:r>
      <w:r>
        <w:t xml:space="preserve"> gas and heat standards. This requirement would ensure that all RNG produced under the proposed tariff can be safely used without any adverse impact t</w:t>
      </w:r>
      <w:r w:rsidR="00ED6186">
        <w:t>o the integrity of the customer</w:t>
      </w:r>
      <w:r>
        <w:t>s</w:t>
      </w:r>
      <w:r w:rsidR="00D37F4A">
        <w:t>’</w:t>
      </w:r>
      <w:r>
        <w:t xml:space="preserve"> and the Companies’ natural gas equipment. </w:t>
      </w:r>
    </w:p>
    <w:p w:rsidR="00E463E0" w:rsidRDefault="00E463E0" w:rsidP="00E463E0"/>
    <w:p w:rsidR="0054790E" w:rsidRDefault="003323B1" w:rsidP="00772BE5">
      <w:pPr>
        <w:pStyle w:val="BodyText"/>
      </w:pPr>
      <w:r>
        <w:t xml:space="preserve">The  proposed </w:t>
      </w:r>
      <w:r w:rsidR="00FC5516">
        <w:t xml:space="preserve">RNGS </w:t>
      </w:r>
      <w:r w:rsidR="00D5540B">
        <w:t xml:space="preserve">tariff </w:t>
      </w:r>
      <w:r w:rsidR="00FC5516">
        <w:t xml:space="preserve">provides the </w:t>
      </w:r>
      <w:r w:rsidR="00D5540B">
        <w:t xml:space="preserve"> terms and conditions </w:t>
      </w:r>
      <w:r w:rsidR="00FC5516">
        <w:t>under which th</w:t>
      </w:r>
      <w:r w:rsidR="00BA120D">
        <w:t>e Companies may provide service</w:t>
      </w:r>
      <w:r w:rsidR="00FC5516">
        <w:t xml:space="preserve"> to biogas producers who wish to convert their biogas in</w:t>
      </w:r>
      <w:r w:rsidR="00BA120D">
        <w:t>to</w:t>
      </w:r>
      <w:r w:rsidR="00FC5516">
        <w:t xml:space="preserve"> RNG. </w:t>
      </w:r>
      <w:r w:rsidR="00FC5516" w:rsidRPr="000203BB">
        <w:t xml:space="preserve">These services include </w:t>
      </w:r>
      <w:r w:rsidR="006E0DBE">
        <w:t xml:space="preserve"> upg</w:t>
      </w:r>
      <w:r w:rsidR="00E051F0">
        <w:t>r</w:t>
      </w:r>
      <w:r w:rsidR="006E0DBE">
        <w:t xml:space="preserve">ading </w:t>
      </w:r>
      <w:r w:rsidR="00FC5516" w:rsidRPr="000203BB">
        <w:t xml:space="preserve">and conditioning biogas to </w:t>
      </w:r>
      <w:r w:rsidR="00073E98" w:rsidRPr="000203BB">
        <w:t>pipeline</w:t>
      </w:r>
      <w:r w:rsidR="00FC5516" w:rsidRPr="000203BB">
        <w:t xml:space="preserve"> quality gas</w:t>
      </w:r>
      <w:r w:rsidR="00FC5516">
        <w:t xml:space="preserve"> standards</w:t>
      </w:r>
      <w:r w:rsidR="00FC5516" w:rsidRPr="000203BB">
        <w:t xml:space="preserve"> that can then be interconnected and injected for delivery on</w:t>
      </w:r>
      <w:r w:rsidR="00FC5516">
        <w:t>to</w:t>
      </w:r>
      <w:r w:rsidR="00FC5516" w:rsidRPr="000203BB">
        <w:t xml:space="preserve"> the Companies’ distribution system.</w:t>
      </w:r>
      <w:r w:rsidR="00FC5516">
        <w:t xml:space="preserve"> </w:t>
      </w:r>
      <w:r w:rsidR="00E463E0">
        <w:t xml:space="preserve">The terms of this agreement would include the design, location, quality specifications, operational requirements, and the required </w:t>
      </w:r>
      <w:r w:rsidR="006D2DBB">
        <w:t>monthly service charge</w:t>
      </w:r>
      <w:r w:rsidR="00E463E0">
        <w:t xml:space="preserve">. </w:t>
      </w:r>
    </w:p>
    <w:p w:rsidR="00411786" w:rsidRDefault="00E463E0" w:rsidP="00411786">
      <w:pPr>
        <w:pStyle w:val="BodyText"/>
      </w:pPr>
      <w:r>
        <w:lastRenderedPageBreak/>
        <w:t xml:space="preserve">The monthly service charge would be designed to cover the costs of </w:t>
      </w:r>
      <w:r w:rsidR="00073E98">
        <w:t>construction</w:t>
      </w:r>
      <w:r>
        <w:t>, operational costs, and carrying costs of the facilities that would allow the</w:t>
      </w:r>
      <w:r w:rsidR="00BA120D">
        <w:t xml:space="preserve"> respective</w:t>
      </w:r>
      <w:r>
        <w:t xml:space="preserve"> Company to collect a rate of return on </w:t>
      </w:r>
      <w:r w:rsidR="006E0DBE">
        <w:t xml:space="preserve">the RNG facility </w:t>
      </w:r>
      <w:r>
        <w:t xml:space="preserve">investment. Under the </w:t>
      </w:r>
      <w:r w:rsidRPr="000203BB">
        <w:t>tariff</w:t>
      </w:r>
      <w:r>
        <w:t>,</w:t>
      </w:r>
      <w:r w:rsidRPr="000203BB">
        <w:t xml:space="preserve"> ownership and tit</w:t>
      </w:r>
      <w:r w:rsidR="005952C8">
        <w:t>le of the RNG remains with the c</w:t>
      </w:r>
      <w:r w:rsidRPr="000203BB">
        <w:t xml:space="preserve">ustomer and the customer is solely responsible for </w:t>
      </w:r>
      <w:r w:rsidR="00073E98" w:rsidRPr="000203BB">
        <w:t>determ</w:t>
      </w:r>
      <w:r w:rsidR="00073E98">
        <w:t>in</w:t>
      </w:r>
      <w:r w:rsidR="00073E98" w:rsidRPr="000203BB">
        <w:t>ing</w:t>
      </w:r>
      <w:r w:rsidRPr="000203BB">
        <w:t xml:space="preserve"> the end-user of the RNG. </w:t>
      </w:r>
      <w:r w:rsidR="006E0DBE">
        <w:t>Should</w:t>
      </w:r>
      <w:r w:rsidRPr="000203BB">
        <w:t xml:space="preserve"> the </w:t>
      </w:r>
      <w:r w:rsidR="006E0DBE" w:rsidRPr="000203BB">
        <w:t>Compan</w:t>
      </w:r>
      <w:r w:rsidR="006E0DBE">
        <w:t>ies elect to purchase RNG from a biogas producer, the Companies</w:t>
      </w:r>
      <w:r w:rsidR="006E0DBE" w:rsidRPr="000203BB">
        <w:t xml:space="preserve"> </w:t>
      </w:r>
      <w:r w:rsidRPr="000203BB">
        <w:t xml:space="preserve">and the customer </w:t>
      </w:r>
      <w:r w:rsidR="006E0DBE">
        <w:t xml:space="preserve">would </w:t>
      </w:r>
      <w:r w:rsidRPr="000203BB">
        <w:t>enter into a</w:t>
      </w:r>
      <w:r w:rsidR="006E0DBE">
        <w:t>n</w:t>
      </w:r>
      <w:r w:rsidRPr="000203BB">
        <w:t xml:space="preserve"> RNG commodity purchase agreement.</w:t>
      </w:r>
      <w:r w:rsidR="00772BE5">
        <w:t xml:space="preserve"> </w:t>
      </w:r>
    </w:p>
    <w:p w:rsidR="004B3F79" w:rsidRDefault="006E05F5" w:rsidP="006E05F5">
      <w:pPr>
        <w:pStyle w:val="First-LevelSubheading"/>
      </w:pPr>
      <w:r>
        <w:t>Impact on the General Body of Ratepayers</w:t>
      </w:r>
    </w:p>
    <w:p w:rsidR="00DA6120" w:rsidRDefault="006E05F5" w:rsidP="00772BE5">
      <w:pPr>
        <w:pStyle w:val="BodyText"/>
      </w:pPr>
      <w:r>
        <w:t xml:space="preserve">The Companies state that the RNGS tariff has essential safeguards that ensure that the </w:t>
      </w:r>
      <w:r w:rsidR="00C97398">
        <w:t>contracting company</w:t>
      </w:r>
      <w:r>
        <w:t xml:space="preserve">’s general body of ratepayers </w:t>
      </w:r>
      <w:r w:rsidR="00805209">
        <w:t>would</w:t>
      </w:r>
      <w:r>
        <w:t xml:space="preserve"> not subsidize the biogas customers taking service under the RNGS tariff. Specifically, the </w:t>
      </w:r>
      <w:r w:rsidR="0095691F">
        <w:t>Companies</w:t>
      </w:r>
      <w:r>
        <w:t xml:space="preserve"> stated that </w:t>
      </w:r>
      <w:r w:rsidR="0095691F">
        <w:t>they</w:t>
      </w:r>
      <w:r>
        <w:t xml:space="preserve"> would ensure that service taken under the proposed RNGS tariff </w:t>
      </w:r>
      <w:r w:rsidR="00805209">
        <w:t>would</w:t>
      </w:r>
      <w:r>
        <w:t xml:space="preserve"> not affect any ratepayers by confirming the credit worthiness of the customers taking service under the tariff. In response to staff’s second data request the Companies stated that </w:t>
      </w:r>
      <w:r w:rsidR="0095691F">
        <w:t>they</w:t>
      </w:r>
      <w:r>
        <w:t xml:space="preserve"> </w:t>
      </w:r>
      <w:r w:rsidR="00805209">
        <w:t>would</w:t>
      </w:r>
      <w:r>
        <w:t xml:space="preserve"> do </w:t>
      </w:r>
      <w:r w:rsidR="0095691F">
        <w:t>sufficient</w:t>
      </w:r>
      <w:r>
        <w:t xml:space="preserve"> due diligence to ensure that</w:t>
      </w:r>
      <w:r w:rsidR="005952C8">
        <w:t xml:space="preserve"> the non-participants are not at</w:t>
      </w:r>
      <w:r>
        <w:t xml:space="preserve"> risk by requiring RNGS customers to provide one of the following options: (a) a guarantor to secure payment of bills, (b) an irrevocable letter of credit from a bank equa</w:t>
      </w:r>
      <w:r w:rsidR="005952C8">
        <w:t>l to two months average bills, (c) a surety bond eq</w:t>
      </w:r>
      <w:r>
        <w:t xml:space="preserve">ual to two months average </w:t>
      </w:r>
      <w:r w:rsidR="005952C8">
        <w:t>bills</w:t>
      </w:r>
      <w:r w:rsidR="00965507">
        <w:t>,</w:t>
      </w:r>
      <w:r w:rsidR="005952C8">
        <w:t xml:space="preserve"> or (d) pay a cash deposit</w:t>
      </w:r>
      <w:r w:rsidR="0079141A">
        <w:t>.</w:t>
      </w:r>
      <w:r w:rsidR="005952C8">
        <w:rPr>
          <w:rStyle w:val="FootnoteReference"/>
        </w:rPr>
        <w:footnoteReference w:id="7"/>
      </w:r>
      <w:r w:rsidR="0079141A">
        <w:t xml:space="preserve"> </w:t>
      </w:r>
    </w:p>
    <w:p w:rsidR="006E05F5" w:rsidRDefault="0079141A" w:rsidP="00772BE5">
      <w:pPr>
        <w:pStyle w:val="BodyText"/>
      </w:pPr>
      <w:r>
        <w:t>In the event of default</w:t>
      </w:r>
      <w:r w:rsidR="00E021D2">
        <w:t>,</w:t>
      </w:r>
      <w:r>
        <w:t xml:space="preserve"> the Compan</w:t>
      </w:r>
      <w:r w:rsidR="0095691F">
        <w:t>ies</w:t>
      </w:r>
      <w:r>
        <w:t xml:space="preserve"> stated</w:t>
      </w:r>
      <w:r w:rsidR="00A84F15">
        <w:t xml:space="preserve"> that </w:t>
      </w:r>
      <w:r w:rsidR="0095691F">
        <w:t>they</w:t>
      </w:r>
      <w:r w:rsidR="00A84F15">
        <w:t xml:space="preserve"> would </w:t>
      </w:r>
      <w:r w:rsidR="009C6405">
        <w:t>discontinue</w:t>
      </w:r>
      <w:r w:rsidR="00A84F15">
        <w:t xml:space="preserve"> </w:t>
      </w:r>
      <w:r w:rsidR="009C6405">
        <w:t>service</w:t>
      </w:r>
      <w:r w:rsidR="00A84F15">
        <w:t>, terminate the contract</w:t>
      </w:r>
      <w:r w:rsidR="00965507">
        <w:t>,</w:t>
      </w:r>
      <w:r w:rsidR="00A84F15">
        <w:t xml:space="preserve"> and </w:t>
      </w:r>
      <w:r w:rsidR="006E637B">
        <w:t xml:space="preserve">start all remedies that are provided in the service agreement. This may include applying any </w:t>
      </w:r>
      <w:r w:rsidR="009C6405">
        <w:t>deposit</w:t>
      </w:r>
      <w:r w:rsidR="006E637B">
        <w:t xml:space="preserve"> paid to the customer’s account, seeking payment from a guarantor to cover the outstanding balance, and pursuing legal or equitable claims against the defaulting customer. </w:t>
      </w:r>
      <w:r w:rsidR="006E05F5">
        <w:t xml:space="preserve"> </w:t>
      </w:r>
      <w:r w:rsidR="00DA6120" w:rsidRPr="00FE023D">
        <w:t xml:space="preserve">In response to staff’s </w:t>
      </w:r>
      <w:r w:rsidR="00DA6120">
        <w:t>second</w:t>
      </w:r>
      <w:r w:rsidR="00DA6120" w:rsidRPr="00FE023D">
        <w:t xml:space="preserve"> data request, the </w:t>
      </w:r>
      <w:r w:rsidR="0095691F">
        <w:t>Companies</w:t>
      </w:r>
      <w:r w:rsidR="00DA6120" w:rsidRPr="00FE023D">
        <w:t xml:space="preserve"> modified </w:t>
      </w:r>
      <w:r w:rsidR="0095691F">
        <w:t>the proposed</w:t>
      </w:r>
      <w:r w:rsidR="00DA6120" w:rsidRPr="00FE023D">
        <w:t xml:space="preserve"> tariff on </w:t>
      </w:r>
      <w:r w:rsidR="00DA6120">
        <w:t xml:space="preserve">August </w:t>
      </w:r>
      <w:r w:rsidR="00965507">
        <w:t>24</w:t>
      </w:r>
      <w:r w:rsidR="00DA6120" w:rsidRPr="00FE023D">
        <w:t xml:space="preserve">, 2021, to incorporate language </w:t>
      </w:r>
      <w:r w:rsidR="00D21820">
        <w:t xml:space="preserve">on tariff sheet No. 7.507 (last paragraph) </w:t>
      </w:r>
      <w:r w:rsidR="00DA6120" w:rsidRPr="00FE023D">
        <w:t>emphasizing that the tariff would not cause any additional costs to non-participants.</w:t>
      </w:r>
    </w:p>
    <w:p w:rsidR="006E637B" w:rsidRDefault="006E637B" w:rsidP="00772BE5">
      <w:pPr>
        <w:pStyle w:val="BodyText"/>
      </w:pPr>
      <w:r>
        <w:t>Staff recommends approval of this petition base</w:t>
      </w:r>
      <w:r w:rsidR="009C6405">
        <w:t>d, in part, on the Companies’ assert</w:t>
      </w:r>
      <w:r>
        <w:t xml:space="preserve">ion that </w:t>
      </w:r>
      <w:r w:rsidR="00C97398">
        <w:t>they</w:t>
      </w:r>
      <w:r>
        <w:t xml:space="preserve"> </w:t>
      </w:r>
      <w:r w:rsidR="00805209">
        <w:t>would</w:t>
      </w:r>
      <w:r>
        <w:t xml:space="preserve"> implement a thorough and reasonable process to evaluate the credit worthiness of a potential customer to be served under the RNGS tariff. Based on this process, the </w:t>
      </w:r>
      <w:r w:rsidR="0095691F">
        <w:t>Companies</w:t>
      </w:r>
      <w:r>
        <w:t xml:space="preserve"> do not anticipate any cost impact to the general body of ratepayers. </w:t>
      </w:r>
    </w:p>
    <w:p w:rsidR="00781790" w:rsidRDefault="00781790" w:rsidP="00781790">
      <w:pPr>
        <w:pStyle w:val="First-LevelSubheading"/>
      </w:pPr>
      <w:r>
        <w:t xml:space="preserve">Conclusion </w:t>
      </w:r>
    </w:p>
    <w:p w:rsidR="004C3CF7" w:rsidRPr="00781790" w:rsidRDefault="004C3CF7" w:rsidP="00781790">
      <w:pPr>
        <w:pStyle w:val="BodyText"/>
      </w:pPr>
      <w:r>
        <w:t xml:space="preserve">Staff recommends that </w:t>
      </w:r>
      <w:r w:rsidRPr="00FC1100">
        <w:t>Commission should approve the Companies</w:t>
      </w:r>
      <w:r>
        <w:t>’</w:t>
      </w:r>
      <w:r w:rsidRPr="00FC1100">
        <w:t xml:space="preserve"> proposed new RNGS rate</w:t>
      </w:r>
      <w:r>
        <w:t xml:space="preserve"> schedule and associated tariff modifications</w:t>
      </w:r>
      <w:r w:rsidRPr="00FC1100">
        <w:t xml:space="preserve"> effective</w:t>
      </w:r>
      <w:r>
        <w:t xml:space="preserve"> September 8, 2021. The RNGS rate schedule would</w:t>
      </w:r>
      <w:r w:rsidR="0095691F">
        <w:t xml:space="preserve"> furnish</w:t>
      </w:r>
      <w:r w:rsidRPr="00FC1100">
        <w:t xml:space="preserve"> the Companies with an opportunity to provide biogas </w:t>
      </w:r>
      <w:r>
        <w:t xml:space="preserve">cleaning and </w:t>
      </w:r>
      <w:r w:rsidRPr="00FC1100">
        <w:t xml:space="preserve">conditioning services to interested customers. The </w:t>
      </w:r>
      <w:r w:rsidR="0095691F">
        <w:t>Companies</w:t>
      </w:r>
      <w:r w:rsidRPr="00FC1100">
        <w:t xml:space="preserve"> demonstrated a reasonabl</w:t>
      </w:r>
      <w:r>
        <w:t xml:space="preserve">e approach to implementing the </w:t>
      </w:r>
      <w:r w:rsidR="0095691F">
        <w:t xml:space="preserve">proposed </w:t>
      </w:r>
      <w:r>
        <w:t>t</w:t>
      </w:r>
      <w:r w:rsidRPr="00FC1100">
        <w:t xml:space="preserve">ariff. A participating customer would enter into an agreement with the </w:t>
      </w:r>
      <w:r>
        <w:t>respective Company</w:t>
      </w:r>
      <w:r w:rsidRPr="00FC1100">
        <w:t xml:space="preserve"> and all capital </w:t>
      </w:r>
      <w:r>
        <w:t xml:space="preserve">and </w:t>
      </w:r>
      <w:r w:rsidRPr="00FC1100">
        <w:t xml:space="preserve">operating costs associated with </w:t>
      </w:r>
      <w:r>
        <w:t>the biogas upgrading and conditioning service would</w:t>
      </w:r>
      <w:r w:rsidRPr="00FC1100">
        <w:t xml:space="preserve"> be borne by the customer over the life of the contract.</w:t>
      </w:r>
    </w:p>
    <w:p w:rsidR="00781790" w:rsidRDefault="00781790">
      <w:pPr>
        <w:pStyle w:val="IssueHeading"/>
        <w:rPr>
          <w:vanish/>
          <w:specVanish/>
        </w:rPr>
      </w:pPr>
      <w:r w:rsidRPr="004C3641">
        <w:rPr>
          <w:b w:val="0"/>
          <w:i w:val="0"/>
        </w:rPr>
        <w:br w:type="page"/>
      </w:r>
      <w:r w:rsidRPr="004C3641">
        <w:lastRenderedPageBreak/>
        <w:t xml:space="preserve">Issue </w:t>
      </w:r>
      <w:fldSimple w:instr=" SEQ Issue \* MERGEFORMAT ">
        <w:r w:rsidR="00D42F09">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D42F09">
        <w:rPr>
          <w:noProof/>
        </w:rPr>
        <w:instrText>2</w:instrText>
      </w:r>
      <w:r>
        <w:fldChar w:fldCharType="end"/>
      </w:r>
      <w:r>
        <w:tab/>
        <w:instrText xml:space="preserve">" \l 1 </w:instrText>
      </w:r>
      <w:r>
        <w:fldChar w:fldCharType="end"/>
      </w:r>
      <w:r>
        <w:t> </w:t>
      </w:r>
    </w:p>
    <w:p w:rsidR="00781790" w:rsidRDefault="00781790">
      <w:pPr>
        <w:pStyle w:val="BodyText"/>
      </w:pPr>
      <w:r>
        <w:t> Should this docket be closed?</w:t>
      </w:r>
    </w:p>
    <w:p w:rsidR="00781790" w:rsidRPr="004C3641" w:rsidRDefault="00781790">
      <w:pPr>
        <w:pStyle w:val="IssueSubsectionHeading"/>
        <w:rPr>
          <w:vanish/>
          <w:specVanish/>
        </w:rPr>
      </w:pPr>
      <w:r w:rsidRPr="004C3641">
        <w:t>Recommendation: </w:t>
      </w:r>
    </w:p>
    <w:p w:rsidR="00781790" w:rsidRDefault="00781790">
      <w:pPr>
        <w:pStyle w:val="BodyText"/>
      </w:pPr>
      <w:r>
        <w:t xml:space="preserve"> Yes.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w:t>
      </w:r>
      <w:r w:rsidR="003F6640">
        <w:t>(Osborn</w:t>
      </w:r>
      <w:r w:rsidR="00965507">
        <w:t>, Crawford</w:t>
      </w:r>
      <w:r w:rsidR="003F6640">
        <w:t>)</w:t>
      </w:r>
    </w:p>
    <w:p w:rsidR="00781790" w:rsidRPr="004C3641" w:rsidRDefault="00781790">
      <w:pPr>
        <w:pStyle w:val="IssueSubsectionHeading"/>
        <w:rPr>
          <w:vanish/>
          <w:specVanish/>
        </w:rPr>
      </w:pPr>
      <w:r w:rsidRPr="004C3641">
        <w:t>Staff Analysis: </w:t>
      </w:r>
    </w:p>
    <w:p w:rsidR="00781790" w:rsidRDefault="00781790">
      <w:pPr>
        <w:pStyle w:val="BodyText"/>
      </w:pPr>
      <w:r>
        <w:t xml:space="preserve"> Yes.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w:t>
      </w:r>
    </w:p>
    <w:p w:rsidR="00965507" w:rsidRDefault="00965507"/>
    <w:p w:rsidR="00965507" w:rsidRDefault="00965507" w:rsidP="00781790">
      <w:pPr>
        <w:sectPr w:rsidR="00965507"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781790" w:rsidRDefault="000502BB" w:rsidP="00781790">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5.25pt">
            <v:imagedata r:id="rId14" o:title="attachment A 20210088_Page_01"/>
          </v:shape>
        </w:pict>
      </w:r>
      <w:r>
        <w:lastRenderedPageBreak/>
        <w:pict>
          <v:shape id="_x0000_i1026" type="#_x0000_t75" style="width:467.25pt;height:605.25pt">
            <v:imagedata r:id="rId15" o:title="attachment A 20210088_Page_02"/>
          </v:shape>
        </w:pict>
      </w:r>
      <w:r>
        <w:lastRenderedPageBreak/>
        <w:pict>
          <v:shape id="_x0000_i1027" type="#_x0000_t75" style="width:467.25pt;height:605.25pt">
            <v:imagedata r:id="rId16" o:title="attachment A 20210088_Page_03"/>
          </v:shape>
        </w:pict>
      </w:r>
      <w:r>
        <w:lastRenderedPageBreak/>
        <w:pict>
          <v:shape id="_x0000_i1028" type="#_x0000_t75" style="width:467.25pt;height:605.25pt">
            <v:imagedata r:id="rId17" o:title="attachment A 20210088_Page_04"/>
          </v:shape>
        </w:pict>
      </w:r>
      <w:r>
        <w:lastRenderedPageBreak/>
        <w:pict>
          <v:shape id="_x0000_i1029" type="#_x0000_t75" style="width:467.25pt;height:605.25pt">
            <v:imagedata r:id="rId18" o:title="attachment A 20210088_Page_05"/>
          </v:shape>
        </w:pict>
      </w:r>
      <w:r>
        <w:lastRenderedPageBreak/>
        <w:pict>
          <v:shape id="_x0000_i1030" type="#_x0000_t75" style="width:467.25pt;height:605.25pt">
            <v:imagedata r:id="rId19" o:title="attachment A 20210088_Page_06"/>
          </v:shape>
        </w:pict>
      </w:r>
      <w:r>
        <w:lastRenderedPageBreak/>
        <w:pict>
          <v:shape id="_x0000_i1031" type="#_x0000_t75" style="width:467.25pt;height:605.25pt">
            <v:imagedata r:id="rId20" o:title="attachment A 20210088_Page_07"/>
          </v:shape>
        </w:pict>
      </w:r>
      <w:r>
        <w:lastRenderedPageBreak/>
        <w:pict>
          <v:shape id="_x0000_i1032" type="#_x0000_t75" style="width:467.25pt;height:605.25pt">
            <v:imagedata r:id="rId21" o:title="attachment A 20210088_Page_08"/>
          </v:shape>
        </w:pict>
      </w:r>
      <w:r>
        <w:lastRenderedPageBreak/>
        <w:pict>
          <v:shape id="_x0000_i1033" type="#_x0000_t75" style="width:467.25pt;height:605.25pt">
            <v:imagedata r:id="rId22" o:title="attachment A 20210088_Page_09"/>
          </v:shape>
        </w:pict>
      </w:r>
      <w:r>
        <w:lastRenderedPageBreak/>
        <w:pict>
          <v:shape id="_x0000_i1034" type="#_x0000_t75" style="width:467.25pt;height:605.25pt">
            <v:imagedata r:id="rId23" o:title="attachment A 20210088_Page_10"/>
          </v:shape>
        </w:pict>
      </w:r>
    </w:p>
    <w:sectPr w:rsidR="00781790" w:rsidSect="0068481F">
      <w:head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D25" w:rsidRDefault="00B11D25">
      <w:r>
        <w:separator/>
      </w:r>
    </w:p>
  </w:endnote>
  <w:endnote w:type="continuationSeparator" w:id="0">
    <w:p w:rsidR="00B11D25" w:rsidRDefault="00B1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502BB">
      <w:rPr>
        <w:rStyle w:val="PageNumber"/>
        <w:noProof/>
      </w:rPr>
      <w:t>15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D25" w:rsidRDefault="00B11D25">
      <w:r>
        <w:separator/>
      </w:r>
    </w:p>
  </w:footnote>
  <w:footnote w:type="continuationSeparator" w:id="0">
    <w:p w:rsidR="00B11D25" w:rsidRDefault="00B11D25">
      <w:r>
        <w:continuationSeparator/>
      </w:r>
    </w:p>
  </w:footnote>
  <w:footnote w:id="1">
    <w:p w:rsidR="00E86BD6" w:rsidRDefault="00E86BD6" w:rsidP="00E86BD6">
      <w:pPr>
        <w:pStyle w:val="FootnoteText"/>
      </w:pPr>
      <w:r>
        <w:rPr>
          <w:rStyle w:val="FootnoteReference"/>
        </w:rPr>
        <w:footnoteRef/>
      </w:r>
      <w:r>
        <w:t xml:space="preserve"> Biogas is described as raw, freshly emitted, and untreated gas, especially methane, produced by the breakdown of organic matter.</w:t>
      </w:r>
    </w:p>
  </w:footnote>
  <w:footnote w:id="2">
    <w:p w:rsidR="00AA1DA4" w:rsidRPr="00D407A6" w:rsidRDefault="00AA1DA4" w:rsidP="00AA1DA4">
      <w:pPr>
        <w:pStyle w:val="FootnoteText"/>
        <w:rPr>
          <w:i/>
        </w:rPr>
      </w:pPr>
      <w:r>
        <w:rPr>
          <w:rStyle w:val="FootnoteReference"/>
        </w:rPr>
        <w:footnoteRef/>
      </w:r>
      <w:r>
        <w:t xml:space="preserve"> Order No. PSC-2017-0497-TRF-</w:t>
      </w:r>
      <w:r w:rsidR="00965507">
        <w:t>GU</w:t>
      </w:r>
      <w:r>
        <w:t xml:space="preserve">, issued December 29, 2017, in Docket No. 20170206-GU, </w:t>
      </w:r>
      <w:r w:rsidRPr="00D407A6">
        <w:rPr>
          <w:i/>
        </w:rPr>
        <w:t>In Re: Petition for approval of tariff modifications to accommodate receipt and transportation of renewable natural gas from customers, by Peoples Gas System</w:t>
      </w:r>
      <w:r>
        <w:rPr>
          <w:i/>
        </w:rPr>
        <w:t>.</w:t>
      </w:r>
    </w:p>
  </w:footnote>
  <w:footnote w:id="3">
    <w:p w:rsidR="00AA1DA4" w:rsidRPr="00FD33C3" w:rsidRDefault="00AA1DA4" w:rsidP="00AA1DA4">
      <w:pPr>
        <w:pStyle w:val="FootnoteText"/>
        <w:rPr>
          <w:i/>
        </w:rPr>
      </w:pPr>
      <w:r>
        <w:rPr>
          <w:rStyle w:val="FootnoteReference"/>
        </w:rPr>
        <w:footnoteRef/>
      </w:r>
      <w:r>
        <w:t xml:space="preserve"> Order No. PSC-2021-0040-TRF-GU, issued January 25, 2021, in Docket No. 20200216-GU, </w:t>
      </w:r>
      <w:r w:rsidRPr="00FD33C3">
        <w:rPr>
          <w:i/>
        </w:rPr>
        <w:t xml:space="preserve">In re: Request for approval of tariff modifications to accommodate receipt and transportation of renewable natural gas from customers, by Florida City Gas. </w:t>
      </w:r>
    </w:p>
  </w:footnote>
  <w:footnote w:id="4">
    <w:p w:rsidR="00AA1DA4" w:rsidRPr="004263F9" w:rsidRDefault="00AA1DA4" w:rsidP="00AA1DA4">
      <w:pPr>
        <w:pStyle w:val="FootnoteText"/>
        <w:rPr>
          <w:i/>
        </w:rPr>
      </w:pPr>
      <w:r>
        <w:rPr>
          <w:rStyle w:val="FootnoteReference"/>
        </w:rPr>
        <w:footnoteRef/>
      </w:r>
      <w:r>
        <w:t xml:space="preserve"> Order No. PSC-2020-0113-TRF-GU, issued April 20, 2020, in Docket No. 20200046-GU, </w:t>
      </w:r>
      <w:r w:rsidRPr="004263F9">
        <w:rPr>
          <w:i/>
        </w:rPr>
        <w:t xml:space="preserve">In re: Petition to revise tariffs for Florida Public Utilities Company, Florida Public Utilities Company-Indiantown Division, Florida Public Utilities Company-Fort Meade, Florida Division of Chesapeake Utilities Corporation, and Peninsula Pipeline Company to update the description of gas quality and character of service. </w:t>
      </w:r>
    </w:p>
  </w:footnote>
  <w:footnote w:id="5">
    <w:p w:rsidR="00E546BE" w:rsidRDefault="00E546BE">
      <w:pPr>
        <w:pStyle w:val="FootnoteText"/>
      </w:pPr>
      <w:r>
        <w:rPr>
          <w:rStyle w:val="FootnoteReference"/>
        </w:rPr>
        <w:footnoteRef/>
      </w:r>
      <w:r>
        <w:t xml:space="preserve"> </w:t>
      </w:r>
      <w:r w:rsidRPr="00E546BE">
        <w:t>Florida Public Utilities Company, Florida Public Utilities Company- Indiantown Division, Florida Public Utilities Company- Fort Meade, and the Florida Division of Chesapeake Utilities Corporation petition, Document No. 03632-2021.</w:t>
      </w:r>
    </w:p>
  </w:footnote>
  <w:footnote w:id="6">
    <w:p w:rsidR="002D5BAC" w:rsidRDefault="002D5BAC" w:rsidP="002D5BAC">
      <w:pPr>
        <w:pStyle w:val="FootnoteText"/>
      </w:pPr>
      <w:r>
        <w:rPr>
          <w:rStyle w:val="FootnoteReference"/>
        </w:rPr>
        <w:footnoteRef/>
      </w:r>
      <w:r>
        <w:t xml:space="preserve"> Response to Staff’s first data request No. 3, (Document No. </w:t>
      </w:r>
      <w:r w:rsidR="00E051F0">
        <w:t>06659-</w:t>
      </w:r>
      <w:r>
        <w:t>2021).</w:t>
      </w:r>
    </w:p>
  </w:footnote>
  <w:footnote w:id="7">
    <w:p w:rsidR="005952C8" w:rsidRDefault="005952C8">
      <w:pPr>
        <w:pStyle w:val="FootnoteText"/>
      </w:pPr>
      <w:r>
        <w:rPr>
          <w:rStyle w:val="FootnoteReference"/>
        </w:rPr>
        <w:footnoteRef/>
      </w:r>
      <w:r>
        <w:t xml:space="preserve"> Response to Staff’s second data request </w:t>
      </w:r>
      <w:r w:rsidR="0099242A">
        <w:t xml:space="preserve">No. </w:t>
      </w:r>
      <w:r>
        <w:t>1</w:t>
      </w:r>
      <w:r w:rsidR="0099242A">
        <w:t xml:space="preserve"> (Document No. </w:t>
      </w:r>
      <w:r w:rsidR="00E051F0">
        <w:t>08261</w:t>
      </w:r>
      <w:r w:rsidR="0099242A">
        <w:t>-2021)</w:t>
      </w:r>
      <w:r w:rsidR="00965507">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03649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20210088-GU</w:t>
    </w:r>
    <w:bookmarkEnd w:id="15"/>
  </w:p>
  <w:p w:rsidR="00BC402E" w:rsidRDefault="00BC402E">
    <w:pPr>
      <w:pStyle w:val="Header"/>
    </w:pPr>
    <w:r>
      <w:t xml:space="preserve">Date: </w:t>
    </w:r>
    <w:fldSimple w:instr=" REF FilingDate ">
      <w:r w:rsidR="00D42F09">
        <w:t>August 27, 2021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42F09">
      <w:t>Docket No.</w:t>
    </w:r>
    <w:r>
      <w:fldChar w:fldCharType="end"/>
    </w:r>
    <w:r>
      <w:t xml:space="preserve"> </w:t>
    </w:r>
    <w:r>
      <w:fldChar w:fldCharType="begin"/>
    </w:r>
    <w:r>
      <w:instrText xml:space="preserve"> REF DocketList</w:instrText>
    </w:r>
    <w:r>
      <w:fldChar w:fldCharType="separate"/>
    </w:r>
    <w:r w:rsidR="00D42F09">
      <w:t>20210088-GU</w:t>
    </w:r>
    <w:r>
      <w:fldChar w:fldCharType="end"/>
    </w:r>
    <w:r>
      <w:tab/>
      <w:t xml:space="preserve">Issue </w:t>
    </w:r>
    <w:r w:rsidR="00E50E54">
      <w:fldChar w:fldCharType="begin"/>
    </w:r>
    <w:r w:rsidR="00E50E54">
      <w:instrText xml:space="preserve"> Seq Issue \c \* Arabic </w:instrText>
    </w:r>
    <w:r w:rsidR="00E50E54">
      <w:fldChar w:fldCharType="separate"/>
    </w:r>
    <w:r w:rsidR="000502BB">
      <w:rPr>
        <w:noProof/>
      </w:rPr>
      <w:t>2</w:t>
    </w:r>
    <w:r w:rsidR="00E50E54">
      <w:rPr>
        <w:noProof/>
      </w:rPr>
      <w:fldChar w:fldCharType="end"/>
    </w:r>
  </w:p>
  <w:p w:rsidR="00BC402E" w:rsidRDefault="00BC402E">
    <w:pPr>
      <w:pStyle w:val="Header"/>
    </w:pPr>
    <w:r>
      <w:t xml:space="preserve">Date: </w:t>
    </w:r>
    <w:fldSimple w:instr=" REF FilingDate ">
      <w:r w:rsidR="00D42F09">
        <w:t>August 27, 2021</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507" w:rsidRDefault="00A1741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20210088-GU</w:t>
    </w:r>
    <w:r>
      <w:fldChar w:fldCharType="end"/>
    </w:r>
    <w:r w:rsidR="00965507">
      <w:tab/>
      <w:t>Attachment A</w:t>
    </w:r>
  </w:p>
  <w:p w:rsidR="00965507" w:rsidRDefault="00965507">
    <w:pPr>
      <w:pStyle w:val="Header"/>
    </w:pPr>
    <w:r>
      <w:t xml:space="preserve">Date: </w:t>
    </w:r>
    <w:r w:rsidR="00E50E54">
      <w:fldChar w:fldCharType="begin"/>
    </w:r>
    <w:r w:rsidR="00E50E54">
      <w:instrText xml:space="preserve"> REF FilingDate </w:instrText>
    </w:r>
    <w:r w:rsidR="00E50E54">
      <w:fldChar w:fldCharType="separate"/>
    </w:r>
    <w:r w:rsidR="00D42F09">
      <w:t>August 27, 2021</w:t>
    </w:r>
    <w:r w:rsidR="00E50E5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36495"/>
    <w:rsid w:val="000043D5"/>
    <w:rsid w:val="00006170"/>
    <w:rsid w:val="00010E37"/>
    <w:rsid w:val="000172DA"/>
    <w:rsid w:val="000247C5"/>
    <w:rsid w:val="000277C2"/>
    <w:rsid w:val="00035B48"/>
    <w:rsid w:val="00036495"/>
    <w:rsid w:val="00036CE2"/>
    <w:rsid w:val="000437FE"/>
    <w:rsid w:val="000502BB"/>
    <w:rsid w:val="000513BE"/>
    <w:rsid w:val="00056856"/>
    <w:rsid w:val="00065A06"/>
    <w:rsid w:val="000666F3"/>
    <w:rsid w:val="00070DCB"/>
    <w:rsid w:val="00072CCA"/>
    <w:rsid w:val="00073120"/>
    <w:rsid w:val="00073E98"/>
    <w:rsid w:val="000764D0"/>
    <w:rsid w:val="000828D3"/>
    <w:rsid w:val="000A2B57"/>
    <w:rsid w:val="000A418B"/>
    <w:rsid w:val="000C4431"/>
    <w:rsid w:val="000D1C06"/>
    <w:rsid w:val="000D4319"/>
    <w:rsid w:val="000E555C"/>
    <w:rsid w:val="000F374A"/>
    <w:rsid w:val="000F7E1E"/>
    <w:rsid w:val="00103630"/>
    <w:rsid w:val="001076AF"/>
    <w:rsid w:val="00117C8C"/>
    <w:rsid w:val="00124C38"/>
    <w:rsid w:val="00124E2E"/>
    <w:rsid w:val="00125ED4"/>
    <w:rsid w:val="001305E9"/>
    <w:rsid w:val="001307AF"/>
    <w:rsid w:val="00135687"/>
    <w:rsid w:val="0015506E"/>
    <w:rsid w:val="00157999"/>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D5BAC"/>
    <w:rsid w:val="002F6030"/>
    <w:rsid w:val="003037E1"/>
    <w:rsid w:val="00307E51"/>
    <w:rsid w:val="003103EC"/>
    <w:rsid w:val="003144EF"/>
    <w:rsid w:val="00322F74"/>
    <w:rsid w:val="003323B1"/>
    <w:rsid w:val="00340073"/>
    <w:rsid w:val="0035167F"/>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6640"/>
    <w:rsid w:val="003F7FDD"/>
    <w:rsid w:val="00402481"/>
    <w:rsid w:val="004042B4"/>
    <w:rsid w:val="00410DC4"/>
    <w:rsid w:val="00411786"/>
    <w:rsid w:val="00412DAE"/>
    <w:rsid w:val="004242E6"/>
    <w:rsid w:val="004263F9"/>
    <w:rsid w:val="00431598"/>
    <w:rsid w:val="004319AD"/>
    <w:rsid w:val="004426B8"/>
    <w:rsid w:val="00444432"/>
    <w:rsid w:val="00471860"/>
    <w:rsid w:val="00477026"/>
    <w:rsid w:val="004A744D"/>
    <w:rsid w:val="004B3F79"/>
    <w:rsid w:val="004B60BD"/>
    <w:rsid w:val="004C3150"/>
    <w:rsid w:val="004C3641"/>
    <w:rsid w:val="004C3CF7"/>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266CA"/>
    <w:rsid w:val="00532DFB"/>
    <w:rsid w:val="00543CB3"/>
    <w:rsid w:val="005442E4"/>
    <w:rsid w:val="0054790E"/>
    <w:rsid w:val="0055529B"/>
    <w:rsid w:val="00560FF0"/>
    <w:rsid w:val="005614BD"/>
    <w:rsid w:val="0057154F"/>
    <w:rsid w:val="00580F69"/>
    <w:rsid w:val="00581CA3"/>
    <w:rsid w:val="00587A44"/>
    <w:rsid w:val="005952C8"/>
    <w:rsid w:val="00597730"/>
    <w:rsid w:val="005977EC"/>
    <w:rsid w:val="00597DE7"/>
    <w:rsid w:val="005A4AA2"/>
    <w:rsid w:val="005B34B6"/>
    <w:rsid w:val="005B6C8F"/>
    <w:rsid w:val="005B6EC3"/>
    <w:rsid w:val="005D0F74"/>
    <w:rsid w:val="005D2E7D"/>
    <w:rsid w:val="005D4A8F"/>
    <w:rsid w:val="005D561B"/>
    <w:rsid w:val="005D5ECF"/>
    <w:rsid w:val="005E03B8"/>
    <w:rsid w:val="005F468D"/>
    <w:rsid w:val="005F69A3"/>
    <w:rsid w:val="00600093"/>
    <w:rsid w:val="00604CC7"/>
    <w:rsid w:val="00615423"/>
    <w:rsid w:val="006165B2"/>
    <w:rsid w:val="00617276"/>
    <w:rsid w:val="0062527B"/>
    <w:rsid w:val="00625D97"/>
    <w:rsid w:val="00625F1C"/>
    <w:rsid w:val="006279E1"/>
    <w:rsid w:val="00630CEB"/>
    <w:rsid w:val="00632264"/>
    <w:rsid w:val="00637BFA"/>
    <w:rsid w:val="00641421"/>
    <w:rsid w:val="006464A0"/>
    <w:rsid w:val="006470BC"/>
    <w:rsid w:val="006554D3"/>
    <w:rsid w:val="00667036"/>
    <w:rsid w:val="00672419"/>
    <w:rsid w:val="00673BDB"/>
    <w:rsid w:val="00674341"/>
    <w:rsid w:val="006771B8"/>
    <w:rsid w:val="006843B6"/>
    <w:rsid w:val="0068481F"/>
    <w:rsid w:val="00696F5D"/>
    <w:rsid w:val="00697249"/>
    <w:rsid w:val="006B3947"/>
    <w:rsid w:val="006B4293"/>
    <w:rsid w:val="006B624F"/>
    <w:rsid w:val="006C0C95"/>
    <w:rsid w:val="006C31E3"/>
    <w:rsid w:val="006D18D3"/>
    <w:rsid w:val="006D2DBB"/>
    <w:rsid w:val="006E05F5"/>
    <w:rsid w:val="006E08CB"/>
    <w:rsid w:val="006E0DBE"/>
    <w:rsid w:val="006E598D"/>
    <w:rsid w:val="006E637B"/>
    <w:rsid w:val="006F6FD4"/>
    <w:rsid w:val="0070437D"/>
    <w:rsid w:val="00704CF1"/>
    <w:rsid w:val="00705B04"/>
    <w:rsid w:val="00706307"/>
    <w:rsid w:val="00724992"/>
    <w:rsid w:val="00734820"/>
    <w:rsid w:val="007349DC"/>
    <w:rsid w:val="0074365E"/>
    <w:rsid w:val="00744B55"/>
    <w:rsid w:val="007515FD"/>
    <w:rsid w:val="00760D80"/>
    <w:rsid w:val="007728F6"/>
    <w:rsid w:val="00772BE5"/>
    <w:rsid w:val="00780C09"/>
    <w:rsid w:val="00780DDF"/>
    <w:rsid w:val="00781790"/>
    <w:rsid w:val="007834E9"/>
    <w:rsid w:val="00787DBC"/>
    <w:rsid w:val="0079019A"/>
    <w:rsid w:val="0079141A"/>
    <w:rsid w:val="00792935"/>
    <w:rsid w:val="0079727F"/>
    <w:rsid w:val="007A04A1"/>
    <w:rsid w:val="007A1840"/>
    <w:rsid w:val="007C0528"/>
    <w:rsid w:val="007C3D38"/>
    <w:rsid w:val="007D0F35"/>
    <w:rsid w:val="007D4FEB"/>
    <w:rsid w:val="007D6146"/>
    <w:rsid w:val="007E0CE7"/>
    <w:rsid w:val="007E3DE8"/>
    <w:rsid w:val="007F1193"/>
    <w:rsid w:val="007F417F"/>
    <w:rsid w:val="007F7644"/>
    <w:rsid w:val="008042BD"/>
    <w:rsid w:val="00805209"/>
    <w:rsid w:val="00816624"/>
    <w:rsid w:val="00822427"/>
    <w:rsid w:val="00822562"/>
    <w:rsid w:val="00823663"/>
    <w:rsid w:val="00832DDC"/>
    <w:rsid w:val="00850BAC"/>
    <w:rsid w:val="00854A3E"/>
    <w:rsid w:val="00855D08"/>
    <w:rsid w:val="00867FDC"/>
    <w:rsid w:val="00874344"/>
    <w:rsid w:val="00882155"/>
    <w:rsid w:val="0088233B"/>
    <w:rsid w:val="0088599E"/>
    <w:rsid w:val="00886C37"/>
    <w:rsid w:val="00892D99"/>
    <w:rsid w:val="00893315"/>
    <w:rsid w:val="00897B1F"/>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0C11"/>
    <w:rsid w:val="00931982"/>
    <w:rsid w:val="0093658B"/>
    <w:rsid w:val="009429FF"/>
    <w:rsid w:val="00945BD6"/>
    <w:rsid w:val="009479FB"/>
    <w:rsid w:val="00951C45"/>
    <w:rsid w:val="0095691F"/>
    <w:rsid w:val="009643C5"/>
    <w:rsid w:val="00965507"/>
    <w:rsid w:val="009656F2"/>
    <w:rsid w:val="00966A08"/>
    <w:rsid w:val="00971207"/>
    <w:rsid w:val="00975CB4"/>
    <w:rsid w:val="009863B0"/>
    <w:rsid w:val="00987DE1"/>
    <w:rsid w:val="00990571"/>
    <w:rsid w:val="0099242A"/>
    <w:rsid w:val="0099673A"/>
    <w:rsid w:val="009A3330"/>
    <w:rsid w:val="009A7C96"/>
    <w:rsid w:val="009C3DB9"/>
    <w:rsid w:val="009C6405"/>
    <w:rsid w:val="009D46E5"/>
    <w:rsid w:val="009D568A"/>
    <w:rsid w:val="009E37BA"/>
    <w:rsid w:val="009F04EC"/>
    <w:rsid w:val="009F2A7C"/>
    <w:rsid w:val="009F3B36"/>
    <w:rsid w:val="00A019B9"/>
    <w:rsid w:val="00A12508"/>
    <w:rsid w:val="00A1282B"/>
    <w:rsid w:val="00A13A27"/>
    <w:rsid w:val="00A1741F"/>
    <w:rsid w:val="00A175B6"/>
    <w:rsid w:val="00A21835"/>
    <w:rsid w:val="00A2374B"/>
    <w:rsid w:val="00A27D6E"/>
    <w:rsid w:val="00A328EC"/>
    <w:rsid w:val="00A33A51"/>
    <w:rsid w:val="00A41CA6"/>
    <w:rsid w:val="00A47927"/>
    <w:rsid w:val="00A47FFC"/>
    <w:rsid w:val="00A5442F"/>
    <w:rsid w:val="00A54FF9"/>
    <w:rsid w:val="00A56765"/>
    <w:rsid w:val="00A65992"/>
    <w:rsid w:val="00A675AC"/>
    <w:rsid w:val="00A7581F"/>
    <w:rsid w:val="00A84F15"/>
    <w:rsid w:val="00A92FB1"/>
    <w:rsid w:val="00A95A0C"/>
    <w:rsid w:val="00AA1DA4"/>
    <w:rsid w:val="00AA2765"/>
    <w:rsid w:val="00AA77B5"/>
    <w:rsid w:val="00AB6C5D"/>
    <w:rsid w:val="00AC3401"/>
    <w:rsid w:val="00AC51A7"/>
    <w:rsid w:val="00AD444B"/>
    <w:rsid w:val="00AD5614"/>
    <w:rsid w:val="00AD6C78"/>
    <w:rsid w:val="00AE2EAB"/>
    <w:rsid w:val="00AE5153"/>
    <w:rsid w:val="00AF5F89"/>
    <w:rsid w:val="00AF73CB"/>
    <w:rsid w:val="00B002D6"/>
    <w:rsid w:val="00B03379"/>
    <w:rsid w:val="00B05B51"/>
    <w:rsid w:val="00B11D25"/>
    <w:rsid w:val="00B14E5A"/>
    <w:rsid w:val="00B15370"/>
    <w:rsid w:val="00B16DA4"/>
    <w:rsid w:val="00B17BEB"/>
    <w:rsid w:val="00B21A3C"/>
    <w:rsid w:val="00B223C0"/>
    <w:rsid w:val="00B234ED"/>
    <w:rsid w:val="00B249B2"/>
    <w:rsid w:val="00B25CA3"/>
    <w:rsid w:val="00B2765A"/>
    <w:rsid w:val="00B3109A"/>
    <w:rsid w:val="00B516ED"/>
    <w:rsid w:val="00B57A6A"/>
    <w:rsid w:val="00B62091"/>
    <w:rsid w:val="00B760F1"/>
    <w:rsid w:val="00B7669E"/>
    <w:rsid w:val="00B77DA1"/>
    <w:rsid w:val="00B822A0"/>
    <w:rsid w:val="00B82A5C"/>
    <w:rsid w:val="00B858AE"/>
    <w:rsid w:val="00B85964"/>
    <w:rsid w:val="00B87A38"/>
    <w:rsid w:val="00B96250"/>
    <w:rsid w:val="00BA0D55"/>
    <w:rsid w:val="00BA120D"/>
    <w:rsid w:val="00BA37B3"/>
    <w:rsid w:val="00BA4CC6"/>
    <w:rsid w:val="00BB3493"/>
    <w:rsid w:val="00BB7468"/>
    <w:rsid w:val="00BC188A"/>
    <w:rsid w:val="00BC402E"/>
    <w:rsid w:val="00BD0F48"/>
    <w:rsid w:val="00BE5609"/>
    <w:rsid w:val="00BE6DDB"/>
    <w:rsid w:val="00BF5010"/>
    <w:rsid w:val="00C008DB"/>
    <w:rsid w:val="00C03D5F"/>
    <w:rsid w:val="00C13791"/>
    <w:rsid w:val="00C21259"/>
    <w:rsid w:val="00C27F58"/>
    <w:rsid w:val="00C31BB3"/>
    <w:rsid w:val="00C36977"/>
    <w:rsid w:val="00C467DA"/>
    <w:rsid w:val="00C477D9"/>
    <w:rsid w:val="00C60BA3"/>
    <w:rsid w:val="00C623F7"/>
    <w:rsid w:val="00C62A81"/>
    <w:rsid w:val="00C75BC5"/>
    <w:rsid w:val="00C75DAD"/>
    <w:rsid w:val="00C81670"/>
    <w:rsid w:val="00C81773"/>
    <w:rsid w:val="00C82861"/>
    <w:rsid w:val="00C83B9F"/>
    <w:rsid w:val="00C86896"/>
    <w:rsid w:val="00C907A8"/>
    <w:rsid w:val="00C93211"/>
    <w:rsid w:val="00C942EC"/>
    <w:rsid w:val="00C96047"/>
    <w:rsid w:val="00C97398"/>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5A79"/>
    <w:rsid w:val="00D06FC7"/>
    <w:rsid w:val="00D12565"/>
    <w:rsid w:val="00D14127"/>
    <w:rsid w:val="00D21820"/>
    <w:rsid w:val="00D37F4A"/>
    <w:rsid w:val="00D407A6"/>
    <w:rsid w:val="00D42F09"/>
    <w:rsid w:val="00D5273E"/>
    <w:rsid w:val="00D53602"/>
    <w:rsid w:val="00D5540B"/>
    <w:rsid w:val="00D60B16"/>
    <w:rsid w:val="00D60F02"/>
    <w:rsid w:val="00D66E49"/>
    <w:rsid w:val="00D70D71"/>
    <w:rsid w:val="00D72F74"/>
    <w:rsid w:val="00D81563"/>
    <w:rsid w:val="00D85907"/>
    <w:rsid w:val="00D9073E"/>
    <w:rsid w:val="00D9221D"/>
    <w:rsid w:val="00D958DF"/>
    <w:rsid w:val="00D96DA1"/>
    <w:rsid w:val="00DA51E7"/>
    <w:rsid w:val="00DA6120"/>
    <w:rsid w:val="00DB0260"/>
    <w:rsid w:val="00DB1C78"/>
    <w:rsid w:val="00DB7D96"/>
    <w:rsid w:val="00DC23FE"/>
    <w:rsid w:val="00DC59E6"/>
    <w:rsid w:val="00DD150B"/>
    <w:rsid w:val="00DD5025"/>
    <w:rsid w:val="00DF1510"/>
    <w:rsid w:val="00E021D2"/>
    <w:rsid w:val="00E02F1F"/>
    <w:rsid w:val="00E051F0"/>
    <w:rsid w:val="00E06484"/>
    <w:rsid w:val="00E202FE"/>
    <w:rsid w:val="00E20A7D"/>
    <w:rsid w:val="00E275D8"/>
    <w:rsid w:val="00E30F6A"/>
    <w:rsid w:val="00E3117C"/>
    <w:rsid w:val="00E375CA"/>
    <w:rsid w:val="00E44A88"/>
    <w:rsid w:val="00E463E0"/>
    <w:rsid w:val="00E5364F"/>
    <w:rsid w:val="00E546BE"/>
    <w:rsid w:val="00E567E8"/>
    <w:rsid w:val="00E64679"/>
    <w:rsid w:val="00E65EBC"/>
    <w:rsid w:val="00E677FE"/>
    <w:rsid w:val="00E73432"/>
    <w:rsid w:val="00E77B0C"/>
    <w:rsid w:val="00E77FB8"/>
    <w:rsid w:val="00E805C9"/>
    <w:rsid w:val="00E838B0"/>
    <w:rsid w:val="00E86A7C"/>
    <w:rsid w:val="00E86BD6"/>
    <w:rsid w:val="00E878E1"/>
    <w:rsid w:val="00E87F2C"/>
    <w:rsid w:val="00E95278"/>
    <w:rsid w:val="00EA2273"/>
    <w:rsid w:val="00EA7C3C"/>
    <w:rsid w:val="00EB263C"/>
    <w:rsid w:val="00EB2DB3"/>
    <w:rsid w:val="00EC3FBB"/>
    <w:rsid w:val="00EC6B7A"/>
    <w:rsid w:val="00EC7FE1"/>
    <w:rsid w:val="00ED3A87"/>
    <w:rsid w:val="00ED5B67"/>
    <w:rsid w:val="00ED6186"/>
    <w:rsid w:val="00ED77EF"/>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B2481"/>
    <w:rsid w:val="00FC1100"/>
    <w:rsid w:val="00FC5469"/>
    <w:rsid w:val="00FC5516"/>
    <w:rsid w:val="00FC6D7D"/>
    <w:rsid w:val="00FD16B0"/>
    <w:rsid w:val="00FD33C3"/>
    <w:rsid w:val="00FD4FED"/>
    <w:rsid w:val="00FE0577"/>
    <w:rsid w:val="00FE44D6"/>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1F7AE0BB-7E35-497C-9E8E-71DECA25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103630"/>
    <w:rPr>
      <w:vertAlign w:val="superscript"/>
    </w:rPr>
  </w:style>
  <w:style w:type="character" w:customStyle="1" w:styleId="FootnoteTextChar">
    <w:name w:val="Footnote Text Char"/>
    <w:basedOn w:val="DefaultParagraphFont"/>
    <w:link w:val="FootnoteText"/>
    <w:rsid w:val="005E0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59008-AC1D-470F-AAA3-F5A59F3C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15</Pages>
  <Words>1478</Words>
  <Characters>8510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Holly Forrest</dc:creator>
  <cp:lastModifiedBy>Tripp Coston</cp:lastModifiedBy>
  <cp:revision>2</cp:revision>
  <cp:lastPrinted>2021-08-24T20:19:00Z</cp:lastPrinted>
  <dcterms:created xsi:type="dcterms:W3CDTF">2021-08-27T12:48:00Z</dcterms:created>
  <dcterms:modified xsi:type="dcterms:W3CDTF">2021-08-27T12:48:00Z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20210088-GU</vt:lpwstr>
  </property>
  <property fmtid="{D5CDD505-2E9C-101B-9397-08002B2CF9AE}" pid="3" name="MasterDocument">
    <vt:bool>false</vt:bool>
  </property>
</Properties>
</file>