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069B1C0B"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7A78BDC6" w14:textId="77777777" w:rsidR="007C0528" w:rsidRDefault="007C0528" w:rsidP="00532DFB">
            <w:pPr>
              <w:pStyle w:val="MastHeadState"/>
            </w:pPr>
            <w:bookmarkStart w:id="0" w:name="_GoBack"/>
            <w:bookmarkEnd w:id="0"/>
            <w:r>
              <w:t>State of Florida</w:t>
            </w:r>
          </w:p>
          <w:p w14:paraId="051545DA" w14:textId="77777777" w:rsidR="007C0528" w:rsidRDefault="00072CCA">
            <w:pPr>
              <w:jc w:val="center"/>
            </w:pPr>
            <w:r>
              <w:rPr>
                <w:noProof/>
              </w:rPr>
              <w:drawing>
                <wp:inline distT="0" distB="0" distL="0" distR="0" wp14:anchorId="26DCFE3F" wp14:editId="07127588">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1C25657C"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61B2FCBE" w14:textId="77777777" w:rsidR="007C0528" w:rsidRDefault="007C0528">
            <w:pPr>
              <w:pStyle w:val="MastHeadPSC"/>
            </w:pPr>
            <w:r>
              <w:t>Public Service Commission</w:t>
            </w:r>
          </w:p>
          <w:p w14:paraId="2A96F5CB" w14:textId="77777777" w:rsidR="007C0528" w:rsidRDefault="007C0528">
            <w:pPr>
              <w:pStyle w:val="MastHeadAddress"/>
            </w:pPr>
            <w:r>
              <w:t>Capital Circle Office Center ● 2540 Shumard Oak Boulevard</w:t>
            </w:r>
            <w:r>
              <w:br/>
              <w:t>Tallahassee, Florida 32399-0850</w:t>
            </w:r>
          </w:p>
          <w:p w14:paraId="7C602E61" w14:textId="77777777" w:rsidR="007C0528" w:rsidRDefault="007C0528">
            <w:pPr>
              <w:pStyle w:val="MastHeadMemorandum"/>
            </w:pPr>
            <w:r>
              <w:t>-M-E-M-O-R-A-N-D-U-M-</w:t>
            </w:r>
          </w:p>
          <w:p w14:paraId="10E043F1" w14:textId="77777777" w:rsidR="007C0528" w:rsidRDefault="007C0528">
            <w:pPr>
              <w:pStyle w:val="MemoHeading"/>
            </w:pPr>
          </w:p>
        </w:tc>
      </w:tr>
      <w:tr w:rsidR="007C0528" w14:paraId="708D5B4B"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078F7AE9"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266AF6DE" w14:textId="77777777" w:rsidR="007C0528" w:rsidRDefault="008D1B40">
            <w:pPr>
              <w:pStyle w:val="MemoHeading"/>
            </w:pPr>
            <w:bookmarkStart w:id="1" w:name="FilingDate"/>
            <w:r>
              <w:t xml:space="preserve">October </w:t>
            </w:r>
            <w:r w:rsidR="006F1662">
              <w:t>21</w:t>
            </w:r>
            <w:r>
              <w:t>, 2021</w:t>
            </w:r>
            <w:bookmarkEnd w:id="1"/>
          </w:p>
        </w:tc>
      </w:tr>
      <w:tr w:rsidR="007C0528" w14:paraId="542D6829" w14:textId="77777777">
        <w:tc>
          <w:tcPr>
            <w:tcW w:w="1254" w:type="dxa"/>
            <w:tcBorders>
              <w:top w:val="nil"/>
              <w:left w:val="nil"/>
              <w:bottom w:val="nil"/>
              <w:right w:val="nil"/>
            </w:tcBorders>
            <w:shd w:val="clear" w:color="auto" w:fill="auto"/>
            <w:tcMar>
              <w:top w:w="288" w:type="dxa"/>
              <w:bottom w:w="0" w:type="dxa"/>
              <w:right w:w="0" w:type="dxa"/>
            </w:tcMar>
          </w:tcPr>
          <w:p w14:paraId="79F4325F"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283D5688" w14:textId="77777777" w:rsidR="007C0528" w:rsidRDefault="007C0528" w:rsidP="0093658B">
            <w:pPr>
              <w:pStyle w:val="MemoHeading"/>
            </w:pPr>
            <w:r>
              <w:t>Office of Commission Clerk (</w:t>
            </w:r>
            <w:r w:rsidR="004E69B5">
              <w:t>Teitzman</w:t>
            </w:r>
            <w:r>
              <w:t>)</w:t>
            </w:r>
          </w:p>
        </w:tc>
      </w:tr>
      <w:tr w:rsidR="007C0528" w14:paraId="6D5FB3F2" w14:textId="77777777">
        <w:tc>
          <w:tcPr>
            <w:tcW w:w="1254" w:type="dxa"/>
            <w:tcBorders>
              <w:top w:val="nil"/>
              <w:left w:val="nil"/>
              <w:bottom w:val="nil"/>
              <w:right w:val="nil"/>
            </w:tcBorders>
            <w:shd w:val="clear" w:color="auto" w:fill="auto"/>
            <w:tcMar>
              <w:top w:w="288" w:type="dxa"/>
              <w:right w:w="0" w:type="dxa"/>
            </w:tcMar>
          </w:tcPr>
          <w:p w14:paraId="6D01D50B"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7A56F344" w14:textId="77777777" w:rsidR="008D1B40" w:rsidRDefault="008D1B40">
            <w:pPr>
              <w:pStyle w:val="MemoHeading"/>
            </w:pPr>
            <w:bookmarkStart w:id="2" w:name="From"/>
            <w:r>
              <w:t>Division of Economics (Forrest, Coston)</w:t>
            </w:r>
          </w:p>
          <w:p w14:paraId="74BF63AC" w14:textId="77777777" w:rsidR="007C0528" w:rsidRDefault="008D1B40">
            <w:pPr>
              <w:pStyle w:val="MemoHeading"/>
            </w:pPr>
            <w:r>
              <w:t>Office of the General Counsel (Osborn, Crawford)</w:t>
            </w:r>
            <w:bookmarkEnd w:id="2"/>
          </w:p>
        </w:tc>
      </w:tr>
      <w:tr w:rsidR="007C0528" w14:paraId="1ED5FF71" w14:textId="77777777">
        <w:tc>
          <w:tcPr>
            <w:tcW w:w="1254" w:type="dxa"/>
            <w:tcBorders>
              <w:top w:val="nil"/>
              <w:left w:val="nil"/>
              <w:bottom w:val="nil"/>
              <w:right w:val="nil"/>
            </w:tcBorders>
            <w:shd w:val="clear" w:color="auto" w:fill="auto"/>
            <w:tcMar>
              <w:top w:w="288" w:type="dxa"/>
              <w:right w:w="0" w:type="dxa"/>
            </w:tcMar>
          </w:tcPr>
          <w:p w14:paraId="0B872B80"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5B9C8638" w14:textId="77777777" w:rsidR="007C0528" w:rsidRDefault="008D1B40">
            <w:pPr>
              <w:pStyle w:val="MemoHeadingRe"/>
            </w:pPr>
            <w:bookmarkStart w:id="3" w:name="Re"/>
            <w:r>
              <w:t>Docket No. 20210149-GU – Petition for approval of safety, access, and facility enhancement program true-up and 2022 cost recovery factors, by Florida City Gas.</w:t>
            </w:r>
            <w:bookmarkEnd w:id="3"/>
          </w:p>
        </w:tc>
      </w:tr>
      <w:tr w:rsidR="007C0528" w14:paraId="3F3914A1" w14:textId="77777777">
        <w:tc>
          <w:tcPr>
            <w:tcW w:w="1254" w:type="dxa"/>
            <w:tcBorders>
              <w:top w:val="nil"/>
              <w:left w:val="nil"/>
              <w:bottom w:val="nil"/>
              <w:right w:val="nil"/>
            </w:tcBorders>
            <w:shd w:val="clear" w:color="auto" w:fill="auto"/>
            <w:tcMar>
              <w:top w:w="288" w:type="dxa"/>
              <w:bottom w:w="0" w:type="dxa"/>
              <w:right w:w="0" w:type="dxa"/>
            </w:tcMar>
          </w:tcPr>
          <w:p w14:paraId="12B55783"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51EAFEAD" w14:textId="77777777" w:rsidR="007C0528" w:rsidRDefault="008D1B40" w:rsidP="00A96E81">
            <w:pPr>
              <w:pStyle w:val="MemoHeading"/>
            </w:pPr>
            <w:bookmarkStart w:id="4" w:name="AgendaDate"/>
            <w:r>
              <w:t>11/02/21</w:t>
            </w:r>
            <w:bookmarkEnd w:id="4"/>
            <w:r w:rsidR="007C0528">
              <w:t xml:space="preserve"> – </w:t>
            </w:r>
            <w:bookmarkStart w:id="5" w:name="PermittedStatus"/>
            <w:r>
              <w:t>Regular Agenda</w:t>
            </w:r>
            <w:r w:rsidR="00241F6F">
              <w:t xml:space="preserve"> </w:t>
            </w:r>
            <w:r w:rsidR="00F43EC3">
              <w:t xml:space="preserve">- Tariff </w:t>
            </w:r>
            <w:r w:rsidR="00A96E81">
              <w:t>F</w:t>
            </w:r>
            <w:r w:rsidR="00F43EC3">
              <w:t>iling</w:t>
            </w:r>
            <w:r>
              <w:t xml:space="preserve"> – Interested Persons May Participate</w:t>
            </w:r>
            <w:bookmarkEnd w:id="5"/>
          </w:p>
        </w:tc>
      </w:tr>
      <w:tr w:rsidR="007C0528" w14:paraId="36DD3088" w14:textId="77777777">
        <w:tc>
          <w:tcPr>
            <w:tcW w:w="3690" w:type="dxa"/>
            <w:gridSpan w:val="3"/>
            <w:tcBorders>
              <w:top w:val="nil"/>
              <w:left w:val="nil"/>
              <w:bottom w:val="nil"/>
              <w:right w:val="nil"/>
            </w:tcBorders>
            <w:shd w:val="clear" w:color="auto" w:fill="auto"/>
            <w:tcMar>
              <w:top w:w="288" w:type="dxa"/>
              <w:bottom w:w="0" w:type="dxa"/>
              <w:right w:w="0" w:type="dxa"/>
            </w:tcMar>
          </w:tcPr>
          <w:p w14:paraId="0BD93FE8"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28754B79" w14:textId="77777777" w:rsidR="007C0528" w:rsidRDefault="008D1B40">
            <w:pPr>
              <w:pStyle w:val="MemoHeading"/>
            </w:pPr>
            <w:bookmarkStart w:id="6" w:name="CommissionersAssigned"/>
            <w:r>
              <w:t>All Commissioners</w:t>
            </w:r>
            <w:bookmarkEnd w:id="6"/>
          </w:p>
        </w:tc>
      </w:tr>
      <w:tr w:rsidR="007C0528" w14:paraId="00BBD5CF" w14:textId="77777777">
        <w:tc>
          <w:tcPr>
            <w:tcW w:w="3690" w:type="dxa"/>
            <w:gridSpan w:val="3"/>
            <w:tcBorders>
              <w:top w:val="nil"/>
              <w:left w:val="nil"/>
              <w:bottom w:val="nil"/>
              <w:right w:val="nil"/>
            </w:tcBorders>
            <w:shd w:val="clear" w:color="auto" w:fill="auto"/>
            <w:tcMar>
              <w:top w:w="288" w:type="dxa"/>
              <w:bottom w:w="0" w:type="dxa"/>
              <w:right w:w="0" w:type="dxa"/>
            </w:tcMar>
          </w:tcPr>
          <w:p w14:paraId="5E9BA77F"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1475A807" w14:textId="77777777" w:rsidR="007C0528" w:rsidRDefault="008D1B40">
            <w:pPr>
              <w:pStyle w:val="MemoHeading"/>
            </w:pPr>
            <w:bookmarkStart w:id="7" w:name="PrehearingOfficer"/>
            <w:r>
              <w:t>Administrative</w:t>
            </w:r>
            <w:bookmarkEnd w:id="7"/>
          </w:p>
        </w:tc>
      </w:tr>
      <w:tr w:rsidR="007C0528" w14:paraId="0514BC7A"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410621B1"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234765AF" w14:textId="2BC28B77" w:rsidR="00AD285C" w:rsidRPr="00AD285C" w:rsidRDefault="00AD285C" w:rsidP="00DE6464">
            <w:pPr>
              <w:pStyle w:val="MemoHeading"/>
            </w:pPr>
            <w:r>
              <w:t xml:space="preserve">8-month effective </w:t>
            </w:r>
            <w:r w:rsidR="003E2EC4">
              <w:t>d</w:t>
            </w:r>
            <w:r>
              <w:t>ate: 5/1/</w:t>
            </w:r>
            <w:r w:rsidR="00F43EC3">
              <w:t xml:space="preserve">22 </w:t>
            </w:r>
          </w:p>
        </w:tc>
      </w:tr>
      <w:tr w:rsidR="007C0528" w14:paraId="26CCAC2E"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078F35E4"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1C132DB1" w14:textId="77777777" w:rsidR="007C0528" w:rsidRDefault="008D1B40">
            <w:pPr>
              <w:pStyle w:val="MemoHeading"/>
            </w:pPr>
            <w:bookmarkStart w:id="9" w:name="SpecialInstructions"/>
            <w:r>
              <w:t>None</w:t>
            </w:r>
            <w:bookmarkEnd w:id="9"/>
          </w:p>
        </w:tc>
      </w:tr>
    </w:tbl>
    <w:p w14:paraId="14F62220" w14:textId="77777777" w:rsidR="007C0528" w:rsidRDefault="007C0528">
      <w:pPr>
        <w:pStyle w:val="BodyText"/>
      </w:pPr>
    </w:p>
    <w:p w14:paraId="4187EF0E"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16EAC63A" w14:textId="77777777" w:rsidR="00EC417E" w:rsidRDefault="008D1B40">
      <w:pPr>
        <w:pStyle w:val="BodyText"/>
      </w:pPr>
      <w:r w:rsidRPr="008D1B40">
        <w:t>On September 1, 2021 Flori</w:t>
      </w:r>
      <w:r w:rsidR="00AD285C">
        <w:t>da City Gas (FCG</w:t>
      </w:r>
      <w:r w:rsidR="00671857">
        <w:t xml:space="preserve"> or utility</w:t>
      </w:r>
      <w:r w:rsidRPr="008D1B40">
        <w:t xml:space="preserve">) filed a petition for approval of its safety, access, and facility enhancement </w:t>
      </w:r>
      <w:r w:rsidR="00467477">
        <w:t>program (SAFE</w:t>
      </w:r>
      <w:r w:rsidRPr="008D1B40">
        <w:t>) true-up and 2022 cost recover</w:t>
      </w:r>
      <w:r w:rsidR="00364A67">
        <w:t>y</w:t>
      </w:r>
      <w:r w:rsidRPr="008D1B40">
        <w:t xml:space="preserve"> factors. The SAFE program was originally approved by the Commission in Order N</w:t>
      </w:r>
      <w:r w:rsidR="00364A67">
        <w:t>o</w:t>
      </w:r>
      <w:r w:rsidRPr="008D1B40">
        <w:t>. PSC-15-0390-TRF-GU (2015 order) to recover the cost of relocating on an expedited basis certain existing gas mains and associated facilities from rear lot easements to the street front.</w:t>
      </w:r>
      <w:r w:rsidR="00664CAA">
        <w:rPr>
          <w:rStyle w:val="FootnoteReference"/>
        </w:rPr>
        <w:footnoteReference w:id="1"/>
      </w:r>
      <w:r w:rsidRPr="008D1B40">
        <w:t xml:space="preserve"> In the 2015 order, the Commission found that the relocation of mains and services to the street front provides for more direct access to the facilities and will enhance the level of service provided to all customers through improved safety and reliability. The SAFE factor is a surcharge on customers’ bills. </w:t>
      </w:r>
    </w:p>
    <w:p w14:paraId="47C36641" w14:textId="77777777" w:rsidR="0068481F" w:rsidRDefault="008D1B40">
      <w:pPr>
        <w:pStyle w:val="BodyText"/>
      </w:pPr>
      <w:r w:rsidRPr="008D1B40">
        <w:lastRenderedPageBreak/>
        <w:t>Th</w:t>
      </w:r>
      <w:r w:rsidR="00AD285C">
        <w:t>e Commission ordered the utility</w:t>
      </w:r>
      <w:r w:rsidRPr="008D1B40">
        <w:t xml:space="preserve"> to file an annual petition, beginning in 2016, for review and resetting of the SAFE factors to true-up a</w:t>
      </w:r>
      <w:r w:rsidR="00E0280D">
        <w:t>ny prior over-</w:t>
      </w:r>
      <w:r w:rsidR="00B876B8">
        <w:t xml:space="preserve"> </w:t>
      </w:r>
      <w:r w:rsidR="00E0280D">
        <w:t xml:space="preserve">or </w:t>
      </w:r>
      <w:r w:rsidRPr="008D1B40">
        <w:t>under</w:t>
      </w:r>
      <w:r w:rsidR="00B876B8">
        <w:t>-</w:t>
      </w:r>
      <w:r w:rsidRPr="008D1B40">
        <w:t>recovery and to set the surcharge for the coming year. The SAFE program is a</w:t>
      </w:r>
      <w:r w:rsidR="00364A67">
        <w:t xml:space="preserve"> </w:t>
      </w:r>
      <w:r w:rsidRPr="008D1B40">
        <w:t>10</w:t>
      </w:r>
      <w:r w:rsidR="00364A67">
        <w:t>-</w:t>
      </w:r>
      <w:r w:rsidRPr="008D1B40">
        <w:t xml:space="preserve">year program that was effective in </w:t>
      </w:r>
      <w:r w:rsidR="00EC417E">
        <w:t>2015 and should</w:t>
      </w:r>
      <w:r w:rsidRPr="008D1B40">
        <w:t xml:space="preserve"> finish in 2025. </w:t>
      </w:r>
      <w:r w:rsidR="00364A67">
        <w:t xml:space="preserve">The utility’s annual progress in the SAFE program is shown in Attachment A to the recommendation. </w:t>
      </w:r>
      <w:r w:rsidRPr="008D1B40">
        <w:t>The current 2021 SAFE factors were approved by Orde</w:t>
      </w:r>
      <w:r w:rsidR="00664CAA">
        <w:t>r No. PSC-2020-0456-TRF-GU (2020</w:t>
      </w:r>
      <w:r w:rsidRPr="008D1B40">
        <w:t xml:space="preserve"> order).</w:t>
      </w:r>
      <w:r w:rsidR="00664CAA">
        <w:rPr>
          <w:rStyle w:val="FootnoteReference"/>
        </w:rPr>
        <w:footnoteReference w:id="2"/>
      </w:r>
      <w:r w:rsidRPr="008D1B40">
        <w:t xml:space="preserve"> The proposed 2022 SAFE f</w:t>
      </w:r>
      <w:r w:rsidR="00AD285C">
        <w:t>actors are shown in Attachment B</w:t>
      </w:r>
      <w:r w:rsidRPr="008D1B40">
        <w:t xml:space="preserve"> to the recomme</w:t>
      </w:r>
      <w:r>
        <w:t>ndation on Tariff Sheet No. 79.</w:t>
      </w:r>
    </w:p>
    <w:p w14:paraId="2E369485" w14:textId="77777777" w:rsidR="008D1B40" w:rsidRDefault="008D1B40" w:rsidP="008D1B40">
      <w:pPr>
        <w:jc w:val="both"/>
      </w:pPr>
      <w:r>
        <w:t>During the review process of the petition, staff issued one data request and respo</w:t>
      </w:r>
      <w:r w:rsidR="00EC417E">
        <w:t>nses were received on October 6</w:t>
      </w:r>
      <w:r>
        <w:t>, 2021. In its filing</w:t>
      </w:r>
      <w:r w:rsidR="00AD285C">
        <w:t>,</w:t>
      </w:r>
      <w:r>
        <w:t xml:space="preserve"> the utility waived the 60-day suspension deadline pursuant to Section 366.06(3), Florida Statu</w:t>
      </w:r>
      <w:r w:rsidR="00A96E81">
        <w:t>t</w:t>
      </w:r>
      <w:r>
        <w:t xml:space="preserve">es (F.S.). The Commission has jurisdiction over the matter pursuant to Sections 366.03, 366.04, 366.05, 366.06, and Chapter 368, F.S. </w:t>
      </w:r>
    </w:p>
    <w:p w14:paraId="7EEC8209" w14:textId="77777777" w:rsidR="008D1B40" w:rsidRDefault="008D1B40">
      <w:pPr>
        <w:pStyle w:val="BodyText"/>
      </w:pPr>
    </w:p>
    <w:p w14:paraId="52459DA9" w14:textId="77777777" w:rsidR="007C0528" w:rsidRDefault="007C0528" w:rsidP="0068481F"/>
    <w:bookmarkEnd w:id="11"/>
    <w:p w14:paraId="53BE491D"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4607CCE1" w14:textId="77777777" w:rsidR="007C0528" w:rsidRDefault="007C0528">
      <w:pPr>
        <w:pStyle w:val="RecommendationMajorSectionHeading"/>
      </w:pPr>
      <w:bookmarkStart w:id="15" w:name="DiscussionOfIssues"/>
      <w:r>
        <w:lastRenderedPageBreak/>
        <w:t>Discussion of Issues</w:t>
      </w:r>
    </w:p>
    <w:bookmarkEnd w:id="15"/>
    <w:p w14:paraId="344BAA6E" w14:textId="78B1C8C5" w:rsidR="008D1B40" w:rsidRDefault="008D1B40">
      <w:pPr>
        <w:pStyle w:val="IssueHeading"/>
        <w:rPr>
          <w:vanish/>
          <w:specVanish/>
        </w:rPr>
      </w:pPr>
      <w:r w:rsidRPr="004C3641">
        <w:t xml:space="preserve">Issue </w:t>
      </w:r>
      <w:r w:rsidR="00CB3033">
        <w:fldChar w:fldCharType="begin"/>
      </w:r>
      <w:r w:rsidR="00CB3033">
        <w:instrText xml:space="preserve"> SEQ Issue \* MERGEFORMAT </w:instrText>
      </w:r>
      <w:r w:rsidR="00CB3033">
        <w:fldChar w:fldCharType="separate"/>
      </w:r>
      <w:r w:rsidR="0000307A">
        <w:rPr>
          <w:noProof/>
        </w:rPr>
        <w:t>1</w:t>
      </w:r>
      <w:r w:rsidR="00CB303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0307A">
        <w:rPr>
          <w:noProof/>
        </w:rPr>
        <w:instrText>1</w:instrText>
      </w:r>
      <w:r>
        <w:fldChar w:fldCharType="end"/>
      </w:r>
      <w:r>
        <w:tab/>
        <w:instrText xml:space="preserve">" \l 1 </w:instrText>
      </w:r>
      <w:r>
        <w:fldChar w:fldCharType="end"/>
      </w:r>
      <w:r>
        <w:t> </w:t>
      </w:r>
    </w:p>
    <w:p w14:paraId="55D61DDE" w14:textId="77777777" w:rsidR="008D1B40" w:rsidRDefault="008D1B40">
      <w:pPr>
        <w:pStyle w:val="BodyText"/>
      </w:pPr>
      <w:r w:rsidRPr="008D1B40">
        <w:t>Should the Commissio</w:t>
      </w:r>
      <w:r w:rsidR="00AD285C">
        <w:t>n approve FCG’s</w:t>
      </w:r>
      <w:r w:rsidRPr="008D1B40">
        <w:t xml:space="preserve"> proposed SAFE tariff for the period January through December 2022?</w:t>
      </w:r>
    </w:p>
    <w:p w14:paraId="1244BAAC" w14:textId="77777777" w:rsidR="008D1B40" w:rsidRPr="004C3641" w:rsidRDefault="008D1B40">
      <w:pPr>
        <w:pStyle w:val="IssueSubsectionHeading"/>
        <w:rPr>
          <w:vanish/>
          <w:specVanish/>
        </w:rPr>
      </w:pPr>
      <w:r w:rsidRPr="004C3641">
        <w:t>Recommendation: </w:t>
      </w:r>
    </w:p>
    <w:p w14:paraId="71BA16F9" w14:textId="77777777" w:rsidR="008D1B40" w:rsidRDefault="008D1B40">
      <w:pPr>
        <w:pStyle w:val="BodyText"/>
      </w:pPr>
      <w:r w:rsidRPr="008D1B40">
        <w:t>Yes. The Co</w:t>
      </w:r>
      <w:r w:rsidR="00AD285C">
        <w:t>mmission should approve FCG’s p</w:t>
      </w:r>
      <w:r w:rsidRPr="008D1B40">
        <w:t>roposed SAFE tariff for the period January through December 2022. (Forrest)</w:t>
      </w:r>
    </w:p>
    <w:p w14:paraId="0B103B08" w14:textId="77777777" w:rsidR="008D1B40" w:rsidRPr="004C3641" w:rsidRDefault="008D1B40">
      <w:pPr>
        <w:pStyle w:val="IssueSubsectionHeading"/>
        <w:rPr>
          <w:vanish/>
          <w:specVanish/>
        </w:rPr>
      </w:pPr>
      <w:r w:rsidRPr="004C3641">
        <w:t>Staff Analysis: </w:t>
      </w:r>
    </w:p>
    <w:p w14:paraId="08B55D07" w14:textId="531B73E4" w:rsidR="008D1B40" w:rsidRDefault="008D1B40">
      <w:pPr>
        <w:pStyle w:val="BodyText"/>
      </w:pPr>
      <w:r w:rsidRPr="008D1B40">
        <w:t>Under the SAFE program, FCG will relocate or replace 254.3 miles of mains and 11,443 associated service lines from rear property easements to the street over a 10-year period</w:t>
      </w:r>
      <w:r w:rsidR="00AD285C">
        <w:t>,</w:t>
      </w:r>
      <w:r w:rsidRPr="008D1B40">
        <w:t xml:space="preserve"> ending in 2025. The utility began its mains and services r</w:t>
      </w:r>
      <w:r w:rsidR="00EC417E">
        <w:t>eplacements at the end of 2015. T</w:t>
      </w:r>
      <w:r w:rsidRPr="008D1B40">
        <w:t xml:space="preserve">he surcharges have been in effect since January 2016. </w:t>
      </w:r>
      <w:r w:rsidR="00B14C63">
        <w:t xml:space="preserve">During </w:t>
      </w:r>
      <w:r w:rsidRPr="008D1B40">
        <w:t>202</w:t>
      </w:r>
      <w:r>
        <w:t>1, the utility has replaced 26 miles of mains and 1</w:t>
      </w:r>
      <w:r w:rsidR="00EC417E">
        <w:t>,</w:t>
      </w:r>
      <w:r>
        <w:t>105</w:t>
      </w:r>
      <w:r w:rsidRPr="008D1B40">
        <w:t xml:space="preserve"> services as shown in Attachment A to the petition.</w:t>
      </w:r>
    </w:p>
    <w:p w14:paraId="30BE9515" w14:textId="77777777" w:rsidR="008D1B40" w:rsidRDefault="008D1B40" w:rsidP="008D1B40">
      <w:pPr>
        <w:pStyle w:val="First-LevelSubheading"/>
      </w:pPr>
      <w:r>
        <w:t xml:space="preserve">True-ups by </w:t>
      </w:r>
      <w:r w:rsidR="00364A67">
        <w:t>Y</w:t>
      </w:r>
      <w:r>
        <w:t>ear</w:t>
      </w:r>
    </w:p>
    <w:p w14:paraId="1A6A21AB" w14:textId="77777777" w:rsidR="008D1B40" w:rsidRDefault="008D1B40" w:rsidP="008D1B40">
      <w:pPr>
        <w:jc w:val="both"/>
      </w:pPr>
      <w:r>
        <w:t>As required by the 2015 order, the utility’s calculations for the 2022 revenue requirement and SAFE factors include a final true-up for 2020, an estimated/actual true-up for 2021, and projected costs for 2022.</w:t>
      </w:r>
    </w:p>
    <w:p w14:paraId="749A6B32" w14:textId="77777777" w:rsidR="006C5B11" w:rsidRDefault="006C5B11" w:rsidP="008D1B40">
      <w:pPr>
        <w:jc w:val="both"/>
      </w:pPr>
    </w:p>
    <w:p w14:paraId="630F4157" w14:textId="77777777" w:rsidR="008D1B40" w:rsidRDefault="008D1B40" w:rsidP="008D1B40">
      <w:pPr>
        <w:pStyle w:val="Second-LevelSubheading"/>
      </w:pPr>
      <w:r>
        <w:t>Final True</w:t>
      </w:r>
      <w:r w:rsidR="00364A67">
        <w:t>-</w:t>
      </w:r>
      <w:r>
        <w:t>up for 2020</w:t>
      </w:r>
    </w:p>
    <w:p w14:paraId="5B4AA143" w14:textId="77777777" w:rsidR="006C5B11" w:rsidRDefault="006C5B11" w:rsidP="006C5B11">
      <w:pPr>
        <w:pStyle w:val="BodyText"/>
      </w:pPr>
      <w:r w:rsidRPr="006C5B11">
        <w:t>FCG stated that the revenues collected for 2020 were $1,449,091</w:t>
      </w:r>
      <w:r w:rsidR="004B6734">
        <w:t>,</w:t>
      </w:r>
      <w:r w:rsidRPr="006C5B11">
        <w:t xml:space="preserve"> compared to a revenue requirement of $1,589,766</w:t>
      </w:r>
      <w:r w:rsidR="004B6734">
        <w:t>,</w:t>
      </w:r>
      <w:r w:rsidRPr="006C5B11">
        <w:t xml:space="preserve"> resulting in an under</w:t>
      </w:r>
      <w:r w:rsidR="00D635CE">
        <w:t>-</w:t>
      </w:r>
      <w:r w:rsidRPr="006C5B11">
        <w:t>recovery of $140,674. Adding the 2019 final over</w:t>
      </w:r>
      <w:r w:rsidR="002D5D82">
        <w:t>-</w:t>
      </w:r>
      <w:r w:rsidRPr="006C5B11">
        <w:t>recovery of $211,530 and the $140,674 under</w:t>
      </w:r>
      <w:r w:rsidR="00D635CE">
        <w:t>-</w:t>
      </w:r>
      <w:r w:rsidRPr="006C5B11">
        <w:t>recovery of 2020, including interest, results in a final 2020 over</w:t>
      </w:r>
      <w:r w:rsidR="00D635CE">
        <w:t>-</w:t>
      </w:r>
      <w:r w:rsidRPr="006C5B11">
        <w:t>recovery of $</w:t>
      </w:r>
      <w:r w:rsidR="00E97254">
        <w:t>82,915</w:t>
      </w:r>
      <w:r w:rsidRPr="006C5B11">
        <w:t>.</w:t>
      </w:r>
      <w:r w:rsidR="002C3861">
        <w:rPr>
          <w:rStyle w:val="FootnoteReference"/>
        </w:rPr>
        <w:footnoteReference w:id="3"/>
      </w:r>
    </w:p>
    <w:p w14:paraId="59196E71" w14:textId="77777777" w:rsidR="006C5B11" w:rsidRDefault="00BC6F6A" w:rsidP="006C5B11">
      <w:pPr>
        <w:pStyle w:val="Second-LevelSubheading"/>
      </w:pPr>
      <w:r>
        <w:t>Actual</w:t>
      </w:r>
      <w:r w:rsidR="006C5B11">
        <w:t>/Estimated 2021 True-up</w:t>
      </w:r>
    </w:p>
    <w:p w14:paraId="3FAEBC7E" w14:textId="77777777" w:rsidR="006C5B11" w:rsidRDefault="006C5B11" w:rsidP="006C5B11">
      <w:pPr>
        <w:jc w:val="both"/>
      </w:pPr>
      <w:r>
        <w:t>FCG provided actual revenues for January through June and forecast revenues for July through December 2021, totaling $2,588,062</w:t>
      </w:r>
      <w:r w:rsidR="004B6734">
        <w:t>, as</w:t>
      </w:r>
      <w:r>
        <w:t xml:space="preserve"> compared to a</w:t>
      </w:r>
      <w:r w:rsidRPr="00F105F8">
        <w:t xml:space="preserve"> projected</w:t>
      </w:r>
      <w:r>
        <w:t xml:space="preserve"> revenue requirement of $3,182,760, resulting in an under</w:t>
      </w:r>
      <w:r w:rsidR="00BB57E3">
        <w:t>-</w:t>
      </w:r>
      <w:r>
        <w:t>recovery of $594,699. Adding the 2020 over</w:t>
      </w:r>
      <w:r w:rsidR="00BB57E3">
        <w:t>-</w:t>
      </w:r>
      <w:r>
        <w:t>recovery of $</w:t>
      </w:r>
      <w:r w:rsidR="002D5D82">
        <w:t>82,915</w:t>
      </w:r>
      <w:r>
        <w:t xml:space="preserve"> to the 2021 </w:t>
      </w:r>
      <w:r w:rsidR="00BB57E3">
        <w:t>under-</w:t>
      </w:r>
      <w:r>
        <w:t>recovery of $594,699, the resulting total 2021 true-up</w:t>
      </w:r>
      <w:r w:rsidR="00B876B8">
        <w:t>,</w:t>
      </w:r>
      <w:r>
        <w:t xml:space="preserve"> including interest</w:t>
      </w:r>
      <w:r w:rsidR="00B876B8">
        <w:t>,</w:t>
      </w:r>
      <w:r>
        <w:t xml:space="preserve"> is an under</w:t>
      </w:r>
      <w:r w:rsidR="00BB57E3">
        <w:t>-</w:t>
      </w:r>
      <w:r>
        <w:t>recovery of $520,582.</w:t>
      </w:r>
    </w:p>
    <w:p w14:paraId="2D8206A4" w14:textId="77777777" w:rsidR="006C5B11" w:rsidRDefault="006C5B11" w:rsidP="006C5B11">
      <w:pPr>
        <w:jc w:val="both"/>
      </w:pPr>
    </w:p>
    <w:p w14:paraId="70458563" w14:textId="77777777" w:rsidR="006C5B11" w:rsidRDefault="006C5B11" w:rsidP="006C5B11">
      <w:pPr>
        <w:pStyle w:val="Second-LevelSubheading"/>
      </w:pPr>
      <w:r>
        <w:t>Projected 2022 Costs</w:t>
      </w:r>
    </w:p>
    <w:p w14:paraId="361B0F91" w14:textId="77777777" w:rsidR="00A76DDB" w:rsidRDefault="00A76DDB" w:rsidP="00A76DDB">
      <w:pPr>
        <w:jc w:val="both"/>
      </w:pPr>
      <w:r>
        <w:t>The utility’s projected investment fo</w:t>
      </w:r>
      <w:r w:rsidR="004B6734">
        <w:t>r 2022 is $</w:t>
      </w:r>
      <w:r w:rsidR="00CA224D">
        <w:t>39,273,733</w:t>
      </w:r>
      <w:r w:rsidR="004B6734">
        <w:t xml:space="preserve"> for its seven</w:t>
      </w:r>
      <w:r>
        <w:t xml:space="preserve"> projects in Miami-Dade and Brevard counties. </w:t>
      </w:r>
      <w:r w:rsidR="00CA224D">
        <w:t xml:space="preserve">This is an approximate increase of $10 million </w:t>
      </w:r>
      <w:r w:rsidR="00103D41">
        <w:t xml:space="preserve">from 2021 </w:t>
      </w:r>
      <w:r w:rsidR="00CA224D">
        <w:t xml:space="preserve">in the annual SAFE investment as contemplated in the 2015 order. </w:t>
      </w:r>
      <w:r>
        <w:t xml:space="preserve">The revenue requirement, which includes a return on investment, depreciation, and taxes is $4,148,112. The return on investment calculation includes federal income taxes, regulatory assessment fees, and bad debt. After </w:t>
      </w:r>
      <w:r w:rsidR="00364A67">
        <w:t>adding</w:t>
      </w:r>
      <w:r>
        <w:t xml:space="preserve"> the 2021 under</w:t>
      </w:r>
      <w:r w:rsidR="002D5D82">
        <w:t>-</w:t>
      </w:r>
      <w:r>
        <w:t xml:space="preserve">recovery of $520,582, the total revenue requirement is $4,668,694. Table 1-1 displays the projected 2022 revenue requirement calculation. </w:t>
      </w:r>
    </w:p>
    <w:p w14:paraId="4730F708" w14:textId="77777777" w:rsidR="00A76DDB" w:rsidRDefault="00A76DDB" w:rsidP="00A76DDB">
      <w:pPr>
        <w:pStyle w:val="BodyText"/>
      </w:pPr>
    </w:p>
    <w:p w14:paraId="3C81C114" w14:textId="77777777" w:rsidR="0050246F" w:rsidRDefault="0050246F" w:rsidP="00A76DDB">
      <w:pPr>
        <w:pStyle w:val="BodyText"/>
      </w:pPr>
    </w:p>
    <w:p w14:paraId="58D8E791" w14:textId="03D27F66" w:rsidR="0050246F" w:rsidRDefault="0050246F" w:rsidP="0050246F">
      <w:pPr>
        <w:pStyle w:val="TableNumber"/>
        <w:keepNext/>
      </w:pPr>
      <w:r>
        <w:lastRenderedPageBreak/>
        <w:t xml:space="preserve">Table </w:t>
      </w:r>
      <w:fldSimple w:instr=" SEQ Issue \c ">
        <w:r w:rsidR="0000307A">
          <w:rPr>
            <w:noProof/>
          </w:rPr>
          <w:t>1</w:t>
        </w:r>
      </w:fldSimple>
      <w:r>
        <w:t>-1</w:t>
      </w:r>
    </w:p>
    <w:p w14:paraId="14389493" w14:textId="77777777" w:rsidR="0050246F" w:rsidRDefault="0050246F" w:rsidP="0050246F">
      <w:pPr>
        <w:pStyle w:val="TableTitle"/>
        <w:keepNext/>
      </w:pPr>
      <w:r>
        <w:t>2022 Revenue Requirements Calculation</w:t>
      </w:r>
    </w:p>
    <w:tbl>
      <w:tblPr>
        <w:tblStyle w:val="TableGrid"/>
        <w:tblW w:w="87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410"/>
      </w:tblGrid>
      <w:tr w:rsidR="0050246F" w14:paraId="4776E228" w14:textId="77777777" w:rsidTr="001402BF">
        <w:tc>
          <w:tcPr>
            <w:tcW w:w="4320" w:type="dxa"/>
            <w:tcBorders>
              <w:top w:val="single" w:sz="4" w:space="0" w:color="auto"/>
              <w:left w:val="single" w:sz="4" w:space="0" w:color="auto"/>
              <w:bottom w:val="single" w:sz="4" w:space="0" w:color="auto"/>
            </w:tcBorders>
          </w:tcPr>
          <w:p w14:paraId="59A87848" w14:textId="77777777" w:rsidR="0050246F" w:rsidRDefault="0050246F" w:rsidP="0050246F">
            <w:r>
              <w:t>2022 Projected Investment</w:t>
            </w:r>
          </w:p>
        </w:tc>
        <w:tc>
          <w:tcPr>
            <w:tcW w:w="4410" w:type="dxa"/>
            <w:tcBorders>
              <w:top w:val="single" w:sz="4" w:space="0" w:color="auto"/>
              <w:bottom w:val="single" w:sz="4" w:space="0" w:color="auto"/>
              <w:right w:val="single" w:sz="4" w:space="0" w:color="auto"/>
            </w:tcBorders>
          </w:tcPr>
          <w:p w14:paraId="2F1B5ACB" w14:textId="77777777" w:rsidR="0050246F" w:rsidRDefault="0050246F" w:rsidP="0092341A">
            <w:pPr>
              <w:jc w:val="right"/>
            </w:pPr>
            <w:r w:rsidRPr="008B0EF1">
              <w:t>$</w:t>
            </w:r>
            <w:r w:rsidR="0092341A">
              <w:t>39,273,733</w:t>
            </w:r>
          </w:p>
        </w:tc>
      </w:tr>
      <w:tr w:rsidR="0050246F" w14:paraId="164DA78B" w14:textId="77777777" w:rsidTr="001402BF">
        <w:tc>
          <w:tcPr>
            <w:tcW w:w="4320" w:type="dxa"/>
            <w:tcBorders>
              <w:top w:val="single" w:sz="4" w:space="0" w:color="auto"/>
              <w:left w:val="single" w:sz="4" w:space="0" w:color="auto"/>
            </w:tcBorders>
          </w:tcPr>
          <w:p w14:paraId="36CEEC27" w14:textId="77777777" w:rsidR="0050246F" w:rsidRDefault="0050246F" w:rsidP="0050246F">
            <w:r>
              <w:t>Return on Investment</w:t>
            </w:r>
          </w:p>
        </w:tc>
        <w:tc>
          <w:tcPr>
            <w:tcW w:w="4410" w:type="dxa"/>
            <w:tcBorders>
              <w:top w:val="single" w:sz="4" w:space="0" w:color="auto"/>
              <w:right w:val="single" w:sz="4" w:space="0" w:color="auto"/>
            </w:tcBorders>
          </w:tcPr>
          <w:p w14:paraId="3B4662EB" w14:textId="77777777" w:rsidR="0050246F" w:rsidRDefault="0050246F" w:rsidP="0050246F">
            <w:pPr>
              <w:jc w:val="right"/>
            </w:pPr>
            <w:r>
              <w:t>$2,580,536</w:t>
            </w:r>
          </w:p>
        </w:tc>
      </w:tr>
      <w:tr w:rsidR="0050246F" w14:paraId="775A69B7" w14:textId="77777777" w:rsidTr="001402BF">
        <w:tc>
          <w:tcPr>
            <w:tcW w:w="4320" w:type="dxa"/>
            <w:tcBorders>
              <w:left w:val="single" w:sz="4" w:space="0" w:color="auto"/>
            </w:tcBorders>
          </w:tcPr>
          <w:p w14:paraId="3C212EA0" w14:textId="77777777" w:rsidR="0050246F" w:rsidRDefault="0050246F" w:rsidP="0050246F">
            <w:pPr>
              <w:jc w:val="both"/>
            </w:pPr>
            <w:r>
              <w:t>Depreciation Expense</w:t>
            </w:r>
          </w:p>
        </w:tc>
        <w:tc>
          <w:tcPr>
            <w:tcW w:w="4410" w:type="dxa"/>
            <w:tcBorders>
              <w:right w:val="single" w:sz="4" w:space="0" w:color="auto"/>
            </w:tcBorders>
          </w:tcPr>
          <w:p w14:paraId="600693A1" w14:textId="77777777" w:rsidR="0050246F" w:rsidRDefault="0050246F" w:rsidP="0050246F">
            <w:pPr>
              <w:jc w:val="right"/>
            </w:pPr>
            <w:r>
              <w:t>940,762</w:t>
            </w:r>
          </w:p>
        </w:tc>
      </w:tr>
      <w:tr w:rsidR="0050246F" w14:paraId="609F98B1" w14:textId="77777777" w:rsidTr="001402BF">
        <w:tc>
          <w:tcPr>
            <w:tcW w:w="4320" w:type="dxa"/>
            <w:tcBorders>
              <w:left w:val="single" w:sz="4" w:space="0" w:color="auto"/>
            </w:tcBorders>
          </w:tcPr>
          <w:p w14:paraId="629696B4" w14:textId="77777777" w:rsidR="0050246F" w:rsidRDefault="0050246F" w:rsidP="0050246F">
            <w:pPr>
              <w:jc w:val="both"/>
            </w:pPr>
            <w:r>
              <w:t>Property Tax Expense</w:t>
            </w:r>
          </w:p>
        </w:tc>
        <w:tc>
          <w:tcPr>
            <w:tcW w:w="4410" w:type="dxa"/>
            <w:tcBorders>
              <w:right w:val="single" w:sz="4" w:space="0" w:color="auto"/>
            </w:tcBorders>
          </w:tcPr>
          <w:p w14:paraId="46204FBB" w14:textId="77777777" w:rsidR="0050246F" w:rsidRPr="0050246F" w:rsidRDefault="0050246F" w:rsidP="0050246F">
            <w:pPr>
              <w:jc w:val="right"/>
              <w:rPr>
                <w:u w:val="single"/>
              </w:rPr>
            </w:pPr>
            <w:r w:rsidRPr="0050246F">
              <w:rPr>
                <w:u w:val="single"/>
              </w:rPr>
              <w:t>626,814</w:t>
            </w:r>
          </w:p>
        </w:tc>
      </w:tr>
      <w:tr w:rsidR="0050246F" w14:paraId="29B4897D" w14:textId="77777777" w:rsidTr="001402BF">
        <w:tc>
          <w:tcPr>
            <w:tcW w:w="4320" w:type="dxa"/>
            <w:tcBorders>
              <w:left w:val="single" w:sz="4" w:space="0" w:color="auto"/>
            </w:tcBorders>
          </w:tcPr>
          <w:p w14:paraId="65B19D62" w14:textId="77777777" w:rsidR="0050246F" w:rsidRDefault="0050246F" w:rsidP="0050246F">
            <w:pPr>
              <w:jc w:val="both"/>
            </w:pPr>
            <w:r>
              <w:t>2022 Revenue Requirement</w:t>
            </w:r>
          </w:p>
        </w:tc>
        <w:tc>
          <w:tcPr>
            <w:tcW w:w="4410" w:type="dxa"/>
            <w:tcBorders>
              <w:right w:val="single" w:sz="4" w:space="0" w:color="auto"/>
            </w:tcBorders>
          </w:tcPr>
          <w:p w14:paraId="69EFA5B2" w14:textId="77777777" w:rsidR="0050246F" w:rsidRDefault="0050246F" w:rsidP="0050246F">
            <w:pPr>
              <w:jc w:val="right"/>
            </w:pPr>
            <w:r>
              <w:t>$4,148,112</w:t>
            </w:r>
          </w:p>
        </w:tc>
      </w:tr>
      <w:tr w:rsidR="0050246F" w14:paraId="46EE89C9" w14:textId="77777777" w:rsidTr="001402BF">
        <w:tc>
          <w:tcPr>
            <w:tcW w:w="4320" w:type="dxa"/>
            <w:tcBorders>
              <w:left w:val="single" w:sz="4" w:space="0" w:color="auto"/>
            </w:tcBorders>
          </w:tcPr>
          <w:p w14:paraId="0E0B4280" w14:textId="77777777" w:rsidR="0050246F" w:rsidRDefault="0050246F" w:rsidP="0050246F">
            <w:pPr>
              <w:jc w:val="both"/>
            </w:pPr>
            <w:r>
              <w:t>Plus 2021 Under-recovery</w:t>
            </w:r>
          </w:p>
        </w:tc>
        <w:tc>
          <w:tcPr>
            <w:tcW w:w="4410" w:type="dxa"/>
            <w:tcBorders>
              <w:right w:val="single" w:sz="4" w:space="0" w:color="auto"/>
            </w:tcBorders>
          </w:tcPr>
          <w:p w14:paraId="6102E3EB" w14:textId="77777777" w:rsidR="0050246F" w:rsidRPr="0050246F" w:rsidRDefault="0050246F" w:rsidP="0050246F">
            <w:pPr>
              <w:jc w:val="right"/>
              <w:rPr>
                <w:u w:val="single"/>
              </w:rPr>
            </w:pPr>
            <w:r w:rsidRPr="0050246F">
              <w:rPr>
                <w:u w:val="single"/>
              </w:rPr>
              <w:t>$520,582</w:t>
            </w:r>
          </w:p>
        </w:tc>
      </w:tr>
      <w:tr w:rsidR="0050246F" w14:paraId="2504A8EA" w14:textId="77777777" w:rsidTr="001402BF">
        <w:tc>
          <w:tcPr>
            <w:tcW w:w="4320" w:type="dxa"/>
            <w:tcBorders>
              <w:left w:val="single" w:sz="4" w:space="0" w:color="auto"/>
              <w:bottom w:val="single" w:sz="4" w:space="0" w:color="auto"/>
            </w:tcBorders>
          </w:tcPr>
          <w:p w14:paraId="4828AE93" w14:textId="77777777" w:rsidR="0050246F" w:rsidRDefault="0050246F" w:rsidP="0050246F">
            <w:pPr>
              <w:jc w:val="both"/>
            </w:pPr>
            <w:r>
              <w:t>Total 2022 Revenue Requirement</w:t>
            </w:r>
          </w:p>
        </w:tc>
        <w:tc>
          <w:tcPr>
            <w:tcW w:w="4410" w:type="dxa"/>
            <w:tcBorders>
              <w:bottom w:val="single" w:sz="4" w:space="0" w:color="auto"/>
              <w:right w:val="single" w:sz="4" w:space="0" w:color="auto"/>
            </w:tcBorders>
          </w:tcPr>
          <w:p w14:paraId="5BBE0CFA" w14:textId="77777777" w:rsidR="0050246F" w:rsidRDefault="0050246F" w:rsidP="0050246F">
            <w:pPr>
              <w:jc w:val="right"/>
            </w:pPr>
            <w:r>
              <w:t>$4,668,694</w:t>
            </w:r>
          </w:p>
        </w:tc>
      </w:tr>
    </w:tbl>
    <w:p w14:paraId="3ED0E788" w14:textId="77777777" w:rsidR="0050246F" w:rsidRDefault="0050246F" w:rsidP="0050246F">
      <w:pPr>
        <w:pStyle w:val="TableSource"/>
        <w:ind w:firstLine="720"/>
      </w:pPr>
      <w:r>
        <w:t>Source: Attachment C of the petition</w:t>
      </w:r>
    </w:p>
    <w:p w14:paraId="6F4F3408" w14:textId="77777777" w:rsidR="00BB5080" w:rsidRDefault="00BB5080" w:rsidP="00BB5080">
      <w:pPr>
        <w:pStyle w:val="First-LevelSubheading"/>
      </w:pPr>
      <w:r>
        <w:t xml:space="preserve">Proposed 2022 SAFE </w:t>
      </w:r>
      <w:r w:rsidR="00364A67">
        <w:t>F</w:t>
      </w:r>
      <w:r>
        <w:t>actors</w:t>
      </w:r>
    </w:p>
    <w:p w14:paraId="4C8BF8C3" w14:textId="77777777" w:rsidR="00BB5080" w:rsidRDefault="00BB5080" w:rsidP="00BB5080">
      <w:pPr>
        <w:jc w:val="both"/>
      </w:pPr>
      <w:r>
        <w:t>The SAFE factors are fixed monthly charges. FCG’s cost allocation method</w:t>
      </w:r>
      <w:r w:rsidR="00364A67">
        <w:t>ology</w:t>
      </w:r>
      <w:r>
        <w:t xml:space="preserve"> was approved in the 2015 order and was used in the instant filing. The approved methodology allocates the current cost of a 2-inch pipe to all customers on a per customer basis and allocates the incremental cost </w:t>
      </w:r>
      <w:r w:rsidR="00D46600">
        <w:t>of replacing a 4</w:t>
      </w:r>
      <w:r w:rsidR="00BB57E3">
        <w:t>-</w:t>
      </w:r>
      <w:r w:rsidR="00D46600">
        <w:t>inch pipe</w:t>
      </w:r>
      <w:r>
        <w:t xml:space="preserve"> to customers who use over 6,000 </w:t>
      </w:r>
      <w:proofErr w:type="spellStart"/>
      <w:r>
        <w:t>therms</w:t>
      </w:r>
      <w:proofErr w:type="spellEnd"/>
      <w:r>
        <w:t xml:space="preserve"> per year. For customers who require 4-inch pipes, the cost allocation takes into account that the minimum pipe is insufficient to serve their demand and, thus, allocates an incremental per foot cost in addition to the all-customer cost. The resulting allocation factors are applied to the 2022 total revenue requirement to develop the monthly SAFE factors. </w:t>
      </w:r>
    </w:p>
    <w:p w14:paraId="30D3335F" w14:textId="77777777" w:rsidR="00EC417E" w:rsidRDefault="00EC417E" w:rsidP="00BB5080">
      <w:pPr>
        <w:jc w:val="both"/>
      </w:pPr>
    </w:p>
    <w:p w14:paraId="316697E2" w14:textId="77777777" w:rsidR="00BB5080" w:rsidRDefault="00BB5080" w:rsidP="00BB5080">
      <w:pPr>
        <w:jc w:val="both"/>
      </w:pPr>
      <w:r>
        <w:t xml:space="preserve">The proposed fixed monthly SAFE factor is $3.17 for customers using less than 6,000 </w:t>
      </w:r>
      <w:proofErr w:type="spellStart"/>
      <w:r>
        <w:t>therms</w:t>
      </w:r>
      <w:proofErr w:type="spellEnd"/>
      <w:r>
        <w:t xml:space="preserve"> per year (current factor is $1.84). The proposed monthly SAFE factor for customers using more than 6,000 </w:t>
      </w:r>
      <w:proofErr w:type="spellStart"/>
      <w:r>
        <w:t>therms</w:t>
      </w:r>
      <w:proofErr w:type="spellEnd"/>
      <w:r>
        <w:t xml:space="preserve"> per year is $6.39 (current factor is $3.43).</w:t>
      </w:r>
    </w:p>
    <w:p w14:paraId="47DD80CF" w14:textId="77777777" w:rsidR="00BB5080" w:rsidRDefault="00BB5080" w:rsidP="00BB5080">
      <w:pPr>
        <w:jc w:val="both"/>
      </w:pPr>
    </w:p>
    <w:p w14:paraId="17A35886" w14:textId="77777777" w:rsidR="00BB5080" w:rsidRDefault="00BB5080" w:rsidP="00BB5080">
      <w:pPr>
        <w:pStyle w:val="First-LevelSubheading"/>
      </w:pPr>
      <w:r>
        <w:t>Conclusion</w:t>
      </w:r>
    </w:p>
    <w:p w14:paraId="7087BF8E" w14:textId="77777777" w:rsidR="00BB5080" w:rsidRDefault="00BB5080" w:rsidP="00BB5080">
      <w:pPr>
        <w:jc w:val="both"/>
      </w:pPr>
      <w:r>
        <w:t>Staff has reviewed FCG’s filing and supporting documentation and believes that the calculations of the 2022 SAFE factors are consistent with the methodology approved in the 2015 order and are reasonable and accurate. Staff recommends approval of the utility’s proposed SAFE tariff for the period January through December 2022.</w:t>
      </w:r>
    </w:p>
    <w:p w14:paraId="22CC913D" w14:textId="757B80FF" w:rsidR="00BB5080" w:rsidRDefault="00BB5080">
      <w:pPr>
        <w:pStyle w:val="IssueHeading"/>
        <w:rPr>
          <w:vanish/>
          <w:specVanish/>
        </w:rPr>
      </w:pPr>
      <w:r w:rsidRPr="004C3641">
        <w:rPr>
          <w:b w:val="0"/>
          <w:i w:val="0"/>
        </w:rPr>
        <w:br w:type="page"/>
      </w:r>
      <w:r w:rsidRPr="004C3641">
        <w:lastRenderedPageBreak/>
        <w:t xml:space="preserve">Issue </w:t>
      </w:r>
      <w:r w:rsidR="00CB3033">
        <w:fldChar w:fldCharType="begin"/>
      </w:r>
      <w:r w:rsidR="00CB3033">
        <w:instrText xml:space="preserve"> SEQ Issue \* MERGEFORMAT </w:instrText>
      </w:r>
      <w:r w:rsidR="00CB3033">
        <w:fldChar w:fldCharType="separate"/>
      </w:r>
      <w:r w:rsidR="0000307A">
        <w:rPr>
          <w:noProof/>
        </w:rPr>
        <w:t>2</w:t>
      </w:r>
      <w:r w:rsidR="00CB303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0307A">
        <w:rPr>
          <w:noProof/>
        </w:rPr>
        <w:instrText>2</w:instrText>
      </w:r>
      <w:r>
        <w:fldChar w:fldCharType="end"/>
      </w:r>
      <w:r>
        <w:tab/>
        <w:instrText xml:space="preserve">" \l </w:instrText>
      </w:r>
      <w:r w:rsidR="002268CA">
        <w:instrText>2</w:instrText>
      </w:r>
      <w:r>
        <w:instrText xml:space="preserve"> </w:instrText>
      </w:r>
      <w:r>
        <w:fldChar w:fldCharType="end"/>
      </w:r>
      <w:r>
        <w:t> </w:t>
      </w:r>
    </w:p>
    <w:p w14:paraId="1CECA54F" w14:textId="77777777" w:rsidR="00BB5080" w:rsidRDefault="00BB5080">
      <w:pPr>
        <w:pStyle w:val="BodyText"/>
      </w:pPr>
      <w:r>
        <w:t> Should this docket be closed?</w:t>
      </w:r>
    </w:p>
    <w:p w14:paraId="3D8E7A80" w14:textId="77777777" w:rsidR="00BB5080" w:rsidRPr="004C3641" w:rsidRDefault="00BB5080">
      <w:pPr>
        <w:pStyle w:val="IssueSubsectionHeading"/>
        <w:rPr>
          <w:vanish/>
          <w:specVanish/>
        </w:rPr>
      </w:pPr>
      <w:r w:rsidRPr="004C3641">
        <w:t>Recommendation: </w:t>
      </w:r>
    </w:p>
    <w:p w14:paraId="1DFE6030" w14:textId="77777777" w:rsidR="00BB5080" w:rsidRDefault="00BB5080">
      <w:pPr>
        <w:pStyle w:val="BodyText"/>
      </w:pPr>
      <w:r>
        <w:t> Yes. If Issue 1 is approved and a protest is filed within 21 days of issuance of the order, the tariff should remain in effect, with any revenues held subject to refund, pending resolution of the protest. If no timely protest is filed, this docket should remain closed upon the issuance of a consummating order.</w:t>
      </w:r>
      <w:r w:rsidR="00CD22E1">
        <w:t xml:space="preserve"> (Osborn, Crawford)</w:t>
      </w:r>
    </w:p>
    <w:p w14:paraId="42BCC331" w14:textId="77777777" w:rsidR="00BB5080" w:rsidRPr="004C3641" w:rsidRDefault="00BB5080">
      <w:pPr>
        <w:pStyle w:val="IssueSubsectionHeading"/>
        <w:rPr>
          <w:vanish/>
          <w:specVanish/>
        </w:rPr>
      </w:pPr>
      <w:r w:rsidRPr="004C3641">
        <w:t>Staff Analysis: </w:t>
      </w:r>
    </w:p>
    <w:p w14:paraId="5E98F9A7" w14:textId="77777777" w:rsidR="002268CA" w:rsidRDefault="00BB5080">
      <w:pPr>
        <w:pStyle w:val="BodyText"/>
        <w:sectPr w:rsidR="002268CA" w:rsidSect="0068481F">
          <w:headerReference w:type="default" r:id="rId11"/>
          <w:foot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t> </w:t>
      </w:r>
      <w:r w:rsidR="007F3F70">
        <w:t xml:space="preserve">If Issue 1 is approved and a protest is filed within 21 days of issuance of the order, the tariff should remain in effect, with any revenues held subject to refund, pending resolution of the protest. If no timely protest is filed, this docket should remain closed upon the issuance of a consummating order.  </w:t>
      </w:r>
    </w:p>
    <w:p w14:paraId="2DAE671E" w14:textId="77777777" w:rsidR="007456D7" w:rsidRPr="007456D7" w:rsidRDefault="007456D7" w:rsidP="007456D7">
      <w:pPr>
        <w:keepNext/>
        <w:spacing w:before="480"/>
        <w:jc w:val="center"/>
        <w:rPr>
          <w:rFonts w:ascii="Arial" w:hAnsi="Arial"/>
          <w:b/>
        </w:rPr>
      </w:pPr>
      <w:r w:rsidRPr="007456D7">
        <w:rPr>
          <w:rFonts w:ascii="Arial" w:hAnsi="Arial"/>
          <w:b/>
        </w:rPr>
        <w:lastRenderedPageBreak/>
        <w:t>Table 1</w:t>
      </w:r>
    </w:p>
    <w:p w14:paraId="16B6AF82" w14:textId="77777777" w:rsidR="007456D7" w:rsidRPr="007456D7" w:rsidRDefault="007456D7" w:rsidP="007456D7">
      <w:pPr>
        <w:keepNext/>
        <w:jc w:val="center"/>
        <w:rPr>
          <w:rFonts w:ascii="Arial" w:hAnsi="Arial"/>
          <w:b/>
        </w:rPr>
      </w:pPr>
      <w:r w:rsidRPr="007456D7">
        <w:rPr>
          <w:rFonts w:ascii="Arial" w:hAnsi="Arial"/>
          <w:b/>
        </w:rPr>
        <w:t>Florida City Gas’s SAFE Program Progress</w:t>
      </w:r>
    </w:p>
    <w:tbl>
      <w:tblPr>
        <w:tblStyle w:val="TableGrid"/>
        <w:tblW w:w="0" w:type="auto"/>
        <w:tblLook w:val="04A0" w:firstRow="1" w:lastRow="0" w:firstColumn="1" w:lastColumn="0" w:noHBand="0" w:noVBand="1"/>
      </w:tblPr>
      <w:tblGrid>
        <w:gridCol w:w="1915"/>
        <w:gridCol w:w="1915"/>
        <w:gridCol w:w="1915"/>
        <w:gridCol w:w="1915"/>
        <w:gridCol w:w="1916"/>
      </w:tblGrid>
      <w:tr w:rsidR="007456D7" w:rsidRPr="007456D7" w14:paraId="44CAE13E" w14:textId="77777777" w:rsidTr="004F2DEA">
        <w:tc>
          <w:tcPr>
            <w:tcW w:w="1915" w:type="dxa"/>
            <w:shd w:val="clear" w:color="auto" w:fill="BFBFBF" w:themeFill="background1" w:themeFillShade="BF"/>
          </w:tcPr>
          <w:p w14:paraId="7977DE3F" w14:textId="77777777" w:rsidR="007456D7" w:rsidRPr="007456D7" w:rsidRDefault="007456D7" w:rsidP="007456D7">
            <w:pPr>
              <w:rPr>
                <w:b/>
              </w:rPr>
            </w:pPr>
          </w:p>
        </w:tc>
        <w:tc>
          <w:tcPr>
            <w:tcW w:w="3830" w:type="dxa"/>
            <w:gridSpan w:val="2"/>
            <w:shd w:val="clear" w:color="auto" w:fill="BFBFBF" w:themeFill="background1" w:themeFillShade="BF"/>
            <w:vAlign w:val="center"/>
          </w:tcPr>
          <w:p w14:paraId="069616CB" w14:textId="77777777" w:rsidR="007456D7" w:rsidRPr="007456D7" w:rsidRDefault="007456D7" w:rsidP="007456D7">
            <w:pPr>
              <w:jc w:val="center"/>
              <w:rPr>
                <w:b/>
              </w:rPr>
            </w:pPr>
            <w:r w:rsidRPr="007456D7">
              <w:rPr>
                <w:b/>
              </w:rPr>
              <w:t>Main Replacements</w:t>
            </w:r>
          </w:p>
        </w:tc>
        <w:tc>
          <w:tcPr>
            <w:tcW w:w="3831" w:type="dxa"/>
            <w:gridSpan w:val="2"/>
            <w:shd w:val="clear" w:color="auto" w:fill="BFBFBF" w:themeFill="background1" w:themeFillShade="BF"/>
            <w:vAlign w:val="center"/>
          </w:tcPr>
          <w:p w14:paraId="46F51F9F" w14:textId="77777777" w:rsidR="007456D7" w:rsidRPr="007456D7" w:rsidRDefault="007456D7" w:rsidP="007456D7">
            <w:pPr>
              <w:jc w:val="center"/>
              <w:rPr>
                <w:b/>
              </w:rPr>
            </w:pPr>
            <w:r w:rsidRPr="007456D7">
              <w:rPr>
                <w:b/>
              </w:rPr>
              <w:t>Service Replacements</w:t>
            </w:r>
          </w:p>
        </w:tc>
      </w:tr>
      <w:tr w:rsidR="007456D7" w:rsidRPr="007456D7" w14:paraId="6F85C7B1" w14:textId="77777777" w:rsidTr="004F2DEA">
        <w:trPr>
          <w:trHeight w:val="593"/>
        </w:trPr>
        <w:tc>
          <w:tcPr>
            <w:tcW w:w="1915" w:type="dxa"/>
            <w:shd w:val="clear" w:color="auto" w:fill="BFBFBF" w:themeFill="background1" w:themeFillShade="BF"/>
            <w:vAlign w:val="center"/>
          </w:tcPr>
          <w:p w14:paraId="362FD021" w14:textId="77777777" w:rsidR="007456D7" w:rsidRPr="007456D7" w:rsidRDefault="007456D7" w:rsidP="007456D7">
            <w:pPr>
              <w:jc w:val="center"/>
              <w:rPr>
                <w:b/>
              </w:rPr>
            </w:pPr>
            <w:r w:rsidRPr="007456D7">
              <w:rPr>
                <w:b/>
              </w:rPr>
              <w:t>Year*</w:t>
            </w:r>
          </w:p>
        </w:tc>
        <w:tc>
          <w:tcPr>
            <w:tcW w:w="1915" w:type="dxa"/>
            <w:shd w:val="clear" w:color="auto" w:fill="BFBFBF" w:themeFill="background1" w:themeFillShade="BF"/>
            <w:vAlign w:val="center"/>
          </w:tcPr>
          <w:p w14:paraId="63505C33" w14:textId="77777777" w:rsidR="007456D7" w:rsidRPr="007456D7" w:rsidRDefault="007456D7" w:rsidP="007456D7">
            <w:pPr>
              <w:jc w:val="center"/>
              <w:rPr>
                <w:b/>
              </w:rPr>
            </w:pPr>
            <w:r w:rsidRPr="007456D7">
              <w:rPr>
                <w:b/>
              </w:rPr>
              <w:t>Replaced Main (miles)</w:t>
            </w:r>
          </w:p>
        </w:tc>
        <w:tc>
          <w:tcPr>
            <w:tcW w:w="1915" w:type="dxa"/>
            <w:shd w:val="clear" w:color="auto" w:fill="BFBFBF" w:themeFill="background1" w:themeFillShade="BF"/>
            <w:vAlign w:val="center"/>
          </w:tcPr>
          <w:p w14:paraId="1CEE050B" w14:textId="77777777" w:rsidR="007456D7" w:rsidRPr="007456D7" w:rsidRDefault="007456D7" w:rsidP="007456D7">
            <w:pPr>
              <w:jc w:val="center"/>
              <w:rPr>
                <w:b/>
              </w:rPr>
            </w:pPr>
            <w:r w:rsidRPr="007456D7">
              <w:rPr>
                <w:b/>
              </w:rPr>
              <w:t>Total Miles Remaining</w:t>
            </w:r>
          </w:p>
        </w:tc>
        <w:tc>
          <w:tcPr>
            <w:tcW w:w="1915" w:type="dxa"/>
            <w:shd w:val="clear" w:color="auto" w:fill="BFBFBF" w:themeFill="background1" w:themeFillShade="BF"/>
            <w:vAlign w:val="center"/>
          </w:tcPr>
          <w:p w14:paraId="72443BC7" w14:textId="77777777" w:rsidR="007456D7" w:rsidRPr="007456D7" w:rsidRDefault="007456D7" w:rsidP="007456D7">
            <w:pPr>
              <w:jc w:val="center"/>
              <w:rPr>
                <w:b/>
              </w:rPr>
            </w:pPr>
            <w:r w:rsidRPr="007456D7">
              <w:rPr>
                <w:b/>
              </w:rPr>
              <w:t>Replaced Services (number)</w:t>
            </w:r>
          </w:p>
        </w:tc>
        <w:tc>
          <w:tcPr>
            <w:tcW w:w="1916" w:type="dxa"/>
            <w:shd w:val="clear" w:color="auto" w:fill="BFBFBF" w:themeFill="background1" w:themeFillShade="BF"/>
            <w:vAlign w:val="center"/>
          </w:tcPr>
          <w:p w14:paraId="3EB637C1" w14:textId="77777777" w:rsidR="007456D7" w:rsidRPr="007456D7" w:rsidRDefault="007456D7" w:rsidP="007456D7">
            <w:pPr>
              <w:jc w:val="center"/>
              <w:rPr>
                <w:b/>
              </w:rPr>
            </w:pPr>
            <w:r w:rsidRPr="007456D7">
              <w:rPr>
                <w:b/>
              </w:rPr>
              <w:t>Total Remaining Services</w:t>
            </w:r>
          </w:p>
        </w:tc>
      </w:tr>
      <w:tr w:rsidR="007456D7" w:rsidRPr="007456D7" w14:paraId="3404FE2E" w14:textId="77777777" w:rsidTr="004F2DEA">
        <w:trPr>
          <w:trHeight w:val="692"/>
        </w:trPr>
        <w:tc>
          <w:tcPr>
            <w:tcW w:w="1915" w:type="dxa"/>
            <w:vAlign w:val="center"/>
          </w:tcPr>
          <w:p w14:paraId="7A4AD6AB" w14:textId="77777777" w:rsidR="007456D7" w:rsidRPr="007456D7" w:rsidRDefault="007456D7" w:rsidP="007456D7">
            <w:pPr>
              <w:jc w:val="center"/>
            </w:pPr>
            <w:r w:rsidRPr="007456D7">
              <w:t>2014</w:t>
            </w:r>
          </w:p>
        </w:tc>
        <w:tc>
          <w:tcPr>
            <w:tcW w:w="1915" w:type="dxa"/>
            <w:vAlign w:val="center"/>
          </w:tcPr>
          <w:p w14:paraId="241A6A9D" w14:textId="77777777" w:rsidR="007456D7" w:rsidRPr="007456D7" w:rsidRDefault="007456D7" w:rsidP="007456D7">
            <w:pPr>
              <w:jc w:val="center"/>
            </w:pPr>
            <w:r w:rsidRPr="007456D7">
              <w:t>0.0</w:t>
            </w:r>
          </w:p>
        </w:tc>
        <w:tc>
          <w:tcPr>
            <w:tcW w:w="1915" w:type="dxa"/>
            <w:vAlign w:val="center"/>
          </w:tcPr>
          <w:p w14:paraId="2478D2B1" w14:textId="77777777" w:rsidR="007456D7" w:rsidRPr="007456D7" w:rsidRDefault="007456D7" w:rsidP="007456D7">
            <w:pPr>
              <w:jc w:val="center"/>
            </w:pPr>
            <w:r w:rsidRPr="007456D7">
              <w:t>254.3</w:t>
            </w:r>
          </w:p>
        </w:tc>
        <w:tc>
          <w:tcPr>
            <w:tcW w:w="1915" w:type="dxa"/>
            <w:vAlign w:val="center"/>
          </w:tcPr>
          <w:p w14:paraId="4A3798FB" w14:textId="77777777" w:rsidR="007456D7" w:rsidRPr="007456D7" w:rsidRDefault="007456D7" w:rsidP="007456D7">
            <w:pPr>
              <w:jc w:val="center"/>
            </w:pPr>
            <w:r w:rsidRPr="007456D7">
              <w:t>0</w:t>
            </w:r>
          </w:p>
        </w:tc>
        <w:tc>
          <w:tcPr>
            <w:tcW w:w="1916" w:type="dxa"/>
            <w:vAlign w:val="center"/>
          </w:tcPr>
          <w:p w14:paraId="51F4B65D" w14:textId="20EF9B39" w:rsidR="007456D7" w:rsidRPr="007456D7" w:rsidRDefault="007456D7" w:rsidP="007456D7">
            <w:pPr>
              <w:jc w:val="center"/>
            </w:pPr>
            <w:r w:rsidRPr="007456D7">
              <w:t>11</w:t>
            </w:r>
            <w:r w:rsidR="00EB6FE5">
              <w:t>,</w:t>
            </w:r>
            <w:r w:rsidRPr="007456D7">
              <w:t>443</w:t>
            </w:r>
          </w:p>
        </w:tc>
      </w:tr>
      <w:tr w:rsidR="007456D7" w:rsidRPr="007456D7" w14:paraId="4A05955D" w14:textId="77777777" w:rsidTr="004F2DEA">
        <w:trPr>
          <w:trHeight w:val="764"/>
        </w:trPr>
        <w:tc>
          <w:tcPr>
            <w:tcW w:w="1915" w:type="dxa"/>
            <w:vAlign w:val="center"/>
          </w:tcPr>
          <w:p w14:paraId="3E97EFDF" w14:textId="77777777" w:rsidR="007456D7" w:rsidRPr="007456D7" w:rsidRDefault="007456D7" w:rsidP="007456D7">
            <w:pPr>
              <w:jc w:val="center"/>
            </w:pPr>
            <w:r w:rsidRPr="007456D7">
              <w:t>2015</w:t>
            </w:r>
          </w:p>
        </w:tc>
        <w:tc>
          <w:tcPr>
            <w:tcW w:w="1915" w:type="dxa"/>
            <w:vAlign w:val="center"/>
          </w:tcPr>
          <w:p w14:paraId="65DA0A96" w14:textId="77777777" w:rsidR="007456D7" w:rsidRPr="007456D7" w:rsidRDefault="007456D7" w:rsidP="007456D7">
            <w:pPr>
              <w:jc w:val="center"/>
            </w:pPr>
            <w:r w:rsidRPr="007456D7">
              <w:t>0.0</w:t>
            </w:r>
          </w:p>
        </w:tc>
        <w:tc>
          <w:tcPr>
            <w:tcW w:w="1915" w:type="dxa"/>
            <w:vAlign w:val="center"/>
          </w:tcPr>
          <w:p w14:paraId="78D50EC1" w14:textId="77777777" w:rsidR="007456D7" w:rsidRPr="007456D7" w:rsidRDefault="007456D7" w:rsidP="007456D7">
            <w:pPr>
              <w:jc w:val="center"/>
            </w:pPr>
            <w:r w:rsidRPr="007456D7">
              <w:t>254.3</w:t>
            </w:r>
          </w:p>
        </w:tc>
        <w:tc>
          <w:tcPr>
            <w:tcW w:w="1915" w:type="dxa"/>
            <w:vAlign w:val="center"/>
          </w:tcPr>
          <w:p w14:paraId="20A40265" w14:textId="77777777" w:rsidR="007456D7" w:rsidRPr="007456D7" w:rsidRDefault="007456D7" w:rsidP="007456D7">
            <w:pPr>
              <w:jc w:val="center"/>
            </w:pPr>
            <w:r w:rsidRPr="007456D7">
              <w:t>49</w:t>
            </w:r>
          </w:p>
        </w:tc>
        <w:tc>
          <w:tcPr>
            <w:tcW w:w="1916" w:type="dxa"/>
            <w:vAlign w:val="center"/>
          </w:tcPr>
          <w:p w14:paraId="4EFC8EF8" w14:textId="5EA1FA1D" w:rsidR="007456D7" w:rsidRPr="007456D7" w:rsidRDefault="007456D7" w:rsidP="007456D7">
            <w:pPr>
              <w:jc w:val="center"/>
            </w:pPr>
            <w:r w:rsidRPr="007456D7">
              <w:t>11</w:t>
            </w:r>
            <w:r w:rsidR="00EB6FE5">
              <w:t>,</w:t>
            </w:r>
            <w:r w:rsidRPr="007456D7">
              <w:t>394</w:t>
            </w:r>
          </w:p>
        </w:tc>
      </w:tr>
      <w:tr w:rsidR="007456D7" w:rsidRPr="007456D7" w14:paraId="0CB036E9" w14:textId="77777777" w:rsidTr="004F2DEA">
        <w:trPr>
          <w:trHeight w:val="737"/>
        </w:trPr>
        <w:tc>
          <w:tcPr>
            <w:tcW w:w="1915" w:type="dxa"/>
            <w:vAlign w:val="center"/>
          </w:tcPr>
          <w:p w14:paraId="533FDF62" w14:textId="77777777" w:rsidR="007456D7" w:rsidRPr="007456D7" w:rsidRDefault="007456D7" w:rsidP="007456D7">
            <w:pPr>
              <w:jc w:val="center"/>
            </w:pPr>
            <w:r w:rsidRPr="007456D7">
              <w:t>2016</w:t>
            </w:r>
          </w:p>
        </w:tc>
        <w:tc>
          <w:tcPr>
            <w:tcW w:w="1915" w:type="dxa"/>
            <w:vAlign w:val="center"/>
          </w:tcPr>
          <w:p w14:paraId="5469A132" w14:textId="77777777" w:rsidR="007456D7" w:rsidRPr="007456D7" w:rsidRDefault="007456D7" w:rsidP="007456D7">
            <w:pPr>
              <w:jc w:val="center"/>
            </w:pPr>
            <w:r w:rsidRPr="007456D7">
              <w:t>17.1</w:t>
            </w:r>
          </w:p>
        </w:tc>
        <w:tc>
          <w:tcPr>
            <w:tcW w:w="1915" w:type="dxa"/>
            <w:vAlign w:val="center"/>
          </w:tcPr>
          <w:p w14:paraId="7359D8E6" w14:textId="77777777" w:rsidR="007456D7" w:rsidRPr="007456D7" w:rsidRDefault="007456D7" w:rsidP="007456D7">
            <w:pPr>
              <w:jc w:val="center"/>
            </w:pPr>
            <w:r w:rsidRPr="007456D7">
              <w:t>237.2</w:t>
            </w:r>
          </w:p>
        </w:tc>
        <w:tc>
          <w:tcPr>
            <w:tcW w:w="1915" w:type="dxa"/>
            <w:vAlign w:val="center"/>
          </w:tcPr>
          <w:p w14:paraId="58E2D24F" w14:textId="5AAF2968" w:rsidR="007456D7" w:rsidRPr="007456D7" w:rsidRDefault="007456D7" w:rsidP="007456D7">
            <w:pPr>
              <w:jc w:val="center"/>
            </w:pPr>
            <w:r w:rsidRPr="007456D7">
              <w:t>1</w:t>
            </w:r>
            <w:r w:rsidR="00EB6FE5">
              <w:t>,</w:t>
            </w:r>
            <w:r w:rsidRPr="007456D7">
              <w:t>433</w:t>
            </w:r>
          </w:p>
        </w:tc>
        <w:tc>
          <w:tcPr>
            <w:tcW w:w="1916" w:type="dxa"/>
            <w:vAlign w:val="center"/>
          </w:tcPr>
          <w:p w14:paraId="10AB0A20" w14:textId="6D84FF71" w:rsidR="007456D7" w:rsidRPr="007456D7" w:rsidRDefault="007456D7" w:rsidP="007456D7">
            <w:pPr>
              <w:jc w:val="center"/>
            </w:pPr>
            <w:r w:rsidRPr="007456D7">
              <w:t>9</w:t>
            </w:r>
            <w:r w:rsidR="00EB6FE5">
              <w:t>,</w:t>
            </w:r>
            <w:r w:rsidRPr="007456D7">
              <w:t>961</w:t>
            </w:r>
          </w:p>
        </w:tc>
      </w:tr>
      <w:tr w:rsidR="007456D7" w:rsidRPr="007456D7" w14:paraId="57099079" w14:textId="77777777" w:rsidTr="004F2DEA">
        <w:trPr>
          <w:trHeight w:val="701"/>
        </w:trPr>
        <w:tc>
          <w:tcPr>
            <w:tcW w:w="1915" w:type="dxa"/>
            <w:vAlign w:val="center"/>
          </w:tcPr>
          <w:p w14:paraId="5F372E7B" w14:textId="77777777" w:rsidR="007456D7" w:rsidRPr="007456D7" w:rsidRDefault="007456D7" w:rsidP="007456D7">
            <w:pPr>
              <w:jc w:val="center"/>
            </w:pPr>
            <w:r w:rsidRPr="007456D7">
              <w:t>2017</w:t>
            </w:r>
          </w:p>
        </w:tc>
        <w:tc>
          <w:tcPr>
            <w:tcW w:w="1915" w:type="dxa"/>
            <w:vAlign w:val="center"/>
          </w:tcPr>
          <w:p w14:paraId="62FF1A78" w14:textId="77777777" w:rsidR="007456D7" w:rsidRPr="007456D7" w:rsidRDefault="007456D7" w:rsidP="007456D7">
            <w:pPr>
              <w:jc w:val="center"/>
            </w:pPr>
            <w:r w:rsidRPr="007456D7">
              <w:t>37.5</w:t>
            </w:r>
          </w:p>
        </w:tc>
        <w:tc>
          <w:tcPr>
            <w:tcW w:w="1915" w:type="dxa"/>
            <w:vAlign w:val="center"/>
          </w:tcPr>
          <w:p w14:paraId="6FA75C1C" w14:textId="77777777" w:rsidR="007456D7" w:rsidRPr="007456D7" w:rsidRDefault="007456D7" w:rsidP="007456D7">
            <w:pPr>
              <w:jc w:val="center"/>
            </w:pPr>
            <w:r w:rsidRPr="007456D7">
              <w:t>199.7</w:t>
            </w:r>
          </w:p>
        </w:tc>
        <w:tc>
          <w:tcPr>
            <w:tcW w:w="1915" w:type="dxa"/>
            <w:vAlign w:val="center"/>
          </w:tcPr>
          <w:p w14:paraId="02859B4E" w14:textId="04204127" w:rsidR="007456D7" w:rsidRPr="007456D7" w:rsidRDefault="007456D7" w:rsidP="007456D7">
            <w:pPr>
              <w:jc w:val="center"/>
            </w:pPr>
            <w:r w:rsidRPr="007456D7">
              <w:t>1</w:t>
            </w:r>
            <w:r w:rsidR="00EB6FE5">
              <w:t>,</w:t>
            </w:r>
            <w:r w:rsidRPr="007456D7">
              <w:t>551</w:t>
            </w:r>
          </w:p>
        </w:tc>
        <w:tc>
          <w:tcPr>
            <w:tcW w:w="1916" w:type="dxa"/>
            <w:vAlign w:val="center"/>
          </w:tcPr>
          <w:p w14:paraId="5AA3BFFF" w14:textId="0110CCBD" w:rsidR="007456D7" w:rsidRPr="007456D7" w:rsidRDefault="007456D7" w:rsidP="007456D7">
            <w:pPr>
              <w:jc w:val="center"/>
            </w:pPr>
            <w:r w:rsidRPr="007456D7">
              <w:t>8</w:t>
            </w:r>
            <w:r w:rsidR="00EB6FE5">
              <w:t>,</w:t>
            </w:r>
            <w:r w:rsidRPr="007456D7">
              <w:t>410</w:t>
            </w:r>
          </w:p>
        </w:tc>
      </w:tr>
      <w:tr w:rsidR="007456D7" w:rsidRPr="007456D7" w14:paraId="72F52736" w14:textId="77777777" w:rsidTr="004F2DEA">
        <w:trPr>
          <w:trHeight w:val="683"/>
        </w:trPr>
        <w:tc>
          <w:tcPr>
            <w:tcW w:w="1915" w:type="dxa"/>
            <w:vAlign w:val="center"/>
          </w:tcPr>
          <w:p w14:paraId="24F865F3" w14:textId="77777777" w:rsidR="007456D7" w:rsidRPr="007456D7" w:rsidRDefault="007456D7" w:rsidP="007456D7">
            <w:pPr>
              <w:jc w:val="center"/>
            </w:pPr>
            <w:r w:rsidRPr="007456D7">
              <w:t>2018</w:t>
            </w:r>
          </w:p>
        </w:tc>
        <w:tc>
          <w:tcPr>
            <w:tcW w:w="1915" w:type="dxa"/>
            <w:vAlign w:val="center"/>
          </w:tcPr>
          <w:p w14:paraId="686BD5A5" w14:textId="77777777" w:rsidR="007456D7" w:rsidRPr="007456D7" w:rsidRDefault="007456D7" w:rsidP="007456D7">
            <w:pPr>
              <w:jc w:val="center"/>
            </w:pPr>
            <w:r w:rsidRPr="007456D7">
              <w:t>27.6</w:t>
            </w:r>
          </w:p>
        </w:tc>
        <w:tc>
          <w:tcPr>
            <w:tcW w:w="1915" w:type="dxa"/>
            <w:vAlign w:val="center"/>
          </w:tcPr>
          <w:p w14:paraId="0BF007E4" w14:textId="77777777" w:rsidR="007456D7" w:rsidRPr="007456D7" w:rsidRDefault="007456D7" w:rsidP="007456D7">
            <w:pPr>
              <w:jc w:val="center"/>
            </w:pPr>
            <w:r w:rsidRPr="007456D7">
              <w:t>172.1</w:t>
            </w:r>
          </w:p>
        </w:tc>
        <w:tc>
          <w:tcPr>
            <w:tcW w:w="1915" w:type="dxa"/>
            <w:vAlign w:val="center"/>
          </w:tcPr>
          <w:p w14:paraId="126B6D5A" w14:textId="490DC7F0" w:rsidR="007456D7" w:rsidRPr="007456D7" w:rsidRDefault="007456D7" w:rsidP="007456D7">
            <w:pPr>
              <w:jc w:val="center"/>
            </w:pPr>
            <w:r w:rsidRPr="007456D7">
              <w:t>1</w:t>
            </w:r>
            <w:r w:rsidR="00EB6FE5">
              <w:t>,</w:t>
            </w:r>
            <w:r w:rsidRPr="007456D7">
              <w:t>634</w:t>
            </w:r>
          </w:p>
        </w:tc>
        <w:tc>
          <w:tcPr>
            <w:tcW w:w="1916" w:type="dxa"/>
            <w:vAlign w:val="center"/>
          </w:tcPr>
          <w:p w14:paraId="3E4EE006" w14:textId="6C169A86" w:rsidR="007456D7" w:rsidRPr="007456D7" w:rsidRDefault="007456D7" w:rsidP="007456D7">
            <w:pPr>
              <w:jc w:val="center"/>
            </w:pPr>
            <w:r w:rsidRPr="007456D7">
              <w:t>6</w:t>
            </w:r>
            <w:r w:rsidR="00EB6FE5">
              <w:t>,</w:t>
            </w:r>
            <w:r w:rsidRPr="007456D7">
              <w:t>776</w:t>
            </w:r>
          </w:p>
        </w:tc>
      </w:tr>
      <w:tr w:rsidR="007456D7" w:rsidRPr="007456D7" w14:paraId="636CD63E" w14:textId="77777777" w:rsidTr="004F2DEA">
        <w:trPr>
          <w:trHeight w:val="719"/>
        </w:trPr>
        <w:tc>
          <w:tcPr>
            <w:tcW w:w="1915" w:type="dxa"/>
            <w:vAlign w:val="center"/>
          </w:tcPr>
          <w:p w14:paraId="41EE2513" w14:textId="77777777" w:rsidR="007456D7" w:rsidRPr="007456D7" w:rsidRDefault="007456D7" w:rsidP="007456D7">
            <w:pPr>
              <w:jc w:val="center"/>
            </w:pPr>
            <w:r w:rsidRPr="007456D7">
              <w:t>2019</w:t>
            </w:r>
          </w:p>
        </w:tc>
        <w:tc>
          <w:tcPr>
            <w:tcW w:w="1915" w:type="dxa"/>
            <w:vAlign w:val="center"/>
          </w:tcPr>
          <w:p w14:paraId="68111773" w14:textId="77777777" w:rsidR="007456D7" w:rsidRPr="007456D7" w:rsidRDefault="007456D7" w:rsidP="007456D7">
            <w:pPr>
              <w:jc w:val="center"/>
            </w:pPr>
            <w:r w:rsidRPr="007456D7">
              <w:t>37.8</w:t>
            </w:r>
          </w:p>
        </w:tc>
        <w:tc>
          <w:tcPr>
            <w:tcW w:w="1915" w:type="dxa"/>
            <w:vAlign w:val="center"/>
          </w:tcPr>
          <w:p w14:paraId="72BD96E7" w14:textId="77777777" w:rsidR="007456D7" w:rsidRPr="007456D7" w:rsidRDefault="007456D7" w:rsidP="007456D7">
            <w:pPr>
              <w:jc w:val="center"/>
            </w:pPr>
            <w:r w:rsidRPr="007456D7">
              <w:t>134.3</w:t>
            </w:r>
          </w:p>
        </w:tc>
        <w:tc>
          <w:tcPr>
            <w:tcW w:w="1915" w:type="dxa"/>
            <w:vAlign w:val="center"/>
          </w:tcPr>
          <w:p w14:paraId="6E530CFB" w14:textId="4CC06B3D" w:rsidR="007456D7" w:rsidRPr="007456D7" w:rsidRDefault="007456D7" w:rsidP="007456D7">
            <w:pPr>
              <w:jc w:val="center"/>
            </w:pPr>
            <w:r w:rsidRPr="007456D7">
              <w:t>1</w:t>
            </w:r>
            <w:r w:rsidR="00EB6FE5">
              <w:t>,</w:t>
            </w:r>
            <w:r w:rsidRPr="007456D7">
              <w:t>183</w:t>
            </w:r>
          </w:p>
        </w:tc>
        <w:tc>
          <w:tcPr>
            <w:tcW w:w="1916" w:type="dxa"/>
            <w:vAlign w:val="center"/>
          </w:tcPr>
          <w:p w14:paraId="0325FD23" w14:textId="3BEB520E" w:rsidR="007456D7" w:rsidRPr="007456D7" w:rsidRDefault="007456D7" w:rsidP="007456D7">
            <w:pPr>
              <w:jc w:val="center"/>
            </w:pPr>
            <w:r w:rsidRPr="007456D7">
              <w:t>5</w:t>
            </w:r>
            <w:r w:rsidR="00EB6FE5">
              <w:t>,</w:t>
            </w:r>
            <w:r w:rsidRPr="007456D7">
              <w:t>593</w:t>
            </w:r>
          </w:p>
        </w:tc>
      </w:tr>
      <w:tr w:rsidR="007456D7" w:rsidRPr="007456D7" w14:paraId="7789FC1D" w14:textId="77777777" w:rsidTr="004F2DEA">
        <w:trPr>
          <w:trHeight w:val="638"/>
        </w:trPr>
        <w:tc>
          <w:tcPr>
            <w:tcW w:w="1915" w:type="dxa"/>
            <w:vAlign w:val="center"/>
          </w:tcPr>
          <w:p w14:paraId="61640102" w14:textId="77777777" w:rsidR="007456D7" w:rsidRPr="007456D7" w:rsidRDefault="007456D7" w:rsidP="007456D7">
            <w:pPr>
              <w:jc w:val="center"/>
            </w:pPr>
            <w:r w:rsidRPr="007456D7">
              <w:t>2020</w:t>
            </w:r>
          </w:p>
        </w:tc>
        <w:tc>
          <w:tcPr>
            <w:tcW w:w="1915" w:type="dxa"/>
            <w:vAlign w:val="center"/>
          </w:tcPr>
          <w:p w14:paraId="54879D91" w14:textId="77777777" w:rsidR="007456D7" w:rsidRPr="007456D7" w:rsidRDefault="007456D7" w:rsidP="007456D7">
            <w:pPr>
              <w:jc w:val="center"/>
            </w:pPr>
            <w:r w:rsidRPr="007456D7">
              <w:t>25.5</w:t>
            </w:r>
          </w:p>
        </w:tc>
        <w:tc>
          <w:tcPr>
            <w:tcW w:w="1915" w:type="dxa"/>
            <w:vAlign w:val="center"/>
          </w:tcPr>
          <w:p w14:paraId="71B49678" w14:textId="77777777" w:rsidR="007456D7" w:rsidRPr="007456D7" w:rsidRDefault="007456D7" w:rsidP="007456D7">
            <w:pPr>
              <w:jc w:val="center"/>
            </w:pPr>
            <w:r w:rsidRPr="007456D7">
              <w:t>108.8</w:t>
            </w:r>
          </w:p>
        </w:tc>
        <w:tc>
          <w:tcPr>
            <w:tcW w:w="1915" w:type="dxa"/>
            <w:vAlign w:val="center"/>
          </w:tcPr>
          <w:p w14:paraId="37FD6EC8" w14:textId="049E9A90" w:rsidR="007456D7" w:rsidRPr="007456D7" w:rsidRDefault="007456D7" w:rsidP="007456D7">
            <w:pPr>
              <w:jc w:val="center"/>
            </w:pPr>
            <w:r w:rsidRPr="007456D7">
              <w:t>1</w:t>
            </w:r>
            <w:r w:rsidR="00EB6FE5">
              <w:t>,</w:t>
            </w:r>
            <w:r w:rsidRPr="007456D7">
              <w:t>186</w:t>
            </w:r>
          </w:p>
        </w:tc>
        <w:tc>
          <w:tcPr>
            <w:tcW w:w="1916" w:type="dxa"/>
            <w:vAlign w:val="center"/>
          </w:tcPr>
          <w:p w14:paraId="108FCBCC" w14:textId="2E200DDC" w:rsidR="007456D7" w:rsidRPr="007456D7" w:rsidRDefault="007456D7" w:rsidP="007456D7">
            <w:pPr>
              <w:jc w:val="center"/>
            </w:pPr>
            <w:r w:rsidRPr="007456D7">
              <w:t>4</w:t>
            </w:r>
            <w:r w:rsidR="00EB6FE5">
              <w:t>,</w:t>
            </w:r>
            <w:r w:rsidRPr="007456D7">
              <w:t>407</w:t>
            </w:r>
          </w:p>
        </w:tc>
      </w:tr>
      <w:tr w:rsidR="007456D7" w:rsidRPr="007456D7" w14:paraId="186D60D0" w14:textId="77777777" w:rsidTr="004F2DEA">
        <w:trPr>
          <w:trHeight w:val="701"/>
        </w:trPr>
        <w:tc>
          <w:tcPr>
            <w:tcW w:w="1915" w:type="dxa"/>
            <w:vAlign w:val="center"/>
          </w:tcPr>
          <w:p w14:paraId="0399EEC8" w14:textId="77777777" w:rsidR="007456D7" w:rsidRPr="007456D7" w:rsidRDefault="007456D7" w:rsidP="007456D7">
            <w:pPr>
              <w:jc w:val="center"/>
            </w:pPr>
            <w:r w:rsidRPr="007456D7">
              <w:t>2021</w:t>
            </w:r>
          </w:p>
        </w:tc>
        <w:tc>
          <w:tcPr>
            <w:tcW w:w="1915" w:type="dxa"/>
            <w:vAlign w:val="center"/>
          </w:tcPr>
          <w:p w14:paraId="436A2714" w14:textId="77777777" w:rsidR="007456D7" w:rsidRPr="007456D7" w:rsidRDefault="007456D7" w:rsidP="007456D7">
            <w:pPr>
              <w:jc w:val="center"/>
            </w:pPr>
            <w:r w:rsidRPr="007456D7">
              <w:t>26.0</w:t>
            </w:r>
          </w:p>
        </w:tc>
        <w:tc>
          <w:tcPr>
            <w:tcW w:w="1915" w:type="dxa"/>
            <w:vAlign w:val="center"/>
          </w:tcPr>
          <w:p w14:paraId="5A69FB7D" w14:textId="77777777" w:rsidR="007456D7" w:rsidRPr="007456D7" w:rsidRDefault="007456D7" w:rsidP="007456D7">
            <w:pPr>
              <w:jc w:val="center"/>
            </w:pPr>
            <w:r w:rsidRPr="007456D7">
              <w:t>82.8</w:t>
            </w:r>
          </w:p>
        </w:tc>
        <w:tc>
          <w:tcPr>
            <w:tcW w:w="1915" w:type="dxa"/>
            <w:vAlign w:val="center"/>
          </w:tcPr>
          <w:p w14:paraId="2EE1C05B" w14:textId="59C5B42A" w:rsidR="007456D7" w:rsidRPr="007456D7" w:rsidRDefault="007456D7" w:rsidP="007456D7">
            <w:pPr>
              <w:jc w:val="center"/>
            </w:pPr>
            <w:r w:rsidRPr="007456D7">
              <w:t>1</w:t>
            </w:r>
            <w:r w:rsidR="00EB6FE5">
              <w:t>,</w:t>
            </w:r>
            <w:r w:rsidRPr="007456D7">
              <w:t>105</w:t>
            </w:r>
          </w:p>
        </w:tc>
        <w:tc>
          <w:tcPr>
            <w:tcW w:w="1916" w:type="dxa"/>
            <w:vAlign w:val="center"/>
          </w:tcPr>
          <w:p w14:paraId="259D23A6" w14:textId="25FD1026" w:rsidR="007456D7" w:rsidRPr="007456D7" w:rsidRDefault="007456D7" w:rsidP="007456D7">
            <w:pPr>
              <w:jc w:val="center"/>
            </w:pPr>
            <w:r w:rsidRPr="007456D7">
              <w:t>3</w:t>
            </w:r>
            <w:r w:rsidR="00EB6FE5">
              <w:t>,</w:t>
            </w:r>
            <w:r w:rsidRPr="007456D7">
              <w:t>302</w:t>
            </w:r>
          </w:p>
        </w:tc>
      </w:tr>
      <w:tr w:rsidR="007456D7" w:rsidRPr="007456D7" w14:paraId="6F01630E" w14:textId="77777777" w:rsidTr="004F2DEA">
        <w:trPr>
          <w:trHeight w:val="737"/>
        </w:trPr>
        <w:tc>
          <w:tcPr>
            <w:tcW w:w="1915" w:type="dxa"/>
            <w:vAlign w:val="center"/>
          </w:tcPr>
          <w:p w14:paraId="3727C64F" w14:textId="77777777" w:rsidR="007456D7" w:rsidRPr="007456D7" w:rsidRDefault="007456D7" w:rsidP="007456D7">
            <w:pPr>
              <w:jc w:val="center"/>
            </w:pPr>
            <w:r w:rsidRPr="007456D7">
              <w:t>2022</w:t>
            </w:r>
          </w:p>
        </w:tc>
        <w:tc>
          <w:tcPr>
            <w:tcW w:w="1915" w:type="dxa"/>
            <w:vAlign w:val="center"/>
          </w:tcPr>
          <w:p w14:paraId="0BEF87C3" w14:textId="77777777" w:rsidR="007456D7" w:rsidRPr="007456D7" w:rsidRDefault="007456D7" w:rsidP="007456D7">
            <w:pPr>
              <w:jc w:val="center"/>
            </w:pPr>
            <w:r w:rsidRPr="007456D7">
              <w:t>29.4</w:t>
            </w:r>
          </w:p>
        </w:tc>
        <w:tc>
          <w:tcPr>
            <w:tcW w:w="1915" w:type="dxa"/>
            <w:vAlign w:val="center"/>
          </w:tcPr>
          <w:p w14:paraId="7F380D1E" w14:textId="77777777" w:rsidR="007456D7" w:rsidRPr="007456D7" w:rsidRDefault="007456D7" w:rsidP="007456D7">
            <w:pPr>
              <w:jc w:val="center"/>
            </w:pPr>
            <w:r w:rsidRPr="007456D7">
              <w:t>53.4</w:t>
            </w:r>
          </w:p>
        </w:tc>
        <w:tc>
          <w:tcPr>
            <w:tcW w:w="1915" w:type="dxa"/>
            <w:vAlign w:val="center"/>
          </w:tcPr>
          <w:p w14:paraId="245C2A77" w14:textId="1A980D8B" w:rsidR="007456D7" w:rsidRPr="007456D7" w:rsidRDefault="007456D7" w:rsidP="007456D7">
            <w:pPr>
              <w:jc w:val="center"/>
            </w:pPr>
            <w:r w:rsidRPr="007456D7">
              <w:t>1</w:t>
            </w:r>
            <w:r w:rsidR="00EB6FE5">
              <w:t>,</w:t>
            </w:r>
            <w:r w:rsidRPr="007456D7">
              <w:t>355</w:t>
            </w:r>
          </w:p>
        </w:tc>
        <w:tc>
          <w:tcPr>
            <w:tcW w:w="1916" w:type="dxa"/>
            <w:vAlign w:val="center"/>
          </w:tcPr>
          <w:p w14:paraId="7ED5E6BA" w14:textId="6965E9FC" w:rsidR="007456D7" w:rsidRPr="007456D7" w:rsidRDefault="007456D7" w:rsidP="007456D7">
            <w:pPr>
              <w:jc w:val="center"/>
            </w:pPr>
            <w:r w:rsidRPr="007456D7">
              <w:t>1</w:t>
            </w:r>
            <w:r w:rsidR="00EB6FE5">
              <w:t>,</w:t>
            </w:r>
            <w:r w:rsidRPr="007456D7">
              <w:t>947</w:t>
            </w:r>
          </w:p>
        </w:tc>
      </w:tr>
      <w:tr w:rsidR="007456D7" w:rsidRPr="007456D7" w14:paraId="420F21DD" w14:textId="77777777" w:rsidTr="004F2DEA">
        <w:trPr>
          <w:trHeight w:val="656"/>
        </w:trPr>
        <w:tc>
          <w:tcPr>
            <w:tcW w:w="1915" w:type="dxa"/>
            <w:vAlign w:val="center"/>
          </w:tcPr>
          <w:p w14:paraId="23420919" w14:textId="77777777" w:rsidR="007456D7" w:rsidRPr="007456D7" w:rsidRDefault="007456D7" w:rsidP="007456D7">
            <w:pPr>
              <w:jc w:val="center"/>
            </w:pPr>
            <w:r w:rsidRPr="007456D7">
              <w:t>2023</w:t>
            </w:r>
          </w:p>
        </w:tc>
        <w:tc>
          <w:tcPr>
            <w:tcW w:w="1915" w:type="dxa"/>
            <w:vAlign w:val="center"/>
          </w:tcPr>
          <w:p w14:paraId="3763C50C" w14:textId="77777777" w:rsidR="007456D7" w:rsidRPr="007456D7" w:rsidRDefault="007456D7" w:rsidP="007456D7">
            <w:pPr>
              <w:jc w:val="center"/>
            </w:pPr>
            <w:r w:rsidRPr="007456D7">
              <w:t>17.8</w:t>
            </w:r>
          </w:p>
        </w:tc>
        <w:tc>
          <w:tcPr>
            <w:tcW w:w="1915" w:type="dxa"/>
            <w:vAlign w:val="center"/>
          </w:tcPr>
          <w:p w14:paraId="098B2359" w14:textId="77777777" w:rsidR="007456D7" w:rsidRPr="007456D7" w:rsidRDefault="007456D7" w:rsidP="007456D7">
            <w:pPr>
              <w:jc w:val="center"/>
            </w:pPr>
            <w:r w:rsidRPr="007456D7">
              <w:t>35.6</w:t>
            </w:r>
          </w:p>
        </w:tc>
        <w:tc>
          <w:tcPr>
            <w:tcW w:w="1915" w:type="dxa"/>
            <w:vAlign w:val="center"/>
          </w:tcPr>
          <w:p w14:paraId="39D7B379" w14:textId="77777777" w:rsidR="007456D7" w:rsidRPr="007456D7" w:rsidRDefault="007456D7" w:rsidP="007456D7">
            <w:pPr>
              <w:jc w:val="center"/>
            </w:pPr>
            <w:r w:rsidRPr="007456D7">
              <w:t>649</w:t>
            </w:r>
          </w:p>
        </w:tc>
        <w:tc>
          <w:tcPr>
            <w:tcW w:w="1916" w:type="dxa"/>
            <w:vAlign w:val="center"/>
          </w:tcPr>
          <w:p w14:paraId="230CEDE5" w14:textId="6B0312B4" w:rsidR="007456D7" w:rsidRPr="007456D7" w:rsidRDefault="007456D7" w:rsidP="007456D7">
            <w:pPr>
              <w:jc w:val="center"/>
            </w:pPr>
            <w:r w:rsidRPr="007456D7">
              <w:t>1</w:t>
            </w:r>
            <w:r w:rsidR="00EB6FE5">
              <w:t>,</w:t>
            </w:r>
            <w:r w:rsidRPr="007456D7">
              <w:t>298</w:t>
            </w:r>
          </w:p>
        </w:tc>
      </w:tr>
      <w:tr w:rsidR="007456D7" w:rsidRPr="007456D7" w14:paraId="01C8E699" w14:textId="77777777" w:rsidTr="004F2DEA">
        <w:trPr>
          <w:trHeight w:val="620"/>
        </w:trPr>
        <w:tc>
          <w:tcPr>
            <w:tcW w:w="1915" w:type="dxa"/>
            <w:vAlign w:val="center"/>
          </w:tcPr>
          <w:p w14:paraId="5992F38D" w14:textId="77777777" w:rsidR="007456D7" w:rsidRPr="007456D7" w:rsidRDefault="007456D7" w:rsidP="007456D7">
            <w:pPr>
              <w:jc w:val="center"/>
            </w:pPr>
            <w:r w:rsidRPr="007456D7">
              <w:t>2024</w:t>
            </w:r>
          </w:p>
        </w:tc>
        <w:tc>
          <w:tcPr>
            <w:tcW w:w="1915" w:type="dxa"/>
            <w:vAlign w:val="center"/>
          </w:tcPr>
          <w:p w14:paraId="75964102" w14:textId="77777777" w:rsidR="007456D7" w:rsidRPr="007456D7" w:rsidRDefault="007456D7" w:rsidP="007456D7">
            <w:pPr>
              <w:jc w:val="center"/>
            </w:pPr>
            <w:r w:rsidRPr="007456D7">
              <w:t>17.8</w:t>
            </w:r>
          </w:p>
        </w:tc>
        <w:tc>
          <w:tcPr>
            <w:tcW w:w="1915" w:type="dxa"/>
            <w:vAlign w:val="center"/>
          </w:tcPr>
          <w:p w14:paraId="2048F34C" w14:textId="77777777" w:rsidR="007456D7" w:rsidRPr="007456D7" w:rsidRDefault="007456D7" w:rsidP="007456D7">
            <w:pPr>
              <w:jc w:val="center"/>
            </w:pPr>
            <w:r w:rsidRPr="007456D7">
              <w:t>17.8</w:t>
            </w:r>
          </w:p>
        </w:tc>
        <w:tc>
          <w:tcPr>
            <w:tcW w:w="1915" w:type="dxa"/>
            <w:vAlign w:val="center"/>
          </w:tcPr>
          <w:p w14:paraId="29AA70F8" w14:textId="77777777" w:rsidR="007456D7" w:rsidRPr="007456D7" w:rsidRDefault="007456D7" w:rsidP="007456D7">
            <w:pPr>
              <w:jc w:val="center"/>
            </w:pPr>
            <w:r w:rsidRPr="007456D7">
              <w:t>649</w:t>
            </w:r>
          </w:p>
        </w:tc>
        <w:tc>
          <w:tcPr>
            <w:tcW w:w="1916" w:type="dxa"/>
            <w:vAlign w:val="center"/>
          </w:tcPr>
          <w:p w14:paraId="0ABCA314" w14:textId="77777777" w:rsidR="007456D7" w:rsidRPr="007456D7" w:rsidRDefault="007456D7" w:rsidP="007456D7">
            <w:pPr>
              <w:jc w:val="center"/>
            </w:pPr>
            <w:r w:rsidRPr="007456D7">
              <w:t>649</w:t>
            </w:r>
          </w:p>
        </w:tc>
      </w:tr>
      <w:tr w:rsidR="007456D7" w:rsidRPr="007456D7" w14:paraId="312EE390" w14:textId="77777777" w:rsidTr="004F2DEA">
        <w:trPr>
          <w:trHeight w:val="593"/>
        </w:trPr>
        <w:tc>
          <w:tcPr>
            <w:tcW w:w="1915" w:type="dxa"/>
            <w:vAlign w:val="center"/>
          </w:tcPr>
          <w:p w14:paraId="13433521" w14:textId="77777777" w:rsidR="007456D7" w:rsidRPr="007456D7" w:rsidRDefault="007456D7" w:rsidP="007456D7">
            <w:pPr>
              <w:jc w:val="center"/>
            </w:pPr>
            <w:r w:rsidRPr="007456D7">
              <w:t>2025</w:t>
            </w:r>
          </w:p>
        </w:tc>
        <w:tc>
          <w:tcPr>
            <w:tcW w:w="1915" w:type="dxa"/>
            <w:vAlign w:val="center"/>
          </w:tcPr>
          <w:p w14:paraId="1459F9A7" w14:textId="77777777" w:rsidR="007456D7" w:rsidRPr="007456D7" w:rsidRDefault="007456D7" w:rsidP="007456D7">
            <w:pPr>
              <w:jc w:val="center"/>
            </w:pPr>
            <w:r w:rsidRPr="007456D7">
              <w:t>17.8</w:t>
            </w:r>
          </w:p>
        </w:tc>
        <w:tc>
          <w:tcPr>
            <w:tcW w:w="1915" w:type="dxa"/>
            <w:vAlign w:val="center"/>
          </w:tcPr>
          <w:p w14:paraId="5ACB2ACC" w14:textId="77777777" w:rsidR="007456D7" w:rsidRPr="007456D7" w:rsidRDefault="007456D7" w:rsidP="007456D7">
            <w:pPr>
              <w:jc w:val="center"/>
            </w:pPr>
            <w:r w:rsidRPr="007456D7">
              <w:t>0.0</w:t>
            </w:r>
          </w:p>
        </w:tc>
        <w:tc>
          <w:tcPr>
            <w:tcW w:w="1915" w:type="dxa"/>
            <w:vAlign w:val="center"/>
          </w:tcPr>
          <w:p w14:paraId="3F35B79D" w14:textId="77777777" w:rsidR="007456D7" w:rsidRPr="007456D7" w:rsidRDefault="007456D7" w:rsidP="007456D7">
            <w:pPr>
              <w:jc w:val="center"/>
            </w:pPr>
            <w:r w:rsidRPr="007456D7">
              <w:t>0</w:t>
            </w:r>
          </w:p>
        </w:tc>
        <w:tc>
          <w:tcPr>
            <w:tcW w:w="1916" w:type="dxa"/>
            <w:vAlign w:val="center"/>
          </w:tcPr>
          <w:p w14:paraId="0AD1E445" w14:textId="77777777" w:rsidR="007456D7" w:rsidRPr="007456D7" w:rsidRDefault="007456D7" w:rsidP="007456D7">
            <w:pPr>
              <w:jc w:val="center"/>
            </w:pPr>
            <w:r w:rsidRPr="007456D7">
              <w:t>0</w:t>
            </w:r>
          </w:p>
        </w:tc>
      </w:tr>
    </w:tbl>
    <w:p w14:paraId="6EDCE380" w14:textId="77777777" w:rsidR="007456D7" w:rsidRPr="007456D7" w:rsidRDefault="007456D7" w:rsidP="007456D7">
      <w:pPr>
        <w:spacing w:after="240"/>
        <w:jc w:val="both"/>
        <w:outlineLvl w:val="0"/>
        <w:rPr>
          <w:bCs/>
          <w:kern w:val="32"/>
          <w:szCs w:val="32"/>
        </w:rPr>
      </w:pPr>
      <w:r w:rsidRPr="007456D7">
        <w:rPr>
          <w:bCs/>
          <w:kern w:val="32"/>
          <w:szCs w:val="32"/>
        </w:rPr>
        <w:t xml:space="preserve">Source: Attachment A of </w:t>
      </w:r>
      <w:r>
        <w:rPr>
          <w:bCs/>
          <w:kern w:val="32"/>
          <w:szCs w:val="32"/>
        </w:rPr>
        <w:t xml:space="preserve">the petition for Docket No. 20210149-GU. </w:t>
      </w:r>
      <w:r>
        <w:rPr>
          <w:bCs/>
          <w:kern w:val="32"/>
          <w:szCs w:val="32"/>
        </w:rPr>
        <w:tab/>
      </w:r>
      <w:r>
        <w:rPr>
          <w:bCs/>
          <w:kern w:val="32"/>
          <w:szCs w:val="32"/>
        </w:rPr>
        <w:tab/>
      </w:r>
      <w:r>
        <w:rPr>
          <w:bCs/>
          <w:kern w:val="32"/>
          <w:szCs w:val="32"/>
        </w:rPr>
        <w:tab/>
        <w:t>*Actuals 2014-July 2021. Projections August 2021</w:t>
      </w:r>
      <w:r w:rsidRPr="007456D7">
        <w:rPr>
          <w:bCs/>
          <w:kern w:val="32"/>
          <w:szCs w:val="32"/>
        </w:rPr>
        <w:t>-2025.</w:t>
      </w:r>
    </w:p>
    <w:p w14:paraId="2B109DB0" w14:textId="77777777" w:rsidR="004B6734" w:rsidRDefault="004B6734" w:rsidP="00E275D8">
      <w:pPr>
        <w:pStyle w:val="BodyText"/>
      </w:pPr>
    </w:p>
    <w:p w14:paraId="377E29E7" w14:textId="77777777" w:rsidR="002268CA" w:rsidRDefault="004B6734" w:rsidP="004B6734">
      <w:pPr>
        <w:sectPr w:rsidR="002268CA" w:rsidSect="0068481F">
          <w:headerReference w:type="default" r:id="rId15"/>
          <w:pgSz w:w="12240" w:h="15840" w:code="1"/>
          <w:pgMar w:top="1584" w:right="1440" w:bottom="1440" w:left="1440" w:header="720" w:footer="720" w:gutter="0"/>
          <w:cols w:space="720"/>
          <w:formProt w:val="0"/>
          <w:docGrid w:linePitch="360"/>
        </w:sectPr>
      </w:pPr>
      <w:r>
        <w:br w:type="page"/>
      </w:r>
    </w:p>
    <w:p w14:paraId="7E1A48E6" w14:textId="77777777" w:rsidR="004B6734" w:rsidRDefault="004B6734" w:rsidP="004B6734"/>
    <w:p w14:paraId="516B926B" w14:textId="77777777" w:rsidR="00E06484" w:rsidRDefault="004B6734" w:rsidP="00E275D8">
      <w:pPr>
        <w:pStyle w:val="BodyText"/>
      </w:pPr>
      <w:r>
        <w:rPr>
          <w:noProof/>
        </w:rPr>
        <w:drawing>
          <wp:inline distT="0" distB="0" distL="0" distR="0" wp14:anchorId="6A33902F" wp14:editId="572F5A9A">
            <wp:extent cx="5943600" cy="7455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achment B.PNG"/>
                    <pic:cNvPicPr/>
                  </pic:nvPicPr>
                  <pic:blipFill>
                    <a:blip r:embed="rId16">
                      <a:extLst>
                        <a:ext uri="{28A0092B-C50C-407E-A947-70E740481C1C}">
                          <a14:useLocalDpi xmlns:a14="http://schemas.microsoft.com/office/drawing/2010/main" val="0"/>
                        </a:ext>
                      </a:extLst>
                    </a:blip>
                    <a:stretch>
                      <a:fillRect/>
                    </a:stretch>
                  </pic:blipFill>
                  <pic:spPr>
                    <a:xfrm>
                      <a:off x="0" y="0"/>
                      <a:ext cx="5943600" cy="7455535"/>
                    </a:xfrm>
                    <a:prstGeom prst="rect">
                      <a:avLst/>
                    </a:prstGeom>
                  </pic:spPr>
                </pic:pic>
              </a:graphicData>
            </a:graphic>
          </wp:inline>
        </w:drawing>
      </w:r>
    </w:p>
    <w:sectPr w:rsidR="00E06484" w:rsidSect="0068481F">
      <w:headerReference w:type="defaul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AA04D" w14:textId="77777777" w:rsidR="007A219B" w:rsidRDefault="007A219B">
      <w:r>
        <w:separator/>
      </w:r>
    </w:p>
  </w:endnote>
  <w:endnote w:type="continuationSeparator" w:id="0">
    <w:p w14:paraId="35DA84B7" w14:textId="77777777" w:rsidR="007A219B" w:rsidRDefault="007A2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6FA17" w14:textId="270B6728"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F764E">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96E7C" w14:textId="47AD64AB" w:rsidR="007456D7" w:rsidRDefault="007456D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F764E">
      <w:rPr>
        <w:rStyle w:val="PageNumber"/>
        <w:noProof/>
      </w:rPr>
      <w:t>7</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2E6CD"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FD257" w14:textId="77777777" w:rsidR="007A219B" w:rsidRDefault="007A219B">
      <w:r>
        <w:separator/>
      </w:r>
    </w:p>
  </w:footnote>
  <w:footnote w:type="continuationSeparator" w:id="0">
    <w:p w14:paraId="55CAA088" w14:textId="77777777" w:rsidR="007A219B" w:rsidRDefault="007A219B">
      <w:r>
        <w:continuationSeparator/>
      </w:r>
    </w:p>
  </w:footnote>
  <w:footnote w:id="1">
    <w:p w14:paraId="4B20F8E0" w14:textId="77777777" w:rsidR="00664CAA" w:rsidRPr="00664CAA" w:rsidRDefault="00664CAA">
      <w:pPr>
        <w:pStyle w:val="FootnoteText"/>
      </w:pPr>
      <w:r>
        <w:rPr>
          <w:rStyle w:val="FootnoteReference"/>
        </w:rPr>
        <w:footnoteRef/>
      </w:r>
      <w:r>
        <w:t xml:space="preserve"> Order No. PSC-15-0390-TRF-GU, issued September 15, 2015, in Docket No. 150116-GU, </w:t>
      </w:r>
      <w:r>
        <w:rPr>
          <w:i/>
        </w:rPr>
        <w:t xml:space="preserve">In re: Petition for approval of </w:t>
      </w:r>
      <w:r w:rsidR="00671857">
        <w:rPr>
          <w:i/>
        </w:rPr>
        <w:t>safety, access</w:t>
      </w:r>
      <w:r>
        <w:rPr>
          <w:i/>
        </w:rPr>
        <w:t>, and facility enhancement program and associated cost recovery metho</w:t>
      </w:r>
      <w:r w:rsidR="00671857">
        <w:rPr>
          <w:i/>
        </w:rPr>
        <w:t>do</w:t>
      </w:r>
      <w:r>
        <w:rPr>
          <w:i/>
        </w:rPr>
        <w:t xml:space="preserve">logy, by Florida City Gas. </w:t>
      </w:r>
    </w:p>
  </w:footnote>
  <w:footnote w:id="2">
    <w:p w14:paraId="4AF885D6" w14:textId="77777777" w:rsidR="00664CAA" w:rsidRPr="00664CAA" w:rsidRDefault="00664CAA">
      <w:pPr>
        <w:pStyle w:val="FootnoteText"/>
      </w:pPr>
      <w:r>
        <w:rPr>
          <w:rStyle w:val="FootnoteReference"/>
        </w:rPr>
        <w:footnoteRef/>
      </w:r>
      <w:r>
        <w:t xml:space="preserve"> Order No. PSC-2020-0456-TRF-GU, issued November 23, 2020, in Docket No. 20200204-GU</w:t>
      </w:r>
      <w:r w:rsidR="00364A67">
        <w:t>,</w:t>
      </w:r>
      <w:r>
        <w:t xml:space="preserve"> </w:t>
      </w:r>
      <w:r>
        <w:rPr>
          <w:i/>
        </w:rPr>
        <w:t xml:space="preserve">In re: Petition for approval of the safety, access, and facility enhancement program true-up and 2021 cost recovery factors, by Florida City Gas. </w:t>
      </w:r>
    </w:p>
  </w:footnote>
  <w:footnote w:id="3">
    <w:p w14:paraId="3B334220" w14:textId="77777777" w:rsidR="002C3861" w:rsidRDefault="002C3861">
      <w:pPr>
        <w:pStyle w:val="FootnoteText"/>
      </w:pPr>
      <w:r>
        <w:rPr>
          <w:rStyle w:val="FootnoteReference"/>
        </w:rPr>
        <w:footnoteRef/>
      </w:r>
      <w:r>
        <w:t>The calculation also includes a December 2019 true-up credit of $1,857 booked in January 2020 minus a December 2020 true-up of $8,758 booked in January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3E700" w14:textId="77777777" w:rsidR="00BC402E" w:rsidRDefault="008D1B40"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20210149-GU</w:t>
    </w:r>
    <w:bookmarkEnd w:id="14"/>
  </w:p>
  <w:p w14:paraId="0FB18FCB" w14:textId="6C760664" w:rsidR="00BC402E" w:rsidRDefault="00BC402E">
    <w:pPr>
      <w:pStyle w:val="Header"/>
    </w:pPr>
    <w:r>
      <w:t xml:space="preserve">Date: </w:t>
    </w:r>
    <w:r w:rsidR="00CB3033">
      <w:fldChar w:fldCharType="begin"/>
    </w:r>
    <w:r w:rsidR="00CB3033">
      <w:instrText xml:space="preserve"> REF FilingDate </w:instrText>
    </w:r>
    <w:r w:rsidR="00CB3033">
      <w:fldChar w:fldCharType="separate"/>
    </w:r>
    <w:r w:rsidR="0000307A">
      <w:t>October 21, 2021</w:t>
    </w:r>
    <w:r w:rsidR="00CB303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4E1FA" w14:textId="61547E5E" w:rsidR="00AD285C"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00307A">
      <w:t>Docket No.</w:t>
    </w:r>
    <w:r>
      <w:fldChar w:fldCharType="end"/>
    </w:r>
    <w:r>
      <w:t xml:space="preserve"> </w:t>
    </w:r>
    <w:r>
      <w:fldChar w:fldCharType="begin"/>
    </w:r>
    <w:r>
      <w:instrText xml:space="preserve"> REF DocketList</w:instrText>
    </w:r>
    <w:r>
      <w:fldChar w:fldCharType="separate"/>
    </w:r>
    <w:r w:rsidR="0000307A">
      <w:t>20210149-GU</w:t>
    </w:r>
    <w:r>
      <w:fldChar w:fldCharType="end"/>
    </w:r>
    <w:r w:rsidR="007456D7">
      <w:tab/>
      <w:t>I</w:t>
    </w:r>
    <w:r w:rsidR="00AD285C">
      <w:t xml:space="preserve">ssue </w:t>
    </w:r>
    <w:r w:rsidR="00CB3033">
      <w:fldChar w:fldCharType="begin"/>
    </w:r>
    <w:r w:rsidR="00CB3033">
      <w:instrText xml:space="preserve"> Seq Issue \c \* Arabic </w:instrText>
    </w:r>
    <w:r w:rsidR="00CB3033">
      <w:fldChar w:fldCharType="separate"/>
    </w:r>
    <w:r w:rsidR="003F764E">
      <w:rPr>
        <w:noProof/>
      </w:rPr>
      <w:t>2</w:t>
    </w:r>
    <w:r w:rsidR="00CB3033">
      <w:rPr>
        <w:noProof/>
      </w:rPr>
      <w:fldChar w:fldCharType="end"/>
    </w:r>
  </w:p>
  <w:p w14:paraId="17CE0A4A" w14:textId="0D463A3B" w:rsidR="00BC402E" w:rsidRDefault="00BC402E">
    <w:pPr>
      <w:pStyle w:val="Header"/>
    </w:pPr>
    <w:r>
      <w:t xml:space="preserve">Date: </w:t>
    </w:r>
    <w:r w:rsidR="00CB3033">
      <w:fldChar w:fldCharType="begin"/>
    </w:r>
    <w:r w:rsidR="00CB3033">
      <w:instrText xml:space="preserve"> REF FilingDate </w:instrText>
    </w:r>
    <w:r w:rsidR="00CB3033">
      <w:fldChar w:fldCharType="separate"/>
    </w:r>
    <w:r w:rsidR="0000307A">
      <w:t>October 21, 2021</w:t>
    </w:r>
    <w:r w:rsidR="00CB303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69911" w14:textId="77777777"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48ECF" w14:textId="5B5215FD" w:rsidR="002268CA" w:rsidRDefault="002268CA" w:rsidP="00220732">
    <w:pPr>
      <w:pStyle w:val="Header"/>
      <w:tabs>
        <w:tab w:val="clear" w:pos="4320"/>
        <w:tab w:val="clear" w:pos="8640"/>
        <w:tab w:val="right" w:pos="9360"/>
      </w:tabs>
    </w:pPr>
    <w:r>
      <w:fldChar w:fldCharType="begin"/>
    </w:r>
    <w:r>
      <w:instrText xml:space="preserve"> REF DocketLabel</w:instrText>
    </w:r>
    <w:r>
      <w:fldChar w:fldCharType="separate"/>
    </w:r>
    <w:r w:rsidR="0000307A">
      <w:t>Docket No.</w:t>
    </w:r>
    <w:r>
      <w:fldChar w:fldCharType="end"/>
    </w:r>
    <w:r>
      <w:t xml:space="preserve"> </w:t>
    </w:r>
    <w:r>
      <w:fldChar w:fldCharType="begin"/>
    </w:r>
    <w:r>
      <w:instrText xml:space="preserve"> REF DocketList</w:instrText>
    </w:r>
    <w:r>
      <w:fldChar w:fldCharType="separate"/>
    </w:r>
    <w:r w:rsidR="0000307A">
      <w:t>20210149-GU</w:t>
    </w:r>
    <w:r>
      <w:fldChar w:fldCharType="end"/>
    </w:r>
    <w:r>
      <w:tab/>
      <w:t>Attachment A</w:t>
    </w:r>
  </w:p>
  <w:p w14:paraId="4E3766CD" w14:textId="24084940" w:rsidR="002268CA" w:rsidRDefault="002268CA">
    <w:pPr>
      <w:pStyle w:val="Header"/>
    </w:pPr>
    <w:r>
      <w:t xml:space="preserve">Date: </w:t>
    </w:r>
    <w:fldSimple w:instr=" REF FilingDate ">
      <w:r w:rsidR="0000307A">
        <w:t>October 21, 2021</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B3C7F" w14:textId="6DCAE76E" w:rsidR="002268CA" w:rsidRDefault="002268CA" w:rsidP="00220732">
    <w:pPr>
      <w:pStyle w:val="Header"/>
      <w:tabs>
        <w:tab w:val="clear" w:pos="4320"/>
        <w:tab w:val="clear" w:pos="8640"/>
        <w:tab w:val="right" w:pos="9360"/>
      </w:tabs>
    </w:pPr>
    <w:r>
      <w:fldChar w:fldCharType="begin"/>
    </w:r>
    <w:r>
      <w:instrText xml:space="preserve"> REF DocketLabel</w:instrText>
    </w:r>
    <w:r>
      <w:fldChar w:fldCharType="separate"/>
    </w:r>
    <w:r w:rsidR="0000307A">
      <w:t>Docket No.</w:t>
    </w:r>
    <w:r>
      <w:fldChar w:fldCharType="end"/>
    </w:r>
    <w:r>
      <w:t xml:space="preserve"> </w:t>
    </w:r>
    <w:r>
      <w:fldChar w:fldCharType="begin"/>
    </w:r>
    <w:r>
      <w:instrText xml:space="preserve"> REF DocketList</w:instrText>
    </w:r>
    <w:r>
      <w:fldChar w:fldCharType="separate"/>
    </w:r>
    <w:r w:rsidR="0000307A">
      <w:t>20210149-GU</w:t>
    </w:r>
    <w:r>
      <w:fldChar w:fldCharType="end"/>
    </w:r>
    <w:r>
      <w:tab/>
      <w:t>Attachment B</w:t>
    </w:r>
  </w:p>
  <w:p w14:paraId="2D4CCE45" w14:textId="7B819CEC" w:rsidR="002268CA" w:rsidRDefault="002268CA">
    <w:pPr>
      <w:pStyle w:val="Header"/>
    </w:pPr>
    <w:r>
      <w:t xml:space="preserve">Date: </w:t>
    </w:r>
    <w:fldSimple w:instr=" REF FilingDate ">
      <w:r w:rsidR="0000307A">
        <w:t>October 21, 2021</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D1B40"/>
    <w:rsid w:val="0000307A"/>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374A"/>
    <w:rsid w:val="00100DFC"/>
    <w:rsid w:val="00103D41"/>
    <w:rsid w:val="001076AF"/>
    <w:rsid w:val="0011529C"/>
    <w:rsid w:val="00117C8C"/>
    <w:rsid w:val="00124C38"/>
    <w:rsid w:val="00124E2E"/>
    <w:rsid w:val="00125ED4"/>
    <w:rsid w:val="001305E9"/>
    <w:rsid w:val="001307AF"/>
    <w:rsid w:val="00135687"/>
    <w:rsid w:val="001402BF"/>
    <w:rsid w:val="0015506E"/>
    <w:rsid w:val="00163031"/>
    <w:rsid w:val="00171A90"/>
    <w:rsid w:val="00180254"/>
    <w:rsid w:val="00191E1F"/>
    <w:rsid w:val="00192943"/>
    <w:rsid w:val="0019599C"/>
    <w:rsid w:val="001A7406"/>
    <w:rsid w:val="001B4FEE"/>
    <w:rsid w:val="001B51C5"/>
    <w:rsid w:val="001B6F3F"/>
    <w:rsid w:val="001C52B5"/>
    <w:rsid w:val="001D0D3E"/>
    <w:rsid w:val="001D4459"/>
    <w:rsid w:val="001E3C2A"/>
    <w:rsid w:val="001F2245"/>
    <w:rsid w:val="001F2C63"/>
    <w:rsid w:val="001F48C7"/>
    <w:rsid w:val="001F6DA1"/>
    <w:rsid w:val="002044E6"/>
    <w:rsid w:val="00205C82"/>
    <w:rsid w:val="00205DC2"/>
    <w:rsid w:val="00212B17"/>
    <w:rsid w:val="0021430C"/>
    <w:rsid w:val="002163B6"/>
    <w:rsid w:val="00220732"/>
    <w:rsid w:val="00221D32"/>
    <w:rsid w:val="00225C3F"/>
    <w:rsid w:val="002268CA"/>
    <w:rsid w:val="00241F6F"/>
    <w:rsid w:val="00263D44"/>
    <w:rsid w:val="002702AD"/>
    <w:rsid w:val="00292D82"/>
    <w:rsid w:val="002963CB"/>
    <w:rsid w:val="002B4A01"/>
    <w:rsid w:val="002C3861"/>
    <w:rsid w:val="002D226D"/>
    <w:rsid w:val="002D5D82"/>
    <w:rsid w:val="002F6030"/>
    <w:rsid w:val="003037E1"/>
    <w:rsid w:val="00307E51"/>
    <w:rsid w:val="003103EC"/>
    <w:rsid w:val="003144EF"/>
    <w:rsid w:val="00322F74"/>
    <w:rsid w:val="00340073"/>
    <w:rsid w:val="003632FD"/>
    <w:rsid w:val="00364A67"/>
    <w:rsid w:val="00372805"/>
    <w:rsid w:val="00373180"/>
    <w:rsid w:val="00375AB9"/>
    <w:rsid w:val="003821A0"/>
    <w:rsid w:val="0038518F"/>
    <w:rsid w:val="00385B04"/>
    <w:rsid w:val="003864CF"/>
    <w:rsid w:val="003925E7"/>
    <w:rsid w:val="003948AE"/>
    <w:rsid w:val="003A22A6"/>
    <w:rsid w:val="003A5494"/>
    <w:rsid w:val="003B2510"/>
    <w:rsid w:val="003C2CC4"/>
    <w:rsid w:val="003C3710"/>
    <w:rsid w:val="003E0EFC"/>
    <w:rsid w:val="003E2EC4"/>
    <w:rsid w:val="003E4A2B"/>
    <w:rsid w:val="003E76C2"/>
    <w:rsid w:val="003F1679"/>
    <w:rsid w:val="003F21EB"/>
    <w:rsid w:val="003F4A35"/>
    <w:rsid w:val="003F764E"/>
    <w:rsid w:val="003F7FDD"/>
    <w:rsid w:val="00402481"/>
    <w:rsid w:val="004042B4"/>
    <w:rsid w:val="00410DC4"/>
    <w:rsid w:val="00412DAE"/>
    <w:rsid w:val="004242E6"/>
    <w:rsid w:val="00431598"/>
    <w:rsid w:val="004319AD"/>
    <w:rsid w:val="004426B8"/>
    <w:rsid w:val="00444432"/>
    <w:rsid w:val="00467477"/>
    <w:rsid w:val="00471860"/>
    <w:rsid w:val="00477026"/>
    <w:rsid w:val="004A744D"/>
    <w:rsid w:val="004B60BD"/>
    <w:rsid w:val="004B6734"/>
    <w:rsid w:val="004C3150"/>
    <w:rsid w:val="004C3641"/>
    <w:rsid w:val="004C4390"/>
    <w:rsid w:val="004C4AF7"/>
    <w:rsid w:val="004D2881"/>
    <w:rsid w:val="004D385F"/>
    <w:rsid w:val="004D5B39"/>
    <w:rsid w:val="004E330D"/>
    <w:rsid w:val="004E5147"/>
    <w:rsid w:val="004E69B5"/>
    <w:rsid w:val="004F5C43"/>
    <w:rsid w:val="0050246F"/>
    <w:rsid w:val="0050652D"/>
    <w:rsid w:val="00506C03"/>
    <w:rsid w:val="00511A11"/>
    <w:rsid w:val="00516496"/>
    <w:rsid w:val="00523B11"/>
    <w:rsid w:val="0052572A"/>
    <w:rsid w:val="00532DFB"/>
    <w:rsid w:val="00543CB3"/>
    <w:rsid w:val="005442E4"/>
    <w:rsid w:val="0055529B"/>
    <w:rsid w:val="0056087E"/>
    <w:rsid w:val="00560FF0"/>
    <w:rsid w:val="005614BD"/>
    <w:rsid w:val="0057154F"/>
    <w:rsid w:val="00580F69"/>
    <w:rsid w:val="00581CA3"/>
    <w:rsid w:val="00587A44"/>
    <w:rsid w:val="00597730"/>
    <w:rsid w:val="005977EC"/>
    <w:rsid w:val="00597DE7"/>
    <w:rsid w:val="005A4AA2"/>
    <w:rsid w:val="005B34B6"/>
    <w:rsid w:val="005B6C8F"/>
    <w:rsid w:val="005B6EC3"/>
    <w:rsid w:val="005C2309"/>
    <w:rsid w:val="005D0F74"/>
    <w:rsid w:val="005D2E7D"/>
    <w:rsid w:val="005D4A8F"/>
    <w:rsid w:val="005D561B"/>
    <w:rsid w:val="005D5ECF"/>
    <w:rsid w:val="005F468D"/>
    <w:rsid w:val="005F5A99"/>
    <w:rsid w:val="005F69A3"/>
    <w:rsid w:val="00604CC7"/>
    <w:rsid w:val="00615423"/>
    <w:rsid w:val="006165B2"/>
    <w:rsid w:val="00617276"/>
    <w:rsid w:val="0062527B"/>
    <w:rsid w:val="00625D97"/>
    <w:rsid w:val="00625F1C"/>
    <w:rsid w:val="006279E1"/>
    <w:rsid w:val="00630CEB"/>
    <w:rsid w:val="00632264"/>
    <w:rsid w:val="006470BC"/>
    <w:rsid w:val="006554D3"/>
    <w:rsid w:val="0066003A"/>
    <w:rsid w:val="00664CAA"/>
    <w:rsid w:val="00667036"/>
    <w:rsid w:val="00671857"/>
    <w:rsid w:val="00673BDB"/>
    <w:rsid w:val="00674341"/>
    <w:rsid w:val="006771B8"/>
    <w:rsid w:val="006843B6"/>
    <w:rsid w:val="0068481F"/>
    <w:rsid w:val="00695BC1"/>
    <w:rsid w:val="00696F5D"/>
    <w:rsid w:val="00697249"/>
    <w:rsid w:val="006B3947"/>
    <w:rsid w:val="006B4293"/>
    <w:rsid w:val="006B624F"/>
    <w:rsid w:val="006C0C95"/>
    <w:rsid w:val="006C31E3"/>
    <w:rsid w:val="006C5B11"/>
    <w:rsid w:val="006D18D3"/>
    <w:rsid w:val="006E023B"/>
    <w:rsid w:val="006E08CB"/>
    <w:rsid w:val="006E598D"/>
    <w:rsid w:val="006F1662"/>
    <w:rsid w:val="006F5CEC"/>
    <w:rsid w:val="0070437D"/>
    <w:rsid w:val="00704CF1"/>
    <w:rsid w:val="00705B04"/>
    <w:rsid w:val="007118CA"/>
    <w:rsid w:val="0072078B"/>
    <w:rsid w:val="00724992"/>
    <w:rsid w:val="00734820"/>
    <w:rsid w:val="007349DC"/>
    <w:rsid w:val="0074365E"/>
    <w:rsid w:val="00744B55"/>
    <w:rsid w:val="007456D7"/>
    <w:rsid w:val="007515FD"/>
    <w:rsid w:val="00760D80"/>
    <w:rsid w:val="00773CF5"/>
    <w:rsid w:val="00780C09"/>
    <w:rsid w:val="00780DDF"/>
    <w:rsid w:val="007834E9"/>
    <w:rsid w:val="00787DBC"/>
    <w:rsid w:val="0079019A"/>
    <w:rsid w:val="00792935"/>
    <w:rsid w:val="007A04A1"/>
    <w:rsid w:val="007A1840"/>
    <w:rsid w:val="007A219B"/>
    <w:rsid w:val="007C0528"/>
    <w:rsid w:val="007C3D38"/>
    <w:rsid w:val="007D0F35"/>
    <w:rsid w:val="007D4FEB"/>
    <w:rsid w:val="007D6146"/>
    <w:rsid w:val="007E0CE7"/>
    <w:rsid w:val="007F1193"/>
    <w:rsid w:val="007F3F70"/>
    <w:rsid w:val="007F417F"/>
    <w:rsid w:val="007F7644"/>
    <w:rsid w:val="008042BD"/>
    <w:rsid w:val="00816624"/>
    <w:rsid w:val="008171D5"/>
    <w:rsid w:val="00822427"/>
    <w:rsid w:val="00822562"/>
    <w:rsid w:val="00823663"/>
    <w:rsid w:val="008311BB"/>
    <w:rsid w:val="00832DDC"/>
    <w:rsid w:val="00850BAC"/>
    <w:rsid w:val="00854A3E"/>
    <w:rsid w:val="00855D08"/>
    <w:rsid w:val="00866ECD"/>
    <w:rsid w:val="00874344"/>
    <w:rsid w:val="00882155"/>
    <w:rsid w:val="0088233B"/>
    <w:rsid w:val="0088599E"/>
    <w:rsid w:val="00886C37"/>
    <w:rsid w:val="00892D99"/>
    <w:rsid w:val="00893315"/>
    <w:rsid w:val="008B62AE"/>
    <w:rsid w:val="008C04B5"/>
    <w:rsid w:val="008C14FA"/>
    <w:rsid w:val="008C7B0B"/>
    <w:rsid w:val="008D1B40"/>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15870"/>
    <w:rsid w:val="00920E64"/>
    <w:rsid w:val="00922002"/>
    <w:rsid w:val="0092341A"/>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9F550F"/>
    <w:rsid w:val="00A019B9"/>
    <w:rsid w:val="00A12508"/>
    <w:rsid w:val="00A1282B"/>
    <w:rsid w:val="00A13A27"/>
    <w:rsid w:val="00A175B6"/>
    <w:rsid w:val="00A21835"/>
    <w:rsid w:val="00A2374B"/>
    <w:rsid w:val="00A27D6E"/>
    <w:rsid w:val="00A328EC"/>
    <w:rsid w:val="00A32E68"/>
    <w:rsid w:val="00A33A51"/>
    <w:rsid w:val="00A41CA6"/>
    <w:rsid w:val="00A47927"/>
    <w:rsid w:val="00A47FFC"/>
    <w:rsid w:val="00A5442F"/>
    <w:rsid w:val="00A54FF9"/>
    <w:rsid w:val="00A56765"/>
    <w:rsid w:val="00A675AC"/>
    <w:rsid w:val="00A7581F"/>
    <w:rsid w:val="00A76DDB"/>
    <w:rsid w:val="00A92FB1"/>
    <w:rsid w:val="00A95A0C"/>
    <w:rsid w:val="00A96E81"/>
    <w:rsid w:val="00AA2765"/>
    <w:rsid w:val="00AA77B5"/>
    <w:rsid w:val="00AB6C5D"/>
    <w:rsid w:val="00AC3401"/>
    <w:rsid w:val="00AC51A7"/>
    <w:rsid w:val="00AD285C"/>
    <w:rsid w:val="00AD444B"/>
    <w:rsid w:val="00AD5614"/>
    <w:rsid w:val="00AD6C78"/>
    <w:rsid w:val="00AE2EAB"/>
    <w:rsid w:val="00AF5F89"/>
    <w:rsid w:val="00AF73CB"/>
    <w:rsid w:val="00B002D6"/>
    <w:rsid w:val="00B03379"/>
    <w:rsid w:val="00B05B51"/>
    <w:rsid w:val="00B14C63"/>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876B8"/>
    <w:rsid w:val="00B96250"/>
    <w:rsid w:val="00BA0D55"/>
    <w:rsid w:val="00BA37B3"/>
    <w:rsid w:val="00BA4CC6"/>
    <w:rsid w:val="00BB3493"/>
    <w:rsid w:val="00BB5080"/>
    <w:rsid w:val="00BB57E3"/>
    <w:rsid w:val="00BB7468"/>
    <w:rsid w:val="00BC188A"/>
    <w:rsid w:val="00BC402E"/>
    <w:rsid w:val="00BC6F6A"/>
    <w:rsid w:val="00BD0F48"/>
    <w:rsid w:val="00BE6DDB"/>
    <w:rsid w:val="00BF5010"/>
    <w:rsid w:val="00C03D5F"/>
    <w:rsid w:val="00C13791"/>
    <w:rsid w:val="00C31BB3"/>
    <w:rsid w:val="00C36977"/>
    <w:rsid w:val="00C4653F"/>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24D"/>
    <w:rsid w:val="00CA2C8F"/>
    <w:rsid w:val="00CA30DA"/>
    <w:rsid w:val="00CA3A24"/>
    <w:rsid w:val="00CB1777"/>
    <w:rsid w:val="00CB33E9"/>
    <w:rsid w:val="00CC10A9"/>
    <w:rsid w:val="00CD22E1"/>
    <w:rsid w:val="00CE2BF8"/>
    <w:rsid w:val="00CE484E"/>
    <w:rsid w:val="00CE656F"/>
    <w:rsid w:val="00CF0DA8"/>
    <w:rsid w:val="00CF2E25"/>
    <w:rsid w:val="00CF4453"/>
    <w:rsid w:val="00CF5D94"/>
    <w:rsid w:val="00CF7E0F"/>
    <w:rsid w:val="00D034D7"/>
    <w:rsid w:val="00D04BE4"/>
    <w:rsid w:val="00D05D8A"/>
    <w:rsid w:val="00D06FC7"/>
    <w:rsid w:val="00D12565"/>
    <w:rsid w:val="00D14127"/>
    <w:rsid w:val="00D31A2C"/>
    <w:rsid w:val="00D46600"/>
    <w:rsid w:val="00D60B16"/>
    <w:rsid w:val="00D60F02"/>
    <w:rsid w:val="00D635CE"/>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E6464"/>
    <w:rsid w:val="00DF1510"/>
    <w:rsid w:val="00E0280D"/>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97254"/>
    <w:rsid w:val="00EA2273"/>
    <w:rsid w:val="00EA7C3C"/>
    <w:rsid w:val="00EB2DB3"/>
    <w:rsid w:val="00EB6FE5"/>
    <w:rsid w:val="00EC3FBB"/>
    <w:rsid w:val="00EC417E"/>
    <w:rsid w:val="00EC6B7A"/>
    <w:rsid w:val="00ED3A87"/>
    <w:rsid w:val="00ED5B67"/>
    <w:rsid w:val="00EF264C"/>
    <w:rsid w:val="00EF3FEE"/>
    <w:rsid w:val="00F04B59"/>
    <w:rsid w:val="00F11741"/>
    <w:rsid w:val="00F12B1C"/>
    <w:rsid w:val="00F13CF8"/>
    <w:rsid w:val="00F15855"/>
    <w:rsid w:val="00F200B2"/>
    <w:rsid w:val="00F227DC"/>
    <w:rsid w:val="00F32978"/>
    <w:rsid w:val="00F43EC3"/>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4600183"/>
  <w15:docId w15:val="{C62956A9-3AFB-44F0-84E9-C21FB6B0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664CAA"/>
    <w:rPr>
      <w:vertAlign w:val="superscript"/>
    </w:rPr>
  </w:style>
  <w:style w:type="character" w:styleId="CommentReference">
    <w:name w:val="annotation reference"/>
    <w:basedOn w:val="DefaultParagraphFont"/>
    <w:semiHidden/>
    <w:unhideWhenUsed/>
    <w:rsid w:val="00A96E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2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CEFF8-8562-4319-B19D-64589A5E6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7</Pages>
  <Words>1198</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Holly Forrest</dc:creator>
  <cp:lastModifiedBy>Andrea Mick</cp:lastModifiedBy>
  <cp:revision>2</cp:revision>
  <cp:lastPrinted>2021-10-13T18:38:00Z</cp:lastPrinted>
  <dcterms:created xsi:type="dcterms:W3CDTF">2021-10-21T13:56:00Z</dcterms:created>
  <dcterms:modified xsi:type="dcterms:W3CDTF">2021-10-21T13:56:00Z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20210149-GU</vt:lpwstr>
  </property>
  <property fmtid="{D5CDD505-2E9C-101B-9397-08002B2CF9AE}" pid="3" name="MasterDocument">
    <vt:bool>false</vt:bool>
  </property>
</Properties>
</file>