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95CC720"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771BD858" w14:textId="77777777" w:rsidR="007C0528" w:rsidRDefault="007C0528" w:rsidP="00532DFB">
            <w:pPr>
              <w:pStyle w:val="MastHeadState"/>
            </w:pPr>
            <w:r>
              <w:t>State of Florida</w:t>
            </w:r>
          </w:p>
          <w:p w14:paraId="02478FC0" w14:textId="77777777" w:rsidR="007C0528" w:rsidRDefault="00072CCA">
            <w:pPr>
              <w:jc w:val="center"/>
            </w:pPr>
            <w:r>
              <w:rPr>
                <w:noProof/>
              </w:rPr>
              <w:drawing>
                <wp:inline distT="0" distB="0" distL="0" distR="0" wp14:anchorId="377E7281" wp14:editId="08FB9B4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E625BE5"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E6C1AEF" w14:textId="77777777" w:rsidR="007C0528" w:rsidRDefault="007C0528">
            <w:pPr>
              <w:pStyle w:val="MastHeadPSC"/>
            </w:pPr>
            <w:r>
              <w:t>Public Service Commission</w:t>
            </w:r>
          </w:p>
          <w:p w14:paraId="44524340" w14:textId="77777777" w:rsidR="007C0528" w:rsidRDefault="007C0528">
            <w:pPr>
              <w:pStyle w:val="MastHeadAddress"/>
            </w:pPr>
            <w:r>
              <w:t>Capital Circle Office Center ● 2540 Shumard Oak Boulevard</w:t>
            </w:r>
            <w:r>
              <w:br/>
              <w:t>Tallahassee, Florida 32399-0850</w:t>
            </w:r>
          </w:p>
          <w:p w14:paraId="22EAD4FB" w14:textId="77777777" w:rsidR="007C0528" w:rsidRDefault="007C0528">
            <w:pPr>
              <w:pStyle w:val="MastHeadMemorandum"/>
            </w:pPr>
            <w:r>
              <w:t>-M-E-M-O-R-A-N-D-U-M-</w:t>
            </w:r>
          </w:p>
          <w:p w14:paraId="25F955C9" w14:textId="77777777" w:rsidR="007C0528" w:rsidRDefault="007C0528">
            <w:pPr>
              <w:pStyle w:val="MemoHeading"/>
            </w:pPr>
          </w:p>
        </w:tc>
      </w:tr>
      <w:tr w:rsidR="007C0528" w14:paraId="16FF0A35"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74FFEE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2F39DF1" w14:textId="77777777" w:rsidR="007C0528" w:rsidRDefault="004C104B">
            <w:pPr>
              <w:pStyle w:val="MemoHeading"/>
            </w:pPr>
            <w:bookmarkStart w:id="0" w:name="FilingDate"/>
            <w:r>
              <w:t>May 25</w:t>
            </w:r>
            <w:r w:rsidR="006E3F46">
              <w:t>, 2022</w:t>
            </w:r>
            <w:bookmarkEnd w:id="0"/>
          </w:p>
        </w:tc>
      </w:tr>
      <w:tr w:rsidR="007C0528" w14:paraId="33EF681E" w14:textId="77777777">
        <w:tc>
          <w:tcPr>
            <w:tcW w:w="1254" w:type="dxa"/>
            <w:tcBorders>
              <w:top w:val="nil"/>
              <w:left w:val="nil"/>
              <w:bottom w:val="nil"/>
              <w:right w:val="nil"/>
            </w:tcBorders>
            <w:shd w:val="clear" w:color="auto" w:fill="auto"/>
            <w:tcMar>
              <w:top w:w="288" w:type="dxa"/>
              <w:bottom w:w="0" w:type="dxa"/>
              <w:right w:w="0" w:type="dxa"/>
            </w:tcMar>
          </w:tcPr>
          <w:p w14:paraId="51375D0F"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3F9DF11" w14:textId="77777777" w:rsidR="007C0528" w:rsidRDefault="007C0528" w:rsidP="0093658B">
            <w:pPr>
              <w:pStyle w:val="MemoHeading"/>
            </w:pPr>
            <w:r>
              <w:t>Office of Commission Clerk (</w:t>
            </w:r>
            <w:r w:rsidR="004E69B5">
              <w:t>Teitzman</w:t>
            </w:r>
            <w:r>
              <w:t>)</w:t>
            </w:r>
          </w:p>
        </w:tc>
      </w:tr>
      <w:tr w:rsidR="007C0528" w14:paraId="7C1943F4" w14:textId="77777777">
        <w:tc>
          <w:tcPr>
            <w:tcW w:w="1254" w:type="dxa"/>
            <w:tcBorders>
              <w:top w:val="nil"/>
              <w:left w:val="nil"/>
              <w:bottom w:val="nil"/>
              <w:right w:val="nil"/>
            </w:tcBorders>
            <w:shd w:val="clear" w:color="auto" w:fill="auto"/>
            <w:tcMar>
              <w:top w:w="288" w:type="dxa"/>
              <w:right w:w="0" w:type="dxa"/>
            </w:tcMar>
          </w:tcPr>
          <w:p w14:paraId="027A11AE"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004FE54" w14:textId="77777777" w:rsidR="006E3F46" w:rsidRDefault="006E3F46">
            <w:pPr>
              <w:pStyle w:val="MemoHeading"/>
            </w:pPr>
            <w:bookmarkStart w:id="1" w:name="From"/>
            <w:r>
              <w:t>Division of Engineering (Phillips, Ellis, King)</w:t>
            </w:r>
          </w:p>
          <w:p w14:paraId="7A9DA63F" w14:textId="77777777" w:rsidR="006E3F46" w:rsidRDefault="006E3F46">
            <w:pPr>
              <w:pStyle w:val="MemoHeading"/>
            </w:pPr>
            <w:r>
              <w:t>Division of Accounting and Finance (Norris, Thurmond)</w:t>
            </w:r>
          </w:p>
          <w:p w14:paraId="0CFFA58B" w14:textId="77777777" w:rsidR="006E3F46" w:rsidRDefault="006E3F46">
            <w:pPr>
              <w:pStyle w:val="MemoHeading"/>
            </w:pPr>
            <w:r>
              <w:t>Division of Economics (Bruce, Hudson)</w:t>
            </w:r>
          </w:p>
          <w:p w14:paraId="467E7347" w14:textId="77777777" w:rsidR="007C0528" w:rsidRDefault="006E3F46">
            <w:pPr>
              <w:pStyle w:val="MemoHeading"/>
            </w:pPr>
            <w:r>
              <w:t>Office of the General Counsel (Crawford, Sandy)</w:t>
            </w:r>
            <w:bookmarkEnd w:id="1"/>
          </w:p>
        </w:tc>
      </w:tr>
      <w:tr w:rsidR="007C0528" w14:paraId="0C2430E3" w14:textId="77777777">
        <w:tc>
          <w:tcPr>
            <w:tcW w:w="1254" w:type="dxa"/>
            <w:tcBorders>
              <w:top w:val="nil"/>
              <w:left w:val="nil"/>
              <w:bottom w:val="nil"/>
              <w:right w:val="nil"/>
            </w:tcBorders>
            <w:shd w:val="clear" w:color="auto" w:fill="auto"/>
            <w:tcMar>
              <w:top w:w="288" w:type="dxa"/>
              <w:right w:w="0" w:type="dxa"/>
            </w:tcMar>
          </w:tcPr>
          <w:p w14:paraId="7050EDAF"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BBB5120" w14:textId="77777777" w:rsidR="007C0528" w:rsidRDefault="006E3F46">
            <w:pPr>
              <w:pStyle w:val="MemoHeadingRe"/>
            </w:pPr>
            <w:bookmarkStart w:id="2" w:name="Re"/>
            <w:r>
              <w:t>Docket No. 20200226-SU – Application for certificate to provide wastewater service in Charlotte County, by Environmental Utilities, LLC.</w:t>
            </w:r>
            <w:bookmarkEnd w:id="2"/>
          </w:p>
        </w:tc>
      </w:tr>
      <w:tr w:rsidR="007C0528" w14:paraId="36B12C24" w14:textId="77777777">
        <w:tc>
          <w:tcPr>
            <w:tcW w:w="1254" w:type="dxa"/>
            <w:tcBorders>
              <w:top w:val="nil"/>
              <w:left w:val="nil"/>
              <w:bottom w:val="nil"/>
              <w:right w:val="nil"/>
            </w:tcBorders>
            <w:shd w:val="clear" w:color="auto" w:fill="auto"/>
            <w:tcMar>
              <w:top w:w="288" w:type="dxa"/>
              <w:bottom w:w="0" w:type="dxa"/>
              <w:right w:w="0" w:type="dxa"/>
            </w:tcMar>
          </w:tcPr>
          <w:p w14:paraId="63743C78"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7D40B6C9" w14:textId="77777777" w:rsidR="007C0528" w:rsidRDefault="004C104B" w:rsidP="00C165CD">
            <w:pPr>
              <w:pStyle w:val="MemoHeading"/>
            </w:pPr>
            <w:bookmarkStart w:id="3" w:name="AgendaDate"/>
            <w:r>
              <w:t>06/07</w:t>
            </w:r>
            <w:r w:rsidR="006E3F46">
              <w:t>/22</w:t>
            </w:r>
            <w:bookmarkEnd w:id="3"/>
            <w:r w:rsidR="007C0528">
              <w:t xml:space="preserve"> – </w:t>
            </w:r>
            <w:bookmarkStart w:id="4" w:name="PermittedStatus"/>
            <w:r w:rsidR="00C165CD">
              <w:t xml:space="preserve">Regular </w:t>
            </w:r>
            <w:r w:rsidR="006E3F46">
              <w:t xml:space="preserve">Agenda – Post-Hearing Decision </w:t>
            </w:r>
            <w:r w:rsidR="00B33EAB">
              <w:t>–</w:t>
            </w:r>
            <w:r w:rsidR="006E3F46">
              <w:t xml:space="preserve"> </w:t>
            </w:r>
            <w:bookmarkEnd w:id="4"/>
            <w:r w:rsidR="00B33EAB">
              <w:t>Participation is Limited to Commissioners and Staff</w:t>
            </w:r>
          </w:p>
        </w:tc>
      </w:tr>
      <w:tr w:rsidR="007C0528" w14:paraId="7FC1F15F" w14:textId="77777777">
        <w:tc>
          <w:tcPr>
            <w:tcW w:w="3690" w:type="dxa"/>
            <w:gridSpan w:val="3"/>
            <w:tcBorders>
              <w:top w:val="nil"/>
              <w:left w:val="nil"/>
              <w:bottom w:val="nil"/>
              <w:right w:val="nil"/>
            </w:tcBorders>
            <w:shd w:val="clear" w:color="auto" w:fill="auto"/>
            <w:tcMar>
              <w:top w:w="288" w:type="dxa"/>
              <w:bottom w:w="0" w:type="dxa"/>
              <w:right w:w="0" w:type="dxa"/>
            </w:tcMar>
          </w:tcPr>
          <w:p w14:paraId="45F722F1"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504446E" w14:textId="77777777" w:rsidR="007C0528" w:rsidRDefault="006E3F46">
            <w:pPr>
              <w:pStyle w:val="MemoHeading"/>
            </w:pPr>
            <w:bookmarkStart w:id="5" w:name="CommissionersAssigned"/>
            <w:r>
              <w:t>Clark, Passidomo, La Rosa</w:t>
            </w:r>
            <w:bookmarkEnd w:id="5"/>
          </w:p>
        </w:tc>
      </w:tr>
      <w:tr w:rsidR="007C0528" w14:paraId="69687280" w14:textId="77777777">
        <w:tc>
          <w:tcPr>
            <w:tcW w:w="3690" w:type="dxa"/>
            <w:gridSpan w:val="3"/>
            <w:tcBorders>
              <w:top w:val="nil"/>
              <w:left w:val="nil"/>
              <w:bottom w:val="nil"/>
              <w:right w:val="nil"/>
            </w:tcBorders>
            <w:shd w:val="clear" w:color="auto" w:fill="auto"/>
            <w:tcMar>
              <w:top w:w="288" w:type="dxa"/>
              <w:bottom w:w="0" w:type="dxa"/>
              <w:right w:w="0" w:type="dxa"/>
            </w:tcMar>
          </w:tcPr>
          <w:p w14:paraId="4E55B94E"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9B2BF79" w14:textId="77777777" w:rsidR="007C0528" w:rsidRDefault="006E3F46">
            <w:pPr>
              <w:pStyle w:val="MemoHeading"/>
            </w:pPr>
            <w:bookmarkStart w:id="6" w:name="PrehearingOfficer"/>
            <w:r>
              <w:t>La Rosa</w:t>
            </w:r>
            <w:bookmarkEnd w:id="6"/>
          </w:p>
        </w:tc>
      </w:tr>
      <w:tr w:rsidR="007C0528" w14:paraId="04D0DAEB"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6FD87C4"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274E604B" w14:textId="77777777" w:rsidR="007C0528" w:rsidRDefault="006E3F46">
            <w:pPr>
              <w:pStyle w:val="MemoHeading"/>
            </w:pPr>
            <w:bookmarkStart w:id="8" w:name="CriticalDates"/>
            <w:r>
              <w:t>None</w:t>
            </w:r>
            <w:bookmarkEnd w:id="8"/>
          </w:p>
        </w:tc>
      </w:tr>
      <w:tr w:rsidR="007C0528" w14:paraId="065772CB"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B6B094A"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4504442" w14:textId="77777777" w:rsidR="007C0528" w:rsidRDefault="006E3F46">
            <w:pPr>
              <w:pStyle w:val="MemoHeading"/>
            </w:pPr>
            <w:bookmarkStart w:id="9" w:name="SpecialInstructions"/>
            <w:r>
              <w:t>None</w:t>
            </w:r>
            <w:bookmarkEnd w:id="9"/>
          </w:p>
        </w:tc>
      </w:tr>
    </w:tbl>
    <w:p w14:paraId="0CF0CF52" w14:textId="53753B54" w:rsidR="00E07FD5" w:rsidRPr="00666140" w:rsidRDefault="009536D3" w:rsidP="009536D3">
      <w:pPr>
        <w:pStyle w:val="BodyText"/>
        <w:jc w:val="center"/>
        <w:rPr>
          <w:rFonts w:ascii="Arial" w:hAnsi="Arial" w:cs="Arial"/>
          <w:b/>
        </w:rPr>
      </w:pPr>
      <w:r>
        <w:br w:type="page"/>
      </w:r>
      <w:bookmarkStart w:id="10" w:name="RecToC"/>
      <w:bookmarkEnd w:id="10"/>
      <w:r w:rsidR="00E07FD5" w:rsidRPr="00666140">
        <w:rPr>
          <w:rFonts w:ascii="Arial" w:hAnsi="Arial" w:cs="Arial"/>
          <w:b/>
        </w:rPr>
        <w:lastRenderedPageBreak/>
        <w:t>Table of Contents</w:t>
      </w:r>
    </w:p>
    <w:p w14:paraId="67880909" w14:textId="6D796377" w:rsidR="005A274E" w:rsidRDefault="009F088B">
      <w:pPr>
        <w:pStyle w:val="TOC1"/>
        <w:rPr>
          <w:rFonts w:asciiTheme="minorHAnsi" w:eastAsiaTheme="minorEastAsia" w:hAnsiTheme="minorHAnsi" w:cstheme="minorBidi"/>
          <w:noProof/>
          <w:sz w:val="22"/>
          <w:szCs w:val="22"/>
        </w:rPr>
      </w:pPr>
      <w:r>
        <w:rPr>
          <w:b/>
        </w:rPr>
        <w:fldChar w:fldCharType="begin"/>
      </w:r>
      <w:r>
        <w:rPr>
          <w:b/>
        </w:rPr>
        <w:instrText xml:space="preserve"> TOC \f \h \z </w:instrText>
      </w:r>
      <w:r>
        <w:rPr>
          <w:b/>
        </w:rPr>
        <w:fldChar w:fldCharType="separate"/>
      </w:r>
      <w:hyperlink w:anchor="_Toc104278769" w:history="1">
        <w:r w:rsidR="005A274E" w:rsidRPr="009B21FB">
          <w:rPr>
            <w:rStyle w:val="Hyperlink"/>
            <w:noProof/>
          </w:rPr>
          <w:t>Case Background</w:t>
        </w:r>
        <w:r w:rsidR="005A274E">
          <w:rPr>
            <w:noProof/>
            <w:webHidden/>
          </w:rPr>
          <w:tab/>
        </w:r>
        <w:r w:rsidR="005A274E">
          <w:rPr>
            <w:noProof/>
            <w:webHidden/>
          </w:rPr>
          <w:fldChar w:fldCharType="begin"/>
        </w:r>
        <w:r w:rsidR="005A274E">
          <w:rPr>
            <w:noProof/>
            <w:webHidden/>
          </w:rPr>
          <w:instrText xml:space="preserve"> PAGEREF _Toc104278769 \h </w:instrText>
        </w:r>
        <w:r w:rsidR="005A274E">
          <w:rPr>
            <w:noProof/>
            <w:webHidden/>
          </w:rPr>
        </w:r>
        <w:r w:rsidR="005A274E">
          <w:rPr>
            <w:noProof/>
            <w:webHidden/>
          </w:rPr>
          <w:fldChar w:fldCharType="separate"/>
        </w:r>
        <w:r w:rsidR="00044599">
          <w:rPr>
            <w:noProof/>
            <w:webHidden/>
          </w:rPr>
          <w:t>1</w:t>
        </w:r>
        <w:r w:rsidR="005A274E">
          <w:rPr>
            <w:noProof/>
            <w:webHidden/>
          </w:rPr>
          <w:fldChar w:fldCharType="end"/>
        </w:r>
      </w:hyperlink>
    </w:p>
    <w:p w14:paraId="68CF9720" w14:textId="1EB0E54B" w:rsidR="005A274E" w:rsidRDefault="007E76B9">
      <w:pPr>
        <w:pStyle w:val="TOC1"/>
        <w:rPr>
          <w:rFonts w:asciiTheme="minorHAnsi" w:eastAsiaTheme="minorEastAsia" w:hAnsiTheme="minorHAnsi" w:cstheme="minorBidi"/>
          <w:noProof/>
          <w:sz w:val="22"/>
          <w:szCs w:val="22"/>
        </w:rPr>
      </w:pPr>
      <w:hyperlink w:anchor="_Toc104278770" w:history="1">
        <w:r w:rsidR="005A274E" w:rsidRPr="009B21FB">
          <w:rPr>
            <w:rStyle w:val="Hyperlink"/>
            <w:noProof/>
          </w:rPr>
          <w:t>Issue A – Motion to Reopen the Record</w:t>
        </w:r>
        <w:r w:rsidR="005A274E">
          <w:rPr>
            <w:noProof/>
            <w:webHidden/>
          </w:rPr>
          <w:tab/>
        </w:r>
        <w:r w:rsidR="005A274E">
          <w:rPr>
            <w:noProof/>
            <w:webHidden/>
          </w:rPr>
          <w:fldChar w:fldCharType="begin"/>
        </w:r>
        <w:r w:rsidR="005A274E">
          <w:rPr>
            <w:noProof/>
            <w:webHidden/>
          </w:rPr>
          <w:instrText xml:space="preserve"> PAGEREF _Toc104278770 \h </w:instrText>
        </w:r>
        <w:r w:rsidR="005A274E">
          <w:rPr>
            <w:noProof/>
            <w:webHidden/>
          </w:rPr>
        </w:r>
        <w:r w:rsidR="005A274E">
          <w:rPr>
            <w:noProof/>
            <w:webHidden/>
          </w:rPr>
          <w:fldChar w:fldCharType="separate"/>
        </w:r>
        <w:r w:rsidR="00044599">
          <w:rPr>
            <w:noProof/>
            <w:webHidden/>
          </w:rPr>
          <w:t>2</w:t>
        </w:r>
        <w:r w:rsidR="005A274E">
          <w:rPr>
            <w:noProof/>
            <w:webHidden/>
          </w:rPr>
          <w:fldChar w:fldCharType="end"/>
        </w:r>
      </w:hyperlink>
    </w:p>
    <w:p w14:paraId="7EE5A64D" w14:textId="05F5EB26" w:rsidR="005A274E" w:rsidRDefault="007E76B9">
      <w:pPr>
        <w:pStyle w:val="TOC1"/>
        <w:rPr>
          <w:rFonts w:asciiTheme="minorHAnsi" w:eastAsiaTheme="minorEastAsia" w:hAnsiTheme="minorHAnsi" w:cstheme="minorBidi"/>
          <w:noProof/>
          <w:sz w:val="22"/>
          <w:szCs w:val="22"/>
        </w:rPr>
      </w:pPr>
      <w:hyperlink w:anchor="_Toc104278771" w:history="1">
        <w:r w:rsidR="005A274E" w:rsidRPr="009B21FB">
          <w:rPr>
            <w:rStyle w:val="Hyperlink"/>
            <w:noProof/>
          </w:rPr>
          <w:t>Issue 1 - Filing and Noticing Requirements</w:t>
        </w:r>
        <w:r w:rsidR="005A274E">
          <w:rPr>
            <w:noProof/>
            <w:webHidden/>
          </w:rPr>
          <w:tab/>
        </w:r>
        <w:r w:rsidR="005A274E">
          <w:rPr>
            <w:noProof/>
            <w:webHidden/>
          </w:rPr>
          <w:fldChar w:fldCharType="begin"/>
        </w:r>
        <w:r w:rsidR="005A274E">
          <w:rPr>
            <w:noProof/>
            <w:webHidden/>
          </w:rPr>
          <w:instrText xml:space="preserve"> PAGEREF _Toc104278771 \h </w:instrText>
        </w:r>
        <w:r w:rsidR="005A274E">
          <w:rPr>
            <w:noProof/>
            <w:webHidden/>
          </w:rPr>
        </w:r>
        <w:r w:rsidR="005A274E">
          <w:rPr>
            <w:noProof/>
            <w:webHidden/>
          </w:rPr>
          <w:fldChar w:fldCharType="separate"/>
        </w:r>
        <w:r w:rsidR="00044599">
          <w:rPr>
            <w:noProof/>
            <w:webHidden/>
          </w:rPr>
          <w:t>3</w:t>
        </w:r>
        <w:r w:rsidR="005A274E">
          <w:rPr>
            <w:noProof/>
            <w:webHidden/>
          </w:rPr>
          <w:fldChar w:fldCharType="end"/>
        </w:r>
      </w:hyperlink>
    </w:p>
    <w:p w14:paraId="4B29C598" w14:textId="03571F5D" w:rsidR="005A274E" w:rsidRDefault="007E76B9">
      <w:pPr>
        <w:pStyle w:val="TOC1"/>
        <w:rPr>
          <w:rFonts w:asciiTheme="minorHAnsi" w:eastAsiaTheme="minorEastAsia" w:hAnsiTheme="minorHAnsi" w:cstheme="minorBidi"/>
          <w:noProof/>
          <w:sz w:val="22"/>
          <w:szCs w:val="22"/>
        </w:rPr>
      </w:pPr>
      <w:hyperlink w:anchor="_Toc104278772" w:history="1">
        <w:r w:rsidR="005A274E" w:rsidRPr="009B21FB">
          <w:rPr>
            <w:rStyle w:val="Hyperlink"/>
            <w:noProof/>
          </w:rPr>
          <w:t>Issue 2 –Need for Service</w:t>
        </w:r>
        <w:r w:rsidR="005A274E">
          <w:rPr>
            <w:noProof/>
            <w:webHidden/>
          </w:rPr>
          <w:tab/>
        </w:r>
        <w:r w:rsidR="005A274E">
          <w:rPr>
            <w:noProof/>
            <w:webHidden/>
          </w:rPr>
          <w:fldChar w:fldCharType="begin"/>
        </w:r>
        <w:r w:rsidR="005A274E">
          <w:rPr>
            <w:noProof/>
            <w:webHidden/>
          </w:rPr>
          <w:instrText xml:space="preserve"> PAGEREF _Toc104278772 \h </w:instrText>
        </w:r>
        <w:r w:rsidR="005A274E">
          <w:rPr>
            <w:noProof/>
            <w:webHidden/>
          </w:rPr>
        </w:r>
        <w:r w:rsidR="005A274E">
          <w:rPr>
            <w:noProof/>
            <w:webHidden/>
          </w:rPr>
          <w:fldChar w:fldCharType="separate"/>
        </w:r>
        <w:r w:rsidR="00044599">
          <w:rPr>
            <w:noProof/>
            <w:webHidden/>
          </w:rPr>
          <w:t>5</w:t>
        </w:r>
        <w:r w:rsidR="005A274E">
          <w:rPr>
            <w:noProof/>
            <w:webHidden/>
          </w:rPr>
          <w:fldChar w:fldCharType="end"/>
        </w:r>
      </w:hyperlink>
    </w:p>
    <w:p w14:paraId="1C8E282B" w14:textId="00703734" w:rsidR="005A274E" w:rsidRDefault="007E76B9">
      <w:pPr>
        <w:pStyle w:val="TOC1"/>
        <w:rPr>
          <w:rFonts w:asciiTheme="minorHAnsi" w:eastAsiaTheme="minorEastAsia" w:hAnsiTheme="minorHAnsi" w:cstheme="minorBidi"/>
          <w:noProof/>
          <w:sz w:val="22"/>
          <w:szCs w:val="22"/>
        </w:rPr>
      </w:pPr>
      <w:hyperlink w:anchor="_Toc104278773" w:history="1">
        <w:r w:rsidR="005A274E" w:rsidRPr="009B21FB">
          <w:rPr>
            <w:rStyle w:val="Hyperlink"/>
            <w:noProof/>
          </w:rPr>
          <w:t>Issue 3 – Charlotte County’s Sewer Master Plan</w:t>
        </w:r>
        <w:r w:rsidR="005A274E">
          <w:rPr>
            <w:noProof/>
            <w:webHidden/>
          </w:rPr>
          <w:tab/>
        </w:r>
        <w:r w:rsidR="005A274E">
          <w:rPr>
            <w:noProof/>
            <w:webHidden/>
          </w:rPr>
          <w:fldChar w:fldCharType="begin"/>
        </w:r>
        <w:r w:rsidR="005A274E">
          <w:rPr>
            <w:noProof/>
            <w:webHidden/>
          </w:rPr>
          <w:instrText xml:space="preserve"> PAGEREF _Toc104278773 \h </w:instrText>
        </w:r>
        <w:r w:rsidR="005A274E">
          <w:rPr>
            <w:noProof/>
            <w:webHidden/>
          </w:rPr>
        </w:r>
        <w:r w:rsidR="005A274E">
          <w:rPr>
            <w:noProof/>
            <w:webHidden/>
          </w:rPr>
          <w:fldChar w:fldCharType="separate"/>
        </w:r>
        <w:r w:rsidR="00044599">
          <w:rPr>
            <w:noProof/>
            <w:webHidden/>
          </w:rPr>
          <w:t>11</w:t>
        </w:r>
        <w:r w:rsidR="005A274E">
          <w:rPr>
            <w:noProof/>
            <w:webHidden/>
          </w:rPr>
          <w:fldChar w:fldCharType="end"/>
        </w:r>
      </w:hyperlink>
    </w:p>
    <w:p w14:paraId="14A7CC32" w14:textId="2168A1A8" w:rsidR="005A274E" w:rsidRDefault="007E76B9">
      <w:pPr>
        <w:pStyle w:val="TOC1"/>
        <w:rPr>
          <w:rFonts w:asciiTheme="minorHAnsi" w:eastAsiaTheme="minorEastAsia" w:hAnsiTheme="minorHAnsi" w:cstheme="minorBidi"/>
          <w:noProof/>
          <w:sz w:val="22"/>
          <w:szCs w:val="22"/>
        </w:rPr>
      </w:pPr>
      <w:hyperlink w:anchor="_Toc104278774" w:history="1">
        <w:r w:rsidR="005A274E" w:rsidRPr="009B21FB">
          <w:rPr>
            <w:rStyle w:val="Hyperlink"/>
            <w:noProof/>
          </w:rPr>
          <w:t>Issue 4 – Duplication of Service</w:t>
        </w:r>
        <w:r w:rsidR="005A274E">
          <w:rPr>
            <w:noProof/>
            <w:webHidden/>
          </w:rPr>
          <w:tab/>
        </w:r>
        <w:r w:rsidR="005A274E">
          <w:rPr>
            <w:noProof/>
            <w:webHidden/>
          </w:rPr>
          <w:fldChar w:fldCharType="begin"/>
        </w:r>
        <w:r w:rsidR="005A274E">
          <w:rPr>
            <w:noProof/>
            <w:webHidden/>
          </w:rPr>
          <w:instrText xml:space="preserve"> PAGEREF _Toc104278774 \h </w:instrText>
        </w:r>
        <w:r w:rsidR="005A274E">
          <w:rPr>
            <w:noProof/>
            <w:webHidden/>
          </w:rPr>
        </w:r>
        <w:r w:rsidR="005A274E">
          <w:rPr>
            <w:noProof/>
            <w:webHidden/>
          </w:rPr>
          <w:fldChar w:fldCharType="separate"/>
        </w:r>
        <w:r w:rsidR="00044599">
          <w:rPr>
            <w:noProof/>
            <w:webHidden/>
          </w:rPr>
          <w:t>14</w:t>
        </w:r>
        <w:r w:rsidR="005A274E">
          <w:rPr>
            <w:noProof/>
            <w:webHidden/>
          </w:rPr>
          <w:fldChar w:fldCharType="end"/>
        </w:r>
      </w:hyperlink>
    </w:p>
    <w:p w14:paraId="04515416" w14:textId="62FA8CA0" w:rsidR="005A274E" w:rsidRDefault="007E76B9">
      <w:pPr>
        <w:pStyle w:val="TOC1"/>
        <w:rPr>
          <w:rFonts w:asciiTheme="minorHAnsi" w:eastAsiaTheme="minorEastAsia" w:hAnsiTheme="minorHAnsi" w:cstheme="minorBidi"/>
          <w:noProof/>
          <w:sz w:val="22"/>
          <w:szCs w:val="22"/>
        </w:rPr>
      </w:pPr>
      <w:hyperlink w:anchor="_Toc104278775" w:history="1">
        <w:r w:rsidR="005A274E" w:rsidRPr="009B21FB">
          <w:rPr>
            <w:rStyle w:val="Hyperlink"/>
            <w:noProof/>
          </w:rPr>
          <w:t>Issue 5 - Financial Ability</w:t>
        </w:r>
        <w:r w:rsidR="005A274E">
          <w:rPr>
            <w:noProof/>
            <w:webHidden/>
          </w:rPr>
          <w:tab/>
        </w:r>
        <w:r w:rsidR="005A274E">
          <w:rPr>
            <w:noProof/>
            <w:webHidden/>
          </w:rPr>
          <w:fldChar w:fldCharType="begin"/>
        </w:r>
        <w:r w:rsidR="005A274E">
          <w:rPr>
            <w:noProof/>
            <w:webHidden/>
          </w:rPr>
          <w:instrText xml:space="preserve"> PAGEREF _Toc104278775 \h </w:instrText>
        </w:r>
        <w:r w:rsidR="005A274E">
          <w:rPr>
            <w:noProof/>
            <w:webHidden/>
          </w:rPr>
        </w:r>
        <w:r w:rsidR="005A274E">
          <w:rPr>
            <w:noProof/>
            <w:webHidden/>
          </w:rPr>
          <w:fldChar w:fldCharType="separate"/>
        </w:r>
        <w:r w:rsidR="00044599">
          <w:rPr>
            <w:noProof/>
            <w:webHidden/>
          </w:rPr>
          <w:t>16</w:t>
        </w:r>
        <w:r w:rsidR="005A274E">
          <w:rPr>
            <w:noProof/>
            <w:webHidden/>
          </w:rPr>
          <w:fldChar w:fldCharType="end"/>
        </w:r>
      </w:hyperlink>
    </w:p>
    <w:p w14:paraId="3F139321" w14:textId="2EB66923" w:rsidR="005A274E" w:rsidRDefault="007E76B9">
      <w:pPr>
        <w:pStyle w:val="TOC1"/>
        <w:rPr>
          <w:rFonts w:asciiTheme="minorHAnsi" w:eastAsiaTheme="minorEastAsia" w:hAnsiTheme="minorHAnsi" w:cstheme="minorBidi"/>
          <w:noProof/>
          <w:sz w:val="22"/>
          <w:szCs w:val="22"/>
        </w:rPr>
      </w:pPr>
      <w:hyperlink w:anchor="_Toc104278776" w:history="1">
        <w:r w:rsidR="005A274E" w:rsidRPr="009B21FB">
          <w:rPr>
            <w:rStyle w:val="Hyperlink"/>
            <w:noProof/>
          </w:rPr>
          <w:t>Issue 6 - Technical Ability</w:t>
        </w:r>
        <w:r w:rsidR="005A274E">
          <w:rPr>
            <w:noProof/>
            <w:webHidden/>
          </w:rPr>
          <w:tab/>
        </w:r>
        <w:r w:rsidR="005A274E">
          <w:rPr>
            <w:noProof/>
            <w:webHidden/>
          </w:rPr>
          <w:fldChar w:fldCharType="begin"/>
        </w:r>
        <w:r w:rsidR="005A274E">
          <w:rPr>
            <w:noProof/>
            <w:webHidden/>
          </w:rPr>
          <w:instrText xml:space="preserve"> PAGEREF _Toc104278776 \h </w:instrText>
        </w:r>
        <w:r w:rsidR="005A274E">
          <w:rPr>
            <w:noProof/>
            <w:webHidden/>
          </w:rPr>
        </w:r>
        <w:r w:rsidR="005A274E">
          <w:rPr>
            <w:noProof/>
            <w:webHidden/>
          </w:rPr>
          <w:fldChar w:fldCharType="separate"/>
        </w:r>
        <w:r w:rsidR="00044599">
          <w:rPr>
            <w:noProof/>
            <w:webHidden/>
          </w:rPr>
          <w:t>18</w:t>
        </w:r>
        <w:r w:rsidR="005A274E">
          <w:rPr>
            <w:noProof/>
            <w:webHidden/>
          </w:rPr>
          <w:fldChar w:fldCharType="end"/>
        </w:r>
      </w:hyperlink>
    </w:p>
    <w:p w14:paraId="6D00293C" w14:textId="196133E2" w:rsidR="005A274E" w:rsidRDefault="007E76B9">
      <w:pPr>
        <w:pStyle w:val="TOC1"/>
        <w:rPr>
          <w:rFonts w:asciiTheme="minorHAnsi" w:eastAsiaTheme="minorEastAsia" w:hAnsiTheme="minorHAnsi" w:cstheme="minorBidi"/>
          <w:noProof/>
          <w:sz w:val="22"/>
          <w:szCs w:val="22"/>
        </w:rPr>
      </w:pPr>
      <w:hyperlink w:anchor="_Toc104278777" w:history="1">
        <w:r w:rsidR="005A274E" w:rsidRPr="009B21FB">
          <w:rPr>
            <w:rStyle w:val="Hyperlink"/>
            <w:noProof/>
          </w:rPr>
          <w:t>Issue 7 - Plant Capacity</w:t>
        </w:r>
        <w:r w:rsidR="005A274E">
          <w:rPr>
            <w:noProof/>
            <w:webHidden/>
          </w:rPr>
          <w:tab/>
        </w:r>
        <w:r w:rsidR="005A274E">
          <w:rPr>
            <w:noProof/>
            <w:webHidden/>
          </w:rPr>
          <w:fldChar w:fldCharType="begin"/>
        </w:r>
        <w:r w:rsidR="005A274E">
          <w:rPr>
            <w:noProof/>
            <w:webHidden/>
          </w:rPr>
          <w:instrText xml:space="preserve"> PAGEREF _Toc104278777 \h </w:instrText>
        </w:r>
        <w:r w:rsidR="005A274E">
          <w:rPr>
            <w:noProof/>
            <w:webHidden/>
          </w:rPr>
        </w:r>
        <w:r w:rsidR="005A274E">
          <w:rPr>
            <w:noProof/>
            <w:webHidden/>
          </w:rPr>
          <w:fldChar w:fldCharType="separate"/>
        </w:r>
        <w:r w:rsidR="00044599">
          <w:rPr>
            <w:noProof/>
            <w:webHidden/>
          </w:rPr>
          <w:t>20</w:t>
        </w:r>
        <w:r w:rsidR="005A274E">
          <w:rPr>
            <w:noProof/>
            <w:webHidden/>
          </w:rPr>
          <w:fldChar w:fldCharType="end"/>
        </w:r>
      </w:hyperlink>
    </w:p>
    <w:p w14:paraId="3A3AD13E" w14:textId="4699369E" w:rsidR="005A274E" w:rsidRDefault="007E76B9">
      <w:pPr>
        <w:pStyle w:val="TOC1"/>
        <w:rPr>
          <w:rFonts w:asciiTheme="minorHAnsi" w:eastAsiaTheme="minorEastAsia" w:hAnsiTheme="minorHAnsi" w:cstheme="minorBidi"/>
          <w:noProof/>
          <w:sz w:val="22"/>
          <w:szCs w:val="22"/>
        </w:rPr>
      </w:pPr>
      <w:hyperlink w:anchor="_Toc104278778" w:history="1">
        <w:r w:rsidR="005A274E" w:rsidRPr="009B21FB">
          <w:rPr>
            <w:rStyle w:val="Hyperlink"/>
            <w:noProof/>
          </w:rPr>
          <w:t>Issue 8 – Continued Use of Land</w:t>
        </w:r>
        <w:r w:rsidR="005A274E">
          <w:rPr>
            <w:noProof/>
            <w:webHidden/>
          </w:rPr>
          <w:tab/>
        </w:r>
        <w:r w:rsidR="005A274E">
          <w:rPr>
            <w:noProof/>
            <w:webHidden/>
          </w:rPr>
          <w:fldChar w:fldCharType="begin"/>
        </w:r>
        <w:r w:rsidR="005A274E">
          <w:rPr>
            <w:noProof/>
            <w:webHidden/>
          </w:rPr>
          <w:instrText xml:space="preserve"> PAGEREF _Toc104278778 \h </w:instrText>
        </w:r>
        <w:r w:rsidR="005A274E">
          <w:rPr>
            <w:noProof/>
            <w:webHidden/>
          </w:rPr>
        </w:r>
        <w:r w:rsidR="005A274E">
          <w:rPr>
            <w:noProof/>
            <w:webHidden/>
          </w:rPr>
          <w:fldChar w:fldCharType="separate"/>
        </w:r>
        <w:r w:rsidR="00044599">
          <w:rPr>
            <w:noProof/>
            <w:webHidden/>
          </w:rPr>
          <w:t>22</w:t>
        </w:r>
        <w:r w:rsidR="005A274E">
          <w:rPr>
            <w:noProof/>
            <w:webHidden/>
          </w:rPr>
          <w:fldChar w:fldCharType="end"/>
        </w:r>
      </w:hyperlink>
    </w:p>
    <w:p w14:paraId="7D7A0778" w14:textId="2492A575" w:rsidR="005A274E" w:rsidRDefault="007E76B9">
      <w:pPr>
        <w:pStyle w:val="TOC1"/>
        <w:rPr>
          <w:rFonts w:asciiTheme="minorHAnsi" w:eastAsiaTheme="minorEastAsia" w:hAnsiTheme="minorHAnsi" w:cstheme="minorBidi"/>
          <w:noProof/>
          <w:sz w:val="22"/>
          <w:szCs w:val="22"/>
        </w:rPr>
      </w:pPr>
      <w:hyperlink w:anchor="_Toc104278779" w:history="1">
        <w:r w:rsidR="005A274E" w:rsidRPr="009B21FB">
          <w:rPr>
            <w:rStyle w:val="Hyperlink"/>
            <w:noProof/>
          </w:rPr>
          <w:t>Issue 9 – Public Interest</w:t>
        </w:r>
        <w:r w:rsidR="005A274E">
          <w:rPr>
            <w:noProof/>
            <w:webHidden/>
          </w:rPr>
          <w:tab/>
        </w:r>
        <w:r w:rsidR="005A274E">
          <w:rPr>
            <w:noProof/>
            <w:webHidden/>
          </w:rPr>
          <w:fldChar w:fldCharType="begin"/>
        </w:r>
        <w:r w:rsidR="005A274E">
          <w:rPr>
            <w:noProof/>
            <w:webHidden/>
          </w:rPr>
          <w:instrText xml:space="preserve"> PAGEREF _Toc104278779 \h </w:instrText>
        </w:r>
        <w:r w:rsidR="005A274E">
          <w:rPr>
            <w:noProof/>
            <w:webHidden/>
          </w:rPr>
        </w:r>
        <w:r w:rsidR="005A274E">
          <w:rPr>
            <w:noProof/>
            <w:webHidden/>
          </w:rPr>
          <w:fldChar w:fldCharType="separate"/>
        </w:r>
        <w:r w:rsidR="00044599">
          <w:rPr>
            <w:noProof/>
            <w:webHidden/>
          </w:rPr>
          <w:t>24</w:t>
        </w:r>
        <w:r w:rsidR="005A274E">
          <w:rPr>
            <w:noProof/>
            <w:webHidden/>
          </w:rPr>
          <w:fldChar w:fldCharType="end"/>
        </w:r>
      </w:hyperlink>
    </w:p>
    <w:p w14:paraId="4D7D7F87" w14:textId="7078A4C7" w:rsidR="005A274E" w:rsidRDefault="007E76B9">
      <w:pPr>
        <w:pStyle w:val="TOC1"/>
        <w:rPr>
          <w:rFonts w:asciiTheme="minorHAnsi" w:eastAsiaTheme="minorEastAsia" w:hAnsiTheme="minorHAnsi" w:cstheme="minorBidi"/>
          <w:noProof/>
          <w:sz w:val="22"/>
          <w:szCs w:val="22"/>
        </w:rPr>
      </w:pPr>
      <w:hyperlink w:anchor="_Toc104278780" w:history="1">
        <w:r w:rsidR="005A274E" w:rsidRPr="009B21FB">
          <w:rPr>
            <w:rStyle w:val="Hyperlink"/>
            <w:noProof/>
          </w:rPr>
          <w:t>Issue 10 – Appropriate Rate Structures and Rates</w:t>
        </w:r>
        <w:r w:rsidR="005A274E">
          <w:rPr>
            <w:noProof/>
            <w:webHidden/>
          </w:rPr>
          <w:tab/>
        </w:r>
        <w:r w:rsidR="005A274E">
          <w:rPr>
            <w:noProof/>
            <w:webHidden/>
          </w:rPr>
          <w:fldChar w:fldCharType="begin"/>
        </w:r>
        <w:r w:rsidR="005A274E">
          <w:rPr>
            <w:noProof/>
            <w:webHidden/>
          </w:rPr>
          <w:instrText xml:space="preserve"> PAGEREF _Toc104278780 \h </w:instrText>
        </w:r>
        <w:r w:rsidR="005A274E">
          <w:rPr>
            <w:noProof/>
            <w:webHidden/>
          </w:rPr>
        </w:r>
        <w:r w:rsidR="005A274E">
          <w:rPr>
            <w:noProof/>
            <w:webHidden/>
          </w:rPr>
          <w:fldChar w:fldCharType="separate"/>
        </w:r>
        <w:r w:rsidR="00044599">
          <w:rPr>
            <w:noProof/>
            <w:webHidden/>
          </w:rPr>
          <w:t>27</w:t>
        </w:r>
        <w:r w:rsidR="005A274E">
          <w:rPr>
            <w:noProof/>
            <w:webHidden/>
          </w:rPr>
          <w:fldChar w:fldCharType="end"/>
        </w:r>
      </w:hyperlink>
    </w:p>
    <w:p w14:paraId="62923E79" w14:textId="6A8B1B8B" w:rsidR="005A274E" w:rsidRDefault="007E76B9">
      <w:pPr>
        <w:pStyle w:val="TOC1"/>
        <w:rPr>
          <w:rFonts w:asciiTheme="minorHAnsi" w:eastAsiaTheme="minorEastAsia" w:hAnsiTheme="minorHAnsi" w:cstheme="minorBidi"/>
          <w:noProof/>
          <w:sz w:val="22"/>
          <w:szCs w:val="22"/>
        </w:rPr>
      </w:pPr>
      <w:hyperlink w:anchor="_Toc104278781" w:history="1">
        <w:r w:rsidR="005A274E" w:rsidRPr="009B21FB">
          <w:rPr>
            <w:rStyle w:val="Hyperlink"/>
            <w:noProof/>
          </w:rPr>
          <w:t>Issue 11 –Service Availability Charges</w:t>
        </w:r>
        <w:r w:rsidR="005A274E">
          <w:rPr>
            <w:noProof/>
            <w:webHidden/>
          </w:rPr>
          <w:tab/>
        </w:r>
        <w:r w:rsidR="005A274E">
          <w:rPr>
            <w:noProof/>
            <w:webHidden/>
          </w:rPr>
          <w:fldChar w:fldCharType="begin"/>
        </w:r>
        <w:r w:rsidR="005A274E">
          <w:rPr>
            <w:noProof/>
            <w:webHidden/>
          </w:rPr>
          <w:instrText xml:space="preserve"> PAGEREF _Toc104278781 \h </w:instrText>
        </w:r>
        <w:r w:rsidR="005A274E">
          <w:rPr>
            <w:noProof/>
            <w:webHidden/>
          </w:rPr>
        </w:r>
        <w:r w:rsidR="005A274E">
          <w:rPr>
            <w:noProof/>
            <w:webHidden/>
          </w:rPr>
          <w:fldChar w:fldCharType="separate"/>
        </w:r>
        <w:r w:rsidR="00044599">
          <w:rPr>
            <w:noProof/>
            <w:webHidden/>
          </w:rPr>
          <w:t>38</w:t>
        </w:r>
        <w:r w:rsidR="005A274E">
          <w:rPr>
            <w:noProof/>
            <w:webHidden/>
          </w:rPr>
          <w:fldChar w:fldCharType="end"/>
        </w:r>
      </w:hyperlink>
    </w:p>
    <w:p w14:paraId="1F739F65" w14:textId="62E028FF" w:rsidR="005A274E" w:rsidRDefault="007E76B9">
      <w:pPr>
        <w:pStyle w:val="TOC1"/>
        <w:rPr>
          <w:rFonts w:asciiTheme="minorHAnsi" w:eastAsiaTheme="minorEastAsia" w:hAnsiTheme="minorHAnsi" w:cstheme="minorBidi"/>
          <w:noProof/>
          <w:sz w:val="22"/>
          <w:szCs w:val="22"/>
        </w:rPr>
      </w:pPr>
      <w:hyperlink w:anchor="_Toc104278782" w:history="1">
        <w:r w:rsidR="005A274E" w:rsidRPr="009B21FB">
          <w:rPr>
            <w:rStyle w:val="Hyperlink"/>
            <w:noProof/>
          </w:rPr>
          <w:t>Issue 12 – Miscellaneous Service Charges</w:t>
        </w:r>
        <w:r w:rsidR="005A274E">
          <w:rPr>
            <w:noProof/>
            <w:webHidden/>
          </w:rPr>
          <w:tab/>
        </w:r>
        <w:r w:rsidR="005A274E">
          <w:rPr>
            <w:noProof/>
            <w:webHidden/>
          </w:rPr>
          <w:fldChar w:fldCharType="begin"/>
        </w:r>
        <w:r w:rsidR="005A274E">
          <w:rPr>
            <w:noProof/>
            <w:webHidden/>
          </w:rPr>
          <w:instrText xml:space="preserve"> PAGEREF _Toc104278782 \h </w:instrText>
        </w:r>
        <w:r w:rsidR="005A274E">
          <w:rPr>
            <w:noProof/>
            <w:webHidden/>
          </w:rPr>
        </w:r>
        <w:r w:rsidR="005A274E">
          <w:rPr>
            <w:noProof/>
            <w:webHidden/>
          </w:rPr>
          <w:fldChar w:fldCharType="separate"/>
        </w:r>
        <w:r w:rsidR="00044599">
          <w:rPr>
            <w:noProof/>
            <w:webHidden/>
          </w:rPr>
          <w:t>41</w:t>
        </w:r>
        <w:r w:rsidR="005A274E">
          <w:rPr>
            <w:noProof/>
            <w:webHidden/>
          </w:rPr>
          <w:fldChar w:fldCharType="end"/>
        </w:r>
      </w:hyperlink>
    </w:p>
    <w:p w14:paraId="31B6ADB3" w14:textId="53A4C65A" w:rsidR="005A274E" w:rsidRDefault="007E76B9">
      <w:pPr>
        <w:pStyle w:val="TOC1"/>
        <w:rPr>
          <w:rFonts w:asciiTheme="minorHAnsi" w:eastAsiaTheme="minorEastAsia" w:hAnsiTheme="minorHAnsi" w:cstheme="minorBidi"/>
          <w:noProof/>
          <w:sz w:val="22"/>
          <w:szCs w:val="22"/>
        </w:rPr>
      </w:pPr>
      <w:hyperlink w:anchor="_Toc104278783" w:history="1">
        <w:r w:rsidR="005A274E" w:rsidRPr="009B21FB">
          <w:rPr>
            <w:rStyle w:val="Hyperlink"/>
            <w:noProof/>
          </w:rPr>
          <w:t>Issue 13 – Initial Customer Deposits</w:t>
        </w:r>
        <w:r w:rsidR="005A274E">
          <w:rPr>
            <w:noProof/>
            <w:webHidden/>
          </w:rPr>
          <w:tab/>
        </w:r>
        <w:r w:rsidR="005A274E">
          <w:rPr>
            <w:noProof/>
            <w:webHidden/>
          </w:rPr>
          <w:fldChar w:fldCharType="begin"/>
        </w:r>
        <w:r w:rsidR="005A274E">
          <w:rPr>
            <w:noProof/>
            <w:webHidden/>
          </w:rPr>
          <w:instrText xml:space="preserve"> PAGEREF _Toc104278783 \h </w:instrText>
        </w:r>
        <w:r w:rsidR="005A274E">
          <w:rPr>
            <w:noProof/>
            <w:webHidden/>
          </w:rPr>
        </w:r>
        <w:r w:rsidR="005A274E">
          <w:rPr>
            <w:noProof/>
            <w:webHidden/>
          </w:rPr>
          <w:fldChar w:fldCharType="separate"/>
        </w:r>
        <w:r w:rsidR="00044599">
          <w:rPr>
            <w:noProof/>
            <w:webHidden/>
          </w:rPr>
          <w:t>45</w:t>
        </w:r>
        <w:r w:rsidR="005A274E">
          <w:rPr>
            <w:noProof/>
            <w:webHidden/>
          </w:rPr>
          <w:fldChar w:fldCharType="end"/>
        </w:r>
      </w:hyperlink>
    </w:p>
    <w:p w14:paraId="483274DC" w14:textId="476792EA" w:rsidR="005A274E" w:rsidRDefault="007E76B9">
      <w:pPr>
        <w:pStyle w:val="TOC1"/>
        <w:rPr>
          <w:rFonts w:asciiTheme="minorHAnsi" w:eastAsiaTheme="minorEastAsia" w:hAnsiTheme="minorHAnsi" w:cstheme="minorBidi"/>
          <w:noProof/>
          <w:sz w:val="22"/>
          <w:szCs w:val="22"/>
        </w:rPr>
      </w:pPr>
      <w:hyperlink w:anchor="_Toc104278784" w:history="1">
        <w:r w:rsidR="005A274E" w:rsidRPr="009B21FB">
          <w:rPr>
            <w:rStyle w:val="Hyperlink"/>
            <w:noProof/>
          </w:rPr>
          <w:t>Issue 14 – Docket Closure</w:t>
        </w:r>
        <w:r w:rsidR="005A274E">
          <w:rPr>
            <w:noProof/>
            <w:webHidden/>
          </w:rPr>
          <w:tab/>
        </w:r>
        <w:r w:rsidR="005A274E">
          <w:rPr>
            <w:noProof/>
            <w:webHidden/>
          </w:rPr>
          <w:fldChar w:fldCharType="begin"/>
        </w:r>
        <w:r w:rsidR="005A274E">
          <w:rPr>
            <w:noProof/>
            <w:webHidden/>
          </w:rPr>
          <w:instrText xml:space="preserve"> PAGEREF _Toc104278784 \h </w:instrText>
        </w:r>
        <w:r w:rsidR="005A274E">
          <w:rPr>
            <w:noProof/>
            <w:webHidden/>
          </w:rPr>
        </w:r>
        <w:r w:rsidR="005A274E">
          <w:rPr>
            <w:noProof/>
            <w:webHidden/>
          </w:rPr>
          <w:fldChar w:fldCharType="separate"/>
        </w:r>
        <w:r w:rsidR="00044599">
          <w:rPr>
            <w:noProof/>
            <w:webHidden/>
          </w:rPr>
          <w:t>47</w:t>
        </w:r>
        <w:r w:rsidR="005A274E">
          <w:rPr>
            <w:noProof/>
            <w:webHidden/>
          </w:rPr>
          <w:fldChar w:fldCharType="end"/>
        </w:r>
      </w:hyperlink>
    </w:p>
    <w:p w14:paraId="52B9E4AD" w14:textId="63D38C07" w:rsidR="005A274E" w:rsidRDefault="007E76B9">
      <w:pPr>
        <w:pStyle w:val="TOC1"/>
        <w:rPr>
          <w:rFonts w:asciiTheme="minorHAnsi" w:eastAsiaTheme="minorEastAsia" w:hAnsiTheme="minorHAnsi" w:cstheme="minorBidi"/>
          <w:noProof/>
          <w:sz w:val="22"/>
          <w:szCs w:val="22"/>
        </w:rPr>
      </w:pPr>
      <w:hyperlink w:anchor="_Toc104278785" w:history="1">
        <w:r w:rsidR="005A274E" w:rsidRPr="009B21FB">
          <w:rPr>
            <w:rStyle w:val="Hyperlink"/>
            <w:noProof/>
          </w:rPr>
          <w:t>Schedule No. 1-A – Wastewater Rate Base</w:t>
        </w:r>
        <w:r w:rsidR="005A274E">
          <w:rPr>
            <w:noProof/>
            <w:webHidden/>
          </w:rPr>
          <w:tab/>
        </w:r>
        <w:r w:rsidR="005A274E">
          <w:rPr>
            <w:noProof/>
            <w:webHidden/>
          </w:rPr>
          <w:fldChar w:fldCharType="begin"/>
        </w:r>
        <w:r w:rsidR="005A274E">
          <w:rPr>
            <w:noProof/>
            <w:webHidden/>
          </w:rPr>
          <w:instrText xml:space="preserve"> PAGEREF _Toc104278785 \h </w:instrText>
        </w:r>
        <w:r w:rsidR="005A274E">
          <w:rPr>
            <w:noProof/>
            <w:webHidden/>
          </w:rPr>
        </w:r>
        <w:r w:rsidR="005A274E">
          <w:rPr>
            <w:noProof/>
            <w:webHidden/>
          </w:rPr>
          <w:fldChar w:fldCharType="separate"/>
        </w:r>
        <w:r w:rsidR="00044599">
          <w:rPr>
            <w:noProof/>
            <w:webHidden/>
          </w:rPr>
          <w:t>48</w:t>
        </w:r>
        <w:r w:rsidR="005A274E">
          <w:rPr>
            <w:noProof/>
            <w:webHidden/>
          </w:rPr>
          <w:fldChar w:fldCharType="end"/>
        </w:r>
      </w:hyperlink>
    </w:p>
    <w:p w14:paraId="4086A900" w14:textId="41FE1290" w:rsidR="005A274E" w:rsidRDefault="007E76B9">
      <w:pPr>
        <w:pStyle w:val="TOC1"/>
        <w:rPr>
          <w:rFonts w:asciiTheme="minorHAnsi" w:eastAsiaTheme="minorEastAsia" w:hAnsiTheme="minorHAnsi" w:cstheme="minorBidi"/>
          <w:noProof/>
          <w:sz w:val="22"/>
          <w:szCs w:val="22"/>
        </w:rPr>
      </w:pPr>
      <w:hyperlink w:anchor="_Toc104278786" w:history="1">
        <w:r w:rsidR="005A274E" w:rsidRPr="009B21FB">
          <w:rPr>
            <w:rStyle w:val="Hyperlink"/>
            <w:noProof/>
          </w:rPr>
          <w:t>Schedule No. 1-B – Adjustments to Rate Base</w:t>
        </w:r>
        <w:r w:rsidR="005A274E">
          <w:rPr>
            <w:noProof/>
            <w:webHidden/>
          </w:rPr>
          <w:tab/>
        </w:r>
        <w:r w:rsidR="005A274E">
          <w:rPr>
            <w:noProof/>
            <w:webHidden/>
          </w:rPr>
          <w:fldChar w:fldCharType="begin"/>
        </w:r>
        <w:r w:rsidR="005A274E">
          <w:rPr>
            <w:noProof/>
            <w:webHidden/>
          </w:rPr>
          <w:instrText xml:space="preserve"> PAGEREF _Toc104278786 \h </w:instrText>
        </w:r>
        <w:r w:rsidR="005A274E">
          <w:rPr>
            <w:noProof/>
            <w:webHidden/>
          </w:rPr>
        </w:r>
        <w:r w:rsidR="005A274E">
          <w:rPr>
            <w:noProof/>
            <w:webHidden/>
          </w:rPr>
          <w:fldChar w:fldCharType="separate"/>
        </w:r>
        <w:r w:rsidR="00044599">
          <w:rPr>
            <w:noProof/>
            <w:webHidden/>
          </w:rPr>
          <w:t>49</w:t>
        </w:r>
        <w:r w:rsidR="005A274E">
          <w:rPr>
            <w:noProof/>
            <w:webHidden/>
          </w:rPr>
          <w:fldChar w:fldCharType="end"/>
        </w:r>
      </w:hyperlink>
    </w:p>
    <w:p w14:paraId="090E2AE9" w14:textId="48B5411E" w:rsidR="005A274E" w:rsidRDefault="007E76B9">
      <w:pPr>
        <w:pStyle w:val="TOC1"/>
        <w:rPr>
          <w:rFonts w:asciiTheme="minorHAnsi" w:eastAsiaTheme="minorEastAsia" w:hAnsiTheme="minorHAnsi" w:cstheme="minorBidi"/>
          <w:noProof/>
          <w:sz w:val="22"/>
          <w:szCs w:val="22"/>
        </w:rPr>
      </w:pPr>
      <w:hyperlink w:anchor="_Toc104278787" w:history="1">
        <w:r w:rsidR="005A274E" w:rsidRPr="009B21FB">
          <w:rPr>
            <w:rStyle w:val="Hyperlink"/>
            <w:noProof/>
          </w:rPr>
          <w:t>Schedule No. 2 – Capital Structure</w:t>
        </w:r>
        <w:r w:rsidR="005A274E">
          <w:rPr>
            <w:noProof/>
            <w:webHidden/>
          </w:rPr>
          <w:tab/>
        </w:r>
        <w:r w:rsidR="005A274E">
          <w:rPr>
            <w:noProof/>
            <w:webHidden/>
          </w:rPr>
          <w:fldChar w:fldCharType="begin"/>
        </w:r>
        <w:r w:rsidR="005A274E">
          <w:rPr>
            <w:noProof/>
            <w:webHidden/>
          </w:rPr>
          <w:instrText xml:space="preserve"> PAGEREF _Toc104278787 \h </w:instrText>
        </w:r>
        <w:r w:rsidR="005A274E">
          <w:rPr>
            <w:noProof/>
            <w:webHidden/>
          </w:rPr>
        </w:r>
        <w:r w:rsidR="005A274E">
          <w:rPr>
            <w:noProof/>
            <w:webHidden/>
          </w:rPr>
          <w:fldChar w:fldCharType="separate"/>
        </w:r>
        <w:r w:rsidR="00044599">
          <w:rPr>
            <w:noProof/>
            <w:webHidden/>
          </w:rPr>
          <w:t>50</w:t>
        </w:r>
        <w:r w:rsidR="005A274E">
          <w:rPr>
            <w:noProof/>
            <w:webHidden/>
          </w:rPr>
          <w:fldChar w:fldCharType="end"/>
        </w:r>
      </w:hyperlink>
    </w:p>
    <w:p w14:paraId="7F90F22D" w14:textId="7B7C0F6D" w:rsidR="005A274E" w:rsidRDefault="007E76B9">
      <w:pPr>
        <w:pStyle w:val="TOC1"/>
        <w:rPr>
          <w:rFonts w:asciiTheme="minorHAnsi" w:eastAsiaTheme="minorEastAsia" w:hAnsiTheme="minorHAnsi" w:cstheme="minorBidi"/>
          <w:noProof/>
          <w:sz w:val="22"/>
          <w:szCs w:val="22"/>
        </w:rPr>
      </w:pPr>
      <w:hyperlink w:anchor="_Toc104278788" w:history="1">
        <w:r w:rsidR="005A274E" w:rsidRPr="009B21FB">
          <w:rPr>
            <w:rStyle w:val="Hyperlink"/>
            <w:noProof/>
          </w:rPr>
          <w:t>Schedule No. 3-A – Statement of Wastewater Operations</w:t>
        </w:r>
        <w:r w:rsidR="005A274E">
          <w:rPr>
            <w:noProof/>
            <w:webHidden/>
          </w:rPr>
          <w:tab/>
        </w:r>
        <w:r w:rsidR="005A274E">
          <w:rPr>
            <w:noProof/>
            <w:webHidden/>
          </w:rPr>
          <w:fldChar w:fldCharType="begin"/>
        </w:r>
        <w:r w:rsidR="005A274E">
          <w:rPr>
            <w:noProof/>
            <w:webHidden/>
          </w:rPr>
          <w:instrText xml:space="preserve"> PAGEREF _Toc104278788 \h </w:instrText>
        </w:r>
        <w:r w:rsidR="005A274E">
          <w:rPr>
            <w:noProof/>
            <w:webHidden/>
          </w:rPr>
        </w:r>
        <w:r w:rsidR="005A274E">
          <w:rPr>
            <w:noProof/>
            <w:webHidden/>
          </w:rPr>
          <w:fldChar w:fldCharType="separate"/>
        </w:r>
        <w:r w:rsidR="00044599">
          <w:rPr>
            <w:noProof/>
            <w:webHidden/>
          </w:rPr>
          <w:t>51</w:t>
        </w:r>
        <w:r w:rsidR="005A274E">
          <w:rPr>
            <w:noProof/>
            <w:webHidden/>
          </w:rPr>
          <w:fldChar w:fldCharType="end"/>
        </w:r>
      </w:hyperlink>
    </w:p>
    <w:p w14:paraId="76A797C3" w14:textId="12D0CBC5" w:rsidR="005A274E" w:rsidRDefault="007E76B9">
      <w:pPr>
        <w:pStyle w:val="TOC1"/>
        <w:rPr>
          <w:rFonts w:asciiTheme="minorHAnsi" w:eastAsiaTheme="minorEastAsia" w:hAnsiTheme="minorHAnsi" w:cstheme="minorBidi"/>
          <w:noProof/>
          <w:sz w:val="22"/>
          <w:szCs w:val="22"/>
        </w:rPr>
      </w:pPr>
      <w:hyperlink w:anchor="_Toc104278789" w:history="1">
        <w:r w:rsidR="005A274E" w:rsidRPr="009B21FB">
          <w:rPr>
            <w:rStyle w:val="Hyperlink"/>
            <w:noProof/>
          </w:rPr>
          <w:t>Schedule No. 3-B – Adjustments to Operating Income</w:t>
        </w:r>
        <w:r w:rsidR="005A274E">
          <w:rPr>
            <w:noProof/>
            <w:webHidden/>
          </w:rPr>
          <w:tab/>
        </w:r>
        <w:r w:rsidR="005A274E">
          <w:rPr>
            <w:noProof/>
            <w:webHidden/>
          </w:rPr>
          <w:fldChar w:fldCharType="begin"/>
        </w:r>
        <w:r w:rsidR="005A274E">
          <w:rPr>
            <w:noProof/>
            <w:webHidden/>
          </w:rPr>
          <w:instrText xml:space="preserve"> PAGEREF _Toc104278789 \h </w:instrText>
        </w:r>
        <w:r w:rsidR="005A274E">
          <w:rPr>
            <w:noProof/>
            <w:webHidden/>
          </w:rPr>
        </w:r>
        <w:r w:rsidR="005A274E">
          <w:rPr>
            <w:noProof/>
            <w:webHidden/>
          </w:rPr>
          <w:fldChar w:fldCharType="separate"/>
        </w:r>
        <w:r w:rsidR="00044599">
          <w:rPr>
            <w:noProof/>
            <w:webHidden/>
          </w:rPr>
          <w:t>52</w:t>
        </w:r>
        <w:r w:rsidR="005A274E">
          <w:rPr>
            <w:noProof/>
            <w:webHidden/>
          </w:rPr>
          <w:fldChar w:fldCharType="end"/>
        </w:r>
      </w:hyperlink>
    </w:p>
    <w:p w14:paraId="167617F1" w14:textId="55BD60CD" w:rsidR="005A274E" w:rsidRDefault="007E76B9">
      <w:pPr>
        <w:pStyle w:val="TOC1"/>
        <w:rPr>
          <w:rFonts w:asciiTheme="minorHAnsi" w:eastAsiaTheme="minorEastAsia" w:hAnsiTheme="minorHAnsi" w:cstheme="minorBidi"/>
          <w:noProof/>
          <w:sz w:val="22"/>
          <w:szCs w:val="22"/>
        </w:rPr>
      </w:pPr>
      <w:hyperlink w:anchor="_Toc104278790" w:history="1">
        <w:r w:rsidR="005A274E" w:rsidRPr="009B21FB">
          <w:rPr>
            <w:rStyle w:val="Hyperlink"/>
            <w:noProof/>
          </w:rPr>
          <w:t>Schedule No. 4 – Monthly Wastewater Rates</w:t>
        </w:r>
        <w:r w:rsidR="005A274E">
          <w:rPr>
            <w:noProof/>
            <w:webHidden/>
          </w:rPr>
          <w:tab/>
        </w:r>
        <w:r w:rsidR="005A274E">
          <w:rPr>
            <w:noProof/>
            <w:webHidden/>
          </w:rPr>
          <w:fldChar w:fldCharType="begin"/>
        </w:r>
        <w:r w:rsidR="005A274E">
          <w:rPr>
            <w:noProof/>
            <w:webHidden/>
          </w:rPr>
          <w:instrText xml:space="preserve"> PAGEREF _Toc104278790 \h </w:instrText>
        </w:r>
        <w:r w:rsidR="005A274E">
          <w:rPr>
            <w:noProof/>
            <w:webHidden/>
          </w:rPr>
        </w:r>
        <w:r w:rsidR="005A274E">
          <w:rPr>
            <w:noProof/>
            <w:webHidden/>
          </w:rPr>
          <w:fldChar w:fldCharType="separate"/>
        </w:r>
        <w:r w:rsidR="00044599">
          <w:rPr>
            <w:noProof/>
            <w:webHidden/>
          </w:rPr>
          <w:t>53</w:t>
        </w:r>
        <w:r w:rsidR="005A274E">
          <w:rPr>
            <w:noProof/>
            <w:webHidden/>
          </w:rPr>
          <w:fldChar w:fldCharType="end"/>
        </w:r>
      </w:hyperlink>
    </w:p>
    <w:p w14:paraId="4B813504" w14:textId="0BFC760F" w:rsidR="005A274E" w:rsidRDefault="007E76B9">
      <w:pPr>
        <w:pStyle w:val="TOC1"/>
        <w:rPr>
          <w:rFonts w:asciiTheme="minorHAnsi" w:eastAsiaTheme="minorEastAsia" w:hAnsiTheme="minorHAnsi" w:cstheme="minorBidi"/>
          <w:noProof/>
          <w:sz w:val="22"/>
          <w:szCs w:val="22"/>
        </w:rPr>
      </w:pPr>
      <w:hyperlink w:anchor="_Toc104278791" w:history="1">
        <w:r w:rsidR="005A274E" w:rsidRPr="009B21FB">
          <w:rPr>
            <w:rStyle w:val="Hyperlink"/>
            <w:noProof/>
          </w:rPr>
          <w:t>Schedule No. 5 – Service Availability Charges</w:t>
        </w:r>
        <w:r w:rsidR="005A274E">
          <w:rPr>
            <w:noProof/>
            <w:webHidden/>
          </w:rPr>
          <w:tab/>
        </w:r>
        <w:r w:rsidR="005A274E">
          <w:rPr>
            <w:noProof/>
            <w:webHidden/>
          </w:rPr>
          <w:fldChar w:fldCharType="begin"/>
        </w:r>
        <w:r w:rsidR="005A274E">
          <w:rPr>
            <w:noProof/>
            <w:webHidden/>
          </w:rPr>
          <w:instrText xml:space="preserve"> PAGEREF _Toc104278791 \h </w:instrText>
        </w:r>
        <w:r w:rsidR="005A274E">
          <w:rPr>
            <w:noProof/>
            <w:webHidden/>
          </w:rPr>
        </w:r>
        <w:r w:rsidR="005A274E">
          <w:rPr>
            <w:noProof/>
            <w:webHidden/>
          </w:rPr>
          <w:fldChar w:fldCharType="separate"/>
        </w:r>
        <w:r w:rsidR="00044599">
          <w:rPr>
            <w:noProof/>
            <w:webHidden/>
          </w:rPr>
          <w:t>54</w:t>
        </w:r>
        <w:r w:rsidR="005A274E">
          <w:rPr>
            <w:noProof/>
            <w:webHidden/>
          </w:rPr>
          <w:fldChar w:fldCharType="end"/>
        </w:r>
      </w:hyperlink>
    </w:p>
    <w:p w14:paraId="134C5B5A" w14:textId="11438D15" w:rsidR="00A52A69" w:rsidRDefault="009F088B" w:rsidP="009536D3">
      <w:r>
        <w:fldChar w:fldCharType="end"/>
      </w:r>
    </w:p>
    <w:p w14:paraId="735946F6" w14:textId="77777777" w:rsidR="00E07FD5" w:rsidRPr="0076686E" w:rsidRDefault="00A52A69" w:rsidP="00A52A69">
      <w:pPr>
        <w:pStyle w:val="IssueHeading"/>
        <w:jc w:val="center"/>
        <w:rPr>
          <w:i w:val="0"/>
        </w:rPr>
      </w:pPr>
      <w:r w:rsidRPr="004C3641">
        <w:rPr>
          <w:b w:val="0"/>
          <w:i w:val="0"/>
        </w:rPr>
        <w:br w:type="page"/>
      </w:r>
      <w:r w:rsidR="009F088B" w:rsidRPr="0076686E">
        <w:rPr>
          <w:i w:val="0"/>
        </w:rPr>
        <w:t>Case Background</w:t>
      </w:r>
      <w:r w:rsidR="00E07FD5" w:rsidRPr="0076686E">
        <w:rPr>
          <w:i w:val="0"/>
        </w:rPr>
        <w:fldChar w:fldCharType="begin"/>
      </w:r>
      <w:r w:rsidR="00E07FD5" w:rsidRPr="0076686E">
        <w:rPr>
          <w:i w:val="0"/>
        </w:rPr>
        <w:instrText xml:space="preserve"> TC  "</w:instrText>
      </w:r>
      <w:r w:rsidR="00E07FD5" w:rsidRPr="0076686E">
        <w:rPr>
          <w:i w:val="0"/>
        </w:rPr>
        <w:tab/>
      </w:r>
      <w:bookmarkStart w:id="11" w:name="_Toc104278769"/>
      <w:r w:rsidR="009F088B" w:rsidRPr="0076686E">
        <w:rPr>
          <w:i w:val="0"/>
        </w:rPr>
        <w:instrText>Case Background</w:instrText>
      </w:r>
      <w:bookmarkEnd w:id="11"/>
      <w:r w:rsidR="00E07FD5" w:rsidRPr="0076686E">
        <w:rPr>
          <w:i w:val="0"/>
        </w:rPr>
        <w:instrText xml:space="preserve">" \l 1 </w:instrText>
      </w:r>
      <w:r w:rsidR="00E07FD5" w:rsidRPr="0076686E">
        <w:rPr>
          <w:i w:val="0"/>
        </w:rPr>
        <w:fldChar w:fldCharType="end"/>
      </w:r>
    </w:p>
    <w:p w14:paraId="43043F35" w14:textId="6EA8C2DB" w:rsidR="00FC4139" w:rsidRDefault="00FC4139" w:rsidP="00FC4139">
      <w:pPr>
        <w:jc w:val="both"/>
      </w:pPr>
      <w:r w:rsidRPr="0006296E">
        <w:t>Section 367.011(3), F</w:t>
      </w:r>
      <w:r>
        <w:t>lorida Statutes (F</w:t>
      </w:r>
      <w:r w:rsidRPr="0006296E">
        <w:t>.S.</w:t>
      </w:r>
      <w:r>
        <w:t>)</w:t>
      </w:r>
      <w:r w:rsidRPr="0006296E">
        <w:t xml:space="preserve">, provides that regulation of </w:t>
      </w:r>
      <w:r w:rsidR="00B31619">
        <w:t xml:space="preserve">water and wastewater </w:t>
      </w:r>
      <w:r w:rsidRPr="0006296E">
        <w:t>utilities is in the public interest as an exercise of the police power of the state for the protection of the public health, safety, and welfare. The provisions of Chapter 367, F.S., are to be liberally construed for accomplishment of this purpose. Section 367.031, F.S., give</w:t>
      </w:r>
      <w:r w:rsidR="00B31619">
        <w:t>s</w:t>
      </w:r>
      <w:r w:rsidRPr="0006296E">
        <w:t xml:space="preserve"> the </w:t>
      </w:r>
      <w:r w:rsidR="003B4CF0">
        <w:t xml:space="preserve">Florida Public Service </w:t>
      </w:r>
      <w:r w:rsidRPr="0006296E">
        <w:t>Commission</w:t>
      </w:r>
      <w:r w:rsidR="003B4CF0">
        <w:t xml:space="preserve"> (Commission)</w:t>
      </w:r>
      <w:r w:rsidRPr="0006296E">
        <w:t xml:space="preserve"> the authority to issue a utility a certificate of authorization to serve a specific service area. Section 367.045(1)(b), F.S., authorizes the Commission to require each applicant for an initial certificate to provide all information required by rule or order of the Commission which may include a detailed inquiry into the ability of the applicant to provide service, the area and facilities involved, the need for service in the area involved, and the existence or nonexistence of service from other sources within geographical proximity.</w:t>
      </w:r>
    </w:p>
    <w:p w14:paraId="14F9A734" w14:textId="77777777" w:rsidR="00FC4139" w:rsidRDefault="00FC4139" w:rsidP="00FC4139">
      <w:pPr>
        <w:jc w:val="both"/>
      </w:pPr>
    </w:p>
    <w:p w14:paraId="48902C4A" w14:textId="77777777" w:rsidR="00FC4139" w:rsidRDefault="00FC4139" w:rsidP="00FC4139">
      <w:pPr>
        <w:jc w:val="both"/>
      </w:pPr>
      <w:r>
        <w:t xml:space="preserve">On October 13, 2020, Environmental Utilities, LLC (EU or Utility) filed its application for an original wastewater certificate in Charlotte County (County). The Utility </w:t>
      </w:r>
      <w:r w:rsidR="00902AF2">
        <w:t>seek</w:t>
      </w:r>
      <w:r>
        <w:t>s to provide ce</w:t>
      </w:r>
      <w:r w:rsidR="00B31619">
        <w:t>ntral sewer service to residents</w:t>
      </w:r>
      <w:r>
        <w:t xml:space="preserve"> of the barrier islands of Little Gasparilla, Don Pedro, and Knight, which are currently served by septic tanks</w:t>
      </w:r>
      <w:r w:rsidR="00767BD4">
        <w:t>, with the exception of parts of Knight Island which is served by a central sewer system</w:t>
      </w:r>
      <w:r>
        <w:t xml:space="preserve">. The proposed service territory includes an estimated 860 existing equivalent residential connections (ERCs) </w:t>
      </w:r>
      <w:r w:rsidR="00B31619">
        <w:t>and</w:t>
      </w:r>
      <w:r>
        <w:t xml:space="preserve"> </w:t>
      </w:r>
      <w:r w:rsidR="00C261B0">
        <w:t>388 potential future ERCs, for a</w:t>
      </w:r>
      <w:r w:rsidR="00B31619">
        <w:t xml:space="preserve"> total of </w:t>
      </w:r>
      <w:r w:rsidR="00C261B0">
        <w:t>1,248</w:t>
      </w:r>
      <w:r>
        <w:t xml:space="preserve"> ERCs</w:t>
      </w:r>
      <w:r w:rsidR="00C261B0">
        <w:t xml:space="preserve"> at build</w:t>
      </w:r>
      <w:r w:rsidR="00B31619">
        <w:t>out</w:t>
      </w:r>
      <w:r>
        <w:t xml:space="preserve">. The Utility </w:t>
      </w:r>
      <w:r w:rsidR="00902AF2">
        <w:t>seek</w:t>
      </w:r>
      <w:r>
        <w:t>s to begin serving customers by the end of 2023. With its application, EU filed a petition for temporary waiver of portions of Rule 25-30.033, Florida Administrative Code (F.A.C.), so that the Utility</w:t>
      </w:r>
      <w:r w:rsidR="00F4051A">
        <w:t>’s</w:t>
      </w:r>
      <w:r>
        <w:t xml:space="preserve"> initial rates and charges </w:t>
      </w:r>
      <w:r w:rsidR="00C261B0">
        <w:t>would</w:t>
      </w:r>
      <w:r>
        <w:t xml:space="preserve"> be set at a date subsequent to the granting of the certificate of authorization. The Commission denied the petition for temporary rule waiver.</w:t>
      </w:r>
      <w:r>
        <w:rPr>
          <w:rStyle w:val="FootnoteReference"/>
        </w:rPr>
        <w:footnoteReference w:id="1"/>
      </w:r>
    </w:p>
    <w:p w14:paraId="5DFFE7C6" w14:textId="77777777" w:rsidR="00FC4139" w:rsidRDefault="00FC4139" w:rsidP="00FC4139">
      <w:pPr>
        <w:jc w:val="both"/>
      </w:pPr>
    </w:p>
    <w:p w14:paraId="3D6B8F6A" w14:textId="77777777" w:rsidR="00FC4139" w:rsidRDefault="00FC4139" w:rsidP="00FC4139">
      <w:pPr>
        <w:jc w:val="both"/>
      </w:pPr>
      <w:r>
        <w:t>Prior to the Commission addressing the application, t</w:t>
      </w:r>
      <w:r w:rsidRPr="002B28A3">
        <w:t xml:space="preserve">imely objections </w:t>
      </w:r>
      <w:r>
        <w:t>were</w:t>
      </w:r>
      <w:r w:rsidRPr="002B28A3">
        <w:t xml:space="preserve"> filed </w:t>
      </w:r>
      <w:r>
        <w:t>on behalf of Palm Island Estates Association, Inc. (PIE)</w:t>
      </w:r>
      <w:r w:rsidR="00101001">
        <w:t xml:space="preserve">, </w:t>
      </w:r>
      <w:r>
        <w:t>Linda Cotherman (LC)</w:t>
      </w:r>
      <w:r w:rsidR="00101001">
        <w:t>,</w:t>
      </w:r>
      <w:r>
        <w:t xml:space="preserve"> and several other customers</w:t>
      </w:r>
      <w:r w:rsidRPr="002B28A3">
        <w:t>. The</w:t>
      </w:r>
      <w:r>
        <w:t xml:space="preserve"> </w:t>
      </w:r>
      <w:r w:rsidRPr="002B28A3">
        <w:t>Office of Public Counsel</w:t>
      </w:r>
      <w:r w:rsidR="00C261B0">
        <w:t xml:space="preserve"> (OPC)</w:t>
      </w:r>
      <w:r>
        <w:t xml:space="preserve"> intervened on September 24, 2021.</w:t>
      </w:r>
      <w:r>
        <w:rPr>
          <w:rStyle w:val="FootnoteReference"/>
        </w:rPr>
        <w:footnoteReference w:id="2"/>
      </w:r>
      <w:r>
        <w:t xml:space="preserve"> At the January 26, 2022 Prehearing Conference one objecting party, Barb Dwyer, voluntarily withdrew and pro se parties Deric Flom, Joseph Bokar, Laurie Tremblay, Rhonda Olson, Richard Leydon, Roy Petteway, and Robert Lee Williams were dismissed as parties from this proceeding for failure to appear at the Prehearing Conference as required by the Order Establishing Procedure.</w:t>
      </w:r>
      <w:r>
        <w:rPr>
          <w:rStyle w:val="FootnoteReference"/>
        </w:rPr>
        <w:footnoteReference w:id="3"/>
      </w:r>
      <w:r>
        <w:t xml:space="preserve"> </w:t>
      </w:r>
    </w:p>
    <w:p w14:paraId="6269B258" w14:textId="77777777" w:rsidR="00FC4139" w:rsidRDefault="00FC4139" w:rsidP="00FC4139">
      <w:pPr>
        <w:jc w:val="both"/>
      </w:pPr>
    </w:p>
    <w:p w14:paraId="0BEBB5D6" w14:textId="77777777" w:rsidR="00FC4139" w:rsidRDefault="00FC4139" w:rsidP="00FC4139">
      <w:pPr>
        <w:jc w:val="both"/>
      </w:pPr>
      <w:r>
        <w:t>On February 8, 2022, the Commission held a</w:t>
      </w:r>
      <w:r w:rsidR="00D96023">
        <w:t>n evidentiary</w:t>
      </w:r>
      <w:r>
        <w:t xml:space="preserve"> hearing in Venice, Florida. Th</w:t>
      </w:r>
      <w:r w:rsidR="00D96023">
        <w:t>is</w:t>
      </w:r>
      <w:r>
        <w:t xml:space="preserve"> hearing was followed by two service hearings</w:t>
      </w:r>
      <w:r w:rsidR="008A5D29">
        <w:t>:</w:t>
      </w:r>
      <w:r>
        <w:t xml:space="preserve"> one on February 8, 2022, and one the following morning on February 9, 2022. A to</w:t>
      </w:r>
      <w:r w:rsidRPr="00C961F7">
        <w:t>tal of 5</w:t>
      </w:r>
      <w:r w:rsidR="00C961F7" w:rsidRPr="00C961F7">
        <w:t>3</w:t>
      </w:r>
      <w:r w:rsidRPr="00C961F7">
        <w:t xml:space="preserve"> customers spoke at the service hearings and </w:t>
      </w:r>
      <w:r w:rsidR="00F20F24" w:rsidRPr="00C961F7">
        <w:t>over</w:t>
      </w:r>
      <w:r w:rsidRPr="00C961F7">
        <w:t xml:space="preserve"> 1,</w:t>
      </w:r>
      <w:r w:rsidR="00F20F24" w:rsidRPr="00C961F7">
        <w:t>00</w:t>
      </w:r>
      <w:r w:rsidRPr="00C961F7">
        <w:t>0 written customer comments were received.</w:t>
      </w:r>
    </w:p>
    <w:p w14:paraId="6CAB7A60" w14:textId="77777777" w:rsidR="00FC4139" w:rsidRDefault="00FC4139" w:rsidP="00FC4139">
      <w:pPr>
        <w:jc w:val="both"/>
      </w:pPr>
    </w:p>
    <w:p w14:paraId="0982B874" w14:textId="77777777" w:rsidR="009F088B" w:rsidRPr="009F088B" w:rsidRDefault="00795FE7" w:rsidP="00C261B0">
      <w:pPr>
        <w:jc w:val="both"/>
      </w:pPr>
      <w:r>
        <w:t xml:space="preserve">EU, OPC, PIE, and LC </w:t>
      </w:r>
      <w:r w:rsidR="00D96023">
        <w:t xml:space="preserve">filed post-hearing briefs on March 16, 2022. </w:t>
      </w:r>
      <w:r w:rsidR="00FC4139" w:rsidRPr="00AE5CCB">
        <w:t>The Commission has jurisdiction pursuant to Section</w:t>
      </w:r>
      <w:r w:rsidR="00FC4139" w:rsidRPr="006566D5">
        <w:t xml:space="preserve">s 367.011, </w:t>
      </w:r>
      <w:r w:rsidR="006566D5" w:rsidRPr="006566D5">
        <w:t xml:space="preserve">367.031, 367.045, </w:t>
      </w:r>
      <w:r w:rsidR="00FC4139" w:rsidRPr="006566D5">
        <w:t xml:space="preserve">367.081, </w:t>
      </w:r>
      <w:r w:rsidR="006566D5" w:rsidRPr="006566D5">
        <w:t>and 367.101</w:t>
      </w:r>
      <w:r w:rsidR="006E4AF9">
        <w:t>,</w:t>
      </w:r>
      <w:r w:rsidR="006566D5" w:rsidRPr="006566D5">
        <w:t xml:space="preserve"> </w:t>
      </w:r>
      <w:r w:rsidR="00FC4139" w:rsidRPr="006566D5">
        <w:t>F.S.</w:t>
      </w:r>
      <w:r w:rsidR="00D96023" w:rsidRPr="006566D5">
        <w:t xml:space="preserve"> </w:t>
      </w:r>
    </w:p>
    <w:p w14:paraId="76EAEC1D" w14:textId="77777777" w:rsidR="00E07FD5" w:rsidRDefault="00E07FD5">
      <w:pPr>
        <w:pStyle w:val="RecommendationMajorSectionHeading"/>
        <w:sectPr w:rsidR="00E07FD5" w:rsidSect="00A52A69">
          <w:headerReference w:type="default" r:id="rId9"/>
          <w:footerReference w:type="default" r:id="rId10"/>
          <w:footerReference w:type="first" r:id="rId11"/>
          <w:pgSz w:w="12240" w:h="15840" w:code="1"/>
          <w:pgMar w:top="1584" w:right="1440" w:bottom="1440" w:left="1440" w:header="720" w:footer="720" w:gutter="0"/>
          <w:pgNumType w:start="0"/>
          <w:cols w:space="720"/>
          <w:formProt w:val="0"/>
          <w:titlePg/>
          <w:docGrid w:linePitch="360"/>
        </w:sectPr>
      </w:pPr>
    </w:p>
    <w:p w14:paraId="2D711AA9" w14:textId="77777777" w:rsidR="007C0528" w:rsidRDefault="007C0528">
      <w:pPr>
        <w:pStyle w:val="RecommendationMajorSectionHeading"/>
      </w:pPr>
      <w:bookmarkStart w:id="12" w:name="DiscussionOfIssues"/>
      <w:r>
        <w:t>Discussion of Issues</w:t>
      </w:r>
    </w:p>
    <w:bookmarkEnd w:id="12"/>
    <w:p w14:paraId="67187E43" w14:textId="77777777" w:rsidR="00CA1F5F" w:rsidRDefault="00CA1F5F" w:rsidP="00CA1F5F">
      <w:pPr>
        <w:pStyle w:val="IssueHeading"/>
        <w:rPr>
          <w:vanish/>
          <w:specVanish/>
        </w:rPr>
      </w:pPr>
      <w:r w:rsidRPr="004C3641">
        <w:t xml:space="preserve">Issue </w:t>
      </w:r>
      <w:r>
        <w:t>A</w:t>
      </w:r>
      <w:r w:rsidRPr="004C3641">
        <w:t>:</w:t>
      </w:r>
      <w:r>
        <w:fldChar w:fldCharType="begin"/>
      </w:r>
      <w:r>
        <w:instrText xml:space="preserve"> TC "</w:instrText>
      </w:r>
      <w:bookmarkStart w:id="13" w:name="_Toc104278770"/>
      <w:r>
        <w:instrText>Issue A – Motion to Reopen the Record</w:instrText>
      </w:r>
      <w:bookmarkEnd w:id="13"/>
      <w:r>
        <w:instrText xml:space="preserve">" \l 1 </w:instrText>
      </w:r>
      <w:r>
        <w:fldChar w:fldCharType="end"/>
      </w:r>
      <w:r>
        <w:t> </w:t>
      </w:r>
    </w:p>
    <w:p w14:paraId="31B0CB60" w14:textId="77777777" w:rsidR="00CA1F5F" w:rsidRPr="00CA1F5F" w:rsidRDefault="00CA1F5F" w:rsidP="005A2781">
      <w:pPr>
        <w:pStyle w:val="BodyText"/>
        <w:rPr>
          <w:b/>
          <w:i/>
        </w:rPr>
      </w:pPr>
      <w:r>
        <w:t xml:space="preserve"> Should </w:t>
      </w:r>
      <w:r w:rsidR="00902AF2">
        <w:t xml:space="preserve">Environmental Utilities’ </w:t>
      </w:r>
      <w:r>
        <w:t>Motion to Reopen the Record be granted?</w:t>
      </w:r>
    </w:p>
    <w:p w14:paraId="6676DF17" w14:textId="77777777" w:rsidR="00F45B3F" w:rsidRPr="004C3641" w:rsidRDefault="00F45B3F" w:rsidP="00F45B3F">
      <w:pPr>
        <w:pStyle w:val="IssueSubsectionHeading"/>
        <w:rPr>
          <w:vanish/>
          <w:specVanish/>
        </w:rPr>
      </w:pPr>
      <w:r w:rsidRPr="004C3641">
        <w:t>Recommendation: </w:t>
      </w:r>
    </w:p>
    <w:p w14:paraId="79595E8D" w14:textId="0324EB13" w:rsidR="00F45B3F" w:rsidRDefault="00F45B3F" w:rsidP="00F45B3F">
      <w:pPr>
        <w:pStyle w:val="BodyText"/>
      </w:pPr>
      <w:r>
        <w:t xml:space="preserve">  </w:t>
      </w:r>
      <w:r w:rsidR="00E077C2" w:rsidRPr="00E077C2">
        <w:t>Yes.</w:t>
      </w:r>
      <w:r w:rsidR="00902AF2">
        <w:t xml:space="preserve"> </w:t>
      </w:r>
      <w:r w:rsidR="009160F0">
        <w:t xml:space="preserve">Granting the motion will complete the record in this proceeding. </w:t>
      </w:r>
      <w:r w:rsidR="00902AF2" w:rsidRPr="00032FD2">
        <w:t>No party is prej</w:t>
      </w:r>
      <w:r w:rsidR="009160F0">
        <w:t>udiced by reopening the record</w:t>
      </w:r>
      <w:r w:rsidR="00F00810">
        <w:t>,</w:t>
      </w:r>
      <w:r w:rsidR="009160F0">
        <w:t xml:space="preserve"> and </w:t>
      </w:r>
      <w:r w:rsidR="00902AF2" w:rsidRPr="00032FD2">
        <w:t>no party oppose</w:t>
      </w:r>
      <w:r w:rsidR="009160F0">
        <w:t>d</w:t>
      </w:r>
      <w:r w:rsidR="00902AF2" w:rsidRPr="00032FD2">
        <w:t xml:space="preserve"> reopening the record for the limited purpose of admitting witness Swain’s prefiled direct testimony into the record. (</w:t>
      </w:r>
      <w:r w:rsidR="009160F0">
        <w:t xml:space="preserve">Sandy, </w:t>
      </w:r>
      <w:r w:rsidR="00902AF2" w:rsidRPr="00032FD2">
        <w:t>Crawford)</w:t>
      </w:r>
    </w:p>
    <w:p w14:paraId="748D4852" w14:textId="77777777" w:rsidR="00F45B3F" w:rsidRPr="004C3641" w:rsidRDefault="00F45B3F" w:rsidP="00F45B3F">
      <w:pPr>
        <w:pStyle w:val="IssueSubsectionHeading"/>
        <w:rPr>
          <w:vanish/>
          <w:specVanish/>
        </w:rPr>
      </w:pPr>
      <w:r w:rsidRPr="004C3641">
        <w:t>Staff Analysis: </w:t>
      </w:r>
    </w:p>
    <w:p w14:paraId="6B1C70CA" w14:textId="093C070B" w:rsidR="005A2781" w:rsidRDefault="009160F0" w:rsidP="00F45B3F">
      <w:pPr>
        <w:pStyle w:val="BodyText"/>
      </w:pPr>
      <w:r w:rsidRPr="00E077C2">
        <w:t>On February 23, 2022, the Utility submitted a</w:t>
      </w:r>
      <w:r>
        <w:t>n unopposed</w:t>
      </w:r>
      <w:r w:rsidRPr="00E077C2">
        <w:t xml:space="preserve"> motion requesting that the record be reopened for the limited purpose of admitting</w:t>
      </w:r>
      <w:r>
        <w:t xml:space="preserve"> EU witness</w:t>
      </w:r>
      <w:r w:rsidRPr="00E077C2">
        <w:t xml:space="preserve"> Swain</w:t>
      </w:r>
      <w:r>
        <w:t>’s</w:t>
      </w:r>
      <w:r w:rsidRPr="00E077C2">
        <w:t xml:space="preserve"> </w:t>
      </w:r>
      <w:r>
        <w:t>p</w:t>
      </w:r>
      <w:r w:rsidRPr="00E077C2">
        <w:t xml:space="preserve">refiled </w:t>
      </w:r>
      <w:r>
        <w:t>d</w:t>
      </w:r>
      <w:r w:rsidRPr="00E077C2">
        <w:t xml:space="preserve">irect </w:t>
      </w:r>
      <w:r>
        <w:t>t</w:t>
      </w:r>
      <w:r w:rsidRPr="00E077C2">
        <w:t>estimony. On February 8, 2022, the Commission held a</w:t>
      </w:r>
      <w:r>
        <w:t>n</w:t>
      </w:r>
      <w:r w:rsidRPr="00E077C2">
        <w:t xml:space="preserve"> </w:t>
      </w:r>
      <w:r>
        <w:t>evidentiary</w:t>
      </w:r>
      <w:r w:rsidRPr="00E077C2">
        <w:t xml:space="preserve"> hearing in this docket. </w:t>
      </w:r>
      <w:r>
        <w:t>Witness</w:t>
      </w:r>
      <w:r w:rsidRPr="00E077C2">
        <w:t xml:space="preserve"> Swain was one of several witnesses who testified before the Commission. </w:t>
      </w:r>
      <w:r>
        <w:t>Inadvertently, t</w:t>
      </w:r>
      <w:r w:rsidRPr="00E077C2">
        <w:t>h</w:t>
      </w:r>
      <w:r>
        <w:t>e Utility never moved to have witness</w:t>
      </w:r>
      <w:r w:rsidRPr="00E077C2">
        <w:t xml:space="preserve"> Swain’s </w:t>
      </w:r>
      <w:r>
        <w:t>p</w:t>
      </w:r>
      <w:r w:rsidRPr="00E077C2">
        <w:t xml:space="preserve">refiled </w:t>
      </w:r>
      <w:r>
        <w:t>d</w:t>
      </w:r>
      <w:r w:rsidRPr="00E077C2">
        <w:t xml:space="preserve">irect </w:t>
      </w:r>
      <w:r>
        <w:t>t</w:t>
      </w:r>
      <w:r w:rsidRPr="00E077C2">
        <w:t xml:space="preserve">estimony entered into the record during the hearing. </w:t>
      </w:r>
      <w:r>
        <w:t>Witness</w:t>
      </w:r>
      <w:r w:rsidRPr="00E077C2">
        <w:t xml:space="preserve"> Swain was subject to cross</w:t>
      </w:r>
      <w:r>
        <w:t>-</w:t>
      </w:r>
      <w:r w:rsidRPr="00E077C2">
        <w:t>examination by all parties</w:t>
      </w:r>
      <w:r>
        <w:t>, staff, and Commissioners</w:t>
      </w:r>
      <w:r w:rsidRPr="00E077C2">
        <w:t xml:space="preserve"> as if her testimony had been admitted. </w:t>
      </w:r>
      <w:r>
        <w:t xml:space="preserve">Further, the parties cited to witness Swain’s testimony in their post-hearing briefs. </w:t>
      </w:r>
      <w:r w:rsidRPr="00E077C2">
        <w:t>Therefore, no par</w:t>
      </w:r>
      <w:r>
        <w:t>ty is prejudiced by including witness</w:t>
      </w:r>
      <w:r w:rsidRPr="00E077C2">
        <w:t xml:space="preserve"> Swain’s </w:t>
      </w:r>
      <w:r>
        <w:t>p</w:t>
      </w:r>
      <w:r w:rsidRPr="00E077C2">
        <w:t xml:space="preserve">refiled </w:t>
      </w:r>
      <w:r>
        <w:t>d</w:t>
      </w:r>
      <w:r w:rsidRPr="00E077C2">
        <w:t xml:space="preserve">irect </w:t>
      </w:r>
      <w:r>
        <w:t>t</w:t>
      </w:r>
      <w:r w:rsidRPr="00E077C2">
        <w:t xml:space="preserve">estimony into the record. </w:t>
      </w:r>
      <w:r>
        <w:t>Staff therefore recommends that the Utility’s motion should be granted, and the record in this proceeding should be reopened for the limited purpose of admitting witness Swain’s prefiled direct testimony</w:t>
      </w:r>
    </w:p>
    <w:p w14:paraId="66E47FBA" w14:textId="032753FA" w:rsidR="00AC36F6" w:rsidRDefault="00AC36F6"/>
    <w:p w14:paraId="166EBF07" w14:textId="6356B971" w:rsidR="005A2781" w:rsidRDefault="005A2781">
      <w:r>
        <w:br w:type="page"/>
      </w:r>
    </w:p>
    <w:p w14:paraId="1AAFD542" w14:textId="77777777" w:rsidR="006E3F46" w:rsidRDefault="006E3F46">
      <w:pPr>
        <w:pStyle w:val="IssueHeading"/>
        <w:rPr>
          <w:vanish/>
          <w:specVanish/>
        </w:rPr>
      </w:pPr>
      <w:r w:rsidRPr="004C3641">
        <w:t xml:space="preserve">Issue </w:t>
      </w:r>
      <w:fldSimple w:instr=" SEQ Issue \* MERGEFORMAT ">
        <w:r w:rsidR="0028227E">
          <w:rPr>
            <w:noProof/>
          </w:rPr>
          <w:t>1</w:t>
        </w:r>
      </w:fldSimple>
      <w:r w:rsidRPr="004C3641">
        <w:t>:</w:t>
      </w:r>
      <w:r>
        <w:fldChar w:fldCharType="begin"/>
      </w:r>
      <w:r>
        <w:instrText xml:space="preserve"> TC "</w:instrText>
      </w:r>
      <w:bookmarkStart w:id="14" w:name="_Toc104278771"/>
      <w:r w:rsidR="00E07FD5">
        <w:instrText xml:space="preserve">Issue </w:instrText>
      </w:r>
      <w:r>
        <w:fldChar w:fldCharType="begin"/>
      </w:r>
      <w:r>
        <w:instrText xml:space="preserve"> SEQ issue \c </w:instrText>
      </w:r>
      <w:r>
        <w:fldChar w:fldCharType="separate"/>
      </w:r>
      <w:r w:rsidR="0028227E">
        <w:rPr>
          <w:noProof/>
        </w:rPr>
        <w:instrText>1</w:instrText>
      </w:r>
      <w:r>
        <w:fldChar w:fldCharType="end"/>
      </w:r>
      <w:r w:rsidR="00E07FD5">
        <w:instrText xml:space="preserve"> - Filing and Noticing Requirements</w:instrText>
      </w:r>
      <w:bookmarkEnd w:id="14"/>
      <w:r>
        <w:tab/>
        <w:instrText xml:space="preserve">" \l 1 </w:instrText>
      </w:r>
      <w:r>
        <w:fldChar w:fldCharType="end"/>
      </w:r>
      <w:r>
        <w:t> </w:t>
      </w:r>
    </w:p>
    <w:p w14:paraId="6694FE38" w14:textId="77777777" w:rsidR="006E3F46" w:rsidRDefault="006E3F46">
      <w:pPr>
        <w:pStyle w:val="BodyText"/>
      </w:pPr>
      <w:r>
        <w:t> </w:t>
      </w:r>
      <w:r w:rsidRPr="00DA500F">
        <w:t xml:space="preserve">Has Environmental Utilities met the filing and noticing requirements pursuant to Rules 25-30.030 and 25-30.033, </w:t>
      </w:r>
      <w:r w:rsidR="00A235C1">
        <w:t>F.A.C.</w:t>
      </w:r>
      <w:r w:rsidRPr="00DA500F">
        <w:t>?</w:t>
      </w:r>
    </w:p>
    <w:p w14:paraId="7CE9A1DA" w14:textId="77777777" w:rsidR="006E3F46" w:rsidRPr="004C3641" w:rsidRDefault="006E3F46">
      <w:pPr>
        <w:pStyle w:val="IssueSubsectionHeading"/>
        <w:rPr>
          <w:vanish/>
          <w:specVanish/>
        </w:rPr>
      </w:pPr>
      <w:r w:rsidRPr="004C3641">
        <w:t>Recommendation: </w:t>
      </w:r>
    </w:p>
    <w:p w14:paraId="29F31D89" w14:textId="77777777" w:rsidR="006E3F46" w:rsidRDefault="00FC4139" w:rsidP="006E3F46">
      <w:pPr>
        <w:pStyle w:val="BodyText"/>
        <w:spacing w:after="0"/>
      </w:pPr>
      <w:r w:rsidRPr="00BE739E">
        <w:t xml:space="preserve">The </w:t>
      </w:r>
      <w:r>
        <w:t>Utility</w:t>
      </w:r>
      <w:r w:rsidRPr="00BE739E">
        <w:t xml:space="preserve"> </w:t>
      </w:r>
      <w:r>
        <w:t xml:space="preserve">properly notified potential customers of </w:t>
      </w:r>
      <w:r w:rsidR="00837D75">
        <w:t xml:space="preserve">its </w:t>
      </w:r>
      <w:r>
        <w:t>application and met the noticing requirements of Rule 25-30.030, F.A.C.</w:t>
      </w:r>
      <w:r w:rsidR="00283B56">
        <w:t xml:space="preserve"> </w:t>
      </w:r>
      <w:r w:rsidR="00795FE7">
        <w:t xml:space="preserve">However, EU’s application erroneously identifies the proposed service territory’s current land use designation as Compact Growth Mixed Use. </w:t>
      </w:r>
      <w:r w:rsidR="00151B51">
        <w:t>Although</w:t>
      </w:r>
      <w:r w:rsidR="00802E86">
        <w:t xml:space="preserve"> </w:t>
      </w:r>
      <w:r w:rsidR="00FF5C95">
        <w:t xml:space="preserve">the application as filed noted the </w:t>
      </w:r>
      <w:r w:rsidR="001C0AB0" w:rsidRPr="00AD250A">
        <w:t>incorrect land use designation</w:t>
      </w:r>
      <w:r w:rsidR="00FF5C95">
        <w:t>, t</w:t>
      </w:r>
      <w:r w:rsidR="001C0AB0" w:rsidRPr="00AD250A">
        <w:t xml:space="preserve">his error has no meaningful impact on whether or not EU’s application should be granted. </w:t>
      </w:r>
      <w:r w:rsidR="001C0AB0">
        <w:t>T</w:t>
      </w:r>
      <w:r w:rsidR="001C0AB0" w:rsidRPr="00AD250A">
        <w:t>he application meets all other</w:t>
      </w:r>
      <w:r w:rsidR="00E20B8D">
        <w:t xml:space="preserve"> requirements of Rule 25-30.033, F.A.C.</w:t>
      </w:r>
      <w:r w:rsidR="001C0AB0" w:rsidRPr="00AD250A">
        <w:t xml:space="preserve"> </w:t>
      </w:r>
      <w:r>
        <w:t>(Phillips)</w:t>
      </w:r>
      <w:r w:rsidR="006E3F46">
        <w:t xml:space="preserve"> </w:t>
      </w:r>
    </w:p>
    <w:p w14:paraId="6EC0D5A0" w14:textId="77777777" w:rsidR="006E3F46" w:rsidRDefault="006E3F46" w:rsidP="006E3F46">
      <w:pPr>
        <w:pStyle w:val="BodyText"/>
        <w:spacing w:after="0"/>
      </w:pPr>
    </w:p>
    <w:p w14:paraId="76D0588D" w14:textId="77777777" w:rsidR="006E3F46" w:rsidRPr="005833F0" w:rsidRDefault="006E3F46" w:rsidP="006E3F46">
      <w:pPr>
        <w:pStyle w:val="BodyText"/>
        <w:spacing w:after="0"/>
        <w:rPr>
          <w:rFonts w:ascii="Arial" w:hAnsi="Arial" w:cs="Arial"/>
          <w:b/>
        </w:rPr>
      </w:pPr>
      <w:r w:rsidRPr="005833F0">
        <w:rPr>
          <w:rFonts w:ascii="Arial" w:hAnsi="Arial" w:cs="Arial"/>
          <w:b/>
        </w:rPr>
        <w:t>Position of the Parties</w:t>
      </w:r>
    </w:p>
    <w:p w14:paraId="31E21C20" w14:textId="77777777" w:rsidR="006E3F46" w:rsidRDefault="006E3F46" w:rsidP="006E3F46">
      <w:pPr>
        <w:jc w:val="both"/>
        <w:rPr>
          <w:bCs/>
        </w:rPr>
      </w:pPr>
    </w:p>
    <w:p w14:paraId="4A5DB7B0" w14:textId="77777777" w:rsidR="006E3F46" w:rsidRPr="00FC2233" w:rsidRDefault="006E3F46" w:rsidP="006E3F46">
      <w:pPr>
        <w:jc w:val="both"/>
        <w:rPr>
          <w:bCs/>
        </w:rPr>
      </w:pPr>
      <w:r w:rsidRPr="00DE4013">
        <w:rPr>
          <w:rFonts w:ascii="Arial" w:hAnsi="Arial" w:cs="Arial"/>
          <w:b/>
          <w:bCs/>
        </w:rPr>
        <w:t>EU</w:t>
      </w:r>
      <w:r w:rsidRPr="00BB75C9">
        <w:rPr>
          <w:b/>
          <w:bCs/>
        </w:rPr>
        <w:t>:</w:t>
      </w:r>
      <w:r w:rsidR="00FC2233">
        <w:rPr>
          <w:b/>
          <w:bCs/>
        </w:rPr>
        <w:t xml:space="preserve"> </w:t>
      </w:r>
      <w:r w:rsidR="00FC2233" w:rsidRPr="00FC2233">
        <w:rPr>
          <w:bCs/>
        </w:rPr>
        <w:t>Yes.</w:t>
      </w:r>
    </w:p>
    <w:p w14:paraId="085CC065" w14:textId="77777777" w:rsidR="006E3F46" w:rsidRPr="00FC2233" w:rsidRDefault="006E3F46" w:rsidP="006E3F46">
      <w:pPr>
        <w:jc w:val="both"/>
        <w:rPr>
          <w:bCs/>
        </w:rPr>
      </w:pPr>
    </w:p>
    <w:p w14:paraId="694D93EB" w14:textId="77777777" w:rsidR="006E3F46" w:rsidRPr="00DD5009" w:rsidRDefault="00CD3DE9" w:rsidP="006E3F46">
      <w:pPr>
        <w:ind w:left="1440" w:hanging="1440"/>
        <w:jc w:val="both"/>
        <w:rPr>
          <w:bCs/>
        </w:rPr>
      </w:pPr>
      <w:r w:rsidRPr="00DE4013">
        <w:rPr>
          <w:rFonts w:ascii="Arial" w:hAnsi="Arial" w:cs="Arial"/>
          <w:b/>
          <w:bCs/>
        </w:rPr>
        <w:t>OPC</w:t>
      </w:r>
      <w:r w:rsidR="006E3F46" w:rsidRPr="00BB75C9">
        <w:rPr>
          <w:b/>
          <w:bCs/>
        </w:rPr>
        <w:t>:</w:t>
      </w:r>
      <w:r w:rsidR="00DD5009">
        <w:rPr>
          <w:b/>
          <w:bCs/>
        </w:rPr>
        <w:t xml:space="preserve"> </w:t>
      </w:r>
      <w:r w:rsidR="00DD5009">
        <w:rPr>
          <w:bCs/>
        </w:rPr>
        <w:t>No position.</w:t>
      </w:r>
    </w:p>
    <w:p w14:paraId="6030852C" w14:textId="77777777" w:rsidR="006E3F46" w:rsidRDefault="006E3F46" w:rsidP="006E3F46">
      <w:pPr>
        <w:jc w:val="both"/>
        <w:rPr>
          <w:bCs/>
        </w:rPr>
      </w:pPr>
    </w:p>
    <w:p w14:paraId="4071CAEA" w14:textId="77777777" w:rsidR="00DD5009" w:rsidRPr="00DD5009" w:rsidRDefault="00CD3DE9" w:rsidP="00DD5009">
      <w:pPr>
        <w:ind w:left="1440" w:hanging="1440"/>
        <w:jc w:val="both"/>
        <w:rPr>
          <w:bCs/>
        </w:rPr>
      </w:pPr>
      <w:r w:rsidRPr="00DE4013">
        <w:rPr>
          <w:rFonts w:ascii="Arial" w:hAnsi="Arial" w:cs="Arial"/>
          <w:b/>
          <w:bCs/>
        </w:rPr>
        <w:t>PIE</w:t>
      </w:r>
      <w:r w:rsidR="006E3F46" w:rsidRPr="00BB75C9">
        <w:rPr>
          <w:b/>
          <w:bCs/>
        </w:rPr>
        <w:t>:</w:t>
      </w:r>
      <w:r w:rsidR="00DD5009">
        <w:rPr>
          <w:b/>
          <w:bCs/>
        </w:rPr>
        <w:t xml:space="preserve"> </w:t>
      </w:r>
      <w:r w:rsidR="00DD5009">
        <w:rPr>
          <w:bCs/>
        </w:rPr>
        <w:t>No position.</w:t>
      </w:r>
    </w:p>
    <w:p w14:paraId="68825C5B" w14:textId="77777777" w:rsidR="006E3F46" w:rsidRPr="00DA500F" w:rsidRDefault="006E3F46" w:rsidP="006E3F46">
      <w:pPr>
        <w:jc w:val="both"/>
        <w:rPr>
          <w:bCs/>
        </w:rPr>
      </w:pPr>
    </w:p>
    <w:p w14:paraId="6C1DF7BB" w14:textId="77777777" w:rsidR="006E3F46" w:rsidRPr="00E67C09" w:rsidRDefault="00CD3DE9" w:rsidP="00811E58">
      <w:pPr>
        <w:tabs>
          <w:tab w:val="left" w:pos="0"/>
        </w:tabs>
        <w:jc w:val="both"/>
        <w:rPr>
          <w:bCs/>
        </w:rPr>
      </w:pPr>
      <w:r w:rsidRPr="00DE4013">
        <w:rPr>
          <w:rFonts w:ascii="Arial" w:hAnsi="Arial" w:cs="Arial"/>
          <w:b/>
          <w:bCs/>
        </w:rPr>
        <w:t>LC</w:t>
      </w:r>
      <w:r w:rsidR="006E3F46" w:rsidRPr="00CD3DE9">
        <w:rPr>
          <w:b/>
          <w:bCs/>
        </w:rPr>
        <w:t>:</w:t>
      </w:r>
      <w:r w:rsidR="00E67C09">
        <w:rPr>
          <w:b/>
          <w:bCs/>
        </w:rPr>
        <w:t xml:space="preserve"> </w:t>
      </w:r>
      <w:r w:rsidR="00811E58" w:rsidRPr="00542E0D">
        <w:t>No. Notice was required for both the application submission and the Customer Service Hearings. Although formal notice was published in a weekly newspaper, on both occasions the timing of the publication and the applicant’s actions taken to notify the community were misleading and incorrect.</w:t>
      </w:r>
    </w:p>
    <w:p w14:paraId="54B5B79E" w14:textId="77777777" w:rsidR="006E3F46" w:rsidRPr="006E3F46" w:rsidRDefault="006E3F46" w:rsidP="006E3F46">
      <w:pPr>
        <w:pStyle w:val="BodyText"/>
        <w:spacing w:after="0"/>
      </w:pPr>
    </w:p>
    <w:p w14:paraId="5A521DCF" w14:textId="77777777" w:rsidR="006E3F46" w:rsidRPr="004C3641" w:rsidRDefault="006E3F46">
      <w:pPr>
        <w:pStyle w:val="IssueSubsectionHeading"/>
        <w:rPr>
          <w:vanish/>
          <w:specVanish/>
        </w:rPr>
      </w:pPr>
      <w:r w:rsidRPr="004C3641">
        <w:t>Staff Analysis: </w:t>
      </w:r>
    </w:p>
    <w:p w14:paraId="1B4E803E" w14:textId="77777777" w:rsidR="003B57AB" w:rsidRDefault="006E3F46">
      <w:pPr>
        <w:pStyle w:val="BodyText"/>
      </w:pPr>
      <w:r>
        <w:t> </w:t>
      </w:r>
    </w:p>
    <w:p w14:paraId="2D9A8F89" w14:textId="77777777" w:rsidR="0095668F" w:rsidRDefault="005833F0" w:rsidP="0095668F">
      <w:pPr>
        <w:pStyle w:val="BodyText"/>
        <w:spacing w:after="0"/>
        <w:jc w:val="center"/>
        <w:rPr>
          <w:rFonts w:ascii="Arial" w:hAnsi="Arial" w:cs="Arial"/>
          <w:b/>
        </w:rPr>
      </w:pPr>
      <w:r>
        <w:rPr>
          <w:rFonts w:ascii="Arial" w:hAnsi="Arial" w:cs="Arial"/>
          <w:b/>
        </w:rPr>
        <w:t>PARTIES’ ARGUMENTS</w:t>
      </w:r>
    </w:p>
    <w:p w14:paraId="1D813969" w14:textId="77777777" w:rsidR="00FC4139" w:rsidRDefault="00FC4139" w:rsidP="00FC4139">
      <w:pPr>
        <w:pStyle w:val="First-LevelSubheading"/>
      </w:pPr>
      <w:r>
        <w:t>EU</w:t>
      </w:r>
    </w:p>
    <w:p w14:paraId="0184454B" w14:textId="77777777" w:rsidR="00FC4139" w:rsidRPr="000562E6" w:rsidRDefault="00FC4139" w:rsidP="00DB796F">
      <w:pPr>
        <w:pStyle w:val="BodyText"/>
        <w:spacing w:after="0"/>
      </w:pPr>
      <w:r>
        <w:t xml:space="preserve">EU </w:t>
      </w:r>
      <w:r w:rsidR="00CD07D9">
        <w:t>assert</w:t>
      </w:r>
      <w:r w:rsidR="004F5CF5">
        <w:t>ed</w:t>
      </w:r>
      <w:r w:rsidR="00CD07D9">
        <w:t xml:space="preserve"> that the Utility provided </w:t>
      </w:r>
      <w:r>
        <w:t>notice to</w:t>
      </w:r>
      <w:r w:rsidR="00CD07D9">
        <w:t xml:space="preserve"> all</w:t>
      </w:r>
      <w:r>
        <w:t xml:space="preserve"> customers as required, </w:t>
      </w:r>
      <w:r w:rsidR="00CD07D9">
        <w:t>for both the initial filing and the subsequent hearings. (EU BR 2)</w:t>
      </w:r>
      <w:r>
        <w:t xml:space="preserve"> </w:t>
      </w:r>
      <w:r w:rsidR="0073449A">
        <w:t xml:space="preserve">EU </w:t>
      </w:r>
      <w:r w:rsidR="004F5CF5">
        <w:t>argued</w:t>
      </w:r>
      <w:r w:rsidR="0073449A">
        <w:t xml:space="preserve"> that the intervenors provided no evidence on this issue, and the Utility presented sufficient evidence that confirms that the noticing requirements were met. (EU BR 2)</w:t>
      </w:r>
    </w:p>
    <w:p w14:paraId="4A63010C" w14:textId="77777777" w:rsidR="00FC4139" w:rsidRDefault="00FC4139" w:rsidP="00DB796F">
      <w:pPr>
        <w:pStyle w:val="BodyText"/>
        <w:spacing w:after="0"/>
        <w:rPr>
          <w:rFonts w:ascii="Arial" w:hAnsi="Arial" w:cs="Arial"/>
          <w:b/>
        </w:rPr>
      </w:pPr>
    </w:p>
    <w:p w14:paraId="532C090B" w14:textId="77777777" w:rsidR="00FC4139" w:rsidRDefault="00FC4139" w:rsidP="00DB796F">
      <w:pPr>
        <w:pStyle w:val="BodyText"/>
        <w:spacing w:after="0"/>
        <w:rPr>
          <w:rFonts w:ascii="Arial" w:hAnsi="Arial" w:cs="Arial"/>
          <w:b/>
        </w:rPr>
      </w:pPr>
      <w:r>
        <w:rPr>
          <w:rFonts w:ascii="Arial" w:hAnsi="Arial" w:cs="Arial"/>
          <w:b/>
        </w:rPr>
        <w:t>LC</w:t>
      </w:r>
    </w:p>
    <w:p w14:paraId="5B63CE93" w14:textId="77777777" w:rsidR="00FC4139" w:rsidRDefault="00FC4139" w:rsidP="00DB796F">
      <w:pPr>
        <w:pStyle w:val="BodyText"/>
        <w:spacing w:after="0"/>
      </w:pPr>
      <w:r>
        <w:t>LC</w:t>
      </w:r>
      <w:r w:rsidR="00851BC0">
        <w:t xml:space="preserve"> argue</w:t>
      </w:r>
      <w:r w:rsidR="004F5CF5">
        <w:t>d</w:t>
      </w:r>
      <w:r w:rsidR="00851BC0">
        <w:t xml:space="preserve"> that </w:t>
      </w:r>
      <w:r>
        <w:t>man</w:t>
      </w:r>
      <w:r w:rsidR="00851BC0">
        <w:t xml:space="preserve">y residents did not receive the </w:t>
      </w:r>
      <w:r>
        <w:t>notice</w:t>
      </w:r>
      <w:r w:rsidR="00851BC0">
        <w:t xml:space="preserve"> of EU’s application</w:t>
      </w:r>
      <w:r>
        <w:t xml:space="preserve"> </w:t>
      </w:r>
      <w:r w:rsidR="0073449A">
        <w:t>in a timely manner</w:t>
      </w:r>
      <w:r>
        <w:t>.</w:t>
      </w:r>
      <w:r w:rsidR="0073449A">
        <w:t xml:space="preserve"> (LC BR 3)</w:t>
      </w:r>
      <w:r>
        <w:t xml:space="preserve"> LC </w:t>
      </w:r>
      <w:r w:rsidR="0073449A">
        <w:t>also</w:t>
      </w:r>
      <w:r>
        <w:t xml:space="preserve"> contend</w:t>
      </w:r>
      <w:r w:rsidR="004F5CF5">
        <w:t>ed</w:t>
      </w:r>
      <w:r>
        <w:t xml:space="preserve"> that the </w:t>
      </w:r>
      <w:r w:rsidR="0073449A">
        <w:t xml:space="preserve">newspaper </w:t>
      </w:r>
      <w:r>
        <w:t xml:space="preserve">notice was published in a </w:t>
      </w:r>
      <w:r w:rsidR="0073449A">
        <w:t>non-</w:t>
      </w:r>
      <w:r>
        <w:t xml:space="preserve">local </w:t>
      </w:r>
      <w:r w:rsidR="0073449A">
        <w:t>newspaper</w:t>
      </w:r>
      <w:r>
        <w:t xml:space="preserve"> and held inaccurate information </w:t>
      </w:r>
      <w:r w:rsidR="0073449A">
        <w:t xml:space="preserve">regarding the application. </w:t>
      </w:r>
      <w:r>
        <w:t>(LC BR 3)</w:t>
      </w:r>
    </w:p>
    <w:p w14:paraId="1EF8C69B" w14:textId="77777777" w:rsidR="0095668F" w:rsidRDefault="005833F0" w:rsidP="005D22AB">
      <w:pPr>
        <w:keepNext/>
        <w:spacing w:before="240" w:after="240"/>
        <w:jc w:val="center"/>
        <w:rPr>
          <w:rFonts w:ascii="Arial" w:hAnsi="Arial" w:cs="Arial"/>
          <w:b/>
        </w:rPr>
      </w:pPr>
      <w:r>
        <w:rPr>
          <w:rFonts w:ascii="Arial" w:hAnsi="Arial" w:cs="Arial"/>
          <w:b/>
        </w:rPr>
        <w:t>ANALYSIS</w:t>
      </w:r>
    </w:p>
    <w:p w14:paraId="48E7DCAF" w14:textId="717635E5" w:rsidR="00171BF1" w:rsidRDefault="006E4AF9" w:rsidP="00171BF1">
      <w:pPr>
        <w:pStyle w:val="BodyText"/>
      </w:pPr>
      <w:r>
        <w:t xml:space="preserve">For original certificates, Rule 25-30.030, F.A.C., requires the utility to notice relevant local government authorities, nearby utility entities, and each owner of property within the proposed service territory. The notice must contain a description of the proposed service area, contact information, and instructions on how potential customers could file objections with the Commission. </w:t>
      </w:r>
      <w:r w:rsidR="009F0BFD">
        <w:t>W</w:t>
      </w:r>
      <w:r w:rsidR="00171BF1">
        <w:t xml:space="preserve">itness Boyer testified that EU sent a written notice </w:t>
      </w:r>
      <w:r w:rsidR="00E20B8D">
        <w:t xml:space="preserve">of its application </w:t>
      </w:r>
      <w:r w:rsidR="00171BF1">
        <w:t xml:space="preserve">to </w:t>
      </w:r>
      <w:r w:rsidR="003A014E">
        <w:t xml:space="preserve">appropriate parties and </w:t>
      </w:r>
      <w:r w:rsidR="00171BF1">
        <w:t xml:space="preserve">potential customers in accordance with the noticing requirements identified in </w:t>
      </w:r>
      <w:r w:rsidR="00C9699E">
        <w:t xml:space="preserve">the </w:t>
      </w:r>
      <w:r w:rsidR="003B0F31">
        <w:t>r</w:t>
      </w:r>
      <w:r w:rsidR="00171BF1">
        <w:t>ule</w:t>
      </w:r>
      <w:r w:rsidR="00A4666F">
        <w:t xml:space="preserve">. (TR 41) </w:t>
      </w:r>
      <w:r w:rsidR="00F42877">
        <w:t xml:space="preserve">Staff reviewed EU’s notice of application and </w:t>
      </w:r>
      <w:r w:rsidR="0045427F">
        <w:t>determined it contained the information required by Rule 25-30.030, F.A.C.</w:t>
      </w:r>
      <w:r w:rsidR="00F42877">
        <w:t xml:space="preserve"> </w:t>
      </w:r>
      <w:r w:rsidR="006255A2">
        <w:t>(EXH 2 BSP 54)</w:t>
      </w:r>
      <w:r w:rsidR="00F42877">
        <w:t xml:space="preserve"> </w:t>
      </w:r>
      <w:r w:rsidR="00171BF1">
        <w:t xml:space="preserve">Staff notes that several </w:t>
      </w:r>
      <w:r w:rsidR="00E20B8D">
        <w:t xml:space="preserve">potential </w:t>
      </w:r>
      <w:r w:rsidR="00171BF1">
        <w:t>customers, including PIE and Linda Cotherman</w:t>
      </w:r>
      <w:r w:rsidR="0045427F">
        <w:t>,</w:t>
      </w:r>
      <w:r w:rsidR="00171BF1">
        <w:t xml:space="preserve"> objected to the </w:t>
      </w:r>
      <w:r w:rsidR="0045427F">
        <w:t xml:space="preserve">Utility’s </w:t>
      </w:r>
      <w:r w:rsidR="00171BF1">
        <w:t>application</w:t>
      </w:r>
      <w:r w:rsidR="0045427F">
        <w:t xml:space="preserve"> for an original certificate</w:t>
      </w:r>
      <w:r w:rsidR="00171BF1">
        <w:t xml:space="preserve"> after receiving this notice.</w:t>
      </w:r>
      <w:r w:rsidR="00DB30CC">
        <w:rPr>
          <w:rStyle w:val="FootnoteReference"/>
        </w:rPr>
        <w:footnoteReference w:id="4"/>
      </w:r>
      <w:r w:rsidR="00171BF1">
        <w:t xml:space="preserve"> Based on staff’s review of the record, it appears that EU has met the noticing requirements of Rule 25-30.030, F.A.C. </w:t>
      </w:r>
    </w:p>
    <w:p w14:paraId="0209FE25" w14:textId="747E3901" w:rsidR="002431D6" w:rsidRDefault="002917C1" w:rsidP="00171BF1">
      <w:pPr>
        <w:pStyle w:val="BodyText"/>
      </w:pPr>
      <w:r>
        <w:t>Rule 25-3</w:t>
      </w:r>
      <w:r w:rsidRPr="002917C1">
        <w:t>0.033</w:t>
      </w:r>
      <w:r w:rsidR="00DB30CC">
        <w:t>(1)</w:t>
      </w:r>
      <w:r w:rsidRPr="002917C1">
        <w:t>, F.A.C., requires a utility to file with its application certain information, including a description of the proposed utility, technical and financial information, a description of the proposed service territory,</w:t>
      </w:r>
      <w:r w:rsidR="00DB30CC">
        <w:t xml:space="preserve"> need for service,</w:t>
      </w:r>
      <w:r w:rsidRPr="002917C1">
        <w:t xml:space="preserve"> and other documentation. </w:t>
      </w:r>
      <w:r w:rsidR="00FC4139" w:rsidRPr="002917C1">
        <w:t xml:space="preserve">On October 13, 2020, the Utility filed its application pursuant to </w:t>
      </w:r>
      <w:r w:rsidR="00DB30CC">
        <w:t xml:space="preserve">the </w:t>
      </w:r>
      <w:r w:rsidR="003B0F31">
        <w:t>r</w:t>
      </w:r>
      <w:r w:rsidR="00DB30CC">
        <w:t>ule</w:t>
      </w:r>
      <w:r w:rsidR="00FC4139">
        <w:t xml:space="preserve">. (EXH 2) </w:t>
      </w:r>
      <w:r w:rsidR="007E54E4">
        <w:t xml:space="preserve">EU witness Boyer testified </w:t>
      </w:r>
      <w:r w:rsidR="00093317">
        <w:t>t</w:t>
      </w:r>
      <w:r w:rsidR="00A64FF4">
        <w:t xml:space="preserve">hat </w:t>
      </w:r>
      <w:r w:rsidR="007E54E4">
        <w:t xml:space="preserve">several modifications </w:t>
      </w:r>
      <w:r w:rsidR="00A64FF4">
        <w:t>were made</w:t>
      </w:r>
      <w:r w:rsidR="00DB30CC">
        <w:t xml:space="preserve"> subsequent</w:t>
      </w:r>
      <w:r w:rsidR="00A64FF4">
        <w:t xml:space="preserve"> </w:t>
      </w:r>
      <w:r w:rsidR="007E54E4">
        <w:t>to th</w:t>
      </w:r>
      <w:r w:rsidR="00A64FF4">
        <w:t>e</w:t>
      </w:r>
      <w:r w:rsidR="00DB30CC">
        <w:t xml:space="preserve"> filing of the</w:t>
      </w:r>
      <w:r w:rsidR="006E4AF9">
        <w:t xml:space="preserve"> </w:t>
      </w:r>
      <w:r w:rsidR="00DB30CC">
        <w:t xml:space="preserve">initial </w:t>
      </w:r>
      <w:r w:rsidR="008244C3">
        <w:t xml:space="preserve">application, </w:t>
      </w:r>
      <w:r w:rsidR="007E54E4">
        <w:t>including</w:t>
      </w:r>
      <w:r w:rsidR="00A64FF4">
        <w:t xml:space="preserve"> deleting</w:t>
      </w:r>
      <w:r w:rsidR="007E54E4">
        <w:t xml:space="preserve"> Cape Haze, Hideaway </w:t>
      </w:r>
      <w:r w:rsidR="008F1F4D">
        <w:t xml:space="preserve">Bay </w:t>
      </w:r>
      <w:r w:rsidR="007E54E4">
        <w:t>Beach Club</w:t>
      </w:r>
      <w:r w:rsidR="008F1F4D">
        <w:t xml:space="preserve"> (Hideaway Bay)</w:t>
      </w:r>
      <w:r w:rsidR="007E54E4">
        <w:t>, and Placida Harbor</w:t>
      </w:r>
      <w:r w:rsidR="00A64FF4">
        <w:t xml:space="preserve"> from the proposed service territory</w:t>
      </w:r>
      <w:r w:rsidR="007E54E4">
        <w:t>. (TR 36, TR 40)</w:t>
      </w:r>
    </w:p>
    <w:p w14:paraId="54677961" w14:textId="10B1AA54" w:rsidR="00462BC9" w:rsidRDefault="00B17A4D" w:rsidP="00462BC9">
      <w:pPr>
        <w:spacing w:after="240"/>
        <w:jc w:val="both"/>
      </w:pPr>
      <w:r>
        <w:t>Rule 25-30.033(1)(k)(3)</w:t>
      </w:r>
      <w:r w:rsidR="008F1F4D">
        <w:t>, F.A.C.,</w:t>
      </w:r>
      <w:r>
        <w:t xml:space="preserve"> requires the applicant to provide the current land use designation</w:t>
      </w:r>
      <w:r w:rsidR="00D278D1">
        <w:t xml:space="preserve"> as described in the local comprehensive plan</w:t>
      </w:r>
      <w:r w:rsidR="00E0192B">
        <w:t>;</w:t>
      </w:r>
      <w:r>
        <w:t xml:space="preserve"> and</w:t>
      </w:r>
      <w:r w:rsidR="00E0192B">
        <w:t>,</w:t>
      </w:r>
      <w:r>
        <w:t xml:space="preserve"> if a change in designation is required, to detail steps taken to facilitate that change. </w:t>
      </w:r>
      <w:r w:rsidR="005B501B">
        <w:t>EU’s</w:t>
      </w:r>
      <w:r w:rsidR="00FC4139">
        <w:t xml:space="preserve"> application identifies the proposed service territory’s </w:t>
      </w:r>
      <w:r>
        <w:t xml:space="preserve">current </w:t>
      </w:r>
      <w:r w:rsidR="00FC4139">
        <w:t xml:space="preserve">land use designation as </w:t>
      </w:r>
      <w:r w:rsidR="00FC4139" w:rsidRPr="00793278">
        <w:t>Compact Growth Mixed Use</w:t>
      </w:r>
      <w:r w:rsidR="00FC4139">
        <w:t>. (EXH 2</w:t>
      </w:r>
      <w:r w:rsidR="00660033">
        <w:t xml:space="preserve"> BSP 16</w:t>
      </w:r>
      <w:r w:rsidR="00FC4139">
        <w:t xml:space="preserve">) </w:t>
      </w:r>
      <w:r w:rsidR="00E0192B">
        <w:t xml:space="preserve">However, </w:t>
      </w:r>
      <w:r w:rsidR="00D20275" w:rsidRPr="00FF3716">
        <w:t xml:space="preserve">PIE witness Hardgrove testified </w:t>
      </w:r>
      <w:r w:rsidR="00FC4139" w:rsidRPr="00FF3716">
        <w:t>that the proposed service territory is located in</w:t>
      </w:r>
      <w:r w:rsidR="001E77DE" w:rsidRPr="00FF3716">
        <w:t xml:space="preserve"> the </w:t>
      </w:r>
      <w:r w:rsidR="00660033" w:rsidRPr="00FF3716">
        <w:t>Bridgeless Barrier Island Overlay District (BIOD)</w:t>
      </w:r>
      <w:r w:rsidR="001E77DE" w:rsidRPr="00FF3716">
        <w:t>, and identified it as part of the County’s designated</w:t>
      </w:r>
      <w:r w:rsidR="00FC4139" w:rsidRPr="00FF3716">
        <w:t xml:space="preserve"> </w:t>
      </w:r>
      <w:r w:rsidR="007D225A" w:rsidRPr="00FF3716">
        <w:t>Rural Service Area</w:t>
      </w:r>
      <w:r w:rsidR="00FC4139" w:rsidRPr="00FF3716">
        <w:t>. (</w:t>
      </w:r>
      <w:r w:rsidR="005B501B" w:rsidRPr="00FF3716">
        <w:t>TR 169</w:t>
      </w:r>
      <w:r w:rsidR="001E77DE" w:rsidRPr="00FF3716">
        <w:t>-170</w:t>
      </w:r>
      <w:r w:rsidR="005B501B" w:rsidRPr="00FF3716">
        <w:t>; EXH 8</w:t>
      </w:r>
      <w:r w:rsidR="00660033" w:rsidRPr="00FF3716">
        <w:t xml:space="preserve"> BSP 190-192, EXH 9 BSP 199-200)</w:t>
      </w:r>
      <w:r w:rsidR="002431D6">
        <w:t xml:space="preserve"> </w:t>
      </w:r>
      <w:r w:rsidR="00660033">
        <w:t xml:space="preserve">LC witness Cotherman </w:t>
      </w:r>
      <w:r w:rsidR="00E0192B">
        <w:t xml:space="preserve">argues </w:t>
      </w:r>
      <w:r w:rsidR="00660033">
        <w:t>that the proper designation is Coastal Residential. (EXH 17 BSP 886)</w:t>
      </w:r>
      <w:r w:rsidR="002431D6">
        <w:t xml:space="preserve"> </w:t>
      </w:r>
      <w:r w:rsidR="005B501B">
        <w:t>In cross</w:t>
      </w:r>
      <w:r w:rsidR="00FF67B4">
        <w:t>-</w:t>
      </w:r>
      <w:r w:rsidR="005B501B">
        <w:t>examination</w:t>
      </w:r>
      <w:r w:rsidR="003F7671">
        <w:t>,</w:t>
      </w:r>
      <w:r w:rsidR="005B501B">
        <w:t xml:space="preserve"> EU witness Boyer was uncertain of the land use designation</w:t>
      </w:r>
      <w:r w:rsidR="009160F0">
        <w:t>,</w:t>
      </w:r>
      <w:r w:rsidR="005B501B">
        <w:t xml:space="preserve"> but agreed that the land was in the Rural Service Area. (TR 45)</w:t>
      </w:r>
      <w:r w:rsidR="001E77DE">
        <w:t xml:space="preserve"> </w:t>
      </w:r>
      <w:r w:rsidR="00660033">
        <w:t xml:space="preserve">The </w:t>
      </w:r>
      <w:r w:rsidR="002F6DAF">
        <w:t>Charlotte County 2050 Comprehensive Plan (</w:t>
      </w:r>
      <w:r w:rsidR="00660033">
        <w:t>Comp Plan</w:t>
      </w:r>
      <w:r w:rsidR="002F6DAF">
        <w:t>)</w:t>
      </w:r>
      <w:r w:rsidR="00660033">
        <w:t xml:space="preserve"> Future Land Use (FLU) Map 3 and FLU Map</w:t>
      </w:r>
      <w:r w:rsidR="002431D6">
        <w:t xml:space="preserve"> 9 clearly indicate the proposed service territory is within the Rural Service Area and the BIOD, respectively. </w:t>
      </w:r>
      <w:r w:rsidR="00660033">
        <w:t>(EXH 43 BSP 14</w:t>
      </w:r>
      <w:r w:rsidR="00094040">
        <w:t>59</w:t>
      </w:r>
      <w:r w:rsidR="00660033">
        <w:t xml:space="preserve">, </w:t>
      </w:r>
      <w:r w:rsidR="002431D6">
        <w:t>14</w:t>
      </w:r>
      <w:r w:rsidR="00094040">
        <w:t>63</w:t>
      </w:r>
      <w:r w:rsidR="002431D6">
        <w:t>)</w:t>
      </w:r>
      <w:r w:rsidR="00A20CDE">
        <w:t xml:space="preserve"> </w:t>
      </w:r>
      <w:r w:rsidR="001C0AB0">
        <w:t>Although</w:t>
      </w:r>
      <w:r w:rsidR="00A20CDE" w:rsidRPr="001C0AB0">
        <w:t xml:space="preserve"> the application identifies the incorrect land use designation, this error has no meaningful impact on </w:t>
      </w:r>
      <w:r w:rsidR="001C0AB0" w:rsidRPr="00AD250A">
        <w:t>whether or not EU’s application should be granted. Moreover, the application meets all other</w:t>
      </w:r>
      <w:r w:rsidR="00902AF2">
        <w:t xml:space="preserve"> noticing </w:t>
      </w:r>
      <w:r w:rsidR="001C0AB0" w:rsidRPr="00AD250A">
        <w:t>requirements of Rule 25-30.033(1)</w:t>
      </w:r>
      <w:r w:rsidR="00E20B8D">
        <w:t>, F.A.C</w:t>
      </w:r>
      <w:r w:rsidR="001C0AB0" w:rsidRPr="00AD250A">
        <w:t xml:space="preserve">. </w:t>
      </w:r>
    </w:p>
    <w:p w14:paraId="20A850F7" w14:textId="77777777" w:rsidR="0095668F" w:rsidRDefault="0095668F" w:rsidP="00462BC9">
      <w:pPr>
        <w:spacing w:after="240"/>
        <w:jc w:val="center"/>
        <w:rPr>
          <w:rFonts w:ascii="Arial" w:hAnsi="Arial" w:cs="Arial"/>
          <w:b/>
        </w:rPr>
      </w:pPr>
      <w:r>
        <w:rPr>
          <w:rFonts w:ascii="Arial" w:hAnsi="Arial" w:cs="Arial"/>
          <w:b/>
        </w:rPr>
        <w:t>CONCLUSION</w:t>
      </w:r>
    </w:p>
    <w:p w14:paraId="7436CC39" w14:textId="4AB2B820" w:rsidR="003B57AB" w:rsidRPr="003B57AB" w:rsidRDefault="009160F0" w:rsidP="003B57AB">
      <w:pPr>
        <w:pStyle w:val="BodyText"/>
        <w:spacing w:after="0"/>
      </w:pPr>
      <w:r>
        <w:t>Staff recommends that t</w:t>
      </w:r>
      <w:r w:rsidR="003376A1" w:rsidRPr="003376A1">
        <w:t xml:space="preserve">he Utility properly notified potential customers of its application and met the noticing requirements of Rule 25-30.030, F.A.C. </w:t>
      </w:r>
      <w:r w:rsidR="00D278D1" w:rsidRPr="00E55917">
        <w:t xml:space="preserve">EU’s application erroneously identifies the proposed service territory’s current land use designation as Compact Growth Mixed Use. Although the application as filed noted the incorrect </w:t>
      </w:r>
      <w:r w:rsidR="001C0AB0" w:rsidRPr="00DA3529">
        <w:t xml:space="preserve">land use designation, this error has no meaningful impact on whether or not EU’s application should be granted. </w:t>
      </w:r>
      <w:r w:rsidR="001C0AB0">
        <w:t>T</w:t>
      </w:r>
      <w:r w:rsidR="001C0AB0" w:rsidRPr="00DA3529">
        <w:t xml:space="preserve">he application meets all other </w:t>
      </w:r>
      <w:r w:rsidR="00902AF2">
        <w:t xml:space="preserve">noticing </w:t>
      </w:r>
      <w:r w:rsidR="001C0AB0" w:rsidRPr="00DA3529">
        <w:t>requirements of Rule 25-30.033</w:t>
      </w:r>
      <w:r w:rsidR="00E20B8D">
        <w:t>, F.A.C</w:t>
      </w:r>
      <w:r w:rsidR="001C0AB0" w:rsidRPr="00DA3529">
        <w:t xml:space="preserve">. </w:t>
      </w:r>
    </w:p>
    <w:p w14:paraId="7545A542" w14:textId="77777777" w:rsidR="006E3F46" w:rsidRDefault="006E3F46">
      <w:pPr>
        <w:pStyle w:val="IssueHeading"/>
        <w:rPr>
          <w:vanish/>
          <w:specVanish/>
        </w:rPr>
      </w:pPr>
      <w:r w:rsidRPr="003B57AB">
        <w:rPr>
          <w:rFonts w:ascii="Times New Roman" w:hAnsi="Times New Roman" w:cs="Times New Roman"/>
          <w:b w:val="0"/>
          <w:i w:val="0"/>
        </w:rPr>
        <w:br w:type="page"/>
      </w:r>
      <w:r w:rsidRPr="004C3641">
        <w:t xml:space="preserve">Issue </w:t>
      </w:r>
      <w:fldSimple w:instr=" SEQ Issue \* MERGEFORMAT ">
        <w:r w:rsidR="0028227E">
          <w:rPr>
            <w:noProof/>
          </w:rPr>
          <w:t>2</w:t>
        </w:r>
      </w:fldSimple>
      <w:r w:rsidRPr="004C3641">
        <w:t>:</w:t>
      </w:r>
      <w:r>
        <w:fldChar w:fldCharType="begin"/>
      </w:r>
      <w:r>
        <w:instrText xml:space="preserve"> TC "</w:instrText>
      </w:r>
      <w:bookmarkStart w:id="15" w:name="_Toc104278772"/>
      <w:r w:rsidR="00E07FD5">
        <w:instrText xml:space="preserve">Issue </w:instrText>
      </w:r>
      <w:r>
        <w:fldChar w:fldCharType="begin"/>
      </w:r>
      <w:r>
        <w:instrText xml:space="preserve"> SEQ issue \c </w:instrText>
      </w:r>
      <w:r>
        <w:fldChar w:fldCharType="separate"/>
      </w:r>
      <w:r w:rsidR="0028227E">
        <w:rPr>
          <w:noProof/>
        </w:rPr>
        <w:instrText>2</w:instrText>
      </w:r>
      <w:r>
        <w:fldChar w:fldCharType="end"/>
      </w:r>
      <w:r w:rsidR="00E07FD5">
        <w:instrText xml:space="preserve"> </w:instrText>
      </w:r>
      <w:r w:rsidR="009F088B">
        <w:instrText>–Need</w:instrText>
      </w:r>
      <w:r w:rsidR="009F088B" w:rsidRPr="009F088B">
        <w:instrText xml:space="preserve"> </w:instrText>
      </w:r>
      <w:r w:rsidR="00D866AF">
        <w:instrText>for Service</w:instrText>
      </w:r>
      <w:bookmarkEnd w:id="15"/>
      <w:r>
        <w:tab/>
        <w:instrText xml:space="preserve">" \l 1 </w:instrText>
      </w:r>
      <w:r>
        <w:fldChar w:fldCharType="end"/>
      </w:r>
      <w:r>
        <w:t> </w:t>
      </w:r>
    </w:p>
    <w:p w14:paraId="0BE1CD3D" w14:textId="77777777" w:rsidR="006E3F46" w:rsidRDefault="006E3F46">
      <w:pPr>
        <w:pStyle w:val="BodyText"/>
      </w:pPr>
      <w:r>
        <w:t> </w:t>
      </w:r>
      <w:r w:rsidR="00BB75C9" w:rsidRPr="00DA500F">
        <w:t>Is there a need for service in Environmental Utilities’ proposed service territory and, if so, when will service be required?</w:t>
      </w:r>
    </w:p>
    <w:p w14:paraId="708B652A" w14:textId="77777777" w:rsidR="006E3F46" w:rsidRPr="004C3641" w:rsidRDefault="006E3F46">
      <w:pPr>
        <w:pStyle w:val="IssueSubsectionHeading"/>
        <w:rPr>
          <w:vanish/>
          <w:specVanish/>
        </w:rPr>
      </w:pPr>
      <w:r w:rsidRPr="004C3641">
        <w:t>Recommendation: </w:t>
      </w:r>
    </w:p>
    <w:p w14:paraId="2EB4EB74" w14:textId="7FFF6D12" w:rsidR="00BB75C9" w:rsidRDefault="006E3F46" w:rsidP="00FC4139">
      <w:pPr>
        <w:pStyle w:val="BodyText"/>
      </w:pPr>
      <w:r>
        <w:t> </w:t>
      </w:r>
      <w:r w:rsidR="00FC4139">
        <w:t xml:space="preserve">No. </w:t>
      </w:r>
      <w:r w:rsidR="00587E00">
        <w:t xml:space="preserve">The evidence </w:t>
      </w:r>
      <w:r w:rsidR="00033DFB">
        <w:t xml:space="preserve">in </w:t>
      </w:r>
      <w:r w:rsidR="003169A2">
        <w:t>the record</w:t>
      </w:r>
      <w:r w:rsidR="00033DFB">
        <w:t xml:space="preserve"> does not contain</w:t>
      </w:r>
      <w:r w:rsidR="00FC4139">
        <w:t xml:space="preserve"> any requests for service from existing property owners or </w:t>
      </w:r>
      <w:r w:rsidR="00A249B3">
        <w:t xml:space="preserve">potential </w:t>
      </w:r>
      <w:r w:rsidR="00FC4139">
        <w:t xml:space="preserve">developers. </w:t>
      </w:r>
      <w:r w:rsidR="00033DFB">
        <w:t xml:space="preserve">In addition, </w:t>
      </w:r>
      <w:r w:rsidR="0063787C">
        <w:t xml:space="preserve">no </w:t>
      </w:r>
      <w:r w:rsidR="00033DFB">
        <w:t xml:space="preserve">evidence was presented to demonstrate that any </w:t>
      </w:r>
      <w:r w:rsidR="00FC4139">
        <w:t>state or local environmental regulator has mandated</w:t>
      </w:r>
      <w:r w:rsidR="00F42877">
        <w:t xml:space="preserve"> </w:t>
      </w:r>
      <w:r w:rsidR="00FC4139">
        <w:t xml:space="preserve">the installation of central wastewater service in the proposed </w:t>
      </w:r>
      <w:r w:rsidR="00567243">
        <w:t xml:space="preserve">service </w:t>
      </w:r>
      <w:r w:rsidR="00FC4139">
        <w:t>territory</w:t>
      </w:r>
      <w:r w:rsidR="00CD0CC5">
        <w:t xml:space="preserve"> at this time</w:t>
      </w:r>
      <w:r w:rsidR="00033DFB">
        <w:t xml:space="preserve"> or identified any immediate health concerns</w:t>
      </w:r>
      <w:r w:rsidR="00FC4139">
        <w:t xml:space="preserve">. </w:t>
      </w:r>
      <w:r w:rsidR="009160F0">
        <w:t xml:space="preserve">Further, EU’s application </w:t>
      </w:r>
      <w:r w:rsidR="006B7F60">
        <w:t>may</w:t>
      </w:r>
      <w:r w:rsidR="009160F0">
        <w:t xml:space="preserve"> be </w:t>
      </w:r>
      <w:r w:rsidR="009160F0" w:rsidRPr="004D03A4">
        <w:t>inconsistent</w:t>
      </w:r>
      <w:r w:rsidR="009160F0">
        <w:t xml:space="preserve"> with the Charlotte County Comprehensive Plan. </w:t>
      </w:r>
      <w:r w:rsidR="00FC4139">
        <w:t>(Phillips)</w:t>
      </w:r>
    </w:p>
    <w:p w14:paraId="6DB989E5" w14:textId="77777777" w:rsidR="00BB75C9" w:rsidRDefault="00BB75C9" w:rsidP="00BB75C9">
      <w:pPr>
        <w:pStyle w:val="BodyText"/>
        <w:spacing w:after="0"/>
        <w:rPr>
          <w:rFonts w:ascii="Arial" w:hAnsi="Arial" w:cs="Arial"/>
          <w:b/>
        </w:rPr>
      </w:pPr>
      <w:r w:rsidRPr="006E3F46">
        <w:rPr>
          <w:rFonts w:ascii="Arial" w:hAnsi="Arial" w:cs="Arial"/>
          <w:b/>
        </w:rPr>
        <w:t>Position of the Parties</w:t>
      </w:r>
    </w:p>
    <w:p w14:paraId="01EBFE59" w14:textId="77777777" w:rsidR="00BB75C9" w:rsidRDefault="00BB75C9" w:rsidP="00BB75C9">
      <w:pPr>
        <w:jc w:val="both"/>
        <w:rPr>
          <w:bCs/>
        </w:rPr>
      </w:pPr>
    </w:p>
    <w:p w14:paraId="55893C07" w14:textId="0684A390" w:rsidR="00CD3DE9" w:rsidRDefault="00CD3DE9" w:rsidP="00CD3DE9">
      <w:pPr>
        <w:jc w:val="both"/>
        <w:rPr>
          <w:bCs/>
        </w:rPr>
      </w:pPr>
      <w:r w:rsidRPr="00DE4013">
        <w:rPr>
          <w:rFonts w:ascii="Arial" w:hAnsi="Arial" w:cs="Arial"/>
          <w:b/>
          <w:bCs/>
        </w:rPr>
        <w:t>EU</w:t>
      </w:r>
      <w:r w:rsidRPr="00BB75C9">
        <w:rPr>
          <w:b/>
          <w:bCs/>
        </w:rPr>
        <w:t>:</w:t>
      </w:r>
      <w:r w:rsidR="00FC2233">
        <w:rPr>
          <w:b/>
          <w:bCs/>
        </w:rPr>
        <w:t xml:space="preserve"> </w:t>
      </w:r>
      <w:r w:rsidR="00FC2233" w:rsidRPr="00A04277">
        <w:rPr>
          <w:rFonts w:eastAsia="Calibri"/>
        </w:rPr>
        <w:t>Yes. Central wastewater service is needed at this time and the Charlotte County Master Sewer Plan identifies the islands as a priority for central wastewater service by 2022. EU expects to have the wastewater system operational by the end of 2023.</w:t>
      </w:r>
    </w:p>
    <w:p w14:paraId="0CD0AC05" w14:textId="77777777" w:rsidR="00CD3DE9" w:rsidRPr="00DA500F" w:rsidRDefault="00CD3DE9" w:rsidP="00CD3DE9">
      <w:pPr>
        <w:jc w:val="both"/>
        <w:rPr>
          <w:bCs/>
        </w:rPr>
      </w:pPr>
    </w:p>
    <w:p w14:paraId="3C63ED45" w14:textId="77777777" w:rsidR="00DD5009" w:rsidRPr="00DD5009" w:rsidRDefault="00DD5009" w:rsidP="00DD5009">
      <w:pPr>
        <w:ind w:left="1440" w:hanging="1440"/>
        <w:jc w:val="both"/>
        <w:rPr>
          <w:bCs/>
        </w:rPr>
      </w:pPr>
      <w:r w:rsidRPr="00DE4013">
        <w:rPr>
          <w:rFonts w:ascii="Arial" w:hAnsi="Arial" w:cs="Arial"/>
          <w:b/>
          <w:bCs/>
        </w:rPr>
        <w:t>OPC</w:t>
      </w:r>
      <w:r w:rsidRPr="00BB75C9">
        <w:rPr>
          <w:b/>
          <w:bCs/>
        </w:rPr>
        <w:t>:</w:t>
      </w:r>
      <w:r>
        <w:rPr>
          <w:b/>
          <w:bCs/>
        </w:rPr>
        <w:t xml:space="preserve"> </w:t>
      </w:r>
      <w:r>
        <w:rPr>
          <w:bCs/>
        </w:rPr>
        <w:t>No position.</w:t>
      </w:r>
    </w:p>
    <w:p w14:paraId="60924568" w14:textId="77777777" w:rsidR="00CD3DE9" w:rsidRPr="00DA500F" w:rsidRDefault="00CD3DE9" w:rsidP="00CD3DE9">
      <w:pPr>
        <w:jc w:val="both"/>
        <w:rPr>
          <w:bCs/>
        </w:rPr>
      </w:pPr>
    </w:p>
    <w:p w14:paraId="667DA2B6" w14:textId="77777777" w:rsidR="00CD3DE9" w:rsidRDefault="00CD3DE9" w:rsidP="00CD3DE9">
      <w:pPr>
        <w:jc w:val="both"/>
        <w:rPr>
          <w:bCs/>
        </w:rPr>
      </w:pPr>
      <w:r w:rsidRPr="00DE4013">
        <w:rPr>
          <w:rFonts w:ascii="Arial" w:hAnsi="Arial" w:cs="Arial"/>
          <w:b/>
          <w:bCs/>
        </w:rPr>
        <w:t>PIE</w:t>
      </w:r>
      <w:r w:rsidRPr="00BB75C9">
        <w:rPr>
          <w:b/>
          <w:bCs/>
        </w:rPr>
        <w:t>:</w:t>
      </w:r>
      <w:r w:rsidR="00E67C09" w:rsidRPr="00E67C09">
        <w:t xml:space="preserve"> </w:t>
      </w:r>
      <w:r w:rsidR="00E67C09">
        <w:t>No. EU has not established a need for service.</w:t>
      </w:r>
    </w:p>
    <w:p w14:paraId="7CD80A96" w14:textId="77777777" w:rsidR="00CD3DE9" w:rsidRPr="00DA500F" w:rsidRDefault="00CD3DE9" w:rsidP="00CD3DE9">
      <w:pPr>
        <w:jc w:val="both"/>
        <w:rPr>
          <w:bCs/>
        </w:rPr>
      </w:pPr>
    </w:p>
    <w:p w14:paraId="071B20F8" w14:textId="77777777" w:rsidR="00CD3DE9" w:rsidRPr="00CD3DE9" w:rsidRDefault="00CD3DE9" w:rsidP="00811E58">
      <w:pPr>
        <w:tabs>
          <w:tab w:val="left" w:pos="0"/>
        </w:tabs>
        <w:jc w:val="both"/>
        <w:rPr>
          <w:b/>
          <w:bCs/>
        </w:rPr>
      </w:pPr>
      <w:r w:rsidRPr="00DE4013">
        <w:rPr>
          <w:rFonts w:ascii="Arial" w:hAnsi="Arial" w:cs="Arial"/>
          <w:b/>
          <w:bCs/>
        </w:rPr>
        <w:t>LC</w:t>
      </w:r>
      <w:r w:rsidRPr="00CD3DE9">
        <w:rPr>
          <w:b/>
          <w:bCs/>
        </w:rPr>
        <w:t>:</w:t>
      </w:r>
      <w:r w:rsidRPr="00E67C09">
        <w:rPr>
          <w:bCs/>
        </w:rPr>
        <w:t xml:space="preserve"> </w:t>
      </w:r>
      <w:r w:rsidR="00811E58" w:rsidRPr="00542E0D">
        <w:t>No. EU has provided no compelling evidence or documentation indicating a need for service in this area. In addition,</w:t>
      </w:r>
      <w:r w:rsidR="00811E58">
        <w:t xml:space="preserve"> </w:t>
      </w:r>
      <w:r w:rsidR="00811E58" w:rsidRPr="00542E0D">
        <w:t>EU’</w:t>
      </w:r>
      <w:r w:rsidR="00E20B8D">
        <w:t>s</w:t>
      </w:r>
      <w:r w:rsidR="00811E58" w:rsidRPr="00542E0D">
        <w:t xml:space="preserve"> proposal is inconsistent with the Charlotte 2050 Comprehensive Plan making the execution of the project untenable without first amending the Comprehensive Plan.</w:t>
      </w:r>
    </w:p>
    <w:p w14:paraId="36CC82F7" w14:textId="77777777" w:rsidR="003B57AB" w:rsidRPr="006E3F46" w:rsidRDefault="003B57AB" w:rsidP="003B57AB">
      <w:pPr>
        <w:pStyle w:val="BodyText"/>
        <w:spacing w:after="0"/>
      </w:pPr>
    </w:p>
    <w:p w14:paraId="5EC91266" w14:textId="77777777" w:rsidR="003B57AB" w:rsidRPr="004C3641" w:rsidRDefault="003B57AB" w:rsidP="003B57AB">
      <w:pPr>
        <w:pStyle w:val="IssueSubsectionHeading"/>
        <w:rPr>
          <w:vanish/>
          <w:specVanish/>
        </w:rPr>
      </w:pPr>
      <w:r w:rsidRPr="004C3641">
        <w:t>Staff Analysis: </w:t>
      </w:r>
    </w:p>
    <w:p w14:paraId="62D3B6A2" w14:textId="77777777" w:rsidR="003B57AB" w:rsidRDefault="003B57AB" w:rsidP="003B57AB">
      <w:pPr>
        <w:pStyle w:val="BodyText"/>
      </w:pPr>
      <w:r>
        <w:t> </w:t>
      </w:r>
    </w:p>
    <w:p w14:paraId="6F124E0C" w14:textId="77777777" w:rsidR="0095668F" w:rsidRDefault="005833F0" w:rsidP="0056030F">
      <w:pPr>
        <w:keepNext/>
        <w:jc w:val="center"/>
        <w:rPr>
          <w:rFonts w:ascii="Arial" w:hAnsi="Arial" w:cs="Arial"/>
          <w:b/>
        </w:rPr>
      </w:pPr>
      <w:r>
        <w:rPr>
          <w:rFonts w:ascii="Arial" w:hAnsi="Arial" w:cs="Arial"/>
          <w:b/>
        </w:rPr>
        <w:t>PARTIES’ ARGUMENTS</w:t>
      </w:r>
    </w:p>
    <w:p w14:paraId="2C492376" w14:textId="77777777" w:rsidR="002B7C40" w:rsidRPr="00B31BBC" w:rsidRDefault="002B7C40" w:rsidP="00B31BBC">
      <w:pPr>
        <w:keepNext/>
        <w:jc w:val="both"/>
      </w:pPr>
    </w:p>
    <w:p w14:paraId="0CE23E83" w14:textId="77777777" w:rsidR="00FC4139" w:rsidRDefault="00FC4139" w:rsidP="0056030F">
      <w:pPr>
        <w:pStyle w:val="BodyText"/>
        <w:spacing w:after="0"/>
        <w:rPr>
          <w:rFonts w:ascii="Arial" w:hAnsi="Arial" w:cs="Arial"/>
          <w:b/>
        </w:rPr>
      </w:pPr>
      <w:r>
        <w:rPr>
          <w:rFonts w:ascii="Arial" w:hAnsi="Arial" w:cs="Arial"/>
          <w:b/>
        </w:rPr>
        <w:t>EU</w:t>
      </w:r>
    </w:p>
    <w:p w14:paraId="5E84D67E" w14:textId="20A00916" w:rsidR="00281CE3" w:rsidRDefault="00834617" w:rsidP="00281CE3">
      <w:pPr>
        <w:pStyle w:val="BodyText"/>
        <w:spacing w:after="0"/>
      </w:pPr>
      <w:r w:rsidRPr="00733C15">
        <w:t xml:space="preserve">EU </w:t>
      </w:r>
      <w:r w:rsidR="004F5CF5" w:rsidRPr="00733C15">
        <w:t>stated</w:t>
      </w:r>
      <w:r w:rsidRPr="00733C15">
        <w:t xml:space="preserve"> that the County has determined the septic to central sewer conversion is needed. (EU BR 2) </w:t>
      </w:r>
      <w:r w:rsidR="00281CE3">
        <w:t>E</w:t>
      </w:r>
      <w:r w:rsidR="00281CE3" w:rsidRPr="00733C15">
        <w:t xml:space="preserve">vidence of the County’s support for the project is provided by its designated representative’s testimony in response to PIE’s subpoena, the letter in support, dated September 27, 2021, and the County’s approval of the Bulk Sewer Treatment Agreement (Bulk Agreement). (EU BR 1-2, 4-5; EXH 2; EXH 42) EU </w:t>
      </w:r>
      <w:r w:rsidR="009160F0">
        <w:t>argues</w:t>
      </w:r>
      <w:r w:rsidR="00281CE3" w:rsidRPr="00733C15">
        <w:t xml:space="preserve"> that, </w:t>
      </w:r>
      <w:r w:rsidR="009160F0">
        <w:t xml:space="preserve">based on the statement made </w:t>
      </w:r>
      <w:r w:rsidR="00281CE3" w:rsidRPr="00733C15">
        <w:t>by County deponent Rudy, it is the County’s opinion that EU’s application is consistent with the Comp Plan.</w:t>
      </w:r>
      <w:r w:rsidR="00281CE3" w:rsidRPr="00733C15">
        <w:rPr>
          <w:rStyle w:val="FootnoteReference"/>
        </w:rPr>
        <w:footnoteReference w:id="5"/>
      </w:r>
      <w:r w:rsidR="00281CE3" w:rsidRPr="00733C15">
        <w:t xml:space="preserve"> (EU BR 3) EU asserted that the </w:t>
      </w:r>
      <w:r w:rsidR="00A60543">
        <w:t xml:space="preserve">2017 Charlotte </w:t>
      </w:r>
      <w:r w:rsidR="00281CE3" w:rsidRPr="00733C15">
        <w:t xml:space="preserve">County Sewer Master Plan (Sewer Plan) identifies the proposed service territory as a priority for conversion from septic to central sewer. (EU BR 4) EU contended the County has performed numerous studies showing </w:t>
      </w:r>
      <w:r w:rsidR="00A60543">
        <w:t xml:space="preserve">the </w:t>
      </w:r>
      <w:r w:rsidR="00281CE3" w:rsidRPr="00733C15">
        <w:t>positive impact of central sewer conversions. (EU BR 4) EU argued the County’s connection ordinance and its implementation encourages septic to sewer conversions such as the Utility’s and is consistent with local and statewide trends. (EU BR 5-6)</w:t>
      </w:r>
    </w:p>
    <w:p w14:paraId="292594BD" w14:textId="77777777" w:rsidR="00281CE3" w:rsidRPr="00733C15" w:rsidRDefault="00281CE3" w:rsidP="00281CE3">
      <w:pPr>
        <w:pStyle w:val="BodyText"/>
        <w:spacing w:after="0"/>
      </w:pPr>
    </w:p>
    <w:p w14:paraId="21C7DEE5" w14:textId="77777777" w:rsidR="00834617" w:rsidRPr="00733C15" w:rsidRDefault="002B7C40" w:rsidP="0056030F">
      <w:pPr>
        <w:pStyle w:val="BodyText"/>
        <w:spacing w:after="0"/>
      </w:pPr>
      <w:r w:rsidRPr="00733C15">
        <w:t xml:space="preserve">Further, </w:t>
      </w:r>
      <w:r w:rsidR="00834617" w:rsidRPr="00733C15">
        <w:t>EU witness Boyer</w:t>
      </w:r>
      <w:r w:rsidRPr="00733C15">
        <w:t xml:space="preserve"> assert</w:t>
      </w:r>
      <w:r w:rsidR="004F5CF5" w:rsidRPr="00733C15">
        <w:t>ed</w:t>
      </w:r>
      <w:r w:rsidRPr="00733C15">
        <w:t xml:space="preserve"> that his</w:t>
      </w:r>
      <w:r w:rsidR="00834617" w:rsidRPr="00733C15">
        <w:t xml:space="preserve"> personal experiences with older and/or failing septic systems demonstrates the need for central sewer. (EU BR 3) EU </w:t>
      </w:r>
      <w:r w:rsidR="004F5CF5" w:rsidRPr="00733C15">
        <w:t>argued</w:t>
      </w:r>
      <w:r w:rsidR="00834617" w:rsidRPr="00733C15">
        <w:t xml:space="preserve"> that </w:t>
      </w:r>
      <w:r w:rsidRPr="00733C15">
        <w:t xml:space="preserve">not only is there a current need for service in </w:t>
      </w:r>
      <w:r w:rsidR="00D545CA" w:rsidRPr="00733C15">
        <w:t>the proposed service territory</w:t>
      </w:r>
      <w:r w:rsidRPr="00733C15">
        <w:t>;</w:t>
      </w:r>
      <w:r w:rsidR="00834617" w:rsidRPr="00733C15">
        <w:t xml:space="preserve"> but</w:t>
      </w:r>
      <w:r w:rsidR="009F0BFD">
        <w:t>,</w:t>
      </w:r>
      <w:r w:rsidR="00834617" w:rsidRPr="00733C15">
        <w:t xml:space="preserve"> there are undeveloped areas</w:t>
      </w:r>
      <w:r w:rsidR="00B31BBC" w:rsidRPr="00733C15">
        <w:t xml:space="preserve"> </w:t>
      </w:r>
      <w:r w:rsidR="00281CE3">
        <w:t xml:space="preserve">where </w:t>
      </w:r>
      <w:r w:rsidR="00B31BBC" w:rsidRPr="00733C15">
        <w:t>service will be</w:t>
      </w:r>
      <w:r w:rsidR="00834617" w:rsidRPr="00733C15">
        <w:t xml:space="preserve"> need</w:t>
      </w:r>
      <w:r w:rsidR="00B31BBC" w:rsidRPr="00733C15">
        <w:t>ed in the</w:t>
      </w:r>
      <w:r w:rsidR="00834617" w:rsidRPr="00733C15">
        <w:t xml:space="preserve"> future</w:t>
      </w:r>
      <w:r w:rsidRPr="00733C15">
        <w:t>.</w:t>
      </w:r>
      <w:r w:rsidR="00834617" w:rsidRPr="00733C15">
        <w:t xml:space="preserve"> (EU BR 3)</w:t>
      </w:r>
    </w:p>
    <w:p w14:paraId="0BBEAE91" w14:textId="77777777" w:rsidR="000F0A8B" w:rsidRPr="00733C15" w:rsidRDefault="000F0A8B" w:rsidP="00834617">
      <w:pPr>
        <w:pStyle w:val="BodyText"/>
        <w:spacing w:after="0"/>
      </w:pPr>
    </w:p>
    <w:p w14:paraId="2D3BAD12" w14:textId="6C4B0527" w:rsidR="00677A11" w:rsidRDefault="00677A11" w:rsidP="00677A11">
      <w:pPr>
        <w:pStyle w:val="BodyText"/>
        <w:spacing w:after="0"/>
      </w:pPr>
      <w:r w:rsidRPr="00733C15">
        <w:t xml:space="preserve">EU </w:t>
      </w:r>
      <w:r w:rsidR="00281CE3">
        <w:t xml:space="preserve">further </w:t>
      </w:r>
      <w:r w:rsidR="00733C15" w:rsidRPr="00733C15">
        <w:t>argued</w:t>
      </w:r>
      <w:r w:rsidRPr="00733C15">
        <w:t xml:space="preserve"> that PIE witness Weisberg had no expertise on the adverse impacts of septic tanks or the appropriateness of septic tanks versus central sewer in the proposed service territory. (EU BR 2-3) EU contend</w:t>
      </w:r>
      <w:r w:rsidR="004F5CF5" w:rsidRPr="00733C15">
        <w:t>ed</w:t>
      </w:r>
      <w:r w:rsidRPr="00733C15">
        <w:t xml:space="preserve"> that </w:t>
      </w:r>
      <w:r w:rsidR="00F14CF2">
        <w:t xml:space="preserve">the </w:t>
      </w:r>
      <w:r w:rsidR="005D66F1" w:rsidRPr="00733C15">
        <w:t>i</w:t>
      </w:r>
      <w:r w:rsidRPr="00733C15">
        <w:t>ntervenor</w:t>
      </w:r>
      <w:r w:rsidR="005D66F1" w:rsidRPr="00733C15">
        <w:t>s</w:t>
      </w:r>
      <w:r w:rsidRPr="00733C15">
        <w:t>’ interpretation of the Comp Plan fails to acknowledge other</w:t>
      </w:r>
      <w:r w:rsidR="006F0D9A" w:rsidRPr="00733C15">
        <w:t xml:space="preserve"> existing</w:t>
      </w:r>
      <w:r w:rsidRPr="00733C15">
        <w:t xml:space="preserve"> utilities on the island, including bulk water agreements by the County with at least three utilities and two other central wastewater facilit</w:t>
      </w:r>
      <w:r w:rsidR="005D66F1" w:rsidRPr="00733C15">
        <w:t xml:space="preserve">ies. (EU BR 3-4) EU </w:t>
      </w:r>
      <w:r w:rsidR="00733C15" w:rsidRPr="00733C15">
        <w:t xml:space="preserve">also </w:t>
      </w:r>
      <w:r w:rsidR="005D66F1" w:rsidRPr="00733C15">
        <w:t>argue</w:t>
      </w:r>
      <w:r w:rsidR="004F5CF5" w:rsidRPr="00733C15">
        <w:t>d</w:t>
      </w:r>
      <w:r w:rsidR="005D66F1" w:rsidRPr="00733C15">
        <w:t xml:space="preserve"> the i</w:t>
      </w:r>
      <w:r w:rsidRPr="00733C15">
        <w:t>ntervenors misunderstand the Comp Plan, which prohibits public utilities</w:t>
      </w:r>
      <w:r w:rsidR="009160F0">
        <w:t>,</w:t>
      </w:r>
      <w:r w:rsidRPr="00733C15">
        <w:t xml:space="preserve"> but does not prohibit private utility service. (EU BR 4)</w:t>
      </w:r>
    </w:p>
    <w:p w14:paraId="656B4E73" w14:textId="77777777" w:rsidR="00677A11" w:rsidRDefault="00677A11" w:rsidP="00677A11">
      <w:pPr>
        <w:pStyle w:val="BodyText"/>
        <w:spacing w:after="0"/>
      </w:pPr>
    </w:p>
    <w:p w14:paraId="60AD737B" w14:textId="77777777" w:rsidR="00F90FF6" w:rsidRPr="00956C68" w:rsidRDefault="00FC4139" w:rsidP="001B07D7">
      <w:pPr>
        <w:pStyle w:val="BodyText"/>
        <w:spacing w:after="0"/>
        <w:rPr>
          <w:rFonts w:ascii="Arial" w:hAnsi="Arial" w:cs="Arial"/>
          <w:b/>
          <w:color w:val="000000"/>
        </w:rPr>
      </w:pPr>
      <w:r w:rsidRPr="006B5F9E">
        <w:rPr>
          <w:rFonts w:ascii="Arial" w:hAnsi="Arial" w:cs="Arial"/>
          <w:b/>
          <w:color w:val="000000"/>
        </w:rPr>
        <w:t>PIE</w:t>
      </w:r>
    </w:p>
    <w:p w14:paraId="7934307D" w14:textId="77777777" w:rsidR="00F90FF6" w:rsidRPr="00082140" w:rsidRDefault="00F90FF6" w:rsidP="001B07D7">
      <w:pPr>
        <w:pStyle w:val="BodyText"/>
        <w:spacing w:after="0"/>
        <w:rPr>
          <w:color w:val="000000"/>
        </w:rPr>
      </w:pPr>
      <w:r w:rsidRPr="00082140">
        <w:rPr>
          <w:color w:val="000000"/>
        </w:rPr>
        <w:t>PIE</w:t>
      </w:r>
      <w:r w:rsidR="001007D9" w:rsidRPr="00082140">
        <w:rPr>
          <w:color w:val="000000"/>
        </w:rPr>
        <w:t xml:space="preserve"> asserted</w:t>
      </w:r>
      <w:r w:rsidRPr="00082140">
        <w:rPr>
          <w:color w:val="000000"/>
        </w:rPr>
        <w:t xml:space="preserve"> that </w:t>
      </w:r>
      <w:r w:rsidR="00281CE3">
        <w:rPr>
          <w:color w:val="000000"/>
        </w:rPr>
        <w:t>its</w:t>
      </w:r>
      <w:r w:rsidR="00AD0834" w:rsidRPr="00082140">
        <w:rPr>
          <w:color w:val="000000"/>
        </w:rPr>
        <w:t xml:space="preserve"> witness Hardgrove </w:t>
      </w:r>
      <w:r w:rsidR="00E077C2" w:rsidRPr="00082140">
        <w:rPr>
          <w:color w:val="000000"/>
        </w:rPr>
        <w:t>demonstrated that the proposed</w:t>
      </w:r>
      <w:r w:rsidR="00AD0834" w:rsidRPr="00082140">
        <w:rPr>
          <w:color w:val="000000"/>
        </w:rPr>
        <w:t xml:space="preserve"> development </w:t>
      </w:r>
      <w:r w:rsidR="00E077C2" w:rsidRPr="00082140">
        <w:rPr>
          <w:color w:val="000000"/>
        </w:rPr>
        <w:t xml:space="preserve">was </w:t>
      </w:r>
      <w:r w:rsidR="00AD0834" w:rsidRPr="00082140">
        <w:rPr>
          <w:color w:val="000000"/>
        </w:rPr>
        <w:t xml:space="preserve">contrary to </w:t>
      </w:r>
      <w:r w:rsidR="0056030F" w:rsidRPr="00082140">
        <w:rPr>
          <w:color w:val="000000"/>
        </w:rPr>
        <w:t xml:space="preserve">the </w:t>
      </w:r>
      <w:r w:rsidR="00AD0834" w:rsidRPr="00082140">
        <w:rPr>
          <w:color w:val="000000"/>
        </w:rPr>
        <w:t>Comp Plan</w:t>
      </w:r>
      <w:r w:rsidR="00E077C2" w:rsidRPr="00082140">
        <w:rPr>
          <w:color w:val="000000"/>
        </w:rPr>
        <w:t xml:space="preserve">, as part of </w:t>
      </w:r>
      <w:r w:rsidR="00281CE3">
        <w:rPr>
          <w:color w:val="000000"/>
        </w:rPr>
        <w:t xml:space="preserve">the </w:t>
      </w:r>
      <w:r w:rsidR="00E077C2" w:rsidRPr="00082140">
        <w:rPr>
          <w:color w:val="000000"/>
        </w:rPr>
        <w:t>Rural Service Area</w:t>
      </w:r>
      <w:r w:rsidR="00D862DD" w:rsidRPr="00082140">
        <w:rPr>
          <w:color w:val="000000"/>
        </w:rPr>
        <w:t xml:space="preserve">, which </w:t>
      </w:r>
      <w:r w:rsidR="00AF319C" w:rsidRPr="00082140">
        <w:rPr>
          <w:color w:val="000000"/>
        </w:rPr>
        <w:t>FLU</w:t>
      </w:r>
      <w:r w:rsidR="00E077C2" w:rsidRPr="00082140">
        <w:rPr>
          <w:color w:val="000000"/>
        </w:rPr>
        <w:t xml:space="preserve"> Policy 3.2.4 states will rely on septic systems. (PIE BR 6) PIE</w:t>
      </w:r>
      <w:r w:rsidR="00956C68" w:rsidRPr="00082140">
        <w:rPr>
          <w:color w:val="000000"/>
        </w:rPr>
        <w:t xml:space="preserve"> further </w:t>
      </w:r>
      <w:r w:rsidR="007844B4" w:rsidRPr="00082140">
        <w:rPr>
          <w:color w:val="000000"/>
        </w:rPr>
        <w:t>noted</w:t>
      </w:r>
      <w:r w:rsidR="00E077C2" w:rsidRPr="00082140">
        <w:rPr>
          <w:color w:val="000000"/>
        </w:rPr>
        <w:t xml:space="preserve"> that FLU Policy 3.2.4 allow</w:t>
      </w:r>
      <w:r w:rsidR="00956C68" w:rsidRPr="00082140">
        <w:rPr>
          <w:color w:val="000000"/>
        </w:rPr>
        <w:t>s</w:t>
      </w:r>
      <w:r w:rsidR="00E077C2" w:rsidRPr="00082140">
        <w:rPr>
          <w:color w:val="000000"/>
        </w:rPr>
        <w:t xml:space="preserve"> exemptions only </w:t>
      </w:r>
      <w:r w:rsidR="00B7092A" w:rsidRPr="00082140">
        <w:rPr>
          <w:color w:val="000000"/>
        </w:rPr>
        <w:t>when the developer has “clearly and convincingly demonstrated”</w:t>
      </w:r>
      <w:r w:rsidR="00E077C2" w:rsidRPr="00082140">
        <w:rPr>
          <w:color w:val="000000"/>
        </w:rPr>
        <w:t xml:space="preserve"> health problems for </w:t>
      </w:r>
      <w:r w:rsidR="00A60543">
        <w:rPr>
          <w:color w:val="000000"/>
        </w:rPr>
        <w:t>which there are</w:t>
      </w:r>
      <w:r w:rsidR="00E077C2" w:rsidRPr="00082140">
        <w:rPr>
          <w:color w:val="000000"/>
        </w:rPr>
        <w:t xml:space="preserve"> no other feasible solutions</w:t>
      </w:r>
      <w:r w:rsidR="00D862DD" w:rsidRPr="00082140">
        <w:rPr>
          <w:color w:val="000000"/>
        </w:rPr>
        <w:t>, and that</w:t>
      </w:r>
      <w:r w:rsidR="00B7092A" w:rsidRPr="00082140">
        <w:rPr>
          <w:color w:val="000000"/>
        </w:rPr>
        <w:t xml:space="preserve"> EU has not met this standard of evidence</w:t>
      </w:r>
      <w:r w:rsidR="00A13837" w:rsidRPr="00082140">
        <w:rPr>
          <w:color w:val="000000"/>
        </w:rPr>
        <w:t>.</w:t>
      </w:r>
      <w:r w:rsidR="00B7092A" w:rsidRPr="00082140">
        <w:rPr>
          <w:color w:val="000000"/>
        </w:rPr>
        <w:t xml:space="preserve"> (PIE BR 6-7) PIE </w:t>
      </w:r>
      <w:r w:rsidR="004F5CF5" w:rsidRPr="00082140">
        <w:rPr>
          <w:color w:val="000000"/>
        </w:rPr>
        <w:t>argued</w:t>
      </w:r>
      <w:r w:rsidR="00B7092A" w:rsidRPr="00082140">
        <w:rPr>
          <w:color w:val="000000"/>
        </w:rPr>
        <w:t xml:space="preserve"> that the County representative agrees that EU does not meet this standard based on their deposition</w:t>
      </w:r>
      <w:r w:rsidR="00053C50">
        <w:rPr>
          <w:color w:val="000000"/>
        </w:rPr>
        <w:t>,</w:t>
      </w:r>
      <w:r w:rsidR="00D862DD" w:rsidRPr="00082140">
        <w:rPr>
          <w:color w:val="000000"/>
        </w:rPr>
        <w:t xml:space="preserve"> and</w:t>
      </w:r>
      <w:r w:rsidR="00B7092A" w:rsidRPr="00082140">
        <w:rPr>
          <w:color w:val="000000"/>
        </w:rPr>
        <w:t xml:space="preserve"> that EU offered no testimony establishing a health problem, no testing, no evidence of failed systems, nor any witnesses from the County for the same. (PIE BR 7-8</w:t>
      </w:r>
      <w:r w:rsidR="00D862DD" w:rsidRPr="00082140">
        <w:rPr>
          <w:color w:val="000000"/>
        </w:rPr>
        <w:t xml:space="preserve">; EXH 42 </w:t>
      </w:r>
      <w:r w:rsidR="00D41EE8" w:rsidRPr="00082140">
        <w:rPr>
          <w:color w:val="000000"/>
        </w:rPr>
        <w:t>BSP 1031</w:t>
      </w:r>
      <w:r w:rsidR="00B7092A" w:rsidRPr="00082140">
        <w:rPr>
          <w:color w:val="000000"/>
        </w:rPr>
        <w:t>)</w:t>
      </w:r>
    </w:p>
    <w:p w14:paraId="62352072" w14:textId="77777777" w:rsidR="00F90FF6" w:rsidRPr="00082140" w:rsidRDefault="00F90FF6" w:rsidP="001B07D7">
      <w:pPr>
        <w:pStyle w:val="BodyText"/>
        <w:spacing w:after="0"/>
        <w:rPr>
          <w:color w:val="000000"/>
        </w:rPr>
      </w:pPr>
    </w:p>
    <w:p w14:paraId="2B2AAB21" w14:textId="77777777" w:rsidR="000606E9" w:rsidRPr="00082140" w:rsidRDefault="00B7092A" w:rsidP="001B07D7">
      <w:pPr>
        <w:pStyle w:val="BodyText"/>
        <w:spacing w:after="0"/>
        <w:rPr>
          <w:color w:val="000000"/>
        </w:rPr>
      </w:pPr>
      <w:r w:rsidRPr="00082140">
        <w:rPr>
          <w:color w:val="000000"/>
        </w:rPr>
        <w:t xml:space="preserve">PIE </w:t>
      </w:r>
      <w:r w:rsidR="004F5CF5" w:rsidRPr="00082140">
        <w:rPr>
          <w:color w:val="000000"/>
        </w:rPr>
        <w:t>highlighted</w:t>
      </w:r>
      <w:r w:rsidRPr="00082140">
        <w:rPr>
          <w:color w:val="000000"/>
        </w:rPr>
        <w:t xml:space="preserve"> that the proposed service territory is within the </w:t>
      </w:r>
      <w:r w:rsidR="008F1F4D" w:rsidRPr="00082140">
        <w:rPr>
          <w:color w:val="000000"/>
        </w:rPr>
        <w:t>BIOD</w:t>
      </w:r>
      <w:r w:rsidRPr="00082140">
        <w:rPr>
          <w:color w:val="000000"/>
        </w:rPr>
        <w:t xml:space="preserve"> per the Comp Plan</w:t>
      </w:r>
      <w:r w:rsidR="000042A3" w:rsidRPr="00082140">
        <w:rPr>
          <w:color w:val="000000"/>
        </w:rPr>
        <w:t>, which</w:t>
      </w:r>
      <w:r w:rsidRPr="00082140">
        <w:rPr>
          <w:color w:val="000000"/>
        </w:rPr>
        <w:t xml:space="preserve"> states that the County “shall not” expand infrastructure, including wastewater service to the bridgeless bar</w:t>
      </w:r>
      <w:r w:rsidR="00A770E3">
        <w:rPr>
          <w:color w:val="000000"/>
        </w:rPr>
        <w:t>rier islands. (PIE BR 8; EXH 10 BSP 298</w:t>
      </w:r>
      <w:r w:rsidRPr="00082140">
        <w:rPr>
          <w:color w:val="000000"/>
        </w:rPr>
        <w:t>) PIE argue</w:t>
      </w:r>
      <w:r w:rsidR="004F5CF5" w:rsidRPr="00082140">
        <w:rPr>
          <w:color w:val="000000"/>
        </w:rPr>
        <w:t>d</w:t>
      </w:r>
      <w:r w:rsidRPr="00082140">
        <w:rPr>
          <w:color w:val="000000"/>
        </w:rPr>
        <w:t xml:space="preserve"> that EU inappropriately took the position that the Bulk Agreement was evidence of consistency, when the County’s representative testified that whether a </w:t>
      </w:r>
      <w:r w:rsidR="00587BF7" w:rsidRPr="00082140">
        <w:rPr>
          <w:color w:val="000000"/>
        </w:rPr>
        <w:t>compre</w:t>
      </w:r>
      <w:r w:rsidRPr="00082140">
        <w:rPr>
          <w:color w:val="000000"/>
        </w:rPr>
        <w:t>hensive plan amendment was necessary had not yet been determined. (PIE BR 8</w:t>
      </w:r>
      <w:r w:rsidR="00587BF7" w:rsidRPr="00082140">
        <w:rPr>
          <w:color w:val="000000"/>
        </w:rPr>
        <w:t>-9</w:t>
      </w:r>
      <w:r w:rsidRPr="00082140">
        <w:rPr>
          <w:color w:val="000000"/>
        </w:rPr>
        <w:t>)</w:t>
      </w:r>
    </w:p>
    <w:p w14:paraId="1EF3D22E" w14:textId="77777777" w:rsidR="00B7092A" w:rsidRPr="00082140" w:rsidRDefault="00B7092A" w:rsidP="001B07D7">
      <w:pPr>
        <w:pStyle w:val="BodyText"/>
        <w:spacing w:after="0"/>
        <w:rPr>
          <w:color w:val="000000"/>
        </w:rPr>
      </w:pPr>
    </w:p>
    <w:p w14:paraId="0AD2E33D" w14:textId="17C889FD" w:rsidR="00B7092A" w:rsidRPr="00082140" w:rsidRDefault="00587BF7" w:rsidP="000042A3">
      <w:pPr>
        <w:pStyle w:val="BodyText"/>
        <w:spacing w:after="0"/>
        <w:rPr>
          <w:color w:val="000000"/>
        </w:rPr>
      </w:pPr>
      <w:r w:rsidRPr="00082140">
        <w:rPr>
          <w:color w:val="000000"/>
        </w:rPr>
        <w:t xml:space="preserve">PIE </w:t>
      </w:r>
      <w:r w:rsidR="004F5CF5" w:rsidRPr="00082140">
        <w:rPr>
          <w:color w:val="000000"/>
        </w:rPr>
        <w:t>also</w:t>
      </w:r>
      <w:r w:rsidRPr="00082140">
        <w:rPr>
          <w:color w:val="000000"/>
        </w:rPr>
        <w:t xml:space="preserve"> </w:t>
      </w:r>
      <w:r w:rsidR="004F5CF5" w:rsidRPr="00082140">
        <w:rPr>
          <w:color w:val="000000"/>
        </w:rPr>
        <w:t>highlighted</w:t>
      </w:r>
      <w:r w:rsidR="0093069F">
        <w:rPr>
          <w:color w:val="000000"/>
        </w:rPr>
        <w:t xml:space="preserve"> </w:t>
      </w:r>
      <w:r w:rsidR="0093069F" w:rsidRPr="0093069F">
        <w:t>Potable Water &amp; Sanitary Sewer</w:t>
      </w:r>
      <w:r w:rsidR="000042A3" w:rsidRPr="0093069F">
        <w:t xml:space="preserve"> </w:t>
      </w:r>
      <w:r w:rsidR="00B41CBE">
        <w:t xml:space="preserve">(WSW) </w:t>
      </w:r>
      <w:r w:rsidR="00956C68" w:rsidRPr="00082140">
        <w:rPr>
          <w:color w:val="000000"/>
        </w:rPr>
        <w:t>Policy 3.2.4</w:t>
      </w:r>
      <w:r w:rsidR="004F5CF5" w:rsidRPr="00082140">
        <w:rPr>
          <w:color w:val="000000"/>
        </w:rPr>
        <w:t xml:space="preserve"> </w:t>
      </w:r>
      <w:r w:rsidR="00902AF2">
        <w:rPr>
          <w:color w:val="000000"/>
        </w:rPr>
        <w:t xml:space="preserve">which </w:t>
      </w:r>
      <w:r w:rsidR="00956C68" w:rsidRPr="00082140">
        <w:rPr>
          <w:color w:val="000000"/>
        </w:rPr>
        <w:t>states</w:t>
      </w:r>
      <w:r w:rsidR="000042A3" w:rsidRPr="00082140">
        <w:rPr>
          <w:color w:val="000000"/>
        </w:rPr>
        <w:t xml:space="preserve"> that the County “shall discourage expansion of the service areas of utility companies regulated by the [Commission].” (PIE BR 9; EXH 10 </w:t>
      </w:r>
      <w:r w:rsidR="0061381C">
        <w:rPr>
          <w:color w:val="000000"/>
        </w:rPr>
        <w:t>BSP 329</w:t>
      </w:r>
      <w:r w:rsidR="000042A3" w:rsidRPr="00082140">
        <w:rPr>
          <w:color w:val="000000"/>
        </w:rPr>
        <w:t>)</w:t>
      </w:r>
      <w:r w:rsidRPr="00082140">
        <w:rPr>
          <w:color w:val="000000"/>
        </w:rPr>
        <w:t xml:space="preserve"> </w:t>
      </w:r>
      <w:r w:rsidR="00956C68" w:rsidRPr="00082140">
        <w:rPr>
          <w:color w:val="000000"/>
        </w:rPr>
        <w:t>Furthermore</w:t>
      </w:r>
      <w:r w:rsidR="003F7671">
        <w:rPr>
          <w:color w:val="000000"/>
        </w:rPr>
        <w:t>,</w:t>
      </w:r>
      <w:r w:rsidR="00956C68" w:rsidRPr="00082140">
        <w:rPr>
          <w:color w:val="000000"/>
        </w:rPr>
        <w:t xml:space="preserve"> </w:t>
      </w:r>
      <w:r w:rsidRPr="00082140">
        <w:rPr>
          <w:color w:val="000000"/>
        </w:rPr>
        <w:t xml:space="preserve">PIE </w:t>
      </w:r>
      <w:r w:rsidR="004F5CF5" w:rsidRPr="00082140">
        <w:rPr>
          <w:color w:val="000000"/>
        </w:rPr>
        <w:t>noted</w:t>
      </w:r>
      <w:r w:rsidRPr="00082140">
        <w:rPr>
          <w:color w:val="000000"/>
        </w:rPr>
        <w:t xml:space="preserve"> that FLU Policy 1.1.6 states </w:t>
      </w:r>
      <w:r w:rsidR="00CC20A4" w:rsidRPr="00082140">
        <w:rPr>
          <w:color w:val="000000"/>
        </w:rPr>
        <w:t xml:space="preserve">that </w:t>
      </w:r>
      <w:r w:rsidRPr="00082140">
        <w:rPr>
          <w:color w:val="000000"/>
        </w:rPr>
        <w:t>all county regulations must be subordinate to the Comp Plan and</w:t>
      </w:r>
      <w:r w:rsidR="007844B4" w:rsidRPr="00082140">
        <w:rPr>
          <w:color w:val="000000"/>
        </w:rPr>
        <w:t>,</w:t>
      </w:r>
      <w:r w:rsidRPr="00082140">
        <w:rPr>
          <w:color w:val="000000"/>
        </w:rPr>
        <w:t xml:space="preserve"> given the above policies, EU has not demonstrated a need for service. (PIE BR 9-10)</w:t>
      </w:r>
    </w:p>
    <w:p w14:paraId="57645B4C" w14:textId="77777777" w:rsidR="00F90FF6" w:rsidRPr="00082140" w:rsidRDefault="00F90FF6" w:rsidP="001B07D7">
      <w:pPr>
        <w:pStyle w:val="BodyText"/>
        <w:spacing w:after="0"/>
        <w:rPr>
          <w:color w:val="000000"/>
        </w:rPr>
      </w:pPr>
    </w:p>
    <w:p w14:paraId="400F5F08" w14:textId="77777777" w:rsidR="00F90FF6" w:rsidRDefault="00587BF7" w:rsidP="001B07D7">
      <w:pPr>
        <w:pStyle w:val="BodyText"/>
        <w:spacing w:after="0"/>
        <w:rPr>
          <w:color w:val="000000"/>
        </w:rPr>
      </w:pPr>
      <w:r w:rsidRPr="00082140">
        <w:rPr>
          <w:color w:val="000000"/>
        </w:rPr>
        <w:t xml:space="preserve">PIE </w:t>
      </w:r>
      <w:r w:rsidR="00082140" w:rsidRPr="00082140">
        <w:rPr>
          <w:color w:val="000000"/>
        </w:rPr>
        <w:t>observe</w:t>
      </w:r>
      <w:r w:rsidR="004F5CF5" w:rsidRPr="00082140">
        <w:rPr>
          <w:color w:val="000000"/>
        </w:rPr>
        <w:t>d</w:t>
      </w:r>
      <w:r w:rsidRPr="00082140">
        <w:rPr>
          <w:color w:val="000000"/>
        </w:rPr>
        <w:t xml:space="preserve"> that during the </w:t>
      </w:r>
      <w:r w:rsidR="004671F8" w:rsidRPr="00082140">
        <w:rPr>
          <w:color w:val="000000"/>
        </w:rPr>
        <w:t>s</w:t>
      </w:r>
      <w:r w:rsidRPr="00082140">
        <w:rPr>
          <w:color w:val="000000"/>
        </w:rPr>
        <w:t xml:space="preserve">ervice </w:t>
      </w:r>
      <w:r w:rsidR="004671F8" w:rsidRPr="00082140">
        <w:rPr>
          <w:color w:val="000000"/>
        </w:rPr>
        <w:t>h</w:t>
      </w:r>
      <w:r w:rsidRPr="00082140">
        <w:rPr>
          <w:color w:val="000000"/>
        </w:rPr>
        <w:t xml:space="preserve">earings, only </w:t>
      </w:r>
      <w:r w:rsidR="009F0BFD">
        <w:rPr>
          <w:color w:val="000000"/>
        </w:rPr>
        <w:t>one</w:t>
      </w:r>
      <w:r w:rsidRPr="00082140">
        <w:rPr>
          <w:color w:val="000000"/>
        </w:rPr>
        <w:t xml:space="preserve"> potential customer expressed a desire for the application’s approval out of 5</w:t>
      </w:r>
      <w:r w:rsidR="00710A36" w:rsidRPr="00082140">
        <w:rPr>
          <w:color w:val="000000"/>
        </w:rPr>
        <w:t>3</w:t>
      </w:r>
      <w:r w:rsidR="00125C10" w:rsidRPr="00082140">
        <w:rPr>
          <w:color w:val="000000"/>
        </w:rPr>
        <w:t xml:space="preserve"> speakers</w:t>
      </w:r>
      <w:r w:rsidRPr="00082140">
        <w:rPr>
          <w:color w:val="000000"/>
        </w:rPr>
        <w:t>, and no elected officials, including County officials, spoke in support of the application.</w:t>
      </w:r>
      <w:r w:rsidR="00125C10" w:rsidRPr="00082140">
        <w:rPr>
          <w:rStyle w:val="FootnoteReference"/>
          <w:color w:val="000000"/>
        </w:rPr>
        <w:footnoteReference w:id="6"/>
      </w:r>
      <w:r w:rsidRPr="00082140">
        <w:rPr>
          <w:color w:val="000000"/>
        </w:rPr>
        <w:t xml:space="preserve"> </w:t>
      </w:r>
      <w:r w:rsidR="006F72C3" w:rsidRPr="00082140">
        <w:rPr>
          <w:color w:val="000000"/>
        </w:rPr>
        <w:t xml:space="preserve">(PIE BR 10) </w:t>
      </w:r>
      <w:r w:rsidRPr="00082140">
        <w:rPr>
          <w:color w:val="000000"/>
        </w:rPr>
        <w:t>PIE contend</w:t>
      </w:r>
      <w:r w:rsidR="004F5CF5" w:rsidRPr="00082140">
        <w:rPr>
          <w:color w:val="000000"/>
        </w:rPr>
        <w:t>ed</w:t>
      </w:r>
      <w:r w:rsidRPr="00082140">
        <w:rPr>
          <w:color w:val="000000"/>
        </w:rPr>
        <w:t xml:space="preserve"> that if the County felt there was a compelling need it would have been a participant in the </w:t>
      </w:r>
      <w:r w:rsidR="004671F8" w:rsidRPr="00082140">
        <w:rPr>
          <w:color w:val="000000"/>
        </w:rPr>
        <w:t>s</w:t>
      </w:r>
      <w:r w:rsidRPr="00082140">
        <w:rPr>
          <w:color w:val="000000"/>
        </w:rPr>
        <w:t xml:space="preserve">ervice </w:t>
      </w:r>
      <w:r w:rsidR="004671F8" w:rsidRPr="00082140">
        <w:rPr>
          <w:color w:val="000000"/>
        </w:rPr>
        <w:t>h</w:t>
      </w:r>
      <w:r w:rsidRPr="00082140">
        <w:rPr>
          <w:color w:val="000000"/>
        </w:rPr>
        <w:t xml:space="preserve">earings instead of solely providing County </w:t>
      </w:r>
      <w:r w:rsidR="0063787C" w:rsidRPr="00082140">
        <w:rPr>
          <w:color w:val="000000"/>
        </w:rPr>
        <w:t xml:space="preserve">deponent </w:t>
      </w:r>
      <w:r w:rsidRPr="00082140">
        <w:rPr>
          <w:color w:val="000000"/>
        </w:rPr>
        <w:t>Rudy</w:t>
      </w:r>
      <w:r w:rsidR="006F72C3" w:rsidRPr="00082140">
        <w:rPr>
          <w:color w:val="000000"/>
        </w:rPr>
        <w:t>. (PIE BR 10)</w:t>
      </w:r>
    </w:p>
    <w:p w14:paraId="28BD8961" w14:textId="77777777" w:rsidR="00AD0834" w:rsidRDefault="00AD0834" w:rsidP="001B07D7">
      <w:pPr>
        <w:pStyle w:val="BodyText"/>
        <w:spacing w:after="0"/>
        <w:rPr>
          <w:color w:val="000000"/>
        </w:rPr>
      </w:pPr>
    </w:p>
    <w:p w14:paraId="0A4C0F0E" w14:textId="77777777" w:rsidR="00FC4139" w:rsidRDefault="00FC4139" w:rsidP="000B7D09">
      <w:pPr>
        <w:pStyle w:val="BodyText"/>
        <w:keepNext/>
        <w:spacing w:after="0"/>
        <w:rPr>
          <w:rFonts w:ascii="Arial" w:hAnsi="Arial" w:cs="Arial"/>
          <w:b/>
          <w:color w:val="000000"/>
        </w:rPr>
      </w:pPr>
      <w:r>
        <w:rPr>
          <w:rFonts w:ascii="Arial" w:hAnsi="Arial" w:cs="Arial"/>
          <w:b/>
          <w:color w:val="000000"/>
        </w:rPr>
        <w:t>L</w:t>
      </w:r>
      <w:r w:rsidRPr="006B5F9E">
        <w:rPr>
          <w:rFonts w:ascii="Arial" w:hAnsi="Arial" w:cs="Arial"/>
          <w:b/>
          <w:color w:val="000000"/>
        </w:rPr>
        <w:t>C</w:t>
      </w:r>
    </w:p>
    <w:p w14:paraId="22EA4422" w14:textId="5FF27F3C" w:rsidR="006F72C3" w:rsidRPr="00027279" w:rsidRDefault="005F2E9D" w:rsidP="009A0B14">
      <w:pPr>
        <w:pStyle w:val="BodyText"/>
        <w:spacing w:after="0"/>
      </w:pPr>
      <w:r w:rsidRPr="00027279">
        <w:t>LC argue</w:t>
      </w:r>
      <w:r w:rsidR="000B7D09" w:rsidRPr="00027279">
        <w:t>d</w:t>
      </w:r>
      <w:r w:rsidRPr="00027279">
        <w:t xml:space="preserve"> the application is inconsistent with the Comp Plan as the service territory is within the Rural Service Area and the BIOD, both of which are restricted from wastewater infrastructure development. (LC BR 5) </w:t>
      </w:r>
      <w:r w:rsidR="00183755" w:rsidRPr="00027279">
        <w:t xml:space="preserve">LC </w:t>
      </w:r>
      <w:r w:rsidR="000B7D09" w:rsidRPr="00027279">
        <w:t>noted</w:t>
      </w:r>
      <w:r w:rsidR="00183755" w:rsidRPr="00027279">
        <w:t xml:space="preserve"> that FLU Policy 3.2.4 has specific exemptions to allow the construction of sewer infrastructure in the event of health problem</w:t>
      </w:r>
      <w:r w:rsidR="00F5435C" w:rsidRPr="00027279">
        <w:t>s</w:t>
      </w:r>
      <w:r w:rsidR="00183755" w:rsidRPr="00027279">
        <w:t xml:space="preserve">, but that </w:t>
      </w:r>
      <w:r w:rsidR="009F0BFD">
        <w:t xml:space="preserve">the </w:t>
      </w:r>
      <w:r w:rsidR="00183755" w:rsidRPr="00027279">
        <w:t xml:space="preserve">County </w:t>
      </w:r>
      <w:r w:rsidR="00886B8C" w:rsidRPr="00027279">
        <w:t>deponent</w:t>
      </w:r>
      <w:r w:rsidR="00183755" w:rsidRPr="00027279">
        <w:t xml:space="preserve"> Rudy was unaware of any health problems that would justify sewer infrastructure</w:t>
      </w:r>
      <w:r w:rsidR="008703CF">
        <w:t>;</w:t>
      </w:r>
      <w:r w:rsidR="006837FC" w:rsidRPr="00027279">
        <w:t xml:space="preserve"> and</w:t>
      </w:r>
      <w:r w:rsidR="0093069F">
        <w:t>,</w:t>
      </w:r>
      <w:r w:rsidR="00183755" w:rsidRPr="00027279">
        <w:t xml:space="preserve"> EU witness Boyer was unaware of any water quality testing that would serve as evidence of a public health issue. (LC BR 7)</w:t>
      </w:r>
      <w:r w:rsidR="004E5B0D" w:rsidRPr="00027279">
        <w:t xml:space="preserve"> </w:t>
      </w:r>
      <w:r w:rsidR="00183755" w:rsidRPr="00027279">
        <w:t>LC contend</w:t>
      </w:r>
      <w:r w:rsidR="000B7D09" w:rsidRPr="00027279">
        <w:t>ed</w:t>
      </w:r>
      <w:r w:rsidR="00183755" w:rsidRPr="00027279">
        <w:t xml:space="preserve"> that EU’s claim of environmental need</w:t>
      </w:r>
      <w:r w:rsidR="00D83121">
        <w:t>,</w:t>
      </w:r>
      <w:r w:rsidR="00183755" w:rsidRPr="00027279">
        <w:t xml:space="preserve"> based on red tide</w:t>
      </w:r>
      <w:r w:rsidR="00D83121">
        <w:t>,</w:t>
      </w:r>
      <w:r w:rsidR="00183755" w:rsidRPr="00027279">
        <w:t xml:space="preserve"> </w:t>
      </w:r>
      <w:r w:rsidR="00193F93">
        <w:t xml:space="preserve">is </w:t>
      </w:r>
      <w:r w:rsidR="00183755" w:rsidRPr="00027279">
        <w:t>rebutted by PIE witness Weisberg’s statements regarding the lack of supporting evidence that the barrier islands</w:t>
      </w:r>
      <w:r w:rsidR="00AE2990">
        <w:t>’</w:t>
      </w:r>
      <w:r w:rsidR="00183755" w:rsidRPr="00027279">
        <w:t xml:space="preserve"> septic systems are responsible. (LC BR 7-8) LC assert</w:t>
      </w:r>
      <w:r w:rsidR="000B7D09" w:rsidRPr="00027279">
        <w:t>ed</w:t>
      </w:r>
      <w:r w:rsidR="00183755" w:rsidRPr="00027279">
        <w:t xml:space="preserve"> that</w:t>
      </w:r>
      <w:r w:rsidR="004E5B0D" w:rsidRPr="00027279">
        <w:t xml:space="preserve"> as</w:t>
      </w:r>
      <w:r w:rsidR="00183755" w:rsidRPr="00027279">
        <w:t xml:space="preserve"> EU witness Cole </w:t>
      </w:r>
      <w:r w:rsidR="004E5B0D" w:rsidRPr="00027279">
        <w:t>acknowledged</w:t>
      </w:r>
      <w:r w:rsidR="00523F86">
        <w:t>,</w:t>
      </w:r>
      <w:r w:rsidR="004E5B0D" w:rsidRPr="00027279">
        <w:t xml:space="preserve"> new septic systems are designed to meet current standards</w:t>
      </w:r>
      <w:r w:rsidR="00523F86">
        <w:t xml:space="preserve"> and </w:t>
      </w:r>
      <w:r w:rsidR="004E5B0D" w:rsidRPr="00027279">
        <w:t>any issue with individual septic tanks is one of code enforcement. (LC BR 8)</w:t>
      </w:r>
    </w:p>
    <w:p w14:paraId="1044A119" w14:textId="77777777" w:rsidR="004E5B0D" w:rsidRPr="00027279" w:rsidRDefault="004E5B0D" w:rsidP="009A0B14">
      <w:pPr>
        <w:pStyle w:val="BodyText"/>
        <w:spacing w:after="0"/>
      </w:pPr>
    </w:p>
    <w:p w14:paraId="33E50045" w14:textId="26534B26" w:rsidR="004E5B0D" w:rsidRDefault="004E5B0D" w:rsidP="009A0B14">
      <w:pPr>
        <w:pStyle w:val="BodyText"/>
        <w:spacing w:after="0"/>
      </w:pPr>
      <w:r w:rsidRPr="00027279">
        <w:t xml:space="preserve">LC </w:t>
      </w:r>
      <w:r w:rsidR="000B7D09" w:rsidRPr="00027279">
        <w:t>highlighted</w:t>
      </w:r>
      <w:r w:rsidRPr="00027279">
        <w:t xml:space="preserve"> that EU did not provide any requests for service in its application</w:t>
      </w:r>
      <w:r w:rsidR="006837FC" w:rsidRPr="00027279">
        <w:t xml:space="preserve"> and</w:t>
      </w:r>
      <w:r w:rsidRPr="00027279">
        <w:t xml:space="preserve"> that PIE witness Schaffer testified that none of PIE’s members have requested service by EU. (LC BR 9) </w:t>
      </w:r>
      <w:r w:rsidR="00956C68" w:rsidRPr="00027279">
        <w:t xml:space="preserve">Furthermore, LC </w:t>
      </w:r>
      <w:r w:rsidR="00027279" w:rsidRPr="00027279">
        <w:t>observed</w:t>
      </w:r>
      <w:r w:rsidRPr="00027279">
        <w:t xml:space="preserve"> that the written correspondence to the docket and participants in the </w:t>
      </w:r>
      <w:r w:rsidR="004671F8" w:rsidRPr="00027279">
        <w:t>s</w:t>
      </w:r>
      <w:r w:rsidRPr="00027279">
        <w:t xml:space="preserve">ervice </w:t>
      </w:r>
      <w:r w:rsidR="004671F8" w:rsidRPr="00027279">
        <w:t>h</w:t>
      </w:r>
      <w:r w:rsidRPr="00027279">
        <w:t>earings were generally in opposition. (LC BR 9)</w:t>
      </w:r>
    </w:p>
    <w:p w14:paraId="6476BEE1" w14:textId="77777777" w:rsidR="00190EB1" w:rsidRDefault="00190EB1" w:rsidP="009A0B14">
      <w:pPr>
        <w:pStyle w:val="BodyText"/>
        <w:spacing w:after="0"/>
      </w:pPr>
    </w:p>
    <w:p w14:paraId="734815C7" w14:textId="705EB2E1" w:rsidR="0095668F" w:rsidRDefault="005833F0" w:rsidP="00190EB1">
      <w:pPr>
        <w:keepNext/>
        <w:jc w:val="center"/>
        <w:rPr>
          <w:rFonts w:ascii="Arial" w:hAnsi="Arial" w:cs="Arial"/>
          <w:b/>
        </w:rPr>
      </w:pPr>
      <w:r>
        <w:rPr>
          <w:rFonts w:ascii="Arial" w:hAnsi="Arial" w:cs="Arial"/>
          <w:b/>
        </w:rPr>
        <w:t>ANALYSIS</w:t>
      </w:r>
    </w:p>
    <w:p w14:paraId="7C015F8A" w14:textId="77777777" w:rsidR="00190EB1" w:rsidRDefault="00190EB1" w:rsidP="00190EB1">
      <w:pPr>
        <w:keepNext/>
        <w:jc w:val="center"/>
        <w:rPr>
          <w:rFonts w:ascii="Arial" w:hAnsi="Arial" w:cs="Arial"/>
          <w:b/>
        </w:rPr>
      </w:pPr>
    </w:p>
    <w:p w14:paraId="2F7874C5" w14:textId="77777777" w:rsidR="00D83121" w:rsidRDefault="00D83121" w:rsidP="00190EB1">
      <w:pPr>
        <w:pStyle w:val="First-LevelSubheading"/>
        <w:keepNext/>
      </w:pPr>
      <w:r>
        <w:t>Need for Service</w:t>
      </w:r>
    </w:p>
    <w:p w14:paraId="3B247E9C" w14:textId="77777777" w:rsidR="00D83121" w:rsidRDefault="00D83121" w:rsidP="00D83121">
      <w:pPr>
        <w:pStyle w:val="Second-LevelSubheading"/>
        <w:keepNext/>
      </w:pPr>
      <w:r>
        <w:t>Requests for Service</w:t>
      </w:r>
    </w:p>
    <w:p w14:paraId="021A06BC" w14:textId="77777777" w:rsidR="00D83121" w:rsidRDefault="00FC4139" w:rsidP="00391107">
      <w:pPr>
        <w:pStyle w:val="BodyText"/>
        <w:spacing w:after="0"/>
        <w:rPr>
          <w:color w:val="000000"/>
        </w:rPr>
      </w:pPr>
      <w:r w:rsidRPr="006C1625">
        <w:rPr>
          <w:color w:val="000000"/>
        </w:rPr>
        <w:t>Section 367.045(1)(b)</w:t>
      </w:r>
      <w:r w:rsidR="0033160B">
        <w:rPr>
          <w:color w:val="000000"/>
        </w:rPr>
        <w:t>,</w:t>
      </w:r>
      <w:r w:rsidRPr="006C1625">
        <w:rPr>
          <w:color w:val="000000"/>
        </w:rPr>
        <w:t xml:space="preserve"> </w:t>
      </w:r>
      <w:r>
        <w:rPr>
          <w:color w:val="000000"/>
        </w:rPr>
        <w:t>F.S.</w:t>
      </w:r>
      <w:r w:rsidRPr="006C1625">
        <w:rPr>
          <w:color w:val="000000"/>
        </w:rPr>
        <w:t xml:space="preserve">, requires an examination of the need for service in the </w:t>
      </w:r>
      <w:r>
        <w:rPr>
          <w:color w:val="000000"/>
        </w:rPr>
        <w:t>proposed service</w:t>
      </w:r>
      <w:r w:rsidRPr="006C1625">
        <w:rPr>
          <w:color w:val="000000"/>
        </w:rPr>
        <w:t xml:space="preserve"> </w:t>
      </w:r>
      <w:r>
        <w:rPr>
          <w:color w:val="000000"/>
        </w:rPr>
        <w:t>territory. Pursuant to Rule 25-30.033, F.A.C., a</w:t>
      </w:r>
      <w:r w:rsidRPr="005A0FB4">
        <w:rPr>
          <w:color w:val="000000"/>
        </w:rPr>
        <w:t xml:space="preserve">n applicant for original certificate must provide a statement showing the need for service in the proposed territory. </w:t>
      </w:r>
      <w:r w:rsidR="00F373B1">
        <w:rPr>
          <w:color w:val="000000"/>
        </w:rPr>
        <w:t xml:space="preserve">Specifically, </w:t>
      </w:r>
      <w:r w:rsidR="00AA2925">
        <w:rPr>
          <w:color w:val="000000"/>
        </w:rPr>
        <w:t>R</w:t>
      </w:r>
      <w:r w:rsidRPr="005A0FB4">
        <w:rPr>
          <w:color w:val="000000"/>
        </w:rPr>
        <w:t>ule 25-30.033(1)(k)(2)</w:t>
      </w:r>
      <w:r w:rsidR="00F14CF2">
        <w:rPr>
          <w:color w:val="000000"/>
        </w:rPr>
        <w:t>,</w:t>
      </w:r>
      <w:r w:rsidRPr="005A0FB4">
        <w:rPr>
          <w:color w:val="000000"/>
        </w:rPr>
        <w:t xml:space="preserve"> F.A.C.</w:t>
      </w:r>
      <w:r w:rsidR="00F5435C" w:rsidRPr="005A0FB4">
        <w:rPr>
          <w:color w:val="000000"/>
        </w:rPr>
        <w:t>,</w:t>
      </w:r>
      <w:r w:rsidRPr="005A0FB4">
        <w:rPr>
          <w:color w:val="000000"/>
        </w:rPr>
        <w:t xml:space="preserve"> requires a utility provide all requests for service made by property owners or developers in the proposed service territory.</w:t>
      </w:r>
      <w:r w:rsidR="000E0744" w:rsidRPr="005A0FB4">
        <w:rPr>
          <w:color w:val="000000"/>
        </w:rPr>
        <w:t xml:space="preserve"> </w:t>
      </w:r>
      <w:r w:rsidR="00D83121" w:rsidRPr="008D64FD">
        <w:rPr>
          <w:color w:val="000000"/>
        </w:rPr>
        <w:t xml:space="preserve">EU’s application did not include any requests for service from </w:t>
      </w:r>
      <w:r w:rsidR="00D83121">
        <w:rPr>
          <w:color w:val="000000"/>
        </w:rPr>
        <w:t xml:space="preserve">current </w:t>
      </w:r>
      <w:r w:rsidR="00D83121" w:rsidRPr="008D64FD">
        <w:rPr>
          <w:color w:val="000000"/>
        </w:rPr>
        <w:t>property owners</w:t>
      </w:r>
      <w:r w:rsidR="008950C2">
        <w:rPr>
          <w:color w:val="000000"/>
        </w:rPr>
        <w:t xml:space="preserve"> </w:t>
      </w:r>
      <w:r w:rsidR="00D83121" w:rsidRPr="008D64FD">
        <w:rPr>
          <w:color w:val="000000"/>
        </w:rPr>
        <w:t xml:space="preserve">or developers. (EXH 2 BSP 16) </w:t>
      </w:r>
    </w:p>
    <w:p w14:paraId="3B810887" w14:textId="77777777" w:rsidR="00D83121" w:rsidRDefault="00D83121" w:rsidP="00391107">
      <w:pPr>
        <w:pStyle w:val="BodyText"/>
        <w:spacing w:after="0"/>
        <w:rPr>
          <w:color w:val="000000"/>
        </w:rPr>
      </w:pPr>
    </w:p>
    <w:p w14:paraId="6030FFA8" w14:textId="77777777" w:rsidR="00FC4139" w:rsidRDefault="008D64FD" w:rsidP="008D64FD">
      <w:pPr>
        <w:pStyle w:val="BodyText"/>
        <w:rPr>
          <w:color w:val="000000"/>
        </w:rPr>
      </w:pPr>
      <w:r w:rsidRPr="008D64FD">
        <w:rPr>
          <w:color w:val="000000"/>
        </w:rPr>
        <w:t>PIE witness Schaffer testified that no member of PIE, a voluntary homeowners</w:t>
      </w:r>
      <w:r w:rsidR="00F14CF2">
        <w:rPr>
          <w:color w:val="000000"/>
        </w:rPr>
        <w:t>’</w:t>
      </w:r>
      <w:r w:rsidRPr="008D64FD">
        <w:rPr>
          <w:color w:val="000000"/>
        </w:rPr>
        <w:t xml:space="preserve"> association, had requested service from the Utility</w:t>
      </w:r>
      <w:r w:rsidR="0098740C">
        <w:rPr>
          <w:color w:val="000000"/>
        </w:rPr>
        <w:t xml:space="preserve"> and</w:t>
      </w:r>
      <w:r w:rsidRPr="008D64FD">
        <w:rPr>
          <w:color w:val="000000"/>
        </w:rPr>
        <w:t xml:space="preserve"> LC witness Cotherman testified that EU has not provided evidence of requests for service. (TR </w:t>
      </w:r>
      <w:r w:rsidR="0098740C" w:rsidRPr="008D64FD">
        <w:rPr>
          <w:color w:val="000000"/>
        </w:rPr>
        <w:t>158, 162</w:t>
      </w:r>
      <w:r w:rsidR="0098740C">
        <w:rPr>
          <w:color w:val="000000"/>
        </w:rPr>
        <w:t xml:space="preserve">, </w:t>
      </w:r>
      <w:r w:rsidRPr="008D64FD">
        <w:rPr>
          <w:color w:val="000000"/>
        </w:rPr>
        <w:t xml:space="preserve">229) Of the </w:t>
      </w:r>
      <w:r w:rsidR="00125C10">
        <w:rPr>
          <w:color w:val="000000"/>
        </w:rPr>
        <w:t>53</w:t>
      </w:r>
      <w:r w:rsidRPr="008D64FD">
        <w:rPr>
          <w:color w:val="000000"/>
        </w:rPr>
        <w:t xml:space="preserve"> customers that testified at the </w:t>
      </w:r>
      <w:r w:rsidR="004671F8">
        <w:rPr>
          <w:color w:val="000000"/>
        </w:rPr>
        <w:t>s</w:t>
      </w:r>
      <w:r w:rsidRPr="008D64FD">
        <w:rPr>
          <w:color w:val="000000"/>
        </w:rPr>
        <w:t>ervice</w:t>
      </w:r>
      <w:r w:rsidR="004671F8">
        <w:rPr>
          <w:color w:val="000000"/>
        </w:rPr>
        <w:t xml:space="preserve"> h</w:t>
      </w:r>
      <w:r w:rsidRPr="008D64FD">
        <w:rPr>
          <w:color w:val="000000"/>
        </w:rPr>
        <w:t>earings, only 1 indicated support for EU’s application</w:t>
      </w:r>
      <w:r w:rsidR="009741F9">
        <w:rPr>
          <w:color w:val="000000"/>
        </w:rPr>
        <w:t xml:space="preserve"> based on difficulties with the maintenance of their septic system</w:t>
      </w:r>
      <w:r w:rsidRPr="008D64FD">
        <w:rPr>
          <w:color w:val="000000"/>
        </w:rPr>
        <w:t>.</w:t>
      </w:r>
      <w:r w:rsidR="000E0744">
        <w:rPr>
          <w:color w:val="000000"/>
        </w:rPr>
        <w:t xml:space="preserve"> </w:t>
      </w:r>
      <w:r w:rsidRPr="008D64FD">
        <w:rPr>
          <w:color w:val="000000"/>
        </w:rPr>
        <w:t xml:space="preserve">(2/8 S-TR 23-24) Multiple customers testified that their current septic systems are working and that they do not need or want central sewer. (2/8 S-TR 28, 33-34, 39, 42, 49, 54; 2/9 S-TR 34-35, 47-48) The written comments submitted in the docket were largely in opposition to EU’s application, with a </w:t>
      </w:r>
      <w:r w:rsidR="009741F9">
        <w:rPr>
          <w:color w:val="000000"/>
        </w:rPr>
        <w:t xml:space="preserve">small </w:t>
      </w:r>
      <w:r w:rsidRPr="008D64FD">
        <w:rPr>
          <w:color w:val="000000"/>
        </w:rPr>
        <w:t xml:space="preserve">minority in support. </w:t>
      </w:r>
    </w:p>
    <w:p w14:paraId="52CCADFE" w14:textId="77777777" w:rsidR="00D83121" w:rsidRDefault="00ED55F4" w:rsidP="00D83121">
      <w:pPr>
        <w:pStyle w:val="BodyText"/>
        <w:spacing w:after="0"/>
        <w:rPr>
          <w:color w:val="000000"/>
        </w:rPr>
      </w:pPr>
      <w:r>
        <w:rPr>
          <w:color w:val="000000"/>
        </w:rPr>
        <w:t>Since there ha</w:t>
      </w:r>
      <w:r w:rsidR="00F14CF2">
        <w:rPr>
          <w:color w:val="000000"/>
        </w:rPr>
        <w:t xml:space="preserve">ve </w:t>
      </w:r>
      <w:r>
        <w:rPr>
          <w:color w:val="000000"/>
        </w:rPr>
        <w:t xml:space="preserve">not been any </w:t>
      </w:r>
      <w:r w:rsidRPr="008D64FD">
        <w:rPr>
          <w:color w:val="000000"/>
        </w:rPr>
        <w:t>request</w:t>
      </w:r>
      <w:r>
        <w:rPr>
          <w:color w:val="000000"/>
        </w:rPr>
        <w:t>s</w:t>
      </w:r>
      <w:r w:rsidRPr="008D64FD">
        <w:rPr>
          <w:color w:val="000000"/>
        </w:rPr>
        <w:t xml:space="preserve"> for service</w:t>
      </w:r>
      <w:r>
        <w:rPr>
          <w:color w:val="000000"/>
        </w:rPr>
        <w:t xml:space="preserve"> provided</w:t>
      </w:r>
      <w:r w:rsidRPr="008D64FD">
        <w:rPr>
          <w:color w:val="000000"/>
        </w:rPr>
        <w:t xml:space="preserve">, </w:t>
      </w:r>
      <w:r>
        <w:rPr>
          <w:color w:val="000000"/>
        </w:rPr>
        <w:t xml:space="preserve">the record does not support a </w:t>
      </w:r>
      <w:r w:rsidRPr="008D64FD">
        <w:rPr>
          <w:color w:val="000000"/>
        </w:rPr>
        <w:t xml:space="preserve">need for service based upon </w:t>
      </w:r>
      <w:r w:rsidR="000A6BDC">
        <w:rPr>
          <w:color w:val="000000"/>
        </w:rPr>
        <w:t>property owners</w:t>
      </w:r>
      <w:r w:rsidRPr="008D64FD">
        <w:rPr>
          <w:color w:val="000000"/>
        </w:rPr>
        <w:t xml:space="preserve"> or develop</w:t>
      </w:r>
      <w:r>
        <w:rPr>
          <w:color w:val="000000"/>
        </w:rPr>
        <w:t>er</w:t>
      </w:r>
      <w:r w:rsidRPr="008D64FD">
        <w:rPr>
          <w:color w:val="000000"/>
        </w:rPr>
        <w:t xml:space="preserve"> requests.</w:t>
      </w:r>
      <w:r w:rsidR="00C959AF">
        <w:rPr>
          <w:color w:val="000000"/>
        </w:rPr>
        <w:t xml:space="preserve"> As discussed below</w:t>
      </w:r>
      <w:r w:rsidR="00AA2925">
        <w:rPr>
          <w:color w:val="000000"/>
        </w:rPr>
        <w:t>,</w:t>
      </w:r>
      <w:r w:rsidR="00C959AF">
        <w:rPr>
          <w:color w:val="000000"/>
        </w:rPr>
        <w:t xml:space="preserve"> </w:t>
      </w:r>
      <w:r w:rsidR="00D83121">
        <w:rPr>
          <w:color w:val="000000"/>
        </w:rPr>
        <w:t xml:space="preserve">the </w:t>
      </w:r>
      <w:r w:rsidR="00D83121" w:rsidRPr="005A0FB4">
        <w:rPr>
          <w:color w:val="000000"/>
        </w:rPr>
        <w:t xml:space="preserve">need for service </w:t>
      </w:r>
      <w:r w:rsidR="00E33162">
        <w:rPr>
          <w:color w:val="000000"/>
        </w:rPr>
        <w:t xml:space="preserve">is not specifically defined in either </w:t>
      </w:r>
      <w:r w:rsidR="00E245CC">
        <w:rPr>
          <w:color w:val="000000"/>
        </w:rPr>
        <w:t>s</w:t>
      </w:r>
      <w:r w:rsidR="00E33162">
        <w:rPr>
          <w:color w:val="000000"/>
        </w:rPr>
        <w:t xml:space="preserve">tatute or </w:t>
      </w:r>
      <w:r w:rsidR="00E245CC">
        <w:rPr>
          <w:color w:val="000000"/>
        </w:rPr>
        <w:t>r</w:t>
      </w:r>
      <w:r w:rsidR="00E33162">
        <w:rPr>
          <w:color w:val="000000"/>
        </w:rPr>
        <w:t xml:space="preserve">ule and therefore </w:t>
      </w:r>
      <w:r w:rsidR="00D83121">
        <w:rPr>
          <w:color w:val="000000"/>
        </w:rPr>
        <w:t>may</w:t>
      </w:r>
      <w:r w:rsidR="00D83121" w:rsidRPr="005A0FB4">
        <w:rPr>
          <w:color w:val="000000"/>
        </w:rPr>
        <w:t xml:space="preserve"> also </w:t>
      </w:r>
      <w:r w:rsidR="00E33162">
        <w:rPr>
          <w:color w:val="000000"/>
        </w:rPr>
        <w:t>be</w:t>
      </w:r>
      <w:r w:rsidR="00D83121" w:rsidRPr="005A0FB4">
        <w:rPr>
          <w:color w:val="000000"/>
        </w:rPr>
        <w:t xml:space="preserve"> based on compliance with environmental or health requirements. </w:t>
      </w:r>
    </w:p>
    <w:p w14:paraId="113BBA93" w14:textId="77777777" w:rsidR="00D83121" w:rsidRDefault="00D83121" w:rsidP="0098740C">
      <w:pPr>
        <w:pStyle w:val="Second-LevelSubheading"/>
        <w:keepNext/>
      </w:pPr>
    </w:p>
    <w:p w14:paraId="3B714FF3" w14:textId="77777777" w:rsidR="008D64FD" w:rsidRDefault="008D64FD" w:rsidP="0098740C">
      <w:pPr>
        <w:pStyle w:val="Second-LevelSubheading"/>
        <w:keepNext/>
      </w:pPr>
      <w:r>
        <w:t>Environmental Need</w:t>
      </w:r>
    </w:p>
    <w:p w14:paraId="0515001D" w14:textId="77777777" w:rsidR="003E0B1E" w:rsidRDefault="008D64FD" w:rsidP="00341B64">
      <w:pPr>
        <w:pStyle w:val="BodyText"/>
      </w:pPr>
      <w:r w:rsidRPr="008D64FD">
        <w:rPr>
          <w:color w:val="000000"/>
        </w:rPr>
        <w:t>EU state</w:t>
      </w:r>
      <w:r w:rsidR="00090995">
        <w:rPr>
          <w:color w:val="000000"/>
        </w:rPr>
        <w:t>s</w:t>
      </w:r>
      <w:r w:rsidRPr="008D64FD">
        <w:rPr>
          <w:color w:val="000000"/>
        </w:rPr>
        <w:t xml:space="preserve"> that there is a need for service due to </w:t>
      </w:r>
      <w:r w:rsidR="00BF5C63">
        <w:rPr>
          <w:color w:val="000000"/>
        </w:rPr>
        <w:t xml:space="preserve">failing </w:t>
      </w:r>
      <w:r w:rsidRPr="008D64FD">
        <w:rPr>
          <w:color w:val="000000"/>
        </w:rPr>
        <w:t>septic tanks in the proposed service territory contribut</w:t>
      </w:r>
      <w:r w:rsidR="00090995">
        <w:rPr>
          <w:color w:val="000000"/>
        </w:rPr>
        <w:t>ing</w:t>
      </w:r>
      <w:r w:rsidRPr="008D64FD">
        <w:rPr>
          <w:color w:val="000000"/>
        </w:rPr>
        <w:t xml:space="preserve"> to red tide and water quality degradation of L</w:t>
      </w:r>
      <w:r w:rsidR="00BF5C63">
        <w:rPr>
          <w:color w:val="000000"/>
        </w:rPr>
        <w:t xml:space="preserve">emon Bay and the Gulf of Mexico. EU also </w:t>
      </w:r>
      <w:r w:rsidRPr="008D64FD">
        <w:rPr>
          <w:color w:val="000000"/>
        </w:rPr>
        <w:t>cited the Governor as making the environmental remediation of the area a priority. (EXH 2 BSP 26) However, during cross</w:t>
      </w:r>
      <w:r w:rsidR="00F5435C">
        <w:rPr>
          <w:color w:val="000000"/>
        </w:rPr>
        <w:t>-</w:t>
      </w:r>
      <w:r w:rsidRPr="008D64FD">
        <w:rPr>
          <w:color w:val="000000"/>
        </w:rPr>
        <w:t xml:space="preserve">examination EU witness Boyer testified that no state agency, including the Department of Environmental Protection, nor the County are </w:t>
      </w:r>
      <w:r w:rsidR="00D87588">
        <w:rPr>
          <w:color w:val="000000"/>
        </w:rPr>
        <w:t xml:space="preserve">requiring or </w:t>
      </w:r>
      <w:r w:rsidRPr="008D64FD">
        <w:rPr>
          <w:color w:val="000000"/>
        </w:rPr>
        <w:t>mandating the installation of a central sewer system in the proposed service territory. (TR 7</w:t>
      </w:r>
      <w:r w:rsidR="006F3F67">
        <w:rPr>
          <w:color w:val="000000"/>
        </w:rPr>
        <w:t>1)</w:t>
      </w:r>
      <w:r w:rsidR="00BD5DF1">
        <w:rPr>
          <w:color w:val="000000"/>
        </w:rPr>
        <w:t xml:space="preserve"> Moreover, </w:t>
      </w:r>
      <w:r w:rsidR="009F0BFD">
        <w:rPr>
          <w:color w:val="000000"/>
        </w:rPr>
        <w:t xml:space="preserve">the </w:t>
      </w:r>
      <w:r w:rsidR="00BD5DF1">
        <w:rPr>
          <w:color w:val="000000"/>
        </w:rPr>
        <w:t xml:space="preserve">witness acknowledged that Charlotte County continues to issue permits for new septic systems. (TR 71) </w:t>
      </w:r>
    </w:p>
    <w:p w14:paraId="11B1FC0E" w14:textId="77777777" w:rsidR="003E0B1E" w:rsidRPr="00F65F63" w:rsidRDefault="003E0B1E" w:rsidP="003E0B1E">
      <w:pPr>
        <w:pStyle w:val="BodyText"/>
        <w:rPr>
          <w:color w:val="000000"/>
        </w:rPr>
      </w:pPr>
      <w:r w:rsidRPr="00F65F63">
        <w:rPr>
          <w:color w:val="000000"/>
        </w:rPr>
        <w:t>PIE witnesses Hardgrove and Schaffer agree that the Utility provided no water quality testing in the proposed service territory demonstrating elevated poll</w:t>
      </w:r>
      <w:r w:rsidR="00D83121">
        <w:rPr>
          <w:color w:val="000000"/>
        </w:rPr>
        <w:t>u</w:t>
      </w:r>
      <w:r w:rsidRPr="00F65F63">
        <w:rPr>
          <w:color w:val="000000"/>
        </w:rPr>
        <w:t xml:space="preserve">tion, or that there is a public health issue. (TR 158, 184) In deposition, County deponent Rudy stated that </w:t>
      </w:r>
      <w:r w:rsidR="00902AF2">
        <w:rPr>
          <w:color w:val="000000"/>
        </w:rPr>
        <w:t xml:space="preserve">the County was </w:t>
      </w:r>
      <w:r w:rsidRPr="00F65F63">
        <w:rPr>
          <w:color w:val="000000"/>
        </w:rPr>
        <w:t>unaware of any water quality testing in the proposed service area and there was no evidence of a health problem to justify sewer infrastructure. (EXH 42 BSP 1023) Regarding contribution to red tide, PIE witness Weisberg testified that there is no evidence that septic tanks located in the proposed service territory contribute to red tide or reduced water quality, and the residents of bridgeless barrier islands are better off with septic tanks than they would be with central sewer. (TR 198; TR 206; EXH 12 BSP 760)</w:t>
      </w:r>
    </w:p>
    <w:p w14:paraId="741F5C4E" w14:textId="104D5BF3" w:rsidR="003E0B1E" w:rsidRDefault="003E0B1E" w:rsidP="00341B64">
      <w:pPr>
        <w:pStyle w:val="BodyText"/>
        <w:rPr>
          <w:color w:val="000000"/>
        </w:rPr>
      </w:pPr>
      <w:r w:rsidRPr="00F65F63">
        <w:rPr>
          <w:color w:val="000000"/>
        </w:rPr>
        <w:t>EU witness Boyer testified that the need for sewer expansion into the proposed service territory is based in part on an environmental need identified by the County and enacted through the Sewer Plan. (TR 42, 52; EXH 2 BSP 30) EU states in its application that the Sewer Plan recommends the conversion of all areas within a certain environmental impact score range be converted from septic to sewer within five years, including the proposed service territory.</w:t>
      </w:r>
      <w:r w:rsidRPr="00F65F63">
        <w:rPr>
          <w:rStyle w:val="FootnoteReference"/>
          <w:color w:val="000000"/>
        </w:rPr>
        <w:footnoteReference w:id="7"/>
      </w:r>
      <w:r w:rsidRPr="00F65F63">
        <w:rPr>
          <w:color w:val="000000"/>
        </w:rPr>
        <w:t xml:space="preserve"> (EXH 2 BSP 26</w:t>
      </w:r>
      <w:r w:rsidRPr="000B507F">
        <w:rPr>
          <w:color w:val="000000"/>
        </w:rPr>
        <w:t xml:space="preserve">) However, </w:t>
      </w:r>
      <w:r w:rsidR="00902AF2">
        <w:rPr>
          <w:color w:val="000000"/>
        </w:rPr>
        <w:t xml:space="preserve">based upon </w:t>
      </w:r>
      <w:r w:rsidRPr="000B507F">
        <w:rPr>
          <w:color w:val="000000"/>
        </w:rPr>
        <w:t>staff’s review</w:t>
      </w:r>
      <w:r w:rsidR="00902AF2">
        <w:rPr>
          <w:color w:val="000000"/>
        </w:rPr>
        <w:t>,</w:t>
      </w:r>
      <w:r w:rsidRPr="000B507F">
        <w:rPr>
          <w:color w:val="000000"/>
        </w:rPr>
        <w:t xml:space="preserve"> the Sewer Plan does not require conversion of all similar scored areas within five years.</w:t>
      </w:r>
      <w:r w:rsidRPr="000B507F">
        <w:rPr>
          <w:rStyle w:val="FootnoteReference"/>
          <w:color w:val="000000"/>
        </w:rPr>
        <w:footnoteReference w:id="8"/>
      </w:r>
      <w:r w:rsidRPr="000B507F">
        <w:rPr>
          <w:color w:val="000000"/>
        </w:rPr>
        <w:t xml:space="preserve"> (EXH 44 BSP 2951-2952) Furthermore, while witness Boyer characterizes the Sewer Plan as a recommendation, it appears to staff to instead be an acknowledgement of potential connections in the proposed service territory.</w:t>
      </w:r>
      <w:r w:rsidRPr="00F65F63">
        <w:rPr>
          <w:color w:val="000000"/>
        </w:rPr>
        <w:t xml:space="preserve"> As PIE witness Hardgrove attests, the Sewer Plan only included conversion of two existing private wastewater treatment plants, not conversion of septic tanks to central sewer. (EXH 8 BSP 184) </w:t>
      </w:r>
      <w:r w:rsidR="00902AF2">
        <w:rPr>
          <w:color w:val="000000"/>
        </w:rPr>
        <w:t>T</w:t>
      </w:r>
      <w:r w:rsidRPr="00F65F63">
        <w:rPr>
          <w:color w:val="000000"/>
        </w:rPr>
        <w:t xml:space="preserve">he Sewer Plan prioritizes connection to private utilities based on the desire of the </w:t>
      </w:r>
      <w:r w:rsidR="007279EC">
        <w:rPr>
          <w:color w:val="000000"/>
        </w:rPr>
        <w:t>u</w:t>
      </w:r>
      <w:r w:rsidRPr="00F65F63">
        <w:rPr>
          <w:color w:val="000000"/>
        </w:rPr>
        <w:t>tility owner and the County Utility Department to connect and not necessarily any environmental characteristics. (EXH 44 BSP 2933)</w:t>
      </w:r>
    </w:p>
    <w:p w14:paraId="72251784" w14:textId="77777777" w:rsidR="00341B64" w:rsidRPr="00A4666F" w:rsidRDefault="00341B64" w:rsidP="00341B64">
      <w:pPr>
        <w:pStyle w:val="BodyText"/>
        <w:rPr>
          <w:color w:val="000000"/>
        </w:rPr>
      </w:pPr>
      <w:r w:rsidRPr="00A4666F">
        <w:rPr>
          <w:color w:val="000000"/>
        </w:rPr>
        <w:t>On rebuttal, EU witness Boyer testified to personal observations of failing septic tanks including the smell of waste, pipes disconnected from the drain field resulting in waste on the ground</w:t>
      </w:r>
      <w:r w:rsidR="00695495" w:rsidRPr="00A4666F">
        <w:rPr>
          <w:color w:val="000000"/>
        </w:rPr>
        <w:t xml:space="preserve">, and </w:t>
      </w:r>
      <w:r w:rsidR="00064A4F" w:rsidRPr="00A4666F">
        <w:rPr>
          <w:color w:val="000000"/>
        </w:rPr>
        <w:t>t</w:t>
      </w:r>
      <w:r w:rsidR="00695495" w:rsidRPr="00A4666F">
        <w:rPr>
          <w:color w:val="000000"/>
        </w:rPr>
        <w:t>hat many of the existing septic tanks are under water during high tide</w:t>
      </w:r>
      <w:r w:rsidRPr="00A4666F">
        <w:rPr>
          <w:color w:val="000000"/>
        </w:rPr>
        <w:t>. (TR 249-250) In cross</w:t>
      </w:r>
      <w:r w:rsidR="00064A4F" w:rsidRPr="00A4666F">
        <w:rPr>
          <w:color w:val="000000"/>
        </w:rPr>
        <w:t>-</w:t>
      </w:r>
      <w:r w:rsidRPr="00A4666F">
        <w:rPr>
          <w:color w:val="000000"/>
        </w:rPr>
        <w:t>examination, witness Boyer stated that he has not provided photos or evidence to support his observations, and stated that he has not reported any of his observations to state or county environment</w:t>
      </w:r>
      <w:r w:rsidR="00406CEB">
        <w:rPr>
          <w:color w:val="000000"/>
        </w:rPr>
        <w:t>al regulators. (TR 253, TR 256)</w:t>
      </w:r>
    </w:p>
    <w:p w14:paraId="14041479" w14:textId="77777777" w:rsidR="008770E6" w:rsidRDefault="00122454" w:rsidP="00036432">
      <w:pPr>
        <w:pStyle w:val="BodyText"/>
      </w:pPr>
      <w:r>
        <w:rPr>
          <w:color w:val="000000"/>
        </w:rPr>
        <w:t>N</w:t>
      </w:r>
      <w:r w:rsidRPr="00122454">
        <w:rPr>
          <w:color w:val="000000"/>
        </w:rPr>
        <w:t>o evidence was presented to demonstrate that any state or local environmental regulator has mandated the installation of central sewer wastewater service in the proposed service territory at this time or identified any immediate health concerns.</w:t>
      </w:r>
      <w:r w:rsidR="008770E6" w:rsidRPr="00A4666F">
        <w:rPr>
          <w:color w:val="000000"/>
        </w:rPr>
        <w:t xml:space="preserve"> Therefore, staff recommends that EU</w:t>
      </w:r>
      <w:r>
        <w:rPr>
          <w:color w:val="000000"/>
        </w:rPr>
        <w:t xml:space="preserve"> has not </w:t>
      </w:r>
      <w:r>
        <w:t xml:space="preserve">demonstrated </w:t>
      </w:r>
      <w:r w:rsidR="008770E6" w:rsidRPr="00A4666F">
        <w:t>a need for service in the proposed service territory</w:t>
      </w:r>
      <w:r w:rsidRPr="00122454">
        <w:rPr>
          <w:color w:val="000000"/>
        </w:rPr>
        <w:t xml:space="preserve"> </w:t>
      </w:r>
      <w:r w:rsidRPr="005A0FB4">
        <w:rPr>
          <w:color w:val="000000"/>
        </w:rPr>
        <w:t>based on compliance with environmental or health requirements.</w:t>
      </w:r>
    </w:p>
    <w:p w14:paraId="7B92209F" w14:textId="77777777" w:rsidR="00FC4139" w:rsidRPr="00FC4139" w:rsidRDefault="00FC4139" w:rsidP="00FC4139">
      <w:pPr>
        <w:pStyle w:val="BodyText"/>
        <w:spacing w:after="0"/>
        <w:ind w:firstLine="720"/>
        <w:rPr>
          <w:rFonts w:ascii="Arial" w:hAnsi="Arial" w:cs="Arial"/>
          <w:b/>
          <w:i/>
        </w:rPr>
      </w:pPr>
      <w:r w:rsidRPr="00FC4139">
        <w:rPr>
          <w:rFonts w:ascii="Arial" w:hAnsi="Arial" w:cs="Arial"/>
          <w:b/>
          <w:i/>
        </w:rPr>
        <w:t>Review of Local Comprehensive Plan</w:t>
      </w:r>
    </w:p>
    <w:p w14:paraId="626A806D" w14:textId="0A5EAA6B" w:rsidR="007B44A9" w:rsidRPr="007B44A9" w:rsidRDefault="007B44A9" w:rsidP="007B44A9">
      <w:pPr>
        <w:spacing w:after="240"/>
        <w:jc w:val="both"/>
        <w:rPr>
          <w:color w:val="000000"/>
        </w:rPr>
      </w:pPr>
      <w:r w:rsidRPr="007B44A9">
        <w:t>Section 367.045(5)(b), F.S., provides that, if an objection is made to the issuance of a certificate on the basis of inconsistency with the local comprehensive plan, the Commission shall consider, but is not bound by, the local comprehensive plan of the county or municipality.</w:t>
      </w:r>
      <w:r w:rsidRPr="007B44A9">
        <w:rPr>
          <w:color w:val="000000"/>
          <w:vertAlign w:val="superscript"/>
        </w:rPr>
        <w:footnoteReference w:id="9"/>
      </w:r>
      <w:r w:rsidRPr="007B44A9">
        <w:t xml:space="preserve"> </w:t>
      </w:r>
      <w:r w:rsidRPr="007B44A9">
        <w:rPr>
          <w:color w:val="000000"/>
        </w:rPr>
        <w:t>A separate issue was</w:t>
      </w:r>
      <w:r>
        <w:rPr>
          <w:color w:val="000000"/>
        </w:rPr>
        <w:t xml:space="preserve"> not</w:t>
      </w:r>
      <w:r w:rsidRPr="007B44A9">
        <w:rPr>
          <w:color w:val="000000"/>
        </w:rPr>
        <w:t xml:space="preserve"> identified specifically addressing the Charlotte County Comp Plan; however, pursuant to the requirements of the statute, staff recommends that consideration of the Charlotte County Comp plan is appropriate, and the parties address the consistency of EU’s proposal with the Charlotte County Comp Plan in this </w:t>
      </w:r>
      <w:r>
        <w:rPr>
          <w:color w:val="000000"/>
        </w:rPr>
        <w:t>I</w:t>
      </w:r>
      <w:r w:rsidRPr="007B44A9">
        <w:rPr>
          <w:color w:val="000000"/>
        </w:rPr>
        <w:t>ssue.</w:t>
      </w:r>
    </w:p>
    <w:p w14:paraId="2ACDB7FB" w14:textId="54981BE0" w:rsidR="007B44A9" w:rsidRPr="007B44A9" w:rsidRDefault="007B44A9" w:rsidP="007B44A9">
      <w:pPr>
        <w:spacing w:after="240"/>
        <w:jc w:val="both"/>
        <w:rPr>
          <w:color w:val="000000"/>
        </w:rPr>
      </w:pPr>
      <w:r w:rsidRPr="007B44A9">
        <w:rPr>
          <w:color w:val="000000"/>
        </w:rPr>
        <w:t xml:space="preserve">EU witness Boyer’s testimony repeatedly relied upon the County’s approval of the Bulk Agreement </w:t>
      </w:r>
      <w:r w:rsidR="00ED4B0F">
        <w:rPr>
          <w:color w:val="000000"/>
        </w:rPr>
        <w:t xml:space="preserve">or inferring that </w:t>
      </w:r>
      <w:r w:rsidRPr="007B44A9">
        <w:rPr>
          <w:color w:val="000000"/>
        </w:rPr>
        <w:t xml:space="preserve">the County’s position that the proposed central sewer system was consistent with the Comp Plan. (TR 40, 53-54, 65-66) </w:t>
      </w:r>
      <w:r w:rsidRPr="007B44A9">
        <w:t xml:space="preserve">Witness Boyer stated that since the County has entered into the Bulk Sewer Treatment Agreement with EU then the County recognizes the need for service in the proposed territory. (TR 77) </w:t>
      </w:r>
      <w:r w:rsidRPr="007B44A9">
        <w:rPr>
          <w:color w:val="000000"/>
        </w:rPr>
        <w:t>However, PIE witness Hardgrove testified that the proposed central sewer system was contrary to the Comp Plan because it is located within the bridgeless Barrier Island Overlay District and the Rural Service Area, which both prohibit expansion of central sewer infrastructure through numerous policies in the Comp Plan. (TR 169-171) Witness Hardgrove further asserted that while the Bulk Agreement may have received approval by the County Commission, there was no discussion of consistency with the Comp Plan. (TR 187) While LC witness Cotherman also argues that EU’s proposal is inconsistent and not allowed under the Comp Plan, they did not outline any policies that demonstrate this. (TR 228-229, 232)</w:t>
      </w:r>
    </w:p>
    <w:p w14:paraId="3117DE9E" w14:textId="3F1915B2" w:rsidR="007B44A9" w:rsidRPr="007B44A9" w:rsidRDefault="007B44A9" w:rsidP="007B44A9">
      <w:pPr>
        <w:spacing w:after="240"/>
        <w:jc w:val="both"/>
        <w:rPr>
          <w:color w:val="000000"/>
        </w:rPr>
      </w:pPr>
      <w:r w:rsidRPr="007B44A9">
        <w:rPr>
          <w:color w:val="000000"/>
        </w:rPr>
        <w:t>The Comp Plan designates the proposed service territory as part of the Barrier Island Overlay District and the Rural Service Area, which have separate zoning requirements. (EXH 43) While PIE witness Hardgrove references Coastal Element CST 3.2.7 as prohibiting infrastructure in the proposed service territory by the County or other developers, staff notes the referenced policy</w:t>
      </w:r>
      <w:r>
        <w:rPr>
          <w:color w:val="000000"/>
        </w:rPr>
        <w:t>,</w:t>
      </w:r>
      <w:r w:rsidRPr="007B44A9">
        <w:rPr>
          <w:color w:val="000000"/>
        </w:rPr>
        <w:t xml:space="preserve"> CST 3.2.7</w:t>
      </w:r>
      <w:r>
        <w:rPr>
          <w:color w:val="000000"/>
        </w:rPr>
        <w:t>,</w:t>
      </w:r>
      <w:r w:rsidRPr="007B44A9">
        <w:rPr>
          <w:color w:val="000000"/>
        </w:rPr>
        <w:t xml:space="preserve"> applies to offshore islands and not the proposed service territory. (EXH 8 BSP 200; EXH 43 BSP 1286) However, in FLU Appendix I for the Barrier Island Overlay District, the Comp Plan states it is not the County’s intent to expand wastewater service to the bridgeless barrier islands, and they shall not expand the scope of central sewer service to them. (EXH 43 BSP 1446) Witness Boyer argues that the Comp Plan limitations on expanding infrastructure only applies to the County, not private utilities such as EU. (TR 46). Staff agrees with witness Boyer that the Barrier Island Overlay District language appears to restrict County development, not a private utility regulated by the Commission.</w:t>
      </w:r>
    </w:p>
    <w:p w14:paraId="7BC42358" w14:textId="52E2F39D" w:rsidR="007B44A9" w:rsidRPr="007B44A9" w:rsidRDefault="007B44A9" w:rsidP="007B44A9">
      <w:pPr>
        <w:spacing w:after="240"/>
        <w:jc w:val="both"/>
        <w:rPr>
          <w:color w:val="000000"/>
        </w:rPr>
      </w:pPr>
      <w:r w:rsidRPr="007B44A9">
        <w:rPr>
          <w:color w:val="000000"/>
        </w:rPr>
        <w:t xml:space="preserve">However, the Rural Service Area designation has multiple elements that explicitly reference Commission regulated utilities and does not appear to support the construction of central sewer systems. </w:t>
      </w:r>
      <w:r w:rsidR="00B41CBE">
        <w:t xml:space="preserve">WSW </w:t>
      </w:r>
      <w:r w:rsidR="002B77EA" w:rsidRPr="00082140">
        <w:rPr>
          <w:color w:val="000000"/>
        </w:rPr>
        <w:t>Policy 3.2.4</w:t>
      </w:r>
      <w:r w:rsidRPr="007B44A9">
        <w:rPr>
          <w:color w:val="000000"/>
        </w:rPr>
        <w:t xml:space="preserve"> states “The County shall discourage expansion of service areas of utility companies regulated by the [Commission] to any areas outside of the Urban Service area</w:t>
      </w:r>
      <w:r w:rsidR="008D4429">
        <w:rPr>
          <w:color w:val="000000"/>
        </w:rPr>
        <w:t xml:space="preserve"> . . .</w:t>
      </w:r>
      <w:r w:rsidRPr="007B44A9">
        <w:rPr>
          <w:color w:val="000000"/>
        </w:rPr>
        <w:t>” (EXH 43 BSP 2314) PIE witness Hardgrove highlights FLU Policy 3.2.4 which states that the Rural Service Area shall “continue to rely primarily upon individual on-site septic systems as the method of disposal of wastewater.” (EXH 8 BSP 180; EXH 43 BSP 1379) The same policy further bans new developments in the Rural Service Area from being constructed with central sewer systems, but does allow an exemption if it is “clearly and convincingly demonstrated by the proponents of the system expansion that a health problem exists in a built but unserved area for which there is no other feasible solution.” (EXH 43 BSP 1379) The term used in FLU Policy 3.2.4 includes private utilities “granted a certificate to serve a delineated area by the [Commission]” as well as those approved by the County. (EXH 43 BSP 1478) In discovery EU stated that the Master Sewer Plan constitutes evidence of a public health problem. (EXH 40) However, the Sewer Plan does not address a public health issue in the service territory, and instead only recognizes the expectation of two private utilities connecting to the County’s system. (EXH 44) Staff agrees with witness Hardgrove that these policies appear to be inconsistent with the proposed utility.</w:t>
      </w:r>
    </w:p>
    <w:p w14:paraId="2E8CDFE8" w14:textId="77777777" w:rsidR="007B44A9" w:rsidRPr="007B44A9" w:rsidRDefault="007B44A9" w:rsidP="007B44A9">
      <w:pPr>
        <w:spacing w:after="240"/>
        <w:jc w:val="both"/>
      </w:pPr>
      <w:r w:rsidRPr="007B44A9">
        <w:rPr>
          <w:color w:val="000000"/>
        </w:rPr>
        <w:t>In deposition, County deponent Rudy stated that the County believed EU’s application to be consistent with the Comp Plan. (EXH 42 BSP 1067) Although he appeared on behalf of the County in this matter, deponent Rudy’s testimony does not resolve with specificity any of the disagreements presented by the parties regarding the Comp Plan.</w:t>
      </w:r>
      <w:r w:rsidRPr="007B44A9">
        <w:t xml:space="preserve"> </w:t>
      </w:r>
      <w:r w:rsidRPr="007B44A9">
        <w:rPr>
          <w:color w:val="000000"/>
        </w:rPr>
        <w:t xml:space="preserve">No County representatives were present at the hearing to opine on any contradictory interpretations of the Comp Plan. </w:t>
      </w:r>
    </w:p>
    <w:p w14:paraId="6D768159" w14:textId="3514C9FC" w:rsidR="007B44A9" w:rsidRPr="007B44A9" w:rsidRDefault="007B44A9" w:rsidP="008D4429">
      <w:pPr>
        <w:jc w:val="both"/>
      </w:pPr>
      <w:r w:rsidRPr="007B44A9">
        <w:rPr>
          <w:color w:val="000000"/>
        </w:rPr>
        <w:t xml:space="preserve">The Commission is only required to consider the Comp Plan and is not bound by it; as such, the Commission is </w:t>
      </w:r>
      <w:r w:rsidRPr="007B44A9">
        <w:t>granted discretion in deciding whether</w:t>
      </w:r>
      <w:r w:rsidRPr="007B44A9">
        <w:rPr>
          <w:color w:val="000000"/>
        </w:rPr>
        <w:t xml:space="preserve"> </w:t>
      </w:r>
      <w:r w:rsidR="005A274E">
        <w:rPr>
          <w:color w:val="000000"/>
        </w:rPr>
        <w:t xml:space="preserve">to defer </w:t>
      </w:r>
      <w:r w:rsidRPr="007B44A9">
        <w:rPr>
          <w:color w:val="000000"/>
        </w:rPr>
        <w:t xml:space="preserve">the Comp Plan. </w:t>
      </w:r>
      <w:r w:rsidRPr="007B44A9">
        <w:t>Based on the land designation and policies contained within the Comp Plan, staff believes EU’s application may be inconsistent with the Charlotte County’s local comprehensive plan. While the Commission is not bound by the local comprehensive plan, the Commission may find that inconsistency with the Comp Plan supports staff’s recommendation in Issue 9 the granting EU’s application is not in the public interest.</w:t>
      </w:r>
    </w:p>
    <w:p w14:paraId="33AEBC31" w14:textId="067C820D" w:rsidR="00FB6393" w:rsidRPr="00FB6393" w:rsidRDefault="00FB6393" w:rsidP="008D4429">
      <w:pPr>
        <w:jc w:val="both"/>
        <w:rPr>
          <w:color w:val="000000"/>
        </w:rPr>
      </w:pPr>
    </w:p>
    <w:p w14:paraId="517671A7" w14:textId="77777777" w:rsidR="0095668F" w:rsidRDefault="0095668F" w:rsidP="008D4429">
      <w:pPr>
        <w:pStyle w:val="BodyText"/>
        <w:spacing w:after="0"/>
        <w:jc w:val="center"/>
        <w:rPr>
          <w:rFonts w:ascii="Arial" w:hAnsi="Arial" w:cs="Arial"/>
          <w:b/>
        </w:rPr>
      </w:pPr>
      <w:r>
        <w:rPr>
          <w:rFonts w:ascii="Arial" w:hAnsi="Arial" w:cs="Arial"/>
          <w:b/>
        </w:rPr>
        <w:t>CONCLUSION</w:t>
      </w:r>
    </w:p>
    <w:p w14:paraId="47F2E2F1" w14:textId="77777777" w:rsidR="00FB6393" w:rsidRDefault="00FB6393" w:rsidP="00FB6393">
      <w:pPr>
        <w:pStyle w:val="BodyText"/>
        <w:spacing w:after="0"/>
        <w:jc w:val="center"/>
        <w:rPr>
          <w:rFonts w:ascii="Arial" w:hAnsi="Arial" w:cs="Arial"/>
          <w:b/>
        </w:rPr>
      </w:pPr>
    </w:p>
    <w:p w14:paraId="3E6BCDE8" w14:textId="55967473" w:rsidR="006B64EC" w:rsidRPr="006B64EC" w:rsidRDefault="006B64EC" w:rsidP="006B64EC">
      <w:pPr>
        <w:spacing w:after="240"/>
        <w:jc w:val="both"/>
        <w:outlineLvl w:val="0"/>
      </w:pPr>
      <w:r w:rsidRPr="006B64EC">
        <w:t xml:space="preserve">The evidence in this docket does not contain any requests for service from existing property owners or potential developers. In addition, no evidence was presented to demonstrate that any state or local environmental regulator has mandated the installation of central sewer wastewater service in the proposed service territory at this time or identified any immediate health concerns. Based on the record, and especially noting the level of opposition to EU’s proposal by its prospective customers, staff believes that customers are highly unlikely to voluntarily connect to EU’s system. Therefore, staff recommends that EU has not demonstrated that there is a need for service in the proposed service territory. Further, staff recommends that EU’s </w:t>
      </w:r>
      <w:r w:rsidR="00F15DB7">
        <w:t>application may be</w:t>
      </w:r>
      <w:r w:rsidRPr="006B64EC">
        <w:t xml:space="preserve"> </w:t>
      </w:r>
      <w:r w:rsidRPr="004D03A4">
        <w:t>inconsistent</w:t>
      </w:r>
      <w:r w:rsidRPr="006B64EC">
        <w:t xml:space="preserve"> with the Charlotte County Comp Plan.</w:t>
      </w:r>
    </w:p>
    <w:p w14:paraId="2E1FAF5D" w14:textId="77777777" w:rsidR="006E3F46" w:rsidRDefault="006E3F46">
      <w:pPr>
        <w:pStyle w:val="IssueHeading"/>
        <w:rPr>
          <w:vanish/>
          <w:specVanish/>
        </w:rPr>
      </w:pPr>
      <w:r w:rsidRPr="004C3641">
        <w:rPr>
          <w:b w:val="0"/>
          <w:i w:val="0"/>
        </w:rPr>
        <w:br w:type="page"/>
      </w:r>
      <w:r w:rsidRPr="004C3641">
        <w:t xml:space="preserve">Issue </w:t>
      </w:r>
      <w:fldSimple w:instr=" SEQ Issue \* MERGEFORMAT ">
        <w:r w:rsidR="0028227E">
          <w:rPr>
            <w:noProof/>
          </w:rPr>
          <w:t>3</w:t>
        </w:r>
      </w:fldSimple>
      <w:r w:rsidRPr="004C3641">
        <w:t>:</w:t>
      </w:r>
      <w:r>
        <w:fldChar w:fldCharType="begin"/>
      </w:r>
      <w:r>
        <w:instrText xml:space="preserve"> TC "</w:instrText>
      </w:r>
      <w:bookmarkStart w:id="16" w:name="_Toc104278773"/>
      <w:r w:rsidR="00E07FD5">
        <w:instrText xml:space="preserve">Issue </w:instrText>
      </w:r>
      <w:r>
        <w:fldChar w:fldCharType="begin"/>
      </w:r>
      <w:r>
        <w:instrText xml:space="preserve"> SEQ issue \c </w:instrText>
      </w:r>
      <w:r>
        <w:fldChar w:fldCharType="separate"/>
      </w:r>
      <w:r w:rsidR="0028227E">
        <w:rPr>
          <w:noProof/>
        </w:rPr>
        <w:instrText>3</w:instrText>
      </w:r>
      <w:r>
        <w:fldChar w:fldCharType="end"/>
      </w:r>
      <w:r w:rsidR="00E07FD5">
        <w:instrText xml:space="preserve"> </w:instrText>
      </w:r>
      <w:r w:rsidR="00D866AF">
        <w:instrText>–</w:instrText>
      </w:r>
      <w:r w:rsidR="00E07FD5">
        <w:instrText xml:space="preserve"> </w:instrText>
      </w:r>
      <w:r w:rsidR="00D866AF">
        <w:instrText xml:space="preserve">Charlotte </w:instrText>
      </w:r>
      <w:r w:rsidR="00E07FD5">
        <w:instrText>County</w:instrText>
      </w:r>
      <w:r w:rsidR="00075332">
        <w:instrText>’s</w:instrText>
      </w:r>
      <w:r w:rsidR="00E07FD5">
        <w:instrText xml:space="preserve"> </w:instrText>
      </w:r>
      <w:r w:rsidR="00075332">
        <w:instrText>Sewer Master Plan</w:instrText>
      </w:r>
      <w:bookmarkEnd w:id="16"/>
      <w:r>
        <w:tab/>
        <w:instrText xml:space="preserve">" \l 1 </w:instrText>
      </w:r>
      <w:r>
        <w:fldChar w:fldCharType="end"/>
      </w:r>
      <w:r>
        <w:t> </w:t>
      </w:r>
    </w:p>
    <w:p w14:paraId="1097428D" w14:textId="77777777" w:rsidR="006E3F46" w:rsidRDefault="006E3F46">
      <w:pPr>
        <w:pStyle w:val="BodyText"/>
      </w:pPr>
      <w:r>
        <w:t> </w:t>
      </w:r>
      <w:r w:rsidR="00BB75C9" w:rsidRPr="00DA500F">
        <w:t>Is Environmental Utilities’ application consistent with Charlotte County’s Sewer Master Plan?</w:t>
      </w:r>
    </w:p>
    <w:p w14:paraId="15E0E4CE" w14:textId="77777777" w:rsidR="006E3F46" w:rsidRPr="004C3641" w:rsidRDefault="006E3F46">
      <w:pPr>
        <w:pStyle w:val="IssueSubsectionHeading"/>
        <w:rPr>
          <w:vanish/>
          <w:specVanish/>
        </w:rPr>
      </w:pPr>
      <w:r w:rsidRPr="004C3641">
        <w:t>Recommendation: </w:t>
      </w:r>
    </w:p>
    <w:p w14:paraId="6FB6748C" w14:textId="17E78679" w:rsidR="00BB75C9" w:rsidRDefault="006E3F46" w:rsidP="00DE4013">
      <w:pPr>
        <w:pStyle w:val="BodyText"/>
      </w:pPr>
      <w:r>
        <w:t> </w:t>
      </w:r>
      <w:r w:rsidR="00925FFF" w:rsidRPr="00EE3964">
        <w:t>EU’s application</w:t>
      </w:r>
      <w:r w:rsidR="00892CC7" w:rsidRPr="00EE3964">
        <w:t xml:space="preserve"> </w:t>
      </w:r>
      <w:r w:rsidR="001608C1" w:rsidRPr="00EE3964">
        <w:t>does not appear</w:t>
      </w:r>
      <w:r w:rsidR="00892CC7" w:rsidRPr="00EE3964">
        <w:t xml:space="preserve"> to be</w:t>
      </w:r>
      <w:r w:rsidR="00704CF8" w:rsidRPr="00EE3964">
        <w:t xml:space="preserve"> </w:t>
      </w:r>
      <w:r w:rsidR="00EE3964">
        <w:t>consistent</w:t>
      </w:r>
      <w:r w:rsidR="00925FFF" w:rsidRPr="00EE3964">
        <w:t xml:space="preserve"> with Charlotte County’s Sewer Master Plan.</w:t>
      </w:r>
      <w:r w:rsidR="00925FFF">
        <w:t xml:space="preserve"> </w:t>
      </w:r>
      <w:r w:rsidR="00DE4013">
        <w:t>(Phillips)</w:t>
      </w:r>
      <w:r w:rsidR="00D94F79">
        <w:t xml:space="preserve"> </w:t>
      </w:r>
    </w:p>
    <w:p w14:paraId="45A2042A" w14:textId="77777777" w:rsidR="00BB75C9" w:rsidRDefault="00BB75C9" w:rsidP="00BB75C9">
      <w:pPr>
        <w:pStyle w:val="BodyText"/>
        <w:spacing w:after="0"/>
        <w:rPr>
          <w:rFonts w:ascii="Arial" w:hAnsi="Arial" w:cs="Arial"/>
          <w:b/>
        </w:rPr>
      </w:pPr>
      <w:r w:rsidRPr="006E3F46">
        <w:rPr>
          <w:rFonts w:ascii="Arial" w:hAnsi="Arial" w:cs="Arial"/>
          <w:b/>
        </w:rPr>
        <w:t>Position of the Parties</w:t>
      </w:r>
    </w:p>
    <w:p w14:paraId="738688E9" w14:textId="77777777" w:rsidR="00BB75C9" w:rsidRDefault="00BB75C9" w:rsidP="00BB75C9">
      <w:pPr>
        <w:jc w:val="both"/>
        <w:rPr>
          <w:bCs/>
        </w:rPr>
      </w:pPr>
    </w:p>
    <w:p w14:paraId="0B3F41B1" w14:textId="77777777" w:rsidR="00CD3DE9" w:rsidRPr="00BB75C9" w:rsidRDefault="00CD3DE9" w:rsidP="00CD3DE9">
      <w:pPr>
        <w:jc w:val="both"/>
        <w:rPr>
          <w:b/>
          <w:bCs/>
        </w:rPr>
      </w:pPr>
      <w:r w:rsidRPr="00DE4013">
        <w:rPr>
          <w:rFonts w:ascii="Arial" w:hAnsi="Arial" w:cs="Arial"/>
          <w:b/>
          <w:bCs/>
        </w:rPr>
        <w:t>EU</w:t>
      </w:r>
      <w:r w:rsidRPr="00BB75C9">
        <w:rPr>
          <w:b/>
          <w:bCs/>
        </w:rPr>
        <w:t>:</w:t>
      </w:r>
      <w:r w:rsidR="00FC2233">
        <w:rPr>
          <w:b/>
          <w:bCs/>
        </w:rPr>
        <w:t xml:space="preserve"> </w:t>
      </w:r>
      <w:r w:rsidR="00FC2233" w:rsidRPr="00FC2233">
        <w:rPr>
          <w:bCs/>
        </w:rPr>
        <w:t>Yes.</w:t>
      </w:r>
    </w:p>
    <w:p w14:paraId="14C7DE46" w14:textId="77777777" w:rsidR="00CD3DE9" w:rsidRPr="00DA500F" w:rsidRDefault="00CD3DE9" w:rsidP="00CD3DE9">
      <w:pPr>
        <w:jc w:val="both"/>
        <w:rPr>
          <w:bCs/>
        </w:rPr>
      </w:pPr>
    </w:p>
    <w:p w14:paraId="52A6D508" w14:textId="77777777" w:rsidR="00DD5009" w:rsidRPr="00DD5009" w:rsidRDefault="00DD5009" w:rsidP="00DD5009">
      <w:pPr>
        <w:ind w:left="1440" w:hanging="1440"/>
        <w:jc w:val="both"/>
        <w:rPr>
          <w:bCs/>
        </w:rPr>
      </w:pPr>
      <w:r w:rsidRPr="00DE4013">
        <w:rPr>
          <w:rFonts w:ascii="Arial" w:hAnsi="Arial" w:cs="Arial"/>
          <w:b/>
          <w:bCs/>
        </w:rPr>
        <w:t>OPC</w:t>
      </w:r>
      <w:r w:rsidRPr="00BB75C9">
        <w:rPr>
          <w:b/>
          <w:bCs/>
        </w:rPr>
        <w:t>:</w:t>
      </w:r>
      <w:r>
        <w:rPr>
          <w:b/>
          <w:bCs/>
        </w:rPr>
        <w:t xml:space="preserve"> </w:t>
      </w:r>
      <w:r>
        <w:rPr>
          <w:bCs/>
        </w:rPr>
        <w:t>No position.</w:t>
      </w:r>
    </w:p>
    <w:p w14:paraId="6547772F" w14:textId="77777777" w:rsidR="00CD3DE9" w:rsidRPr="00DA500F" w:rsidRDefault="00CD3DE9" w:rsidP="00CD3DE9">
      <w:pPr>
        <w:jc w:val="both"/>
        <w:rPr>
          <w:bCs/>
        </w:rPr>
      </w:pPr>
    </w:p>
    <w:p w14:paraId="01B439C5" w14:textId="77777777" w:rsidR="00CD3DE9" w:rsidRPr="00E67C09" w:rsidRDefault="00CD3DE9" w:rsidP="00CD3DE9">
      <w:pPr>
        <w:jc w:val="both"/>
        <w:rPr>
          <w:bCs/>
        </w:rPr>
      </w:pPr>
      <w:r w:rsidRPr="00DE4013">
        <w:rPr>
          <w:rFonts w:ascii="Arial" w:hAnsi="Arial" w:cs="Arial"/>
          <w:b/>
          <w:bCs/>
        </w:rPr>
        <w:t>PIE</w:t>
      </w:r>
      <w:r w:rsidRPr="00BB75C9">
        <w:rPr>
          <w:b/>
          <w:bCs/>
        </w:rPr>
        <w:t>:</w:t>
      </w:r>
      <w:r w:rsidR="00E67C09">
        <w:rPr>
          <w:b/>
          <w:bCs/>
        </w:rPr>
        <w:t xml:space="preserve"> </w:t>
      </w:r>
      <w:r w:rsidR="00E67C09">
        <w:rPr>
          <w:color w:val="000000"/>
        </w:rPr>
        <w:t>No</w:t>
      </w:r>
      <w:r w:rsidR="00B24383">
        <w:rPr>
          <w:color w:val="000000"/>
        </w:rPr>
        <w:t>. T</w:t>
      </w:r>
      <w:r w:rsidR="00E67C09">
        <w:rPr>
          <w:color w:val="000000"/>
        </w:rPr>
        <w:t>he application is inconsistent with Charlotte County’s Sewer Master Plan.</w:t>
      </w:r>
    </w:p>
    <w:p w14:paraId="7A18D90F" w14:textId="77777777" w:rsidR="00CD3DE9" w:rsidRDefault="00CD3DE9" w:rsidP="00CD3DE9">
      <w:pPr>
        <w:jc w:val="both"/>
        <w:rPr>
          <w:bCs/>
        </w:rPr>
      </w:pPr>
    </w:p>
    <w:p w14:paraId="264C11E2" w14:textId="77777777" w:rsidR="00CD3DE9" w:rsidRPr="00E67C09" w:rsidRDefault="00CD3DE9" w:rsidP="00811E58">
      <w:pPr>
        <w:tabs>
          <w:tab w:val="left" w:pos="0"/>
        </w:tabs>
        <w:jc w:val="both"/>
        <w:rPr>
          <w:bCs/>
        </w:rPr>
      </w:pPr>
      <w:r w:rsidRPr="00DE4013">
        <w:rPr>
          <w:rFonts w:ascii="Arial" w:hAnsi="Arial" w:cs="Arial"/>
          <w:b/>
          <w:bCs/>
        </w:rPr>
        <w:t>LC</w:t>
      </w:r>
      <w:r w:rsidRPr="00CD3DE9">
        <w:rPr>
          <w:b/>
          <w:bCs/>
        </w:rPr>
        <w:t>:</w:t>
      </w:r>
      <w:r w:rsidR="00811E58">
        <w:rPr>
          <w:color w:val="000000" w:themeColor="text1"/>
        </w:rPr>
        <w:t xml:space="preserve"> </w:t>
      </w:r>
      <w:r w:rsidR="00811E58" w:rsidRPr="00542E0D">
        <w:rPr>
          <w:color w:val="000000" w:themeColor="text1"/>
        </w:rPr>
        <w:t>No.</w:t>
      </w:r>
      <w:r w:rsidR="00811E58">
        <w:rPr>
          <w:color w:val="000000" w:themeColor="text1"/>
        </w:rPr>
        <w:t xml:space="preserve"> </w:t>
      </w:r>
      <w:r w:rsidR="00811E58" w:rsidRPr="00542E0D">
        <w:rPr>
          <w:color w:val="000000" w:themeColor="text1"/>
        </w:rPr>
        <w:t>Environmental Utilities’ reliance on the Sewer Master Plan was an inadequate attempt to provide a substantive foundation for their need for service argument.</w:t>
      </w:r>
    </w:p>
    <w:p w14:paraId="4F56D834" w14:textId="77777777" w:rsidR="00781AAF" w:rsidRPr="005A2781" w:rsidRDefault="00781AAF" w:rsidP="005A2781"/>
    <w:p w14:paraId="51B11935" w14:textId="77777777" w:rsidR="003B57AB" w:rsidRPr="004C3641" w:rsidRDefault="003B57AB" w:rsidP="00781AAF">
      <w:pPr>
        <w:pStyle w:val="IssueSubsectionHeading"/>
        <w:spacing w:after="0"/>
        <w:rPr>
          <w:vanish/>
          <w:specVanish/>
        </w:rPr>
      </w:pPr>
      <w:r w:rsidRPr="004C3641">
        <w:t>Staff Analysis: </w:t>
      </w:r>
    </w:p>
    <w:p w14:paraId="1220E9B0" w14:textId="77777777" w:rsidR="003B57AB" w:rsidRDefault="003B57AB" w:rsidP="003B57AB">
      <w:pPr>
        <w:pStyle w:val="BodyText"/>
      </w:pPr>
      <w:r>
        <w:t> </w:t>
      </w:r>
    </w:p>
    <w:p w14:paraId="13B1B9D7" w14:textId="77777777" w:rsidR="0095668F" w:rsidRDefault="005833F0" w:rsidP="0095668F">
      <w:pPr>
        <w:pStyle w:val="BodyText"/>
        <w:spacing w:after="0"/>
        <w:jc w:val="center"/>
        <w:rPr>
          <w:rFonts w:ascii="Arial" w:hAnsi="Arial" w:cs="Arial"/>
          <w:b/>
        </w:rPr>
      </w:pPr>
      <w:r>
        <w:rPr>
          <w:rFonts w:ascii="Arial" w:hAnsi="Arial" w:cs="Arial"/>
          <w:b/>
        </w:rPr>
        <w:t>PARTIES’ ARGUMENTS</w:t>
      </w:r>
    </w:p>
    <w:p w14:paraId="243329B9" w14:textId="77777777" w:rsidR="00DE4013" w:rsidRPr="005A0FB4" w:rsidRDefault="00DE4013" w:rsidP="00FA418D">
      <w:pPr>
        <w:pStyle w:val="BodyText"/>
        <w:spacing w:after="0"/>
        <w:rPr>
          <w:rFonts w:ascii="Arial" w:hAnsi="Arial" w:cs="Arial"/>
          <w:b/>
        </w:rPr>
      </w:pPr>
      <w:r w:rsidRPr="005A0FB4">
        <w:rPr>
          <w:rFonts w:ascii="Arial" w:hAnsi="Arial" w:cs="Arial"/>
          <w:b/>
        </w:rPr>
        <w:t>EU</w:t>
      </w:r>
    </w:p>
    <w:p w14:paraId="59D47606" w14:textId="77777777" w:rsidR="00DE4013" w:rsidRPr="005A0FB4" w:rsidRDefault="00DE4013" w:rsidP="00FA418D">
      <w:pPr>
        <w:pStyle w:val="BodyText"/>
        <w:spacing w:after="0"/>
      </w:pPr>
      <w:r w:rsidRPr="005A0FB4">
        <w:t xml:space="preserve">EU </w:t>
      </w:r>
      <w:r w:rsidR="00B03C00" w:rsidRPr="005A0FB4">
        <w:t>state</w:t>
      </w:r>
      <w:r w:rsidR="005A0FB4" w:rsidRPr="005A0FB4">
        <w:t>d</w:t>
      </w:r>
      <w:r w:rsidRPr="005A0FB4">
        <w:t xml:space="preserve"> that the </w:t>
      </w:r>
      <w:r w:rsidR="00E52969" w:rsidRPr="005A0FB4">
        <w:t xml:space="preserve">Sewer Plan highlights issues with </w:t>
      </w:r>
      <w:r w:rsidRPr="005A0FB4">
        <w:t>septic systems</w:t>
      </w:r>
      <w:r w:rsidR="00E52969" w:rsidRPr="005A0FB4">
        <w:t xml:space="preserve"> contributing nutrients to the groundwater</w:t>
      </w:r>
      <w:r w:rsidR="00814CCF" w:rsidRPr="005A0FB4">
        <w:t xml:space="preserve">. Further, </w:t>
      </w:r>
      <w:r w:rsidR="00B03C00" w:rsidRPr="005A0FB4">
        <w:t xml:space="preserve">EU argued </w:t>
      </w:r>
      <w:r w:rsidR="00E52969" w:rsidRPr="005A0FB4">
        <w:t>PIE witnesses Suggs</w:t>
      </w:r>
      <w:r w:rsidR="000A1AC2" w:rsidRPr="005A0FB4">
        <w:t>’</w:t>
      </w:r>
      <w:r w:rsidR="00E52969" w:rsidRPr="005A0FB4">
        <w:t xml:space="preserve"> and Weisberg</w:t>
      </w:r>
      <w:r w:rsidR="000A1AC2" w:rsidRPr="005A0FB4">
        <w:t xml:space="preserve">’s </w:t>
      </w:r>
      <w:r w:rsidR="00093317" w:rsidRPr="005A0FB4">
        <w:t>testimonies support</w:t>
      </w:r>
      <w:r w:rsidR="00E52969" w:rsidRPr="005A0FB4">
        <w:t xml:space="preserve"> that the soil conditions would make septic systems ineffective at removing nutrients.</w:t>
      </w:r>
      <w:r w:rsidR="00E400FC" w:rsidRPr="005A0FB4">
        <w:t xml:space="preserve"> (EU BR 7)</w:t>
      </w:r>
      <w:r w:rsidR="00E52969" w:rsidRPr="005A0FB4">
        <w:t xml:space="preserve"> EU assert</w:t>
      </w:r>
      <w:r w:rsidR="005A0FB4" w:rsidRPr="005A0FB4">
        <w:t>ed</w:t>
      </w:r>
      <w:r w:rsidR="00E52969" w:rsidRPr="005A0FB4">
        <w:t xml:space="preserve"> that septic tank repairs are not occurring, and that regulatory limitations regarding older systems allow them to continue operation even when ineffective.</w:t>
      </w:r>
      <w:r w:rsidRPr="005A0FB4">
        <w:t xml:space="preserve"> </w:t>
      </w:r>
      <w:r w:rsidR="00E400FC" w:rsidRPr="005A0FB4">
        <w:t xml:space="preserve">(EU BR 7) </w:t>
      </w:r>
      <w:r w:rsidR="002631DC" w:rsidRPr="005A0FB4">
        <w:t>Further, EU state</w:t>
      </w:r>
      <w:r w:rsidR="005A0FB4" w:rsidRPr="005A0FB4">
        <w:t>d</w:t>
      </w:r>
      <w:r w:rsidRPr="005A0FB4">
        <w:t xml:space="preserve"> that the Sewer Plan scores the proposed service territory at an average impact level of</w:t>
      </w:r>
      <w:r w:rsidR="00915D5D" w:rsidRPr="005A0FB4">
        <w:t xml:space="preserve"> greater than</w:t>
      </w:r>
      <w:r w:rsidRPr="005A0FB4">
        <w:t xml:space="preserve"> </w:t>
      </w:r>
      <w:r w:rsidR="00C73756" w:rsidRPr="005A0FB4">
        <w:t>four</w:t>
      </w:r>
      <w:r w:rsidR="00915D5D" w:rsidRPr="005A0FB4">
        <w:t xml:space="preserve"> </w:t>
      </w:r>
      <w:r w:rsidR="00BF5C63" w:rsidRPr="005A0FB4">
        <w:t>out of five,</w:t>
      </w:r>
      <w:r w:rsidR="00915D5D" w:rsidRPr="005A0FB4" w:rsidDel="00915D5D">
        <w:t xml:space="preserve"> </w:t>
      </w:r>
      <w:r w:rsidR="00BF5C63" w:rsidRPr="005A0FB4">
        <w:t>wh</w:t>
      </w:r>
      <w:r w:rsidR="00555F13">
        <w:t>ich identifies</w:t>
      </w:r>
      <w:r w:rsidRPr="005A0FB4">
        <w:t xml:space="preserve"> it for septic to sewer conversion in </w:t>
      </w:r>
      <w:r w:rsidR="007948DD" w:rsidRPr="005A0FB4">
        <w:t>five</w:t>
      </w:r>
      <w:r w:rsidRPr="005A0FB4">
        <w:t xml:space="preserve"> years</w:t>
      </w:r>
      <w:r w:rsidR="00555F13">
        <w:t>. Also,</w:t>
      </w:r>
      <w:r w:rsidR="00E400FC" w:rsidRPr="005A0FB4">
        <w:t xml:space="preserve"> Charlotte County’s approval of the Bulk Agreement and deposition of the County’s witness support the consistency of the application with the Sewer Plan. (EU BR 7)</w:t>
      </w:r>
    </w:p>
    <w:p w14:paraId="46C09986" w14:textId="77777777" w:rsidR="00DE4013" w:rsidRPr="005A0FB4" w:rsidRDefault="00DE4013" w:rsidP="00FB0B17">
      <w:pPr>
        <w:pStyle w:val="BodyText"/>
        <w:spacing w:after="0"/>
      </w:pPr>
    </w:p>
    <w:p w14:paraId="65CE7F3F" w14:textId="77777777" w:rsidR="00DE4013" w:rsidRPr="005A0FB4" w:rsidRDefault="00DE4013" w:rsidP="00FB0B17">
      <w:pPr>
        <w:pStyle w:val="BodyText"/>
        <w:spacing w:after="0"/>
        <w:rPr>
          <w:rFonts w:ascii="Arial" w:hAnsi="Arial" w:cs="Arial"/>
          <w:b/>
        </w:rPr>
      </w:pPr>
      <w:r w:rsidRPr="005A0FB4">
        <w:rPr>
          <w:rFonts w:ascii="Arial" w:hAnsi="Arial" w:cs="Arial"/>
          <w:b/>
        </w:rPr>
        <w:t>PIE</w:t>
      </w:r>
    </w:p>
    <w:p w14:paraId="3DF47E5C" w14:textId="77777777" w:rsidR="00DE4013" w:rsidRPr="005A0FB4" w:rsidRDefault="00DE4013" w:rsidP="00FB0B17">
      <w:pPr>
        <w:pStyle w:val="BodyText"/>
        <w:spacing w:after="0"/>
      </w:pPr>
      <w:r w:rsidRPr="005A0FB4">
        <w:t>PIE a</w:t>
      </w:r>
      <w:r w:rsidR="00B03C00" w:rsidRPr="005A0FB4">
        <w:t>ssert</w:t>
      </w:r>
      <w:r w:rsidR="005A0FB4" w:rsidRPr="005A0FB4">
        <w:t>ed</w:t>
      </w:r>
      <w:r w:rsidRPr="005A0FB4">
        <w:t xml:space="preserve"> that EU’s application is inconsistent with the Comp Plan</w:t>
      </w:r>
      <w:r w:rsidR="00555F13">
        <w:t>;</w:t>
      </w:r>
      <w:r w:rsidRPr="005A0FB4">
        <w:t xml:space="preserve"> and therefore</w:t>
      </w:r>
      <w:r w:rsidR="00555F13">
        <w:t>,</w:t>
      </w:r>
      <w:r w:rsidRPr="005A0FB4">
        <w:t xml:space="preserve"> is also inconsistent with the Sewer Plan. (PIE BR 10) </w:t>
      </w:r>
      <w:r w:rsidR="00FB0B17" w:rsidRPr="005A0FB4">
        <w:t>PIE</w:t>
      </w:r>
      <w:r w:rsidR="00B03C00" w:rsidRPr="005A0FB4">
        <w:t xml:space="preserve"> emphasize</w:t>
      </w:r>
      <w:r w:rsidR="005A0FB4" w:rsidRPr="005A0FB4">
        <w:t>d</w:t>
      </w:r>
      <w:r w:rsidR="00FB0B17" w:rsidRPr="005A0FB4">
        <w:t xml:space="preserve"> that, as explained by witness Hardgrove, the projects listed in the Sewer Plan are the connection of two existing wastewater utilities using existing central sewer infrastructure, not the proposed project. (PIE BR 11) </w:t>
      </w:r>
      <w:r w:rsidRPr="005A0FB4">
        <w:t>PIE contend</w:t>
      </w:r>
      <w:r w:rsidR="005A0FB4" w:rsidRPr="005A0FB4">
        <w:t>ed</w:t>
      </w:r>
      <w:r w:rsidRPr="005A0FB4">
        <w:t xml:space="preserve"> that since FLU Policy 1.1.6 states that all county regulations are subordinate to the Comp Plan</w:t>
      </w:r>
      <w:r w:rsidR="00FB0B17" w:rsidRPr="005A0FB4">
        <w:t>,</w:t>
      </w:r>
      <w:r w:rsidRPr="005A0FB4">
        <w:t xml:space="preserve"> the application </w:t>
      </w:r>
      <w:r w:rsidR="00FB0B17" w:rsidRPr="005A0FB4">
        <w:t>is</w:t>
      </w:r>
      <w:r w:rsidRPr="005A0FB4">
        <w:t xml:space="preserve"> </w:t>
      </w:r>
      <w:r w:rsidR="00FB0B17" w:rsidRPr="005A0FB4">
        <w:t>in</w:t>
      </w:r>
      <w:r w:rsidRPr="005A0FB4">
        <w:t>consistent with the Comp Plan</w:t>
      </w:r>
      <w:r w:rsidR="00FB0B17" w:rsidRPr="005A0FB4">
        <w:t xml:space="preserve"> unless it is amended, and therefore</w:t>
      </w:r>
      <w:r w:rsidR="00332D52">
        <w:t>,</w:t>
      </w:r>
      <w:r w:rsidRPr="005A0FB4">
        <w:t xml:space="preserve"> </w:t>
      </w:r>
      <w:r w:rsidR="00FB0B17" w:rsidRPr="005A0FB4">
        <w:t>in</w:t>
      </w:r>
      <w:r w:rsidRPr="005A0FB4">
        <w:t>consistent with the Sewer Plan</w:t>
      </w:r>
      <w:r w:rsidR="00FB0B17" w:rsidRPr="005A0FB4">
        <w:t>, as infrastructure development is not allowed on the bridgeless barrier islands</w:t>
      </w:r>
      <w:r w:rsidRPr="005A0FB4">
        <w:t>. (PIE BR 11)</w:t>
      </w:r>
    </w:p>
    <w:p w14:paraId="30A8624C" w14:textId="11AAB02E" w:rsidR="006108AC" w:rsidRDefault="006108AC" w:rsidP="006C4AC9">
      <w:pPr>
        <w:pStyle w:val="BodyText"/>
        <w:spacing w:after="0"/>
      </w:pPr>
    </w:p>
    <w:p w14:paraId="5C359154" w14:textId="77777777" w:rsidR="006108AC" w:rsidRDefault="006108AC" w:rsidP="006C4AC9">
      <w:pPr>
        <w:pStyle w:val="BodyText"/>
        <w:spacing w:after="0"/>
        <w:sectPr w:rsidR="006108AC" w:rsidSect="006108AC">
          <w:headerReference w:type="default" r:id="rId12"/>
          <w:type w:val="continuous"/>
          <w:pgSz w:w="12240" w:h="15840" w:code="1"/>
          <w:pgMar w:top="1584" w:right="1440" w:bottom="1440" w:left="1440" w:header="720" w:footer="720" w:gutter="0"/>
          <w:cols w:space="720"/>
          <w:formProt w:val="0"/>
          <w:docGrid w:linePitch="360"/>
        </w:sectPr>
      </w:pPr>
    </w:p>
    <w:p w14:paraId="50C27D77" w14:textId="77777777" w:rsidR="00DE4013" w:rsidRPr="005A0FB4" w:rsidRDefault="00DE4013" w:rsidP="00B07A6B">
      <w:pPr>
        <w:pStyle w:val="BodyText"/>
        <w:spacing w:after="0"/>
        <w:rPr>
          <w:rFonts w:ascii="Arial" w:hAnsi="Arial" w:cs="Arial"/>
          <w:b/>
        </w:rPr>
      </w:pPr>
      <w:r w:rsidRPr="005A0FB4">
        <w:rPr>
          <w:rFonts w:ascii="Arial" w:hAnsi="Arial" w:cs="Arial"/>
          <w:b/>
        </w:rPr>
        <w:t>LC</w:t>
      </w:r>
    </w:p>
    <w:p w14:paraId="5054276E" w14:textId="4A9FDC3B" w:rsidR="007025A0" w:rsidRDefault="006C4AC9" w:rsidP="006C4AC9">
      <w:pPr>
        <w:pStyle w:val="BodyText"/>
      </w:pPr>
      <w:r w:rsidRPr="005A0FB4">
        <w:t>LC argue</w:t>
      </w:r>
      <w:r w:rsidR="005A0FB4" w:rsidRPr="005A0FB4">
        <w:t>d</w:t>
      </w:r>
      <w:r w:rsidRPr="005A0FB4">
        <w:t xml:space="preserve"> the Sewer Plan has several inconsistencies and inaccuracies regarding the bridgeless barrier islands</w:t>
      </w:r>
      <w:r w:rsidR="00DA7627" w:rsidRPr="005A0FB4">
        <w:t>, and therefore</w:t>
      </w:r>
      <w:r w:rsidR="00F15DB7">
        <w:t>,</w:t>
      </w:r>
      <w:r w:rsidR="00DA7627" w:rsidRPr="005A0FB4">
        <w:t xml:space="preserve"> the Sewer Plan is inadequate support for EU’s application. (LC BR 9) LC contend</w:t>
      </w:r>
      <w:r w:rsidR="005A0FB4" w:rsidRPr="005A0FB4">
        <w:t>ed</w:t>
      </w:r>
      <w:r w:rsidR="00DA7627" w:rsidRPr="005A0FB4">
        <w:t xml:space="preserve"> that the priority ratings developed in the Sewer Plan are flawed because each of the three components contained inaccurate or incomplete assumptions. (LC BR 9-10) LC assert</w:t>
      </w:r>
      <w:r w:rsidR="005A0FB4" w:rsidRPr="005A0FB4">
        <w:t>ed</w:t>
      </w:r>
      <w:r w:rsidR="00DA7627" w:rsidRPr="005A0FB4">
        <w:t xml:space="preserve"> that the proposed Utility is not </w:t>
      </w:r>
      <w:r w:rsidR="00555F13">
        <w:t>identified</w:t>
      </w:r>
      <w:r w:rsidR="00DA7627" w:rsidRPr="005A0FB4">
        <w:t xml:space="preserve"> within any of the multi-year plans within the Sewer Plan. </w:t>
      </w:r>
      <w:r w:rsidR="00902AF2">
        <w:t xml:space="preserve">LC further asserted that the only two utilities identified are Knight Island Utilities, Inc. (Knight Island Utilities) and Hideaway Bay, and that their inclusion is based on the desire of the owners </w:t>
      </w:r>
      <w:r w:rsidR="00902AF2" w:rsidRPr="00902AF2">
        <w:t>of Knight Island Utilities and Hideaway Bay</w:t>
      </w:r>
      <w:r w:rsidR="00DA7627" w:rsidRPr="00902AF2">
        <w:t>.</w:t>
      </w:r>
      <w:r w:rsidR="00DA7627" w:rsidRPr="005A0FB4">
        <w:t xml:space="preserve"> (LC BR 11) LC </w:t>
      </w:r>
      <w:r w:rsidR="00B03C00" w:rsidRPr="005A0FB4">
        <w:t>note</w:t>
      </w:r>
      <w:r w:rsidR="005A0FB4" w:rsidRPr="005A0FB4">
        <w:t>d</w:t>
      </w:r>
      <w:r w:rsidR="00DA7627" w:rsidRPr="005A0FB4">
        <w:t xml:space="preserve"> the Sewer Plan project descriptions and maps are inconsistent and contain numerous errors regarding the two utilities to be connected. (LC BR 12) LC </w:t>
      </w:r>
      <w:r w:rsidR="00B03C00" w:rsidRPr="005A0FB4">
        <w:t>highlight</w:t>
      </w:r>
      <w:r w:rsidR="005A0FB4" w:rsidRPr="005A0FB4">
        <w:t>ed</w:t>
      </w:r>
      <w:r w:rsidR="00DA7627" w:rsidRPr="005A0FB4">
        <w:t xml:space="preserve"> that, excluding County </w:t>
      </w:r>
      <w:r w:rsidR="0063787C" w:rsidRPr="005A0FB4">
        <w:t xml:space="preserve">deponent </w:t>
      </w:r>
      <w:r w:rsidR="00DA7627" w:rsidRPr="005A0FB4">
        <w:t>Rudy, who served as the County representative, the County has not been involved in this proceeding, did not intervene, and submitted no documentation in support of EU. (LC BR 13)</w:t>
      </w:r>
      <w:r w:rsidR="00B07A6B" w:rsidRPr="005A0FB4">
        <w:t xml:space="preserve"> LC contend</w:t>
      </w:r>
      <w:r w:rsidR="005A0FB4" w:rsidRPr="005A0FB4">
        <w:t>ed</w:t>
      </w:r>
      <w:r w:rsidR="00B07A6B" w:rsidRPr="005A0FB4">
        <w:t xml:space="preserve"> that EU’s reliance upon the Bulk Agreement being approved by the County is erroneous, as no evidence of a proper review by the County of the Bulk Agreement regarding consistency with the Comp Plan was submitted. (LC BR 13) LC argue</w:t>
      </w:r>
      <w:r w:rsidR="005A0FB4" w:rsidRPr="005A0FB4">
        <w:t>d</w:t>
      </w:r>
      <w:r w:rsidR="00B07A6B" w:rsidRPr="005A0FB4">
        <w:t xml:space="preserve"> that the </w:t>
      </w:r>
      <w:r w:rsidR="00C10CA3" w:rsidRPr="005A0FB4">
        <w:t>S</w:t>
      </w:r>
      <w:r w:rsidR="00B07A6B" w:rsidRPr="005A0FB4">
        <w:t xml:space="preserve">ewer </w:t>
      </w:r>
      <w:r w:rsidR="00C10CA3" w:rsidRPr="005A0FB4">
        <w:t>P</w:t>
      </w:r>
      <w:r w:rsidR="00B07A6B" w:rsidRPr="005A0FB4">
        <w:t>lan was not meant to be an arbiter of septic to sewer conversions. (LC BR 14)</w:t>
      </w:r>
    </w:p>
    <w:p w14:paraId="477981B3" w14:textId="77777777" w:rsidR="0095668F" w:rsidRPr="00A4666F" w:rsidRDefault="005833F0" w:rsidP="005D22AB">
      <w:pPr>
        <w:keepNext/>
        <w:spacing w:before="240" w:after="240"/>
        <w:jc w:val="center"/>
        <w:rPr>
          <w:rFonts w:ascii="Arial" w:hAnsi="Arial" w:cs="Arial"/>
          <w:b/>
        </w:rPr>
      </w:pPr>
      <w:r w:rsidRPr="00A4666F">
        <w:rPr>
          <w:rFonts w:ascii="Arial" w:hAnsi="Arial" w:cs="Arial"/>
          <w:b/>
        </w:rPr>
        <w:t>ANALYSIS</w:t>
      </w:r>
    </w:p>
    <w:p w14:paraId="77FC6285" w14:textId="3B937CD3" w:rsidR="006B64EC" w:rsidRPr="006B64EC" w:rsidRDefault="006B64EC" w:rsidP="006B64EC">
      <w:pPr>
        <w:spacing w:after="240"/>
        <w:jc w:val="both"/>
      </w:pPr>
      <w:r w:rsidRPr="006B64EC">
        <w:rPr>
          <w:color w:val="000000"/>
        </w:rPr>
        <w:t xml:space="preserve">There is no statutory or rule requirement that the Commission consider the </w:t>
      </w:r>
      <w:r w:rsidRPr="006B64EC">
        <w:t>Sewer Plan. Just as the Commission is not bound by a local comprehensive plan in a certificate proceeding, staff recommends that a document such as the Sewer Plan – which is not contemplated in Section 367.045, F.S., or Rule 25-30.033, F.A.C. – is not binding upon the Commission. However, consistency with the Sewer Plan was identified as an issue in this proceeding, and there was substantial evidence and discussion at the hearing regarding this issue. Therefore, staff recommends that a ruling on this issue is appropriate.</w:t>
      </w:r>
    </w:p>
    <w:p w14:paraId="1B718898" w14:textId="2AB98338" w:rsidR="00A4666F" w:rsidRDefault="00A4666F" w:rsidP="000C730E">
      <w:pPr>
        <w:pStyle w:val="BodyText"/>
        <w:rPr>
          <w:color w:val="000000"/>
        </w:rPr>
      </w:pPr>
      <w:r w:rsidRPr="00A4666F">
        <w:rPr>
          <w:color w:val="000000"/>
        </w:rPr>
        <w:t xml:space="preserve">EU states in its application that </w:t>
      </w:r>
      <w:r w:rsidR="005108A2">
        <w:rPr>
          <w:color w:val="000000"/>
        </w:rPr>
        <w:t xml:space="preserve">according to </w:t>
      </w:r>
      <w:r w:rsidRPr="00A4666F">
        <w:rPr>
          <w:color w:val="000000"/>
        </w:rPr>
        <w:t xml:space="preserve">the Sewer Plan all areas within a certain environmental impact score range </w:t>
      </w:r>
      <w:r w:rsidR="005108A2">
        <w:rPr>
          <w:color w:val="000000"/>
        </w:rPr>
        <w:t xml:space="preserve">should </w:t>
      </w:r>
      <w:r w:rsidRPr="00A4666F">
        <w:rPr>
          <w:color w:val="000000"/>
        </w:rPr>
        <w:t>be converted from septic to sewer within five years, including the proposed service territory.</w:t>
      </w:r>
      <w:r w:rsidRPr="00A4666F">
        <w:rPr>
          <w:rStyle w:val="FootnoteReference"/>
          <w:color w:val="000000"/>
        </w:rPr>
        <w:footnoteReference w:id="10"/>
      </w:r>
      <w:r w:rsidRPr="00A4666F">
        <w:rPr>
          <w:color w:val="000000"/>
        </w:rPr>
        <w:t xml:space="preserve"> (EXH 2 BSP 26)</w:t>
      </w:r>
      <w:r w:rsidRPr="00A4666F">
        <w:t xml:space="preserve"> </w:t>
      </w:r>
      <w:r w:rsidRPr="00EE3964">
        <w:rPr>
          <w:color w:val="000000"/>
        </w:rPr>
        <w:t xml:space="preserve">However, </w:t>
      </w:r>
      <w:r w:rsidR="00FB6393">
        <w:rPr>
          <w:color w:val="000000"/>
        </w:rPr>
        <w:t xml:space="preserve">based upon </w:t>
      </w:r>
      <w:r w:rsidRPr="00EE3964">
        <w:rPr>
          <w:color w:val="000000"/>
        </w:rPr>
        <w:t>staff’s review</w:t>
      </w:r>
      <w:r w:rsidR="00FB6393">
        <w:rPr>
          <w:color w:val="000000"/>
        </w:rPr>
        <w:t>,</w:t>
      </w:r>
      <w:r w:rsidRPr="00EE3964">
        <w:rPr>
          <w:color w:val="000000"/>
        </w:rPr>
        <w:t xml:space="preserve"> the Sewer Plan </w:t>
      </w:r>
      <w:r w:rsidRPr="00804A63">
        <w:rPr>
          <w:color w:val="000000"/>
        </w:rPr>
        <w:t>does not require conversion of all similar</w:t>
      </w:r>
      <w:r w:rsidR="000B507F" w:rsidRPr="00AD250A">
        <w:rPr>
          <w:color w:val="000000"/>
        </w:rPr>
        <w:t>ly</w:t>
      </w:r>
      <w:r w:rsidRPr="00EE3964">
        <w:rPr>
          <w:color w:val="000000"/>
        </w:rPr>
        <w:t xml:space="preserve"> scored areas within five years.</w:t>
      </w:r>
      <w:r w:rsidRPr="00EE3964">
        <w:rPr>
          <w:rStyle w:val="FootnoteReference"/>
          <w:color w:val="000000"/>
        </w:rPr>
        <w:footnoteReference w:id="11"/>
      </w:r>
      <w:r w:rsidRPr="00EE3964">
        <w:rPr>
          <w:color w:val="000000"/>
        </w:rPr>
        <w:t xml:space="preserve"> (EXH 44 BSP 2951-2952)</w:t>
      </w:r>
      <w:r w:rsidRPr="00A4666F">
        <w:rPr>
          <w:color w:val="000000"/>
        </w:rPr>
        <w:t xml:space="preserve"> Furthermore, while </w:t>
      </w:r>
      <w:r w:rsidR="00223D35">
        <w:rPr>
          <w:color w:val="000000"/>
        </w:rPr>
        <w:t xml:space="preserve">EU </w:t>
      </w:r>
      <w:r w:rsidRPr="00A4666F">
        <w:rPr>
          <w:color w:val="000000"/>
        </w:rPr>
        <w:t>witness Boyer characterizes the Sewer Plan as a recommendation, it appears to staff to instead be an acknowledgement of potential connections in the proposed service territory.</w:t>
      </w:r>
      <w:r>
        <w:rPr>
          <w:color w:val="000000"/>
        </w:rPr>
        <w:t xml:space="preserve"> </w:t>
      </w:r>
      <w:r w:rsidRPr="00A13F0B">
        <w:rPr>
          <w:color w:val="000000"/>
        </w:rPr>
        <w:t>As PIE witness Hardgrove attests, the Sewer Plan only included conversion of two existing private wastewater treatment plants, not conversion of septic tanks to central sewer. (EXH 8 BSP 184) The Sewer Plan</w:t>
      </w:r>
      <w:r w:rsidRPr="001608C1">
        <w:rPr>
          <w:color w:val="000000"/>
        </w:rPr>
        <w:t>’s 5-year improvement plan identified 12 project areas for conversion, then states</w:t>
      </w:r>
      <w:r w:rsidR="00577991">
        <w:rPr>
          <w:color w:val="000000"/>
        </w:rPr>
        <w:t>:</w:t>
      </w:r>
      <w:r w:rsidRPr="001608C1">
        <w:rPr>
          <w:color w:val="000000"/>
        </w:rPr>
        <w:t xml:space="preserve"> “In addition, two private utilities are expected to connect to the County system during the 5-year plan . . .” (EXH 44 BSP 2951) </w:t>
      </w:r>
      <w:r w:rsidR="001608C1" w:rsidRPr="00CE60C5">
        <w:rPr>
          <w:color w:val="000000"/>
        </w:rPr>
        <w:t>The two utilities are identified as Hideaway Bay and Don Pedro Utility, and involve use of existing collection systems and conversion of existing wastewater treatment plants to pump stations connecting to the County through two separate transmission pipes in five a</w:t>
      </w:r>
      <w:r w:rsidR="00577991">
        <w:rPr>
          <w:color w:val="000000"/>
        </w:rPr>
        <w:t>n</w:t>
      </w:r>
      <w:r w:rsidR="001608C1" w:rsidRPr="00CE60C5">
        <w:rPr>
          <w:color w:val="000000"/>
        </w:rPr>
        <w:t>d seven years, respectively. (EXH 44 BSP 30</w:t>
      </w:r>
      <w:r w:rsidR="005108A2">
        <w:rPr>
          <w:color w:val="000000"/>
        </w:rPr>
        <w:t>46</w:t>
      </w:r>
      <w:r w:rsidR="001608C1" w:rsidRPr="00CE60C5">
        <w:rPr>
          <w:color w:val="000000"/>
        </w:rPr>
        <w:t>; EXH 44 BSP 3</w:t>
      </w:r>
      <w:r w:rsidR="001608C1">
        <w:rPr>
          <w:color w:val="000000"/>
        </w:rPr>
        <w:t>103</w:t>
      </w:r>
      <w:r w:rsidR="001608C1" w:rsidRPr="00CE60C5">
        <w:rPr>
          <w:color w:val="000000"/>
        </w:rPr>
        <w:t>-3</w:t>
      </w:r>
      <w:r w:rsidR="001608C1">
        <w:rPr>
          <w:color w:val="000000"/>
        </w:rPr>
        <w:t>104</w:t>
      </w:r>
      <w:r w:rsidR="001608C1" w:rsidRPr="00CE60C5">
        <w:rPr>
          <w:color w:val="000000"/>
        </w:rPr>
        <w:t>)</w:t>
      </w:r>
      <w:r w:rsidR="003E284E" w:rsidRPr="00CE60C5">
        <w:rPr>
          <w:color w:val="000000"/>
        </w:rPr>
        <w:t xml:space="preserve"> </w:t>
      </w:r>
      <w:r w:rsidR="002631DC" w:rsidRPr="00CE60C5">
        <w:rPr>
          <w:color w:val="000000"/>
        </w:rPr>
        <w:t>This arrangement is not the one proposed by EU, and in fact</w:t>
      </w:r>
      <w:r w:rsidR="002B09CF">
        <w:rPr>
          <w:color w:val="000000"/>
        </w:rPr>
        <w:t>,</w:t>
      </w:r>
      <w:r w:rsidR="002631DC" w:rsidRPr="00CE60C5">
        <w:rPr>
          <w:color w:val="000000"/>
        </w:rPr>
        <w:t xml:space="preserve"> EU removed Hideaway Bay from its proposed service territory. (TR 36)</w:t>
      </w:r>
      <w:r w:rsidR="00E114E2">
        <w:rPr>
          <w:color w:val="000000"/>
        </w:rPr>
        <w:t xml:space="preserve"> </w:t>
      </w:r>
      <w:r w:rsidR="00FB6393">
        <w:t>Based on its evaluation</w:t>
      </w:r>
      <w:r w:rsidR="00DB1917">
        <w:t>,</w:t>
      </w:r>
      <w:r w:rsidR="00FB6393">
        <w:t xml:space="preserve"> </w:t>
      </w:r>
      <w:r w:rsidR="00FB6393">
        <w:rPr>
          <w:color w:val="000000"/>
        </w:rPr>
        <w:t>s</w:t>
      </w:r>
      <w:r w:rsidR="00DB3D58">
        <w:rPr>
          <w:color w:val="000000"/>
        </w:rPr>
        <w:t>taff believes</w:t>
      </w:r>
      <w:r w:rsidR="00E114E2">
        <w:rPr>
          <w:color w:val="000000"/>
        </w:rPr>
        <w:t xml:space="preserve"> that EU’s application </w:t>
      </w:r>
      <w:r w:rsidR="00DB3D58">
        <w:rPr>
          <w:color w:val="000000"/>
        </w:rPr>
        <w:t xml:space="preserve">does </w:t>
      </w:r>
      <w:r w:rsidR="00704CF8">
        <w:rPr>
          <w:color w:val="000000"/>
        </w:rPr>
        <w:t xml:space="preserve">not </w:t>
      </w:r>
      <w:r w:rsidR="00DB3D58">
        <w:rPr>
          <w:color w:val="000000"/>
        </w:rPr>
        <w:t xml:space="preserve">appear to be </w:t>
      </w:r>
      <w:r w:rsidR="00804A63">
        <w:rPr>
          <w:color w:val="000000"/>
        </w:rPr>
        <w:t xml:space="preserve">consistent with </w:t>
      </w:r>
      <w:r w:rsidR="00E114E2">
        <w:rPr>
          <w:color w:val="000000"/>
        </w:rPr>
        <w:t>the Sewer Plan</w:t>
      </w:r>
      <w:r w:rsidR="00FB6393">
        <w:rPr>
          <w:color w:val="000000"/>
        </w:rPr>
        <w:t>.</w:t>
      </w:r>
      <w:r w:rsidR="005108A2">
        <w:rPr>
          <w:color w:val="000000"/>
        </w:rPr>
        <w:t xml:space="preserve"> </w:t>
      </w:r>
    </w:p>
    <w:p w14:paraId="6D91FD84" w14:textId="77777777" w:rsidR="0095668F" w:rsidRDefault="0095668F" w:rsidP="005D22AB">
      <w:pPr>
        <w:keepNext/>
        <w:spacing w:before="240" w:after="240"/>
        <w:jc w:val="center"/>
        <w:rPr>
          <w:rFonts w:ascii="Arial" w:hAnsi="Arial" w:cs="Arial"/>
          <w:b/>
        </w:rPr>
      </w:pPr>
      <w:r>
        <w:rPr>
          <w:rFonts w:ascii="Arial" w:hAnsi="Arial" w:cs="Arial"/>
          <w:b/>
        </w:rPr>
        <w:t>CONCLUSION</w:t>
      </w:r>
    </w:p>
    <w:p w14:paraId="14B7AA0A" w14:textId="7558C5F3" w:rsidR="00DE4013" w:rsidRDefault="001608C1" w:rsidP="00DE4013">
      <w:pPr>
        <w:pStyle w:val="BodyText"/>
      </w:pPr>
      <w:r w:rsidRPr="001608C1">
        <w:t>E</w:t>
      </w:r>
      <w:r>
        <w:t>U’s application</w:t>
      </w:r>
      <w:r w:rsidR="007746FB">
        <w:t xml:space="preserve"> does not appear to be </w:t>
      </w:r>
      <w:r w:rsidR="0056448E">
        <w:t>consistent with</w:t>
      </w:r>
      <w:r w:rsidRPr="001608C1">
        <w:t xml:space="preserve"> Charlotte County’s Sewer Master Plan. </w:t>
      </w:r>
    </w:p>
    <w:p w14:paraId="6503097D" w14:textId="77777777" w:rsidR="006E3F46" w:rsidRDefault="006E3F46">
      <w:pPr>
        <w:pStyle w:val="IssueHeading"/>
        <w:rPr>
          <w:vanish/>
          <w:specVanish/>
        </w:rPr>
      </w:pPr>
      <w:r w:rsidRPr="004C3641">
        <w:rPr>
          <w:b w:val="0"/>
          <w:i w:val="0"/>
        </w:rPr>
        <w:br w:type="page"/>
      </w:r>
      <w:r w:rsidRPr="004C3641">
        <w:t xml:space="preserve">Issue </w:t>
      </w:r>
      <w:fldSimple w:instr=" SEQ Issue \* MERGEFORMAT ">
        <w:r w:rsidR="0028227E">
          <w:rPr>
            <w:noProof/>
          </w:rPr>
          <w:t>4</w:t>
        </w:r>
      </w:fldSimple>
      <w:r w:rsidRPr="004C3641">
        <w:t>:</w:t>
      </w:r>
      <w:r>
        <w:fldChar w:fldCharType="begin"/>
      </w:r>
      <w:r>
        <w:instrText xml:space="preserve"> TC "</w:instrText>
      </w:r>
      <w:bookmarkStart w:id="17" w:name="_Toc104278774"/>
      <w:r w:rsidR="00E07FD5">
        <w:instrText xml:space="preserve">Issue </w:instrText>
      </w:r>
      <w:r>
        <w:fldChar w:fldCharType="begin"/>
      </w:r>
      <w:r>
        <w:instrText xml:space="preserve"> SEQ issue \c </w:instrText>
      </w:r>
      <w:r>
        <w:fldChar w:fldCharType="separate"/>
      </w:r>
      <w:r w:rsidR="0028227E">
        <w:rPr>
          <w:noProof/>
        </w:rPr>
        <w:instrText>4</w:instrText>
      </w:r>
      <w:r>
        <w:fldChar w:fldCharType="end"/>
      </w:r>
      <w:r w:rsidR="00E07FD5">
        <w:instrText xml:space="preserve"> </w:instrText>
      </w:r>
      <w:r w:rsidR="00D25E9A">
        <w:instrText>–</w:instrText>
      </w:r>
      <w:r w:rsidR="00E07FD5">
        <w:instrText xml:space="preserve"> </w:instrText>
      </w:r>
      <w:r w:rsidR="00075332">
        <w:instrText>Duplication of Service</w:instrText>
      </w:r>
      <w:bookmarkEnd w:id="17"/>
      <w:r w:rsidR="00E07FD5">
        <w:instrText xml:space="preserve"> </w:instrText>
      </w:r>
      <w:r>
        <w:tab/>
        <w:instrText xml:space="preserve">" \l 1 </w:instrText>
      </w:r>
      <w:r>
        <w:fldChar w:fldCharType="end"/>
      </w:r>
      <w:r>
        <w:t> </w:t>
      </w:r>
    </w:p>
    <w:p w14:paraId="408FE1AB" w14:textId="77777777" w:rsidR="006E3F46" w:rsidRDefault="006E3F46">
      <w:pPr>
        <w:pStyle w:val="BodyText"/>
      </w:pPr>
      <w:r>
        <w:t> </w:t>
      </w:r>
      <w:r w:rsidR="00BB75C9" w:rsidRPr="00DA500F">
        <w:t>Will the certification of Environmental Utilities result in the creation of a utility which will be in competition with, or duplication of, any other system?</w:t>
      </w:r>
    </w:p>
    <w:p w14:paraId="6AD12E1E" w14:textId="77777777" w:rsidR="006E3F46" w:rsidRPr="004C3641" w:rsidRDefault="006E3F46">
      <w:pPr>
        <w:pStyle w:val="IssueSubsectionHeading"/>
        <w:rPr>
          <w:vanish/>
          <w:specVanish/>
        </w:rPr>
      </w:pPr>
      <w:r w:rsidRPr="004C3641">
        <w:t>Recommendation: </w:t>
      </w:r>
    </w:p>
    <w:p w14:paraId="75E31C4C" w14:textId="7A0E8F6C" w:rsidR="00BB75C9" w:rsidRPr="00577991" w:rsidRDefault="006E3F46" w:rsidP="00BB75C9">
      <w:pPr>
        <w:pStyle w:val="BodyText"/>
        <w:spacing w:after="0"/>
      </w:pPr>
      <w:r>
        <w:t> </w:t>
      </w:r>
      <w:r w:rsidR="006B64EC" w:rsidRPr="00577991">
        <w:t>Yes. A</w:t>
      </w:r>
      <w:r w:rsidR="006B64EC" w:rsidRPr="00577991">
        <w:rPr>
          <w:color w:val="000000"/>
        </w:rPr>
        <w:t xml:space="preserve"> portion of EU’s proposed service territory is currently receiving wastewater service from Knight Island Utilities</w:t>
      </w:r>
      <w:r w:rsidR="006B64EC" w:rsidRPr="00577991">
        <w:t xml:space="preserve">. If the Commission grants EU’s request for certification, the Utility </w:t>
      </w:r>
      <w:r w:rsidR="006B64EC">
        <w:t>should</w:t>
      </w:r>
      <w:r w:rsidR="006B64EC" w:rsidRPr="00577991">
        <w:t xml:space="preserve"> </w:t>
      </w:r>
      <w:r w:rsidR="006B64EC">
        <w:t xml:space="preserve">be required </w:t>
      </w:r>
      <w:r w:rsidR="00063501">
        <w:t xml:space="preserve">to </w:t>
      </w:r>
      <w:r w:rsidR="006B64EC" w:rsidRPr="00577991">
        <w:t>file an amended territory description and map</w:t>
      </w:r>
      <w:r w:rsidR="006B64EC">
        <w:t xml:space="preserve"> within 30 days of the issuance of the Commission’s order, and this docket should remain open for the parties and Commission to address the amended territory description and map</w:t>
      </w:r>
      <w:r w:rsidR="006B64EC" w:rsidRPr="00577991">
        <w:t>. (Phillips)</w:t>
      </w:r>
    </w:p>
    <w:p w14:paraId="24C182ED" w14:textId="77777777" w:rsidR="00BB75C9" w:rsidRPr="00577991" w:rsidRDefault="00BB75C9" w:rsidP="00BB75C9">
      <w:pPr>
        <w:pStyle w:val="BodyText"/>
        <w:spacing w:after="0"/>
      </w:pPr>
    </w:p>
    <w:p w14:paraId="2EC8868E" w14:textId="77777777" w:rsidR="00BB75C9" w:rsidRPr="006B64EC" w:rsidRDefault="00BB75C9" w:rsidP="00BB75C9">
      <w:pPr>
        <w:pStyle w:val="BodyText"/>
        <w:spacing w:after="0"/>
        <w:rPr>
          <w:rFonts w:ascii="Arial" w:hAnsi="Arial" w:cs="Arial"/>
          <w:b/>
        </w:rPr>
      </w:pPr>
      <w:r w:rsidRPr="006B64EC">
        <w:rPr>
          <w:rFonts w:ascii="Arial" w:hAnsi="Arial" w:cs="Arial"/>
          <w:b/>
        </w:rPr>
        <w:t>Position of the Parties</w:t>
      </w:r>
    </w:p>
    <w:p w14:paraId="5DDEC1DD" w14:textId="77777777" w:rsidR="00BB75C9" w:rsidRPr="006B64EC" w:rsidRDefault="00BB75C9" w:rsidP="00BB75C9">
      <w:pPr>
        <w:jc w:val="both"/>
        <w:rPr>
          <w:rFonts w:ascii="Arial" w:hAnsi="Arial" w:cs="Arial"/>
          <w:bCs/>
        </w:rPr>
      </w:pPr>
    </w:p>
    <w:p w14:paraId="45C011AD" w14:textId="77777777" w:rsidR="00CD3DE9" w:rsidRPr="00BB75C9" w:rsidRDefault="00CD3DE9" w:rsidP="00CD3DE9">
      <w:pPr>
        <w:jc w:val="both"/>
        <w:rPr>
          <w:b/>
          <w:bCs/>
        </w:rPr>
      </w:pPr>
      <w:r w:rsidRPr="00DE4013">
        <w:rPr>
          <w:rFonts w:ascii="Arial" w:hAnsi="Arial" w:cs="Arial"/>
          <w:b/>
          <w:bCs/>
        </w:rPr>
        <w:t>EU:</w:t>
      </w:r>
      <w:r w:rsidR="00FC2233">
        <w:rPr>
          <w:b/>
          <w:bCs/>
        </w:rPr>
        <w:t xml:space="preserve"> </w:t>
      </w:r>
      <w:r w:rsidR="00FC2233" w:rsidRPr="00FC2233">
        <w:rPr>
          <w:bCs/>
        </w:rPr>
        <w:t xml:space="preserve">No. </w:t>
      </w:r>
    </w:p>
    <w:p w14:paraId="7473043E" w14:textId="77777777" w:rsidR="00CD3DE9" w:rsidRPr="00DA500F" w:rsidRDefault="00CD3DE9" w:rsidP="00CD3DE9">
      <w:pPr>
        <w:jc w:val="both"/>
        <w:rPr>
          <w:bCs/>
        </w:rPr>
      </w:pPr>
    </w:p>
    <w:p w14:paraId="7B76BC06" w14:textId="77777777" w:rsidR="00DD5009" w:rsidRPr="00DD5009" w:rsidRDefault="00DD5009" w:rsidP="00DD5009">
      <w:pPr>
        <w:ind w:left="1440" w:hanging="1440"/>
        <w:jc w:val="both"/>
        <w:rPr>
          <w:bCs/>
        </w:rPr>
      </w:pPr>
      <w:r w:rsidRPr="00DE4013">
        <w:rPr>
          <w:rFonts w:ascii="Arial" w:hAnsi="Arial" w:cs="Arial"/>
          <w:b/>
          <w:bCs/>
        </w:rPr>
        <w:t>OPC</w:t>
      </w:r>
      <w:r w:rsidRPr="00BB75C9">
        <w:rPr>
          <w:b/>
          <w:bCs/>
        </w:rPr>
        <w:t>:</w:t>
      </w:r>
      <w:r>
        <w:rPr>
          <w:b/>
          <w:bCs/>
        </w:rPr>
        <w:t xml:space="preserve"> </w:t>
      </w:r>
      <w:r>
        <w:rPr>
          <w:bCs/>
        </w:rPr>
        <w:t>No position.</w:t>
      </w:r>
    </w:p>
    <w:p w14:paraId="15183BFA" w14:textId="77777777" w:rsidR="00CD3DE9" w:rsidRPr="00DA500F" w:rsidRDefault="00CD3DE9" w:rsidP="00CD3DE9">
      <w:pPr>
        <w:jc w:val="both"/>
        <w:rPr>
          <w:bCs/>
        </w:rPr>
      </w:pPr>
    </w:p>
    <w:p w14:paraId="5DC19ACB" w14:textId="77777777" w:rsidR="00CD3DE9" w:rsidRPr="00BB75C9" w:rsidRDefault="00CD3DE9" w:rsidP="00CD3DE9">
      <w:pPr>
        <w:jc w:val="both"/>
        <w:rPr>
          <w:b/>
          <w:bCs/>
        </w:rPr>
      </w:pPr>
      <w:r w:rsidRPr="00DE4013">
        <w:rPr>
          <w:rFonts w:ascii="Arial" w:hAnsi="Arial" w:cs="Arial"/>
          <w:b/>
          <w:bCs/>
        </w:rPr>
        <w:t>PIE:</w:t>
      </w:r>
      <w:r w:rsidR="00E67C09" w:rsidRPr="00DE4013">
        <w:rPr>
          <w:rFonts w:ascii="Arial" w:hAnsi="Arial" w:cs="Arial"/>
        </w:rPr>
        <w:t xml:space="preserve"> </w:t>
      </w:r>
      <w:r w:rsidR="00E67C09">
        <w:t>No position on this issue.</w:t>
      </w:r>
    </w:p>
    <w:p w14:paraId="675C47B1" w14:textId="77777777" w:rsidR="00CD3DE9" w:rsidRDefault="00CD3DE9" w:rsidP="00CD3DE9">
      <w:pPr>
        <w:jc w:val="both"/>
        <w:rPr>
          <w:bCs/>
        </w:rPr>
      </w:pPr>
    </w:p>
    <w:p w14:paraId="5A374B5C" w14:textId="77777777" w:rsidR="00BB75C9" w:rsidRDefault="00CD3DE9" w:rsidP="00781AAF">
      <w:pPr>
        <w:tabs>
          <w:tab w:val="left" w:pos="0"/>
        </w:tabs>
        <w:jc w:val="both"/>
      </w:pPr>
      <w:r w:rsidRPr="00DE4013">
        <w:rPr>
          <w:rFonts w:ascii="Arial" w:hAnsi="Arial" w:cs="Arial"/>
          <w:b/>
          <w:bCs/>
        </w:rPr>
        <w:t>LC:</w:t>
      </w:r>
      <w:r w:rsidR="00811E58">
        <w:rPr>
          <w:b/>
          <w:bCs/>
        </w:rPr>
        <w:t xml:space="preserve"> </w:t>
      </w:r>
      <w:r w:rsidR="00781AAF" w:rsidRPr="00542E0D">
        <w:t>Yes.</w:t>
      </w:r>
      <w:r w:rsidR="00781AAF">
        <w:t xml:space="preserve"> </w:t>
      </w:r>
      <w:r w:rsidR="00781AAF" w:rsidRPr="00542E0D">
        <w:t>The certification will result in the creation of a utility that will be in competition with, or duplication of, an existing system in that the proposed service area is already in the Charlotte County Utilities’ certificated area. Furthermore, part of the proposed area is already being served by Knight Island Utilities, Inc.</w:t>
      </w:r>
    </w:p>
    <w:p w14:paraId="1652DE25" w14:textId="77777777" w:rsidR="00781AAF" w:rsidRPr="006E3F46" w:rsidRDefault="00781AAF" w:rsidP="00781AAF">
      <w:pPr>
        <w:tabs>
          <w:tab w:val="left" w:pos="0"/>
        </w:tabs>
        <w:jc w:val="both"/>
      </w:pPr>
    </w:p>
    <w:p w14:paraId="0420DD21" w14:textId="77777777" w:rsidR="003B57AB" w:rsidRPr="004C3641" w:rsidRDefault="003B57AB" w:rsidP="003B57AB">
      <w:pPr>
        <w:pStyle w:val="IssueSubsectionHeading"/>
        <w:rPr>
          <w:vanish/>
          <w:specVanish/>
        </w:rPr>
      </w:pPr>
      <w:r w:rsidRPr="004C3641">
        <w:t>Staff Analysis: </w:t>
      </w:r>
    </w:p>
    <w:p w14:paraId="7BCFEA7D" w14:textId="77777777" w:rsidR="003B57AB" w:rsidRDefault="003B57AB" w:rsidP="003B57AB">
      <w:pPr>
        <w:pStyle w:val="BodyText"/>
      </w:pPr>
      <w:r>
        <w:t> </w:t>
      </w:r>
    </w:p>
    <w:p w14:paraId="7263C3C1" w14:textId="77777777" w:rsidR="0095668F" w:rsidRDefault="005833F0" w:rsidP="0095668F">
      <w:pPr>
        <w:pStyle w:val="BodyText"/>
        <w:spacing w:after="0"/>
        <w:jc w:val="center"/>
        <w:rPr>
          <w:rFonts w:ascii="Arial" w:hAnsi="Arial" w:cs="Arial"/>
          <w:b/>
        </w:rPr>
      </w:pPr>
      <w:r>
        <w:rPr>
          <w:rFonts w:ascii="Arial" w:hAnsi="Arial" w:cs="Arial"/>
          <w:b/>
        </w:rPr>
        <w:t>PARTIES’ ARGUMENTS</w:t>
      </w:r>
    </w:p>
    <w:p w14:paraId="7859B72D" w14:textId="77777777" w:rsidR="00DE4013" w:rsidRPr="00BE14C9" w:rsidRDefault="00DE4013" w:rsidP="00FA418D">
      <w:pPr>
        <w:pStyle w:val="BodyText"/>
        <w:spacing w:after="0"/>
        <w:rPr>
          <w:rFonts w:ascii="Arial" w:hAnsi="Arial" w:cs="Arial"/>
          <w:b/>
        </w:rPr>
      </w:pPr>
      <w:r>
        <w:rPr>
          <w:rFonts w:ascii="Arial" w:hAnsi="Arial" w:cs="Arial"/>
          <w:b/>
        </w:rPr>
        <w:t>E</w:t>
      </w:r>
      <w:r w:rsidRPr="00BE14C9">
        <w:rPr>
          <w:rFonts w:ascii="Arial" w:hAnsi="Arial" w:cs="Arial"/>
          <w:b/>
        </w:rPr>
        <w:t>U</w:t>
      </w:r>
    </w:p>
    <w:p w14:paraId="24D52120" w14:textId="77777777" w:rsidR="00DE4013" w:rsidRPr="00BE14C9" w:rsidRDefault="00DE4013" w:rsidP="00FA418D">
      <w:pPr>
        <w:pStyle w:val="BodyText"/>
        <w:spacing w:after="0"/>
      </w:pPr>
      <w:r w:rsidRPr="00BE14C9">
        <w:t xml:space="preserve">EU </w:t>
      </w:r>
      <w:r w:rsidR="00626FB3" w:rsidRPr="00BE14C9">
        <w:t>stated</w:t>
      </w:r>
      <w:r w:rsidRPr="00BE14C9">
        <w:t xml:space="preserve"> that since the proposed service territory is being served by septic tanks</w:t>
      </w:r>
      <w:r w:rsidR="00BA7188" w:rsidRPr="00BE14C9">
        <w:t>, the proposed sewer system will not be a duplication or in competition with another system</w:t>
      </w:r>
      <w:r w:rsidR="0099605A" w:rsidRPr="00BE14C9">
        <w:t>.</w:t>
      </w:r>
      <w:r w:rsidR="00BA7188" w:rsidRPr="00BE14C9">
        <w:t xml:space="preserve"> </w:t>
      </w:r>
      <w:r w:rsidR="00FA418D" w:rsidRPr="00BE14C9">
        <w:t xml:space="preserve">(EU BR 8) </w:t>
      </w:r>
      <w:r w:rsidR="00BA7188" w:rsidRPr="00BE14C9">
        <w:t xml:space="preserve">EU </w:t>
      </w:r>
      <w:r w:rsidR="00626FB3" w:rsidRPr="00BE14C9">
        <w:t>argued</w:t>
      </w:r>
      <w:r w:rsidR="00BA7188" w:rsidRPr="00BE14C9">
        <w:t xml:space="preserve"> </w:t>
      </w:r>
      <w:r w:rsidR="00C10CA3" w:rsidRPr="00BE14C9">
        <w:t>that LC witness Cotherman’s claim of competitio</w:t>
      </w:r>
      <w:r w:rsidR="007B2946" w:rsidRPr="00BE14C9">
        <w:t>n with the County is inaccurate</w:t>
      </w:r>
      <w:r w:rsidR="00C10CA3" w:rsidRPr="00BE14C9">
        <w:t xml:space="preserve"> since</w:t>
      </w:r>
      <w:r w:rsidRPr="00BE14C9">
        <w:t xml:space="preserve"> the County has entered into a Bulk Agreement with EU</w:t>
      </w:r>
      <w:r w:rsidR="007B2946" w:rsidRPr="00BE14C9">
        <w:t>.</w:t>
      </w:r>
      <w:r w:rsidR="00C10CA3" w:rsidRPr="00BE14C9">
        <w:t xml:space="preserve"> </w:t>
      </w:r>
      <w:r w:rsidR="007B2946" w:rsidRPr="00BE14C9">
        <w:t xml:space="preserve">EU further </w:t>
      </w:r>
      <w:r w:rsidR="00626FB3" w:rsidRPr="00BE14C9">
        <w:t>asserte</w:t>
      </w:r>
      <w:r w:rsidR="007B2946" w:rsidRPr="00BE14C9">
        <w:t>d that</w:t>
      </w:r>
      <w:r w:rsidRPr="00BE14C9">
        <w:t xml:space="preserve"> any purported rights the County has to serve the proposed service territory were transferred to EU</w:t>
      </w:r>
      <w:r w:rsidR="007B2946" w:rsidRPr="00BE14C9">
        <w:t xml:space="preserve"> due to the Bulk Agreement</w:t>
      </w:r>
      <w:r w:rsidR="00BA7188" w:rsidRPr="00BE14C9">
        <w:t>, and therefore</w:t>
      </w:r>
      <w:r w:rsidR="00555F13">
        <w:t>, they are</w:t>
      </w:r>
      <w:r w:rsidR="00BA7188" w:rsidRPr="00BE14C9">
        <w:t xml:space="preserve"> not in competition</w:t>
      </w:r>
      <w:r w:rsidRPr="00BE14C9">
        <w:t>.</w:t>
      </w:r>
      <w:r w:rsidR="0099605A" w:rsidRPr="00BE14C9">
        <w:t xml:space="preserve"> </w:t>
      </w:r>
      <w:r w:rsidRPr="00BE14C9">
        <w:t>(EU BR 8)</w:t>
      </w:r>
    </w:p>
    <w:p w14:paraId="1F649222" w14:textId="77777777" w:rsidR="00DE4013" w:rsidRPr="00BE14C9" w:rsidRDefault="00DE4013" w:rsidP="007025A0">
      <w:pPr>
        <w:pStyle w:val="BodyText"/>
        <w:spacing w:after="0"/>
      </w:pPr>
    </w:p>
    <w:p w14:paraId="7046DD18" w14:textId="77777777" w:rsidR="00DE4013" w:rsidRPr="00BE14C9" w:rsidRDefault="00DE4013" w:rsidP="007025A0">
      <w:pPr>
        <w:pStyle w:val="BodyText"/>
        <w:spacing w:after="0"/>
        <w:rPr>
          <w:rFonts w:ascii="Arial" w:hAnsi="Arial" w:cs="Arial"/>
          <w:b/>
        </w:rPr>
      </w:pPr>
      <w:r w:rsidRPr="00BE14C9">
        <w:rPr>
          <w:rFonts w:ascii="Arial" w:hAnsi="Arial" w:cs="Arial"/>
          <w:b/>
        </w:rPr>
        <w:t>LC</w:t>
      </w:r>
    </w:p>
    <w:p w14:paraId="699CCB24" w14:textId="77777777" w:rsidR="007025A0" w:rsidRDefault="007025A0" w:rsidP="007025A0">
      <w:pPr>
        <w:pStyle w:val="BodyText"/>
      </w:pPr>
      <w:r w:rsidRPr="00BE14C9">
        <w:t xml:space="preserve">LC </w:t>
      </w:r>
      <w:r w:rsidR="00626FB3" w:rsidRPr="00BE14C9">
        <w:t>asserted</w:t>
      </w:r>
      <w:r w:rsidRPr="00BE14C9">
        <w:t xml:space="preserve"> that the proposed service territory is already designated as part of the </w:t>
      </w:r>
      <w:r w:rsidR="0099605A" w:rsidRPr="00BE14C9">
        <w:t xml:space="preserve">Charlotte </w:t>
      </w:r>
      <w:r w:rsidR="00A216A1" w:rsidRPr="00BE14C9">
        <w:t>County Utilit</w:t>
      </w:r>
      <w:r w:rsidR="0099605A" w:rsidRPr="00BE14C9">
        <w:t>ies</w:t>
      </w:r>
      <w:r w:rsidR="00F14CF2">
        <w:t>’</w:t>
      </w:r>
      <w:r w:rsidR="0099605A" w:rsidRPr="00BE14C9">
        <w:t xml:space="preserve"> </w:t>
      </w:r>
      <w:r w:rsidRPr="00BE14C9">
        <w:t xml:space="preserve">service area, except for Knight Island Utilities and Hideaway Bay. (LC BR 14) LC </w:t>
      </w:r>
      <w:r w:rsidR="00626FB3" w:rsidRPr="00BE14C9">
        <w:t>highlighted</w:t>
      </w:r>
      <w:r w:rsidRPr="00BE14C9">
        <w:t xml:space="preserve"> that per the Utility’s map and EU witness Boyer’s testimony, some Knight Island Utilities customers would have to disconnect service then connect to EU’s service at additional cost. (LC BR 14) LC further </w:t>
      </w:r>
      <w:r w:rsidR="00626FB3" w:rsidRPr="00BE14C9">
        <w:t>not</w:t>
      </w:r>
      <w:r w:rsidRPr="00BE14C9">
        <w:t>ed that the Utility’s maps and territorial description were not properly updated to reflect the removal of Hideaway Bay. (LC BR 14-15)</w:t>
      </w:r>
    </w:p>
    <w:p w14:paraId="3F2A13CC" w14:textId="77777777" w:rsidR="0095668F" w:rsidRDefault="005833F0" w:rsidP="005D22AB">
      <w:pPr>
        <w:keepNext/>
        <w:spacing w:before="240" w:after="240"/>
        <w:jc w:val="center"/>
        <w:rPr>
          <w:rFonts w:ascii="Arial" w:hAnsi="Arial" w:cs="Arial"/>
          <w:b/>
        </w:rPr>
      </w:pPr>
      <w:r>
        <w:rPr>
          <w:rFonts w:ascii="Arial" w:hAnsi="Arial" w:cs="Arial"/>
          <w:b/>
        </w:rPr>
        <w:t>ANALYSIS</w:t>
      </w:r>
    </w:p>
    <w:p w14:paraId="4C464C48" w14:textId="77777777" w:rsidR="0099605A" w:rsidRPr="004C4444" w:rsidRDefault="0099605A" w:rsidP="004C4444">
      <w:pPr>
        <w:pStyle w:val="BodyText"/>
        <w:rPr>
          <w:color w:val="000000"/>
        </w:rPr>
      </w:pPr>
      <w:r w:rsidRPr="004C4444">
        <w:rPr>
          <w:color w:val="000000"/>
        </w:rPr>
        <w:t xml:space="preserve">Pursuant to Section 367.045(5)(a), F.S., the Commission may not grant a certificate of authorization for a proposed system that will be in competition with, or duplication of, any other system or portion of a system, unless it first determines that such other system or portion thereof is inadequate to meet the reasonable needs of the public or that the person operating the system is unable, refuses, or neglects to provide reasonably adequate service. Section 367.021(11), F.S., defines “system” as facilities and land used or useful in providing service. </w:t>
      </w:r>
    </w:p>
    <w:p w14:paraId="01BD1D0C" w14:textId="2B0E93E4" w:rsidR="006B64EC" w:rsidRPr="006B64EC" w:rsidRDefault="006B64EC" w:rsidP="006B64EC">
      <w:pPr>
        <w:spacing w:after="240"/>
        <w:jc w:val="both"/>
        <w:rPr>
          <w:color w:val="000000"/>
        </w:rPr>
      </w:pPr>
      <w:r w:rsidRPr="006B64EC">
        <w:rPr>
          <w:color w:val="000000"/>
        </w:rPr>
        <w:t>EU witness Boyer testified that two exempt utilities with package plants provide wastewater service to parts of the bridgeless barrier islands, including Knight Island Utilities. (TR 80) LC witness Cotherman attested that a segment of the northern portion of the service territory is already being served by Knight Island Utilities. (EXH 17 BSP 886) At the hearing, EU witness Boyer agreed that a portion of EU’s proposed service territory is already served by Knight Island Utilities, and that the Utility planned to disconnect customers from Knight Island Utilities’ collection system and attach them to EU’s collection system. (TR 69) EU did not provide a statement or evidence that Knight Island Utilities’ system is inadequate to meet the reasonable needs of the public or is unable, refusing, or neglecting the provision of reasonably adequate service. As part of the proposed service territory is already being served by an existing wastewater utility, the certification of EU would result, in part, in the creation of a utility which will be in competition with, or duplication of, another system. Staff therefore recommends that if EU’s application is approved, the territory granted should exclude from EU’s request</w:t>
      </w:r>
      <w:r w:rsidR="00063501">
        <w:rPr>
          <w:color w:val="000000"/>
        </w:rPr>
        <w:t>,</w:t>
      </w:r>
      <w:r w:rsidRPr="006B64EC">
        <w:rPr>
          <w:color w:val="000000"/>
        </w:rPr>
        <w:t xml:space="preserve"> that area which is already being served by any existing wastewater system. There is currently no record evidence demonstrating what the appropriate amended territory should be. If the Commission grants EU’s application, </w:t>
      </w:r>
      <w:r w:rsidRPr="006B64EC">
        <w:t>the Utility should be required to file an amended territory description and map within 30 days of the issuance of the Commission’s order, and this docket should remain open for the parties and Commission to address the amended territory description and map.</w:t>
      </w:r>
    </w:p>
    <w:p w14:paraId="701B4465" w14:textId="77777777" w:rsidR="0095668F" w:rsidRDefault="0095668F" w:rsidP="005D22AB">
      <w:pPr>
        <w:keepNext/>
        <w:spacing w:before="240" w:after="240"/>
        <w:jc w:val="center"/>
        <w:rPr>
          <w:rFonts w:ascii="Arial" w:hAnsi="Arial" w:cs="Arial"/>
          <w:b/>
        </w:rPr>
      </w:pPr>
      <w:r>
        <w:rPr>
          <w:rFonts w:ascii="Arial" w:hAnsi="Arial" w:cs="Arial"/>
          <w:b/>
        </w:rPr>
        <w:t>CONCLUSION</w:t>
      </w:r>
    </w:p>
    <w:p w14:paraId="5FF88626" w14:textId="77777777" w:rsidR="006B64EC" w:rsidRPr="006B64EC" w:rsidRDefault="006B64EC" w:rsidP="006B64EC">
      <w:pPr>
        <w:spacing w:after="240"/>
        <w:jc w:val="both"/>
      </w:pPr>
      <w:r w:rsidRPr="006B64EC">
        <w:t>A</w:t>
      </w:r>
      <w:r w:rsidRPr="006B64EC">
        <w:rPr>
          <w:color w:val="000000"/>
        </w:rPr>
        <w:t xml:space="preserve"> portion of EU’s proposed service territory is currently receiving wastewater service from Knight Island Utilities; therefore, </w:t>
      </w:r>
      <w:r w:rsidRPr="006B64EC">
        <w:t>certification of EU would result, in part, in the creation of a utility which will be in competition with, or duplication of, another system. If the Commission grants EU’s request for certification, the Utility should be required to file an amended territory description and map within 30 days of the issuance of the Commission’s order, and this docket should remain open for the parties and Commission to address the amended territory description and map.</w:t>
      </w:r>
    </w:p>
    <w:p w14:paraId="0312EC53" w14:textId="77777777" w:rsidR="006E3F46" w:rsidRDefault="006E3F46">
      <w:pPr>
        <w:pStyle w:val="IssueHeading"/>
        <w:rPr>
          <w:vanish/>
          <w:specVanish/>
        </w:rPr>
      </w:pPr>
      <w:r w:rsidRPr="004C3641">
        <w:rPr>
          <w:b w:val="0"/>
          <w:i w:val="0"/>
        </w:rPr>
        <w:br w:type="page"/>
      </w:r>
      <w:r w:rsidRPr="004C3641">
        <w:t xml:space="preserve">Issue </w:t>
      </w:r>
      <w:fldSimple w:instr=" SEQ Issue \* MERGEFORMAT ">
        <w:r w:rsidR="0028227E">
          <w:rPr>
            <w:noProof/>
          </w:rPr>
          <w:t>5</w:t>
        </w:r>
      </w:fldSimple>
      <w:r w:rsidRPr="004C3641">
        <w:t>:</w:t>
      </w:r>
      <w:r>
        <w:fldChar w:fldCharType="begin"/>
      </w:r>
      <w:r>
        <w:instrText xml:space="preserve"> TC "</w:instrText>
      </w:r>
      <w:bookmarkStart w:id="18" w:name="_Toc104278775"/>
      <w:r w:rsidR="00E07FD5">
        <w:instrText xml:space="preserve">Issue </w:instrText>
      </w:r>
      <w:r>
        <w:fldChar w:fldCharType="begin"/>
      </w:r>
      <w:r>
        <w:instrText xml:space="preserve"> SEQ issue \c </w:instrText>
      </w:r>
      <w:r>
        <w:fldChar w:fldCharType="separate"/>
      </w:r>
      <w:r w:rsidR="0028227E">
        <w:rPr>
          <w:noProof/>
        </w:rPr>
        <w:instrText>5</w:instrText>
      </w:r>
      <w:r>
        <w:fldChar w:fldCharType="end"/>
      </w:r>
      <w:r w:rsidR="00E07FD5">
        <w:instrText xml:space="preserve"> - Financial Ability</w:instrText>
      </w:r>
      <w:bookmarkEnd w:id="18"/>
      <w:r>
        <w:tab/>
        <w:instrText xml:space="preserve">" \l 1 </w:instrText>
      </w:r>
      <w:r>
        <w:fldChar w:fldCharType="end"/>
      </w:r>
      <w:r>
        <w:t> </w:t>
      </w:r>
    </w:p>
    <w:p w14:paraId="0800D12C" w14:textId="77777777" w:rsidR="006E3F46" w:rsidRDefault="006E3F46">
      <w:pPr>
        <w:pStyle w:val="BodyText"/>
      </w:pPr>
      <w:r>
        <w:t> </w:t>
      </w:r>
      <w:r w:rsidR="00BB75C9" w:rsidRPr="00DA500F">
        <w:t>Does Environmental Utilities have the financial ability to serve the requested territory?</w:t>
      </w:r>
    </w:p>
    <w:p w14:paraId="22652E20" w14:textId="77777777" w:rsidR="006E3F46" w:rsidRPr="004C3641" w:rsidRDefault="006E3F46">
      <w:pPr>
        <w:pStyle w:val="IssueSubsectionHeading"/>
        <w:rPr>
          <w:vanish/>
          <w:specVanish/>
        </w:rPr>
      </w:pPr>
      <w:r w:rsidRPr="004C3641">
        <w:t>Recommendation: </w:t>
      </w:r>
    </w:p>
    <w:p w14:paraId="1EA74162" w14:textId="498B8B23" w:rsidR="0076247D" w:rsidRDefault="0076247D" w:rsidP="0076247D">
      <w:pPr>
        <w:pStyle w:val="BodyText"/>
      </w:pPr>
      <w:r>
        <w:t>Yes. The Utility has the financial ability to serve the requested territory. (Thurmond)</w:t>
      </w:r>
    </w:p>
    <w:p w14:paraId="118406F0" w14:textId="77777777" w:rsidR="00BB75C9" w:rsidRDefault="00BB75C9" w:rsidP="00BB75C9">
      <w:pPr>
        <w:pStyle w:val="BodyText"/>
        <w:spacing w:after="0"/>
        <w:rPr>
          <w:rFonts w:ascii="Arial" w:hAnsi="Arial" w:cs="Arial"/>
          <w:b/>
        </w:rPr>
      </w:pPr>
      <w:r w:rsidRPr="006E3F46">
        <w:rPr>
          <w:rFonts w:ascii="Arial" w:hAnsi="Arial" w:cs="Arial"/>
          <w:b/>
        </w:rPr>
        <w:t>Position of the Parties</w:t>
      </w:r>
    </w:p>
    <w:p w14:paraId="110AD51B" w14:textId="77777777" w:rsidR="00BB75C9" w:rsidRDefault="00BB75C9" w:rsidP="00BB75C9">
      <w:pPr>
        <w:jc w:val="both"/>
        <w:rPr>
          <w:bCs/>
        </w:rPr>
      </w:pPr>
    </w:p>
    <w:p w14:paraId="679E3992" w14:textId="77777777" w:rsidR="00CD3DE9" w:rsidRPr="00BB75C9" w:rsidRDefault="00CD3DE9" w:rsidP="00CD3DE9">
      <w:pPr>
        <w:jc w:val="both"/>
        <w:rPr>
          <w:b/>
          <w:bCs/>
        </w:rPr>
      </w:pPr>
      <w:r w:rsidRPr="00DE4013">
        <w:rPr>
          <w:rFonts w:ascii="Arial" w:hAnsi="Arial" w:cs="Arial"/>
          <w:b/>
          <w:bCs/>
        </w:rPr>
        <w:t>EU</w:t>
      </w:r>
      <w:r w:rsidRPr="00BB75C9">
        <w:rPr>
          <w:b/>
          <w:bCs/>
        </w:rPr>
        <w:t>:</w:t>
      </w:r>
      <w:r w:rsidR="00FC2233">
        <w:rPr>
          <w:bCs/>
        </w:rPr>
        <w:t xml:space="preserve"> Yes.</w:t>
      </w:r>
    </w:p>
    <w:p w14:paraId="3C13868B" w14:textId="77777777" w:rsidR="00CD3DE9" w:rsidRPr="00DA500F" w:rsidRDefault="00CD3DE9" w:rsidP="00CD3DE9">
      <w:pPr>
        <w:jc w:val="both"/>
        <w:rPr>
          <w:bCs/>
        </w:rPr>
      </w:pPr>
    </w:p>
    <w:p w14:paraId="541D6540" w14:textId="77777777" w:rsidR="00DD5009" w:rsidRPr="00DD5009" w:rsidRDefault="00DD5009" w:rsidP="00DD5009">
      <w:pPr>
        <w:ind w:left="1440" w:hanging="1440"/>
        <w:jc w:val="both"/>
        <w:rPr>
          <w:bCs/>
        </w:rPr>
      </w:pPr>
      <w:r w:rsidRPr="00DE4013">
        <w:rPr>
          <w:rFonts w:ascii="Arial" w:hAnsi="Arial" w:cs="Arial"/>
          <w:b/>
          <w:bCs/>
        </w:rPr>
        <w:t>OPC</w:t>
      </w:r>
      <w:r w:rsidRPr="00BB75C9">
        <w:rPr>
          <w:b/>
          <w:bCs/>
        </w:rPr>
        <w:t>:</w:t>
      </w:r>
      <w:r>
        <w:rPr>
          <w:b/>
          <w:bCs/>
        </w:rPr>
        <w:t xml:space="preserve"> </w:t>
      </w:r>
      <w:r w:rsidR="00343D83">
        <w:rPr>
          <w:bCs/>
        </w:rPr>
        <w:t>No position.</w:t>
      </w:r>
    </w:p>
    <w:p w14:paraId="06C23187" w14:textId="77777777" w:rsidR="00CD3DE9" w:rsidRPr="00DA500F" w:rsidRDefault="00CD3DE9" w:rsidP="00CD3DE9">
      <w:pPr>
        <w:jc w:val="both"/>
        <w:rPr>
          <w:bCs/>
        </w:rPr>
      </w:pPr>
    </w:p>
    <w:p w14:paraId="62F2C362" w14:textId="77777777" w:rsidR="00CD3DE9" w:rsidRPr="00E67C09" w:rsidRDefault="00CD3DE9" w:rsidP="00CD3DE9">
      <w:pPr>
        <w:jc w:val="both"/>
        <w:rPr>
          <w:bCs/>
        </w:rPr>
      </w:pPr>
      <w:r w:rsidRPr="00DE4013">
        <w:rPr>
          <w:rFonts w:ascii="Arial" w:hAnsi="Arial" w:cs="Arial"/>
          <w:b/>
          <w:bCs/>
        </w:rPr>
        <w:t>PIE</w:t>
      </w:r>
      <w:r w:rsidRPr="00BB75C9">
        <w:rPr>
          <w:b/>
          <w:bCs/>
        </w:rPr>
        <w:t>:</w:t>
      </w:r>
      <w:r w:rsidR="00E67C09">
        <w:rPr>
          <w:b/>
          <w:bCs/>
        </w:rPr>
        <w:t xml:space="preserve"> </w:t>
      </w:r>
      <w:r w:rsidR="00E67C09">
        <w:t>No</w:t>
      </w:r>
      <w:r w:rsidR="00353552">
        <w:t xml:space="preserve">, Environmental Utilities </w:t>
      </w:r>
      <w:r w:rsidR="00E67C09">
        <w:t>does not have the financial wherewithal to serve the requested territory.</w:t>
      </w:r>
    </w:p>
    <w:p w14:paraId="163E8169" w14:textId="77777777" w:rsidR="00CD3DE9" w:rsidRDefault="00CD3DE9" w:rsidP="00CD3DE9">
      <w:pPr>
        <w:jc w:val="both"/>
        <w:rPr>
          <w:bCs/>
        </w:rPr>
      </w:pPr>
    </w:p>
    <w:p w14:paraId="76F767D1" w14:textId="77777777" w:rsidR="00BB75C9" w:rsidRPr="006E3F46" w:rsidRDefault="00CD3DE9" w:rsidP="00781AAF">
      <w:pPr>
        <w:tabs>
          <w:tab w:val="left" w:pos="0"/>
        </w:tabs>
        <w:jc w:val="both"/>
      </w:pPr>
      <w:r w:rsidRPr="00DE4013">
        <w:rPr>
          <w:rFonts w:ascii="Arial" w:hAnsi="Arial" w:cs="Arial"/>
          <w:b/>
          <w:bCs/>
        </w:rPr>
        <w:t>LC</w:t>
      </w:r>
      <w:r w:rsidRPr="00CD3DE9">
        <w:rPr>
          <w:b/>
          <w:bCs/>
        </w:rPr>
        <w:t>:</w:t>
      </w:r>
      <w:r w:rsidR="00353552" w:rsidRPr="00353552">
        <w:t xml:space="preserve"> </w:t>
      </w:r>
      <w:r w:rsidR="00781AAF" w:rsidRPr="00542E0D">
        <w:t>No.</w:t>
      </w:r>
      <w:r w:rsidR="00781AAF">
        <w:t xml:space="preserve"> </w:t>
      </w:r>
      <w:r w:rsidR="00781AAF" w:rsidRPr="00542E0D">
        <w:t>Environmental Utilities has limited financial history and is currently in debt. No funding sources have been identified or documented to date outside of the suggestion of equity financing based on personal finances. Expert testimony has established that Environmental Utilities will be unable to service the construction debt based on the rates and charges provided.</w:t>
      </w:r>
    </w:p>
    <w:p w14:paraId="0C56B27E" w14:textId="77777777" w:rsidR="00781AAF" w:rsidRPr="005A2781" w:rsidRDefault="00781AAF" w:rsidP="005A2781"/>
    <w:p w14:paraId="750A3F19" w14:textId="77777777" w:rsidR="003B57AB" w:rsidRPr="004C3641" w:rsidRDefault="003B57AB" w:rsidP="00781AAF">
      <w:pPr>
        <w:pStyle w:val="IssueSubsectionHeading"/>
        <w:spacing w:after="0"/>
        <w:rPr>
          <w:vanish/>
          <w:specVanish/>
        </w:rPr>
      </w:pPr>
      <w:r w:rsidRPr="004C3641">
        <w:t>Staff Analysis: </w:t>
      </w:r>
    </w:p>
    <w:p w14:paraId="25238C2F" w14:textId="77777777" w:rsidR="003B57AB" w:rsidRDefault="003B57AB" w:rsidP="003B57AB">
      <w:pPr>
        <w:pStyle w:val="BodyText"/>
      </w:pPr>
      <w:r>
        <w:t> </w:t>
      </w:r>
    </w:p>
    <w:p w14:paraId="5FC5A257" w14:textId="77777777" w:rsidR="0095668F" w:rsidRDefault="005833F0" w:rsidP="0095668F">
      <w:pPr>
        <w:pStyle w:val="BodyText"/>
        <w:spacing w:after="0"/>
        <w:jc w:val="center"/>
        <w:rPr>
          <w:rFonts w:ascii="Arial" w:hAnsi="Arial" w:cs="Arial"/>
          <w:b/>
        </w:rPr>
      </w:pPr>
      <w:r>
        <w:rPr>
          <w:rFonts w:ascii="Arial" w:hAnsi="Arial" w:cs="Arial"/>
          <w:b/>
        </w:rPr>
        <w:t>PARTIES’ ARGUMENTS</w:t>
      </w:r>
    </w:p>
    <w:p w14:paraId="3BF1D772" w14:textId="77777777" w:rsidR="007B0984" w:rsidRDefault="007B0984" w:rsidP="007B0984">
      <w:pPr>
        <w:pStyle w:val="First-LevelSubheading"/>
      </w:pPr>
      <w:r>
        <w:t>EU</w:t>
      </w:r>
    </w:p>
    <w:p w14:paraId="47E30336" w14:textId="77777777" w:rsidR="007B0984" w:rsidRPr="00815940" w:rsidRDefault="007B0984" w:rsidP="005A2781">
      <w:pPr>
        <w:pStyle w:val="BodyText"/>
        <w:rPr>
          <w:b/>
          <w:bCs/>
          <w:iCs/>
        </w:rPr>
      </w:pPr>
      <w:r w:rsidRPr="00FE60C0">
        <w:t>In its brief, EU asserted that the owners have the ability to raise the money necessary to invest in EU. (EU BR 8; EXH 20) EU further stated that while the Utility does not currently have any loan commitments, it has a party interested in fundi</w:t>
      </w:r>
      <w:r>
        <w:t xml:space="preserve">ng the project subject to certification and ratemaking treatment. (EU BR 8; EXH 2 </w:t>
      </w:r>
      <w:r w:rsidR="00A770E3">
        <w:t>BSP 25</w:t>
      </w:r>
      <w:r>
        <w:t>) EU</w:t>
      </w:r>
      <w:r w:rsidRPr="00567023">
        <w:t xml:space="preserve"> also stated that, due to PIE witness Schultz’s lack of utility regulatory accounting experience, she is incorrect in her assessment that EU does not have the financial ability to fund the Utili</w:t>
      </w:r>
      <w:r>
        <w:t>ty. (EU BR 8; TR 220) Lastly, EU</w:t>
      </w:r>
      <w:r w:rsidRPr="00567023">
        <w:t xml:space="preserve"> stated </w:t>
      </w:r>
      <w:r w:rsidR="003742D7">
        <w:t xml:space="preserve">that </w:t>
      </w:r>
      <w:r w:rsidRPr="00567023">
        <w:t>EU witness Swain addressed each error in PIE witness Schultz’s testimony and opined that EU is going to be in the position to fully fund the construction and operation of the Utility. (EU BR 8; TR 297-298; TR 150)</w:t>
      </w:r>
    </w:p>
    <w:p w14:paraId="6AFEFD71" w14:textId="77777777" w:rsidR="007B0984" w:rsidRPr="005A2781" w:rsidRDefault="007B0984" w:rsidP="005A2781"/>
    <w:p w14:paraId="534DB530" w14:textId="77777777" w:rsidR="007B0984" w:rsidRDefault="007B0984" w:rsidP="007B0984">
      <w:pPr>
        <w:pStyle w:val="First-LevelSubheading"/>
      </w:pPr>
      <w:r>
        <w:t>PIE</w:t>
      </w:r>
    </w:p>
    <w:p w14:paraId="672CC3E2" w14:textId="108506C7" w:rsidR="007B0984" w:rsidRDefault="007B0984" w:rsidP="005A2781">
      <w:pPr>
        <w:pStyle w:val="BodyText"/>
        <w:rPr>
          <w:b/>
          <w:bCs/>
          <w:iCs/>
        </w:rPr>
      </w:pPr>
      <w:r w:rsidRPr="00D07637">
        <w:t xml:space="preserve">In its brief, PIE stated that </w:t>
      </w:r>
      <w:r>
        <w:t>EU does not have the financial wherewithal to serve the pro</w:t>
      </w:r>
      <w:r w:rsidR="006B64EC">
        <w:t xml:space="preserve">posed service area. (PIE BR 11; </w:t>
      </w:r>
      <w:r>
        <w:t xml:space="preserve">TR 218) </w:t>
      </w:r>
      <w:r w:rsidR="001C385A">
        <w:t>W</w:t>
      </w:r>
      <w:r>
        <w:t>itness Schultz stated that the letters from Centennial Bank and Freedom Holdings Manatee, LLC are</w:t>
      </w:r>
      <w:r w:rsidR="0076247D">
        <w:t xml:space="preserve"> no</w:t>
      </w:r>
      <w:r>
        <w:t xml:space="preserve">t proof of the financial ability of EU for several reasons. (PIE BR 12; EXH 2 </w:t>
      </w:r>
      <w:r w:rsidR="00A770E3">
        <w:t>BSP 25</w:t>
      </w:r>
      <w:r>
        <w:t>; EXH 20) Regarding the Centennial Bank letter, PIE emphasized that the letter specifically stated that</w:t>
      </w:r>
      <w:r w:rsidR="0076247D">
        <w:t xml:space="preserve">, </w:t>
      </w:r>
      <w:r>
        <w:t xml:space="preserve">“this letter is not a commitment to lend.” (PIE BR 12; EXH 2 </w:t>
      </w:r>
      <w:r w:rsidR="00A770E3">
        <w:t>BSP 25</w:t>
      </w:r>
      <w:r>
        <w:t>) Regarding the Freedom Holdings Manatee, LLC</w:t>
      </w:r>
      <w:r w:rsidR="0076247D">
        <w:t>’s</w:t>
      </w:r>
      <w:r>
        <w:t xml:space="preserve"> letter, PIE argued that there were several unknowns such as the loan terms, the lack of an appraisal of the system due to EU not being certificated, and the ability of Freedom Holdings Manatee, LLC to fund a project </w:t>
      </w:r>
      <w:r w:rsidR="00F14CF2">
        <w:t xml:space="preserve">for which </w:t>
      </w:r>
      <w:r>
        <w:t>costs have not been fully determined. (PIE BR 12; EXH 20; TR 48-50; TR 148)</w:t>
      </w:r>
    </w:p>
    <w:p w14:paraId="3B639FF3" w14:textId="77777777" w:rsidR="00781AAF" w:rsidRPr="00781AAF" w:rsidRDefault="00781AAF" w:rsidP="00781AAF">
      <w:pPr>
        <w:pStyle w:val="BodyText"/>
        <w:spacing w:after="0"/>
      </w:pPr>
    </w:p>
    <w:p w14:paraId="77FC07DD" w14:textId="77777777" w:rsidR="007B0984" w:rsidRDefault="007B0984" w:rsidP="00781AAF">
      <w:pPr>
        <w:pStyle w:val="First-LevelSubheading"/>
      </w:pPr>
      <w:r>
        <w:t>LC</w:t>
      </w:r>
    </w:p>
    <w:p w14:paraId="1AC69A48" w14:textId="1CD175FF" w:rsidR="007B0984" w:rsidRDefault="007B0984" w:rsidP="007B0984">
      <w:pPr>
        <w:pStyle w:val="BodyText"/>
      </w:pPr>
      <w:r>
        <w:t xml:space="preserve">In its brief, LC stated that based on the testimony of PIE witness Shultz, who stated that EU and the Boyers will be unable to fulfill their debt obligations, EU has not met its burden to demonstrate the necessary financial ability to provide service to the proposed service area </w:t>
      </w:r>
      <w:r w:rsidR="006B64EC">
        <w:t>pursuant to</w:t>
      </w:r>
      <w:r>
        <w:t xml:space="preserve"> Rule 25-30.033, F.A.C. (LC BR 15; EXH 13) LC also stated that EU has not demonstrated that it has the financial resources to hire, staff, and handle the business management of a public utility on the order of magnitude </w:t>
      </w:r>
      <w:r w:rsidR="00F14CF2">
        <w:t>of</w:t>
      </w:r>
      <w:r>
        <w:t xml:space="preserve"> that which would be governed by the </w:t>
      </w:r>
      <w:r w:rsidR="006B64EC">
        <w:t>c</w:t>
      </w:r>
      <w:r w:rsidR="001C385A">
        <w:t>ertif</w:t>
      </w:r>
      <w:r w:rsidR="00AE2990">
        <w:t>icate</w:t>
      </w:r>
      <w:r>
        <w:t xml:space="preserve"> of </w:t>
      </w:r>
      <w:r w:rsidR="006B64EC">
        <w:t>a</w:t>
      </w:r>
      <w:r>
        <w:t>uthorization. (LC BR 16)</w:t>
      </w:r>
    </w:p>
    <w:p w14:paraId="50196C56" w14:textId="77777777" w:rsidR="007B0984" w:rsidRPr="009B42BC" w:rsidRDefault="007B0984" w:rsidP="007B0984">
      <w:pPr>
        <w:pStyle w:val="IssueSubsectionHeading"/>
        <w:jc w:val="center"/>
        <w:rPr>
          <w:i w:val="0"/>
          <w:vanish/>
          <w:specVanish/>
        </w:rPr>
      </w:pPr>
      <w:r w:rsidRPr="009B42BC">
        <w:rPr>
          <w:i w:val="0"/>
        </w:rPr>
        <w:t>ANALYSIS</w:t>
      </w:r>
    </w:p>
    <w:p w14:paraId="7A5DF136" w14:textId="77777777" w:rsidR="007B0984" w:rsidRDefault="007B0984" w:rsidP="007B0984">
      <w:pPr>
        <w:pStyle w:val="BodyText"/>
      </w:pPr>
    </w:p>
    <w:p w14:paraId="00FB99E2" w14:textId="51021D3E" w:rsidR="007B0984" w:rsidRPr="008438D6" w:rsidRDefault="007B0984" w:rsidP="007B0984">
      <w:pPr>
        <w:pStyle w:val="BodyText"/>
      </w:pPr>
      <w:r>
        <w:t>The Utility provided both the financial statements of the Utility and the personal</w:t>
      </w:r>
      <w:r w:rsidRPr="009B42BC">
        <w:rPr>
          <w:b/>
        </w:rPr>
        <w:t xml:space="preserve"> </w:t>
      </w:r>
      <w:r w:rsidRPr="009B42BC">
        <w:t xml:space="preserve">financial statements of </w:t>
      </w:r>
      <w:r>
        <w:t>EU’s owner</w:t>
      </w:r>
      <w:r w:rsidR="009B7306">
        <w:t>s</w:t>
      </w:r>
      <w:r>
        <w:t>. (EXH 2</w:t>
      </w:r>
      <w:r w:rsidRPr="009B42BC">
        <w:t xml:space="preserve"> </w:t>
      </w:r>
      <w:r w:rsidR="00A770E3">
        <w:t>BSP 22</w:t>
      </w:r>
      <w:r w:rsidRPr="009B42BC">
        <w:t xml:space="preserve">; EXH 41) </w:t>
      </w:r>
      <w:r>
        <w:t xml:space="preserve">EU also provided letters from Centennial Bank and </w:t>
      </w:r>
      <w:r w:rsidRPr="00C84771">
        <w:t>Freedom Holdings Manatee, LLC</w:t>
      </w:r>
      <w:r>
        <w:t xml:space="preserve">, both of whom showed interest in providing loans to the Boyers pending </w:t>
      </w:r>
      <w:r w:rsidR="0076247D">
        <w:t xml:space="preserve">Commission </w:t>
      </w:r>
      <w:r>
        <w:t xml:space="preserve">approval of the wastewater certificate. (EXH 2 </w:t>
      </w:r>
      <w:r w:rsidR="00A770E3">
        <w:t>BSP 25</w:t>
      </w:r>
      <w:r>
        <w:t>; EXH 20) While staff agrees that these letters do</w:t>
      </w:r>
      <w:r w:rsidR="0076247D">
        <w:t xml:space="preserve"> not</w:t>
      </w:r>
      <w:r>
        <w:t xml:space="preserve"> signify a guaranteed contract between EU and the lender, staff believes they do demonstrate EU’s potential ability to raise the necessary capital.</w:t>
      </w:r>
      <w:r w:rsidRPr="007D18C5">
        <w:t xml:space="preserve"> In response to discovery, the Utility stated that it would like to be funded with a combination of debt and equity</w:t>
      </w:r>
      <w:r>
        <w:t>,</w:t>
      </w:r>
      <w:r w:rsidRPr="007D18C5">
        <w:t xml:space="preserve"> but unti</w:t>
      </w:r>
      <w:r>
        <w:t>l the c</w:t>
      </w:r>
      <w:r w:rsidRPr="007D18C5">
        <w:t>ertificate is granted</w:t>
      </w:r>
      <w:r>
        <w:t>,</w:t>
      </w:r>
      <w:r w:rsidRPr="007D18C5">
        <w:t xml:space="preserve"> it is premature to bring in an investor or obtain a loan</w:t>
      </w:r>
      <w:r w:rsidR="00F14CF2">
        <w:t>;</w:t>
      </w:r>
      <w:r w:rsidRPr="007D18C5">
        <w:t xml:space="preserve"> thus the owner is prepared to fund the Utility with an infusion of equity through personal loans. </w:t>
      </w:r>
      <w:r w:rsidRPr="008438D6">
        <w:t>(</w:t>
      </w:r>
      <w:r>
        <w:t xml:space="preserve">EXH 22 </w:t>
      </w:r>
      <w:r w:rsidR="00A770E3">
        <w:t>BSP 930; EXH 27</w:t>
      </w:r>
      <w:r>
        <w:t xml:space="preserve"> BSP </w:t>
      </w:r>
      <w:r w:rsidR="00A770E3">
        <w:t>955</w:t>
      </w:r>
      <w:r w:rsidR="00406CEB">
        <w:t>)</w:t>
      </w:r>
    </w:p>
    <w:p w14:paraId="4F4B30EB" w14:textId="77777777" w:rsidR="007B0984" w:rsidRDefault="007B0984" w:rsidP="007B0984">
      <w:pPr>
        <w:pStyle w:val="BodyText"/>
      </w:pPr>
      <w:r w:rsidRPr="008438D6">
        <w:t xml:space="preserve">In response to PIE witness Schultz’s opinion that EU </w:t>
      </w:r>
      <w:r w:rsidR="00FB6393">
        <w:t xml:space="preserve">would </w:t>
      </w:r>
      <w:r w:rsidRPr="008438D6">
        <w:t>be unable to fulfill its debt obligations, EU witness Swain made two corrections she believes are necessary to witness Schultz’s calculations. (EXH 13</w:t>
      </w:r>
      <w:r w:rsidR="00A770E3">
        <w:t xml:space="preserve"> BSP 875</w:t>
      </w:r>
      <w:r w:rsidRPr="008438D6">
        <w:t xml:space="preserve">; TR 297-298) First, witness Schultz only included </w:t>
      </w:r>
      <w:r w:rsidR="00F14CF2">
        <w:t>cont</w:t>
      </w:r>
      <w:r w:rsidR="00AE2990">
        <w:t>r</w:t>
      </w:r>
      <w:r w:rsidR="00F14CF2">
        <w:t>ibutions in aid of construction (</w:t>
      </w:r>
      <w:r w:rsidRPr="008438D6">
        <w:t>CIAC</w:t>
      </w:r>
      <w:r w:rsidR="00F14CF2">
        <w:t>)</w:t>
      </w:r>
      <w:r w:rsidRPr="008438D6">
        <w:t xml:space="preserve"> charges based on </w:t>
      </w:r>
      <w:r>
        <w:t>ERC</w:t>
      </w:r>
      <w:r w:rsidRPr="008438D6">
        <w:t>s at year one, without including additional connections that</w:t>
      </w:r>
      <w:r>
        <w:t xml:space="preserve"> the</w:t>
      </w:r>
      <w:r w:rsidRPr="008438D6">
        <w:t xml:space="preserve"> Utility is anticipating. (EXH 13</w:t>
      </w:r>
      <w:r w:rsidR="00A770E3">
        <w:t xml:space="preserve"> BSP 872</w:t>
      </w:r>
      <w:r w:rsidRPr="008438D6">
        <w:t xml:space="preserve">; TR 297-298) </w:t>
      </w:r>
      <w:r>
        <w:t>Second</w:t>
      </w:r>
      <w:r w:rsidRPr="008438D6">
        <w:t>, witness Schultz failed to include extra cash the Utility would have on hand due to depreciation and amortization expense</w:t>
      </w:r>
      <w:r>
        <w:t>s</w:t>
      </w:r>
      <w:r w:rsidRPr="008438D6">
        <w:t xml:space="preserve"> being non-cash expenses. (EXH 13</w:t>
      </w:r>
      <w:r w:rsidR="00A770E3">
        <w:t xml:space="preserve"> BSP 873</w:t>
      </w:r>
      <w:r w:rsidRPr="008438D6">
        <w:t>; TR 297-298)</w:t>
      </w:r>
    </w:p>
    <w:p w14:paraId="12A07B98" w14:textId="77777777" w:rsidR="0076247D" w:rsidRDefault="0076247D" w:rsidP="0076247D">
      <w:pPr>
        <w:keepNext/>
        <w:spacing w:before="240" w:after="240"/>
        <w:jc w:val="center"/>
        <w:rPr>
          <w:rFonts w:ascii="Arial" w:hAnsi="Arial" w:cs="Arial"/>
          <w:b/>
        </w:rPr>
      </w:pPr>
      <w:r>
        <w:rPr>
          <w:rFonts w:ascii="Arial" w:hAnsi="Arial" w:cs="Arial"/>
          <w:b/>
        </w:rPr>
        <w:t>CONCLUSION</w:t>
      </w:r>
    </w:p>
    <w:p w14:paraId="31B23B74" w14:textId="3A0396F5" w:rsidR="0095668F" w:rsidRDefault="007B0984" w:rsidP="00DE4013">
      <w:pPr>
        <w:pStyle w:val="BodyText"/>
      </w:pPr>
      <w:r>
        <w:t xml:space="preserve">Staff </w:t>
      </w:r>
      <w:r w:rsidR="006B64EC">
        <w:t>recommends</w:t>
      </w:r>
      <w:r>
        <w:t xml:space="preserve"> that, based on </w:t>
      </w:r>
      <w:r w:rsidR="006B64EC">
        <w:t>its</w:t>
      </w:r>
      <w:r w:rsidR="001C385A">
        <w:t xml:space="preserve"> </w:t>
      </w:r>
      <w:r>
        <w:t>analysis of the financial documents provided by the Utility and the owners, EU has met its burden of demonstrating the financial ability necessary to fund the Utility. Therefore, staff recommends that EU has the financial ability to serve the requested territory.</w:t>
      </w:r>
    </w:p>
    <w:p w14:paraId="1D9FA4B0" w14:textId="77777777" w:rsidR="006E3F46" w:rsidRDefault="006E3F46">
      <w:pPr>
        <w:pStyle w:val="IssueHeading"/>
        <w:rPr>
          <w:vanish/>
          <w:specVanish/>
        </w:rPr>
      </w:pPr>
      <w:r w:rsidRPr="004C3641">
        <w:rPr>
          <w:b w:val="0"/>
          <w:i w:val="0"/>
        </w:rPr>
        <w:br w:type="page"/>
      </w:r>
      <w:r w:rsidRPr="004C3641">
        <w:t xml:space="preserve">Issue </w:t>
      </w:r>
      <w:fldSimple w:instr=" SEQ Issue \* MERGEFORMAT ">
        <w:r w:rsidR="0028227E">
          <w:rPr>
            <w:noProof/>
          </w:rPr>
          <w:t>6</w:t>
        </w:r>
      </w:fldSimple>
      <w:r w:rsidRPr="004C3641">
        <w:t>:</w:t>
      </w:r>
      <w:r>
        <w:fldChar w:fldCharType="begin"/>
      </w:r>
      <w:r>
        <w:instrText xml:space="preserve"> TC "</w:instrText>
      </w:r>
      <w:bookmarkStart w:id="19" w:name="_Toc104278776"/>
      <w:r w:rsidR="00E07FD5">
        <w:instrText xml:space="preserve">Issue </w:instrText>
      </w:r>
      <w:r>
        <w:fldChar w:fldCharType="begin"/>
      </w:r>
      <w:r>
        <w:instrText xml:space="preserve"> SEQ issue \c </w:instrText>
      </w:r>
      <w:r>
        <w:fldChar w:fldCharType="separate"/>
      </w:r>
      <w:r w:rsidR="0028227E">
        <w:rPr>
          <w:noProof/>
        </w:rPr>
        <w:instrText>6</w:instrText>
      </w:r>
      <w:r>
        <w:fldChar w:fldCharType="end"/>
      </w:r>
      <w:r w:rsidR="00E07FD5">
        <w:instrText xml:space="preserve"> - Technical </w:instrText>
      </w:r>
      <w:r w:rsidR="00D25E9A">
        <w:instrText>A</w:instrText>
      </w:r>
      <w:r w:rsidR="00E07FD5">
        <w:instrText>bility</w:instrText>
      </w:r>
      <w:bookmarkEnd w:id="19"/>
      <w:r>
        <w:tab/>
        <w:instrText xml:space="preserve">" \l 1 </w:instrText>
      </w:r>
      <w:r>
        <w:fldChar w:fldCharType="end"/>
      </w:r>
      <w:r>
        <w:t> </w:t>
      </w:r>
    </w:p>
    <w:p w14:paraId="107DBBB9" w14:textId="77777777" w:rsidR="006E3F46" w:rsidRDefault="006E3F46">
      <w:pPr>
        <w:pStyle w:val="BodyText"/>
      </w:pPr>
      <w:r>
        <w:t> </w:t>
      </w:r>
      <w:r w:rsidR="00BB75C9" w:rsidRPr="00DA500F">
        <w:t>Does Environmental Utilities have the technical ability to serve the requested territory?</w:t>
      </w:r>
    </w:p>
    <w:p w14:paraId="42975C22" w14:textId="77777777" w:rsidR="006E3F46" w:rsidRPr="004C3641" w:rsidRDefault="006E3F46">
      <w:pPr>
        <w:pStyle w:val="IssueSubsectionHeading"/>
        <w:rPr>
          <w:vanish/>
          <w:specVanish/>
        </w:rPr>
      </w:pPr>
      <w:r w:rsidRPr="004C3641">
        <w:t>Recommendation: </w:t>
      </w:r>
    </w:p>
    <w:p w14:paraId="43B65978" w14:textId="3C7475B4" w:rsidR="00BB75C9" w:rsidRDefault="006E3F46" w:rsidP="00DE4013">
      <w:pPr>
        <w:pStyle w:val="BodyText"/>
      </w:pPr>
      <w:r>
        <w:t> </w:t>
      </w:r>
      <w:r w:rsidR="00402C70">
        <w:t>Y</w:t>
      </w:r>
      <w:r w:rsidR="0026364A" w:rsidRPr="009245A4">
        <w:t>es</w:t>
      </w:r>
      <w:r w:rsidR="0026364A">
        <w:t xml:space="preserve">. EU </w:t>
      </w:r>
      <w:r w:rsidR="006B64EC">
        <w:t>demonstrated</w:t>
      </w:r>
      <w:r w:rsidR="004600CE" w:rsidRPr="008E61BA">
        <w:t xml:space="preserve"> that</w:t>
      </w:r>
      <w:r w:rsidR="004600CE">
        <w:t>,</w:t>
      </w:r>
      <w:r w:rsidR="004600CE" w:rsidRPr="008E61BA">
        <w:t xml:space="preserve"> with the retention of outside professionals for the construction and operation of its systems, it has the technical ability to serve the requested territory.</w:t>
      </w:r>
      <w:r w:rsidR="00CD4555">
        <w:t xml:space="preserve"> </w:t>
      </w:r>
      <w:r w:rsidR="0026364A" w:rsidRPr="00DE4013">
        <w:t>(Phillips)</w:t>
      </w:r>
    </w:p>
    <w:p w14:paraId="4593379F" w14:textId="77777777" w:rsidR="00BB75C9" w:rsidRDefault="00BB75C9" w:rsidP="00BB75C9">
      <w:pPr>
        <w:pStyle w:val="BodyText"/>
        <w:spacing w:after="0"/>
        <w:rPr>
          <w:rFonts w:ascii="Arial" w:hAnsi="Arial" w:cs="Arial"/>
          <w:b/>
        </w:rPr>
      </w:pPr>
      <w:r w:rsidRPr="006E3F46">
        <w:rPr>
          <w:rFonts w:ascii="Arial" w:hAnsi="Arial" w:cs="Arial"/>
          <w:b/>
        </w:rPr>
        <w:t>Position of the Parties</w:t>
      </w:r>
    </w:p>
    <w:p w14:paraId="3BC99F3C" w14:textId="77777777" w:rsidR="00BB75C9" w:rsidRDefault="00BB75C9" w:rsidP="00BB75C9">
      <w:pPr>
        <w:jc w:val="both"/>
        <w:rPr>
          <w:bCs/>
        </w:rPr>
      </w:pPr>
    </w:p>
    <w:p w14:paraId="40EE9DC8" w14:textId="77777777" w:rsidR="00CD3DE9" w:rsidRPr="00BB75C9" w:rsidRDefault="00CD3DE9" w:rsidP="00CD3DE9">
      <w:pPr>
        <w:jc w:val="both"/>
        <w:rPr>
          <w:b/>
          <w:bCs/>
        </w:rPr>
      </w:pPr>
      <w:r w:rsidRPr="00DE4013">
        <w:rPr>
          <w:rFonts w:ascii="Arial" w:hAnsi="Arial" w:cs="Arial"/>
          <w:b/>
          <w:bCs/>
        </w:rPr>
        <w:t>EU</w:t>
      </w:r>
      <w:r w:rsidRPr="00BB75C9">
        <w:rPr>
          <w:b/>
          <w:bCs/>
        </w:rPr>
        <w:t>:</w:t>
      </w:r>
      <w:r w:rsidR="00FC2233">
        <w:rPr>
          <w:bCs/>
        </w:rPr>
        <w:t xml:space="preserve"> Yes.</w:t>
      </w:r>
    </w:p>
    <w:p w14:paraId="1D27EB75" w14:textId="77777777" w:rsidR="00CD3DE9" w:rsidRDefault="00CD3DE9" w:rsidP="00CD3DE9">
      <w:pPr>
        <w:jc w:val="both"/>
        <w:rPr>
          <w:bCs/>
        </w:rPr>
      </w:pPr>
    </w:p>
    <w:p w14:paraId="1F80AD44" w14:textId="77777777" w:rsidR="00DD5009" w:rsidRPr="00DD5009" w:rsidRDefault="00DD5009" w:rsidP="00DD5009">
      <w:pPr>
        <w:ind w:left="1440" w:hanging="1440"/>
        <w:jc w:val="both"/>
        <w:rPr>
          <w:bCs/>
        </w:rPr>
      </w:pPr>
      <w:r w:rsidRPr="00DE4013">
        <w:rPr>
          <w:rFonts w:ascii="Arial" w:hAnsi="Arial" w:cs="Arial"/>
          <w:b/>
          <w:bCs/>
        </w:rPr>
        <w:t>OPC</w:t>
      </w:r>
      <w:r w:rsidRPr="00BB75C9">
        <w:rPr>
          <w:b/>
          <w:bCs/>
        </w:rPr>
        <w:t>:</w:t>
      </w:r>
      <w:r>
        <w:rPr>
          <w:b/>
          <w:bCs/>
        </w:rPr>
        <w:t xml:space="preserve"> </w:t>
      </w:r>
      <w:r>
        <w:rPr>
          <w:bCs/>
        </w:rPr>
        <w:t>No position.</w:t>
      </w:r>
    </w:p>
    <w:p w14:paraId="2683C14D" w14:textId="77777777" w:rsidR="00CD3DE9" w:rsidRPr="00DA500F" w:rsidRDefault="00CD3DE9" w:rsidP="00CD3DE9">
      <w:pPr>
        <w:jc w:val="both"/>
        <w:rPr>
          <w:bCs/>
        </w:rPr>
      </w:pPr>
    </w:p>
    <w:p w14:paraId="279B7846" w14:textId="77777777" w:rsidR="00CD3DE9" w:rsidRPr="00E67C09" w:rsidRDefault="00CD3DE9" w:rsidP="00CD3DE9">
      <w:pPr>
        <w:jc w:val="both"/>
        <w:rPr>
          <w:bCs/>
        </w:rPr>
      </w:pPr>
      <w:r w:rsidRPr="00DE4013">
        <w:rPr>
          <w:rFonts w:ascii="Arial" w:hAnsi="Arial" w:cs="Arial"/>
          <w:b/>
          <w:bCs/>
        </w:rPr>
        <w:t>PIE</w:t>
      </w:r>
      <w:r w:rsidRPr="00BB75C9">
        <w:rPr>
          <w:b/>
          <w:bCs/>
        </w:rPr>
        <w:t>:</w:t>
      </w:r>
      <w:r w:rsidR="00E67C09">
        <w:rPr>
          <w:b/>
          <w:bCs/>
        </w:rPr>
        <w:t xml:space="preserve"> </w:t>
      </w:r>
      <w:r w:rsidR="00E67C09">
        <w:t>No. Environmental Utilities does not have the technical ability to serve the requested territory.</w:t>
      </w:r>
    </w:p>
    <w:p w14:paraId="1261CBFB" w14:textId="77777777" w:rsidR="00CD3DE9" w:rsidRDefault="00CD3DE9" w:rsidP="00CD3DE9">
      <w:pPr>
        <w:jc w:val="both"/>
        <w:rPr>
          <w:bCs/>
        </w:rPr>
      </w:pPr>
    </w:p>
    <w:p w14:paraId="4CDB18A6" w14:textId="77777777" w:rsidR="00CD3DE9" w:rsidRPr="00811E58" w:rsidRDefault="00CD3DE9" w:rsidP="00811E58">
      <w:pPr>
        <w:tabs>
          <w:tab w:val="left" w:pos="0"/>
        </w:tabs>
        <w:jc w:val="both"/>
        <w:rPr>
          <w:bCs/>
        </w:rPr>
      </w:pPr>
      <w:r w:rsidRPr="00DE4013">
        <w:rPr>
          <w:rFonts w:ascii="Arial" w:hAnsi="Arial" w:cs="Arial"/>
          <w:b/>
          <w:bCs/>
        </w:rPr>
        <w:t>LC</w:t>
      </w:r>
      <w:r w:rsidRPr="00CD3DE9">
        <w:rPr>
          <w:b/>
          <w:bCs/>
        </w:rPr>
        <w:t>:</w:t>
      </w:r>
      <w:r w:rsidR="00811E58">
        <w:rPr>
          <w:b/>
          <w:bCs/>
        </w:rPr>
        <w:t xml:space="preserve"> </w:t>
      </w:r>
      <w:r w:rsidR="00811E58" w:rsidRPr="00542E0D">
        <w:t>No. Environmental Utilities has not provided any evidence that the owners of the proposed utility have the technical expertise needed to install and operate a central sewer system on the bridgeless barrier islands.</w:t>
      </w:r>
    </w:p>
    <w:p w14:paraId="0C4D888D" w14:textId="77777777" w:rsidR="00BB75C9" w:rsidRPr="006E3F46" w:rsidRDefault="00BB75C9" w:rsidP="00811E58">
      <w:pPr>
        <w:pStyle w:val="BodyText"/>
        <w:spacing w:after="0"/>
      </w:pPr>
    </w:p>
    <w:p w14:paraId="157C4073" w14:textId="77777777" w:rsidR="003B57AB" w:rsidRPr="004C3641" w:rsidRDefault="003B57AB" w:rsidP="003B57AB">
      <w:pPr>
        <w:pStyle w:val="IssueSubsectionHeading"/>
        <w:rPr>
          <w:vanish/>
          <w:specVanish/>
        </w:rPr>
      </w:pPr>
      <w:r w:rsidRPr="004C3641">
        <w:t>Staff Analysis: </w:t>
      </w:r>
    </w:p>
    <w:p w14:paraId="5AC12A3B" w14:textId="77777777" w:rsidR="003B57AB" w:rsidRDefault="003B57AB" w:rsidP="003B57AB">
      <w:pPr>
        <w:pStyle w:val="BodyText"/>
      </w:pPr>
      <w:r>
        <w:t> </w:t>
      </w:r>
    </w:p>
    <w:p w14:paraId="3F7E0AF3" w14:textId="77777777" w:rsidR="0095668F" w:rsidRDefault="005833F0" w:rsidP="0095668F">
      <w:pPr>
        <w:pStyle w:val="BodyText"/>
        <w:spacing w:after="0"/>
        <w:jc w:val="center"/>
        <w:rPr>
          <w:rFonts w:ascii="Arial" w:hAnsi="Arial" w:cs="Arial"/>
          <w:b/>
        </w:rPr>
      </w:pPr>
      <w:r>
        <w:rPr>
          <w:rFonts w:ascii="Arial" w:hAnsi="Arial" w:cs="Arial"/>
          <w:b/>
        </w:rPr>
        <w:t>PARTIES’ ARGUMENTS</w:t>
      </w:r>
    </w:p>
    <w:p w14:paraId="6176ED3C" w14:textId="77777777" w:rsidR="0026364A" w:rsidRPr="00BE14C9" w:rsidRDefault="0026364A" w:rsidP="00D61CAC">
      <w:pPr>
        <w:pStyle w:val="BodyText"/>
        <w:spacing w:after="0"/>
        <w:rPr>
          <w:rFonts w:ascii="Arial" w:hAnsi="Arial" w:cs="Arial"/>
          <w:b/>
        </w:rPr>
      </w:pPr>
      <w:r w:rsidRPr="00BE14C9">
        <w:rPr>
          <w:rFonts w:ascii="Arial" w:hAnsi="Arial" w:cs="Arial"/>
          <w:b/>
        </w:rPr>
        <w:t>EU</w:t>
      </w:r>
    </w:p>
    <w:p w14:paraId="2A77F249" w14:textId="77777777" w:rsidR="0026364A" w:rsidRPr="00BE14C9" w:rsidRDefault="0026364A" w:rsidP="007978ED">
      <w:pPr>
        <w:pStyle w:val="BodyText"/>
        <w:spacing w:after="0"/>
      </w:pPr>
      <w:r w:rsidRPr="00BE14C9">
        <w:t xml:space="preserve">EU </w:t>
      </w:r>
      <w:r w:rsidR="0021370E" w:rsidRPr="00BE14C9">
        <w:t>noted</w:t>
      </w:r>
      <w:r w:rsidRPr="00BE14C9">
        <w:t xml:space="preserve"> that one of the Utility’s owners, Jack Boyer, has operated a regulated water system in the propose</w:t>
      </w:r>
      <w:r w:rsidR="0040039C" w:rsidRPr="00BE14C9">
        <w:t>d service territory since 1987.</w:t>
      </w:r>
      <w:r w:rsidRPr="00BE14C9">
        <w:t xml:space="preserve"> Mr. Boyer also has wastewater experience from previous involvement with Knight Island Utilities and Hideaway </w:t>
      </w:r>
      <w:r w:rsidR="008F1F4D" w:rsidRPr="00BE14C9">
        <w:t>Bay</w:t>
      </w:r>
      <w:r w:rsidR="00012678" w:rsidRPr="00BE14C9">
        <w:t>, and</w:t>
      </w:r>
      <w:r w:rsidRPr="00BE14C9">
        <w:t xml:space="preserve"> has shown the ability to retain the necessary professionals to operate the Utility. (EU BR 9)</w:t>
      </w:r>
    </w:p>
    <w:p w14:paraId="5696AC0A" w14:textId="77777777" w:rsidR="0026364A" w:rsidRPr="00BE14C9" w:rsidRDefault="0026364A" w:rsidP="007978ED">
      <w:pPr>
        <w:pStyle w:val="BodyText"/>
        <w:spacing w:after="0"/>
      </w:pPr>
    </w:p>
    <w:p w14:paraId="6D52ED72" w14:textId="77777777" w:rsidR="0026364A" w:rsidRPr="00BE14C9" w:rsidRDefault="0026364A" w:rsidP="007978ED">
      <w:pPr>
        <w:pStyle w:val="BodyText"/>
        <w:spacing w:after="0"/>
        <w:rPr>
          <w:rFonts w:ascii="Arial" w:hAnsi="Arial" w:cs="Arial"/>
          <w:b/>
        </w:rPr>
      </w:pPr>
      <w:r w:rsidRPr="00BE14C9">
        <w:rPr>
          <w:rFonts w:ascii="Arial" w:hAnsi="Arial" w:cs="Arial"/>
          <w:b/>
        </w:rPr>
        <w:t>PIE</w:t>
      </w:r>
    </w:p>
    <w:p w14:paraId="216C2B3F" w14:textId="77777777" w:rsidR="0026364A" w:rsidRPr="00BE14C9" w:rsidRDefault="0026364A" w:rsidP="004B6011">
      <w:pPr>
        <w:pStyle w:val="BodyText"/>
        <w:spacing w:after="0"/>
      </w:pPr>
      <w:r w:rsidRPr="00BE14C9">
        <w:t xml:space="preserve">PIE </w:t>
      </w:r>
      <w:r w:rsidR="0021370E" w:rsidRPr="00BE14C9">
        <w:t>highlighted</w:t>
      </w:r>
      <w:r w:rsidRPr="00BE14C9">
        <w:t xml:space="preserve"> that Mr. Boyer is not licensed as a wastewater utility operator and that Mr. Boyer himself described his knowledge of </w:t>
      </w:r>
      <w:r w:rsidR="00B81F26">
        <w:t>s</w:t>
      </w:r>
      <w:r w:rsidRPr="00BE14C9">
        <w:t xml:space="preserve">tatutes and </w:t>
      </w:r>
      <w:r w:rsidR="00B81F26">
        <w:t>r</w:t>
      </w:r>
      <w:r w:rsidRPr="00BE14C9">
        <w:t>ules for wastewater utilities as that of a “lay person</w:t>
      </w:r>
      <w:r w:rsidR="00012678" w:rsidRPr="00BE14C9">
        <w:t>,</w:t>
      </w:r>
      <w:r w:rsidRPr="00BE14C9">
        <w:t xml:space="preserve">” </w:t>
      </w:r>
      <w:r w:rsidR="00012678" w:rsidRPr="00BE14C9">
        <w:t xml:space="preserve">which </w:t>
      </w:r>
      <w:r w:rsidRPr="00BE14C9">
        <w:t>demonstrates EU’s lack of technical ability. (PIE BR 1</w:t>
      </w:r>
      <w:r w:rsidR="00012678" w:rsidRPr="00BE14C9">
        <w:t>3-</w:t>
      </w:r>
      <w:r w:rsidRPr="00BE14C9">
        <w:t>4)</w:t>
      </w:r>
    </w:p>
    <w:p w14:paraId="4DC3DB0A" w14:textId="77777777" w:rsidR="0026364A" w:rsidRPr="00BE14C9" w:rsidRDefault="0026364A" w:rsidP="004B6011">
      <w:pPr>
        <w:pStyle w:val="BodyText"/>
        <w:spacing w:after="0"/>
      </w:pPr>
    </w:p>
    <w:p w14:paraId="6DB6EF96" w14:textId="77777777" w:rsidR="0026364A" w:rsidRPr="00BE14C9" w:rsidRDefault="0026364A" w:rsidP="004B6011">
      <w:pPr>
        <w:pStyle w:val="BodyText"/>
        <w:spacing w:after="0"/>
        <w:rPr>
          <w:rFonts w:ascii="Arial" w:hAnsi="Arial" w:cs="Arial"/>
          <w:b/>
        </w:rPr>
      </w:pPr>
      <w:r w:rsidRPr="00BE14C9">
        <w:rPr>
          <w:rFonts w:ascii="Arial" w:hAnsi="Arial" w:cs="Arial"/>
          <w:b/>
        </w:rPr>
        <w:t>LC</w:t>
      </w:r>
    </w:p>
    <w:p w14:paraId="1E124F58" w14:textId="77777777" w:rsidR="0026364A" w:rsidRPr="00BE14C9" w:rsidRDefault="0026364A" w:rsidP="004B6011">
      <w:pPr>
        <w:pStyle w:val="BodyText"/>
        <w:spacing w:after="0"/>
      </w:pPr>
      <w:r w:rsidRPr="00BE14C9">
        <w:t>LC argue</w:t>
      </w:r>
      <w:r w:rsidR="0021370E" w:rsidRPr="00BE14C9">
        <w:t>d</w:t>
      </w:r>
      <w:r w:rsidRPr="00BE14C9">
        <w:t xml:space="preserve"> that EU has not provided proof of </w:t>
      </w:r>
      <w:r w:rsidR="004B6011" w:rsidRPr="00BE14C9">
        <w:t xml:space="preserve">Mr. Boyer’s </w:t>
      </w:r>
      <w:r w:rsidRPr="00BE14C9">
        <w:t>previous employment at other utilities. (LC BR 16) LC further contend</w:t>
      </w:r>
      <w:r w:rsidR="0021370E" w:rsidRPr="00BE14C9">
        <w:t>ed</w:t>
      </w:r>
      <w:r w:rsidRPr="00BE14C9">
        <w:t xml:space="preserve"> that running a water utility and a wastewater utility are different due to the severity of the consequences of a malfunction.</w:t>
      </w:r>
      <w:r w:rsidR="004B6011" w:rsidRPr="00BE14C9">
        <w:t xml:space="preserve"> (LC BR 17)</w:t>
      </w:r>
      <w:r w:rsidRPr="00BE14C9">
        <w:t xml:space="preserve"> LC assert</w:t>
      </w:r>
      <w:r w:rsidR="0021370E" w:rsidRPr="00BE14C9">
        <w:t>ed</w:t>
      </w:r>
      <w:r w:rsidRPr="00BE14C9">
        <w:t xml:space="preserve"> that Mr. Boyer’s </w:t>
      </w:r>
      <w:r w:rsidR="004B6011" w:rsidRPr="00BE14C9">
        <w:t xml:space="preserve">military </w:t>
      </w:r>
      <w:r w:rsidRPr="00BE14C9">
        <w:t>experience does not translate</w:t>
      </w:r>
      <w:r w:rsidR="004B6011" w:rsidRPr="00BE14C9">
        <w:t xml:space="preserve"> well</w:t>
      </w:r>
      <w:r w:rsidRPr="00BE14C9">
        <w:t xml:space="preserve"> to experience with wastewater</w:t>
      </w:r>
      <w:r w:rsidR="004B6011" w:rsidRPr="00BE14C9">
        <w:t>, as he had no responsibilities related to system operation, maintenance, and repair</w:t>
      </w:r>
      <w:r w:rsidRPr="00BE14C9">
        <w:t xml:space="preserve">. </w:t>
      </w:r>
      <w:r w:rsidR="004B6011" w:rsidRPr="00BE14C9">
        <w:t>(LC BR 17)</w:t>
      </w:r>
    </w:p>
    <w:p w14:paraId="3F7AB491" w14:textId="77777777" w:rsidR="0095668F" w:rsidRDefault="005833F0" w:rsidP="005D22AB">
      <w:pPr>
        <w:keepNext/>
        <w:spacing w:before="240" w:after="240"/>
        <w:jc w:val="center"/>
        <w:rPr>
          <w:rFonts w:ascii="Arial" w:hAnsi="Arial" w:cs="Arial"/>
          <w:b/>
        </w:rPr>
      </w:pPr>
      <w:r w:rsidRPr="00BE14C9">
        <w:rPr>
          <w:rFonts w:ascii="Arial" w:hAnsi="Arial" w:cs="Arial"/>
          <w:b/>
        </w:rPr>
        <w:t>ANALYSIS</w:t>
      </w:r>
    </w:p>
    <w:p w14:paraId="616DF118" w14:textId="777F3147" w:rsidR="0026364A" w:rsidRDefault="0026364A" w:rsidP="0026364A">
      <w:pPr>
        <w:pStyle w:val="BodyText"/>
      </w:pPr>
      <w:r w:rsidRPr="00D60115">
        <w:t xml:space="preserve">Section </w:t>
      </w:r>
      <w:r>
        <w:t>367.045(1)(b)</w:t>
      </w:r>
      <w:r w:rsidR="00773249">
        <w:t>,</w:t>
      </w:r>
      <w:r w:rsidRPr="00737698">
        <w:t xml:space="preserve"> F.S., and Rule 25-30.033(1)(i)</w:t>
      </w:r>
      <w:r w:rsidR="00773249">
        <w:t>,</w:t>
      </w:r>
      <w:r w:rsidRPr="00D60115">
        <w:t xml:space="preserve"> F</w:t>
      </w:r>
      <w:r>
        <w:t>.</w:t>
      </w:r>
      <w:r w:rsidRPr="00D60115">
        <w:t>A</w:t>
      </w:r>
      <w:r>
        <w:t>.</w:t>
      </w:r>
      <w:r w:rsidRPr="00D60115">
        <w:t>C</w:t>
      </w:r>
      <w:r>
        <w:t>.</w:t>
      </w:r>
      <w:r w:rsidRPr="00D60115">
        <w:t xml:space="preserve">, require a utility applying for an original certificate to provide information showing that it has the technical ability to provide service in the </w:t>
      </w:r>
      <w:r>
        <w:t>territory</w:t>
      </w:r>
      <w:r w:rsidRPr="00D60115">
        <w:t xml:space="preserve"> requested.</w:t>
      </w:r>
      <w:r w:rsidR="008D3672">
        <w:t xml:space="preserve"> </w:t>
      </w:r>
      <w:r>
        <w:t xml:space="preserve">EU witness Boyer testified that he has </w:t>
      </w:r>
      <w:r w:rsidRPr="00737698">
        <w:t>own</w:t>
      </w:r>
      <w:r>
        <w:t>ed</w:t>
      </w:r>
      <w:r w:rsidRPr="00737698">
        <w:t xml:space="preserve"> </w:t>
      </w:r>
      <w:r>
        <w:t xml:space="preserve">and operated </w:t>
      </w:r>
      <w:r w:rsidRPr="00737698">
        <w:t xml:space="preserve">Little Gasparilla Water </w:t>
      </w:r>
      <w:r w:rsidR="006B64EC">
        <w:t xml:space="preserve">Utility, Inc. (Little Gasparilla) </w:t>
      </w:r>
      <w:r>
        <w:t>for over 30 years. (TR 249)</w:t>
      </w:r>
      <w:r>
        <w:rPr>
          <w:color w:val="000000"/>
        </w:rPr>
        <w:t xml:space="preserve"> Witness</w:t>
      </w:r>
      <w:r w:rsidRPr="00934B8A">
        <w:rPr>
          <w:color w:val="000000"/>
        </w:rPr>
        <w:t xml:space="preserve"> Boyer </w:t>
      </w:r>
      <w:r>
        <w:rPr>
          <w:color w:val="000000"/>
        </w:rPr>
        <w:t>stated</w:t>
      </w:r>
      <w:r>
        <w:t xml:space="preserve"> that</w:t>
      </w:r>
      <w:r w:rsidR="003B1E49">
        <w:t xml:space="preserve"> </w:t>
      </w:r>
      <w:r>
        <w:t xml:space="preserve">EU will employ </w:t>
      </w:r>
      <w:r w:rsidR="003B1E49">
        <w:t>technical professionals</w:t>
      </w:r>
      <w:r w:rsidRPr="00B4542A">
        <w:t xml:space="preserve"> </w:t>
      </w:r>
      <w:r>
        <w:t>to operate the</w:t>
      </w:r>
      <w:r w:rsidRPr="00B4542A">
        <w:t xml:space="preserve"> </w:t>
      </w:r>
      <w:r>
        <w:t>wastewater</w:t>
      </w:r>
      <w:r w:rsidR="003B1E49">
        <w:t xml:space="preserve"> system</w:t>
      </w:r>
      <w:r w:rsidRPr="00B4542A">
        <w:t>.</w:t>
      </w:r>
      <w:r>
        <w:t xml:space="preserve"> (TR 44) </w:t>
      </w:r>
      <w:r w:rsidR="00364E30" w:rsidRPr="00364E30">
        <w:t xml:space="preserve">LC witness Cotherman testified that the EU has not shown the technical ability to undertake a project of this scope. (TR 229) At the </w:t>
      </w:r>
      <w:r w:rsidR="00773249">
        <w:t>s</w:t>
      </w:r>
      <w:r w:rsidR="00364E30" w:rsidRPr="00364E30">
        <w:t xml:space="preserve">ervice </w:t>
      </w:r>
      <w:r w:rsidR="00773249">
        <w:t>h</w:t>
      </w:r>
      <w:r w:rsidR="00364E30" w:rsidRPr="00364E30">
        <w:t>eari</w:t>
      </w:r>
      <w:r w:rsidR="00364E30" w:rsidRPr="00720CCA">
        <w:t xml:space="preserve">ngs, </w:t>
      </w:r>
      <w:r w:rsidR="00720CCA">
        <w:t xml:space="preserve">several </w:t>
      </w:r>
      <w:r w:rsidR="00364E30" w:rsidRPr="00720CCA">
        <w:t>customers testified that based on the water service provided by Little Gasparilla, they do not have confidence in EU’s technical ability to operate a wastewater utility. (2/8 S-TR 29</w:t>
      </w:r>
      <w:r w:rsidR="00720CCA" w:rsidRPr="00720CCA">
        <w:t>, 37-38, 48</w:t>
      </w:r>
      <w:r w:rsidR="00364E30" w:rsidRPr="00364E30">
        <w:t>)</w:t>
      </w:r>
      <w:r w:rsidR="00CD4555">
        <w:t xml:space="preserve"> Witness Boyer stated that he </w:t>
      </w:r>
      <w:r w:rsidR="00FB6393">
        <w:t xml:space="preserve">would </w:t>
      </w:r>
      <w:r w:rsidR="00CD4555">
        <w:t>not perso</w:t>
      </w:r>
      <w:r w:rsidR="002A0828">
        <w:t xml:space="preserve">nally be the project manager or </w:t>
      </w:r>
      <w:r w:rsidR="00511CC8">
        <w:t>operator of</w:t>
      </w:r>
      <w:r w:rsidR="00CD4555">
        <w:t xml:space="preserve"> the system</w:t>
      </w:r>
      <w:r w:rsidR="00511CC8">
        <w:t>;</w:t>
      </w:r>
      <w:r w:rsidR="00CD4555">
        <w:t xml:space="preserve"> but instead</w:t>
      </w:r>
      <w:r w:rsidR="00535A03">
        <w:t>,</w:t>
      </w:r>
      <w:r w:rsidR="00CD4555">
        <w:t xml:space="preserve"> he </w:t>
      </w:r>
      <w:r w:rsidR="00FB6393">
        <w:t xml:space="preserve">would </w:t>
      </w:r>
      <w:r w:rsidR="00CD4555">
        <w:t>hire c</w:t>
      </w:r>
      <w:r w:rsidR="00A32A94">
        <w:t>ompetent</w:t>
      </w:r>
      <w:r w:rsidR="00CD4555">
        <w:t xml:space="preserve"> professionals for the technical operation of the system. </w:t>
      </w:r>
      <w:r w:rsidR="00674C99">
        <w:t>S</w:t>
      </w:r>
      <w:r w:rsidRPr="00364E30">
        <w:t xml:space="preserve">taff believes EU </w:t>
      </w:r>
      <w:r w:rsidR="00674C99">
        <w:t xml:space="preserve">has met the requirements of the rule demonstrating that with the retention of outside professionals for the construction and operation of its </w:t>
      </w:r>
      <w:r w:rsidR="000B507F">
        <w:t>system,</w:t>
      </w:r>
      <w:r w:rsidR="00674C99">
        <w:t xml:space="preserve"> EU has the </w:t>
      </w:r>
      <w:r w:rsidRPr="00364E30">
        <w:t>technical ability to serve the requested service territory.</w:t>
      </w:r>
    </w:p>
    <w:p w14:paraId="51C71E6D" w14:textId="77777777" w:rsidR="0095668F" w:rsidRDefault="0095668F" w:rsidP="005D22AB">
      <w:pPr>
        <w:keepNext/>
        <w:spacing w:before="240" w:after="240"/>
        <w:jc w:val="center"/>
        <w:rPr>
          <w:rFonts w:ascii="Arial" w:hAnsi="Arial" w:cs="Arial"/>
          <w:b/>
        </w:rPr>
      </w:pPr>
      <w:r>
        <w:rPr>
          <w:rFonts w:ascii="Arial" w:hAnsi="Arial" w:cs="Arial"/>
          <w:b/>
        </w:rPr>
        <w:t>CONCLUSION</w:t>
      </w:r>
    </w:p>
    <w:p w14:paraId="5EE72D56" w14:textId="0B277B73" w:rsidR="0026364A" w:rsidRPr="003B57AB" w:rsidRDefault="0021370E" w:rsidP="0026364A">
      <w:pPr>
        <w:pStyle w:val="BodyText"/>
        <w:spacing w:after="0"/>
      </w:pPr>
      <w:r>
        <w:t xml:space="preserve">EU </w:t>
      </w:r>
      <w:r w:rsidRPr="008E61BA">
        <w:t>has met the requirements of the rule demonstrating that</w:t>
      </w:r>
      <w:r>
        <w:t>,</w:t>
      </w:r>
      <w:r w:rsidRPr="008E61BA">
        <w:t xml:space="preserve"> with the retention of outside professionals for the construction and operation of its systems, it has the technical ability to serve the requested territory.</w:t>
      </w:r>
      <w:r>
        <w:t xml:space="preserve"> </w:t>
      </w:r>
    </w:p>
    <w:p w14:paraId="65C3321A" w14:textId="77777777" w:rsidR="006E3F46" w:rsidRDefault="006E3F46">
      <w:pPr>
        <w:pStyle w:val="IssueHeading"/>
        <w:rPr>
          <w:vanish/>
          <w:specVanish/>
        </w:rPr>
      </w:pPr>
      <w:r w:rsidRPr="004C3641">
        <w:rPr>
          <w:b w:val="0"/>
          <w:i w:val="0"/>
        </w:rPr>
        <w:br w:type="page"/>
      </w:r>
      <w:r w:rsidRPr="004C3641">
        <w:t xml:space="preserve">Issue </w:t>
      </w:r>
      <w:fldSimple w:instr=" SEQ Issue \* MERGEFORMAT ">
        <w:r w:rsidR="0028227E">
          <w:rPr>
            <w:noProof/>
          </w:rPr>
          <w:t>7</w:t>
        </w:r>
      </w:fldSimple>
      <w:r w:rsidRPr="004C3641">
        <w:t>:</w:t>
      </w:r>
      <w:r>
        <w:fldChar w:fldCharType="begin"/>
      </w:r>
      <w:r>
        <w:instrText xml:space="preserve"> TC "</w:instrText>
      </w:r>
      <w:bookmarkStart w:id="20" w:name="_Toc104278777"/>
      <w:r w:rsidR="00E07FD5">
        <w:instrText xml:space="preserve">Issue </w:instrText>
      </w:r>
      <w:r>
        <w:fldChar w:fldCharType="begin"/>
      </w:r>
      <w:r>
        <w:instrText xml:space="preserve"> SEQ issue \c </w:instrText>
      </w:r>
      <w:r>
        <w:fldChar w:fldCharType="separate"/>
      </w:r>
      <w:r w:rsidR="0028227E">
        <w:rPr>
          <w:noProof/>
        </w:rPr>
        <w:instrText>7</w:instrText>
      </w:r>
      <w:r>
        <w:fldChar w:fldCharType="end"/>
      </w:r>
      <w:r w:rsidR="00E07FD5">
        <w:instrText xml:space="preserve"> - Plant Capacity</w:instrText>
      </w:r>
      <w:bookmarkEnd w:id="20"/>
      <w:r>
        <w:tab/>
        <w:instrText xml:space="preserve">" \l 1 </w:instrText>
      </w:r>
      <w:r>
        <w:fldChar w:fldCharType="end"/>
      </w:r>
      <w:r>
        <w:t> </w:t>
      </w:r>
    </w:p>
    <w:p w14:paraId="0C6604F0" w14:textId="77777777" w:rsidR="006E3F46" w:rsidRDefault="006E3F46">
      <w:pPr>
        <w:pStyle w:val="BodyText"/>
      </w:pPr>
      <w:r>
        <w:t> </w:t>
      </w:r>
      <w:r w:rsidR="00BB75C9" w:rsidRPr="00DA500F">
        <w:t>Will Environmental Utilities have sufficient plant capacity to serve the requested territory?</w:t>
      </w:r>
    </w:p>
    <w:p w14:paraId="3D093DD8" w14:textId="005EF1F8" w:rsidR="0026364A" w:rsidRPr="004C3641" w:rsidRDefault="006E3F46" w:rsidP="0026364A">
      <w:pPr>
        <w:pStyle w:val="IssueSubsectionHeading"/>
        <w:rPr>
          <w:vanish/>
          <w:specVanish/>
        </w:rPr>
      </w:pPr>
      <w:r w:rsidRPr="004C3641">
        <w:t>Recommendation:</w:t>
      </w:r>
      <w:r>
        <w:t> </w:t>
      </w:r>
      <w:r w:rsidR="0026364A" w:rsidRPr="004C3641">
        <w:t> </w:t>
      </w:r>
    </w:p>
    <w:p w14:paraId="26966CD9" w14:textId="5E6836B8" w:rsidR="00BB75C9" w:rsidRDefault="0026364A" w:rsidP="0026364A">
      <w:pPr>
        <w:pStyle w:val="BodyText"/>
      </w:pPr>
      <w:r>
        <w:t> Yes. The Bulk Agreement with the County reserves adequate capacity to serve the proposed service territory</w:t>
      </w:r>
      <w:r w:rsidR="00756F7C">
        <w:t xml:space="preserve"> and demonstrates that EU has properly planned for the estimated needs of the proposed service area.</w:t>
      </w:r>
      <w:r>
        <w:t xml:space="preserve"> (Phillips)</w:t>
      </w:r>
    </w:p>
    <w:p w14:paraId="73DA9174" w14:textId="77777777" w:rsidR="00BB75C9" w:rsidRDefault="00BB75C9" w:rsidP="00BB75C9">
      <w:pPr>
        <w:pStyle w:val="BodyText"/>
        <w:spacing w:after="0"/>
        <w:rPr>
          <w:rFonts w:ascii="Arial" w:hAnsi="Arial" w:cs="Arial"/>
          <w:b/>
        </w:rPr>
      </w:pPr>
      <w:r w:rsidRPr="006E3F46">
        <w:rPr>
          <w:rFonts w:ascii="Arial" w:hAnsi="Arial" w:cs="Arial"/>
          <w:b/>
        </w:rPr>
        <w:t>Position of the Parties</w:t>
      </w:r>
    </w:p>
    <w:p w14:paraId="230AFA11" w14:textId="77777777" w:rsidR="00BB75C9" w:rsidRDefault="00BB75C9" w:rsidP="00BB75C9">
      <w:pPr>
        <w:jc w:val="both"/>
        <w:rPr>
          <w:bCs/>
        </w:rPr>
      </w:pPr>
    </w:p>
    <w:p w14:paraId="77281971" w14:textId="77777777" w:rsidR="00CD3DE9" w:rsidRPr="00BB75C9" w:rsidRDefault="00CD3DE9" w:rsidP="00CD3DE9">
      <w:pPr>
        <w:jc w:val="both"/>
        <w:rPr>
          <w:b/>
          <w:bCs/>
        </w:rPr>
      </w:pPr>
      <w:r w:rsidRPr="00DE4013">
        <w:rPr>
          <w:rFonts w:ascii="Arial" w:hAnsi="Arial" w:cs="Arial"/>
          <w:b/>
          <w:bCs/>
        </w:rPr>
        <w:t>EU</w:t>
      </w:r>
      <w:r w:rsidRPr="00BB75C9">
        <w:rPr>
          <w:b/>
          <w:bCs/>
        </w:rPr>
        <w:t>:</w:t>
      </w:r>
      <w:r w:rsidR="00FC2233" w:rsidRPr="00FC2233">
        <w:rPr>
          <w:rFonts w:eastAsia="Calibri"/>
        </w:rPr>
        <w:t xml:space="preserve"> </w:t>
      </w:r>
      <w:r w:rsidR="00FC2233" w:rsidRPr="00A04277">
        <w:rPr>
          <w:rFonts w:eastAsia="Calibri"/>
        </w:rPr>
        <w:t>Yes</w:t>
      </w:r>
      <w:r w:rsidR="00840799">
        <w:rPr>
          <w:rFonts w:eastAsia="Calibri"/>
        </w:rPr>
        <w:t>. B</w:t>
      </w:r>
      <w:r w:rsidR="00FC2233" w:rsidRPr="00A04277">
        <w:rPr>
          <w:rFonts w:eastAsia="Calibri"/>
        </w:rPr>
        <w:t>y virtue of the Bulk Sewer Treatment Agreement entered into with Charlotte County.</w:t>
      </w:r>
    </w:p>
    <w:p w14:paraId="5864F7E4" w14:textId="77777777" w:rsidR="00CD3DE9" w:rsidRDefault="00CD3DE9" w:rsidP="00CD3DE9">
      <w:pPr>
        <w:jc w:val="both"/>
        <w:rPr>
          <w:bCs/>
        </w:rPr>
      </w:pPr>
    </w:p>
    <w:p w14:paraId="3486B8C6" w14:textId="77777777" w:rsidR="00DD5009" w:rsidRPr="00DD5009" w:rsidRDefault="00DD5009" w:rsidP="00DD5009">
      <w:pPr>
        <w:ind w:left="1440" w:hanging="1440"/>
        <w:jc w:val="both"/>
        <w:rPr>
          <w:bCs/>
        </w:rPr>
      </w:pPr>
      <w:r w:rsidRPr="00DE4013">
        <w:rPr>
          <w:rFonts w:ascii="Arial" w:hAnsi="Arial" w:cs="Arial"/>
          <w:b/>
          <w:bCs/>
        </w:rPr>
        <w:t>OPC</w:t>
      </w:r>
      <w:r w:rsidRPr="00BB75C9">
        <w:rPr>
          <w:b/>
          <w:bCs/>
        </w:rPr>
        <w:t>:</w:t>
      </w:r>
      <w:r>
        <w:rPr>
          <w:b/>
          <w:bCs/>
        </w:rPr>
        <w:t xml:space="preserve"> </w:t>
      </w:r>
      <w:r>
        <w:rPr>
          <w:bCs/>
        </w:rPr>
        <w:t>No position.</w:t>
      </w:r>
    </w:p>
    <w:p w14:paraId="2F6B60B1" w14:textId="77777777" w:rsidR="00CD3DE9" w:rsidRPr="00DA500F" w:rsidRDefault="00CD3DE9" w:rsidP="00CD3DE9">
      <w:pPr>
        <w:jc w:val="both"/>
        <w:rPr>
          <w:bCs/>
        </w:rPr>
      </w:pPr>
    </w:p>
    <w:p w14:paraId="45693B32" w14:textId="77777777" w:rsidR="00CD3DE9" w:rsidRPr="00BB75C9" w:rsidRDefault="00CD3DE9" w:rsidP="00CD3DE9">
      <w:pPr>
        <w:jc w:val="both"/>
        <w:rPr>
          <w:b/>
          <w:bCs/>
        </w:rPr>
      </w:pPr>
      <w:r w:rsidRPr="00DE4013">
        <w:rPr>
          <w:rFonts w:ascii="Arial" w:hAnsi="Arial" w:cs="Arial"/>
          <w:b/>
          <w:bCs/>
        </w:rPr>
        <w:t>PIE</w:t>
      </w:r>
      <w:r w:rsidRPr="00BB75C9">
        <w:rPr>
          <w:b/>
          <w:bCs/>
        </w:rPr>
        <w:t>:</w:t>
      </w:r>
      <w:r w:rsidR="00E67C09">
        <w:rPr>
          <w:bCs/>
        </w:rPr>
        <w:t xml:space="preserve"> No position.</w:t>
      </w:r>
    </w:p>
    <w:p w14:paraId="7110BF48" w14:textId="77777777" w:rsidR="00CD3DE9" w:rsidRDefault="00CD3DE9" w:rsidP="00CD3DE9">
      <w:pPr>
        <w:jc w:val="both"/>
        <w:rPr>
          <w:bCs/>
        </w:rPr>
      </w:pPr>
    </w:p>
    <w:p w14:paraId="2A87305B" w14:textId="77777777" w:rsidR="00CD3DE9" w:rsidRPr="00D2016F" w:rsidRDefault="00CD3DE9" w:rsidP="00D2016F">
      <w:pPr>
        <w:tabs>
          <w:tab w:val="left" w:pos="0"/>
        </w:tabs>
        <w:jc w:val="both"/>
        <w:rPr>
          <w:bCs/>
        </w:rPr>
      </w:pPr>
      <w:r w:rsidRPr="00DE4013">
        <w:rPr>
          <w:rFonts w:ascii="Arial" w:hAnsi="Arial" w:cs="Arial"/>
          <w:b/>
          <w:bCs/>
        </w:rPr>
        <w:t>LC</w:t>
      </w:r>
      <w:r w:rsidRPr="00CD3DE9">
        <w:rPr>
          <w:b/>
          <w:bCs/>
        </w:rPr>
        <w:t>:</w:t>
      </w:r>
      <w:r w:rsidR="00D2016F">
        <w:rPr>
          <w:b/>
          <w:bCs/>
        </w:rPr>
        <w:t xml:space="preserve"> </w:t>
      </w:r>
      <w:r w:rsidR="00D2016F" w:rsidRPr="00542E0D">
        <w:t>Undetermined.</w:t>
      </w:r>
      <w:r w:rsidR="00D2016F">
        <w:t xml:space="preserve"> </w:t>
      </w:r>
      <w:r w:rsidR="00D2016F" w:rsidRPr="00542E0D">
        <w:t>The lack of identification of the target wastewater treatment facility plus the changes to the ERC count and the per diem gallonage requirements for the system render it impractical to assess</w:t>
      </w:r>
      <w:r w:rsidR="00D2016F">
        <w:t xml:space="preserve"> </w:t>
      </w:r>
      <w:r w:rsidR="00D2016F" w:rsidRPr="00542E0D">
        <w:t>potential plant capacity.</w:t>
      </w:r>
    </w:p>
    <w:p w14:paraId="1F56EEFF" w14:textId="77777777" w:rsidR="003B57AB" w:rsidRPr="006E3F46" w:rsidRDefault="003B57AB" w:rsidP="003B57AB">
      <w:pPr>
        <w:pStyle w:val="BodyText"/>
        <w:spacing w:after="0"/>
      </w:pPr>
    </w:p>
    <w:p w14:paraId="651B819A" w14:textId="77777777" w:rsidR="003B57AB" w:rsidRPr="004C3641" w:rsidRDefault="003B57AB" w:rsidP="003B57AB">
      <w:pPr>
        <w:pStyle w:val="IssueSubsectionHeading"/>
        <w:rPr>
          <w:vanish/>
          <w:specVanish/>
        </w:rPr>
      </w:pPr>
      <w:r w:rsidRPr="004C3641">
        <w:t>Staff Analysis: </w:t>
      </w:r>
    </w:p>
    <w:p w14:paraId="6B47F065" w14:textId="77777777" w:rsidR="003B57AB" w:rsidRDefault="003B57AB" w:rsidP="003B57AB">
      <w:pPr>
        <w:pStyle w:val="BodyText"/>
      </w:pPr>
      <w:r>
        <w:t> </w:t>
      </w:r>
    </w:p>
    <w:p w14:paraId="41DE51C5" w14:textId="77777777" w:rsidR="0095668F" w:rsidRDefault="005833F0" w:rsidP="0095668F">
      <w:pPr>
        <w:pStyle w:val="BodyText"/>
        <w:spacing w:after="0"/>
        <w:jc w:val="center"/>
        <w:rPr>
          <w:rFonts w:ascii="Arial" w:hAnsi="Arial" w:cs="Arial"/>
          <w:b/>
        </w:rPr>
      </w:pPr>
      <w:r>
        <w:rPr>
          <w:rFonts w:ascii="Arial" w:hAnsi="Arial" w:cs="Arial"/>
          <w:b/>
        </w:rPr>
        <w:t>PARTIES’ ARGUMENTS</w:t>
      </w:r>
    </w:p>
    <w:p w14:paraId="08F3CECF" w14:textId="77777777" w:rsidR="0026364A" w:rsidRPr="00BE14C9" w:rsidRDefault="0026364A" w:rsidP="00A26755">
      <w:pPr>
        <w:pStyle w:val="BodyText"/>
        <w:spacing w:after="0"/>
        <w:rPr>
          <w:rFonts w:ascii="Arial" w:hAnsi="Arial" w:cs="Arial"/>
          <w:b/>
        </w:rPr>
      </w:pPr>
      <w:r w:rsidRPr="00BE14C9">
        <w:rPr>
          <w:rFonts w:ascii="Arial" w:hAnsi="Arial" w:cs="Arial"/>
          <w:b/>
        </w:rPr>
        <w:t>EU</w:t>
      </w:r>
    </w:p>
    <w:p w14:paraId="0C517F51" w14:textId="77777777" w:rsidR="0026364A" w:rsidRPr="00BE14C9" w:rsidRDefault="0026364A" w:rsidP="00A26755">
      <w:pPr>
        <w:pStyle w:val="BodyText"/>
        <w:spacing w:after="0"/>
      </w:pPr>
      <w:r w:rsidRPr="00BE14C9">
        <w:t xml:space="preserve">EU </w:t>
      </w:r>
      <w:r w:rsidR="006C7349" w:rsidRPr="00BE14C9">
        <w:t xml:space="preserve">stated </w:t>
      </w:r>
      <w:r w:rsidRPr="00BE14C9">
        <w:t xml:space="preserve">that it has entered in to </w:t>
      </w:r>
      <w:r w:rsidR="00FB6393">
        <w:t>a</w:t>
      </w:r>
      <w:r w:rsidRPr="00BE14C9">
        <w:t xml:space="preserve"> Bulk Agreement with the County that will allow EU to transmit the sewage to the County’s treatment facilities on the mainland. EU argue</w:t>
      </w:r>
      <w:r w:rsidR="006C7349" w:rsidRPr="00BE14C9">
        <w:t>d</w:t>
      </w:r>
      <w:r w:rsidRPr="00BE14C9">
        <w:t xml:space="preserve"> that since it has reserved that capacity for 2,200 ERCs, and only anticipates 1,248 ERCs at full capacity, that the Utility will have sufficient capacity to serve the proposed territory. (EU BR 10)</w:t>
      </w:r>
    </w:p>
    <w:p w14:paraId="2D8E0F08" w14:textId="77777777" w:rsidR="0026364A" w:rsidRPr="00BE14C9" w:rsidRDefault="0026364A" w:rsidP="000654E2">
      <w:pPr>
        <w:pStyle w:val="BodyText"/>
        <w:spacing w:after="0"/>
      </w:pPr>
    </w:p>
    <w:p w14:paraId="3DE3801F" w14:textId="77777777" w:rsidR="0026364A" w:rsidRPr="00BE14C9" w:rsidRDefault="0026364A" w:rsidP="000654E2">
      <w:pPr>
        <w:pStyle w:val="BodyText"/>
        <w:spacing w:after="0"/>
        <w:rPr>
          <w:rFonts w:ascii="Arial" w:hAnsi="Arial" w:cs="Arial"/>
          <w:b/>
        </w:rPr>
      </w:pPr>
      <w:r w:rsidRPr="00BE14C9">
        <w:rPr>
          <w:rFonts w:ascii="Arial" w:hAnsi="Arial" w:cs="Arial"/>
          <w:b/>
        </w:rPr>
        <w:t>LC</w:t>
      </w:r>
    </w:p>
    <w:p w14:paraId="5BB6F369" w14:textId="77777777" w:rsidR="000654E2" w:rsidRDefault="000654E2" w:rsidP="000654E2">
      <w:pPr>
        <w:pStyle w:val="BodyText"/>
        <w:spacing w:after="0"/>
      </w:pPr>
      <w:r w:rsidRPr="00BE14C9">
        <w:t xml:space="preserve">LC </w:t>
      </w:r>
      <w:r w:rsidR="006C7349" w:rsidRPr="00BE14C9">
        <w:t>asserted</w:t>
      </w:r>
      <w:r w:rsidRPr="00BE14C9">
        <w:t xml:space="preserve"> that since the number of ERCs to be treated has changed multiple times and there is inconsistency in the gallons-per-day of usage assumptions, it is unknown if EU has sufficient capacity. (LC BR</w:t>
      </w:r>
      <w:r w:rsidR="007034EA" w:rsidRPr="00BE14C9">
        <w:t xml:space="preserve"> 18) LC further argue</w:t>
      </w:r>
      <w:r w:rsidR="006C7349" w:rsidRPr="00BE14C9">
        <w:t>d</w:t>
      </w:r>
      <w:r w:rsidR="007034EA" w:rsidRPr="00BE14C9">
        <w:t xml:space="preserve"> that </w:t>
      </w:r>
      <w:r w:rsidR="00CD58ED" w:rsidRPr="00BE14C9">
        <w:t>the closest</w:t>
      </w:r>
      <w:r w:rsidR="007034EA" w:rsidRPr="00BE14C9">
        <w:t xml:space="preserve"> </w:t>
      </w:r>
      <w:r w:rsidRPr="00BE14C9">
        <w:t xml:space="preserve">County </w:t>
      </w:r>
      <w:r w:rsidR="00BF143E" w:rsidRPr="00BE14C9">
        <w:t>waste</w:t>
      </w:r>
      <w:r w:rsidRPr="00BE14C9">
        <w:t>water treatment facility is recommended for dec</w:t>
      </w:r>
      <w:r w:rsidR="007034EA" w:rsidRPr="00BE14C9">
        <w:t>ommissioning in the Sewer Plan.</w:t>
      </w:r>
      <w:r w:rsidR="00CC5E88" w:rsidRPr="00BE14C9">
        <w:t xml:space="preserve"> </w:t>
      </w:r>
      <w:r w:rsidRPr="00BE14C9">
        <w:t>(LC BR 18)</w:t>
      </w:r>
    </w:p>
    <w:p w14:paraId="14A4EE4C" w14:textId="77777777" w:rsidR="0095668F" w:rsidRDefault="005833F0" w:rsidP="005D22AB">
      <w:pPr>
        <w:keepNext/>
        <w:spacing w:before="240" w:after="240"/>
        <w:jc w:val="center"/>
        <w:rPr>
          <w:rFonts w:ascii="Arial" w:hAnsi="Arial" w:cs="Arial"/>
          <w:b/>
        </w:rPr>
      </w:pPr>
      <w:r>
        <w:rPr>
          <w:rFonts w:ascii="Arial" w:hAnsi="Arial" w:cs="Arial"/>
          <w:b/>
        </w:rPr>
        <w:t>ANALYSIS</w:t>
      </w:r>
    </w:p>
    <w:p w14:paraId="16568359" w14:textId="04F5A4DC" w:rsidR="0095668F" w:rsidRDefault="00720511" w:rsidP="00720511">
      <w:pPr>
        <w:pStyle w:val="BodyText"/>
      </w:pPr>
      <w:r w:rsidRPr="00720511">
        <w:rPr>
          <w:color w:val="000000"/>
        </w:rPr>
        <w:t>In order to provide wastewater service to the proposed service territory</w:t>
      </w:r>
      <w:r w:rsidR="006B64EC">
        <w:rPr>
          <w:color w:val="000000"/>
        </w:rPr>
        <w:t>,</w:t>
      </w:r>
      <w:r w:rsidRPr="00720511">
        <w:rPr>
          <w:color w:val="000000"/>
        </w:rPr>
        <w:t xml:space="preserve"> EU entered into a Bulk Agreement with the County on July 14, 2020. (EXH 2 BSP 30-37) Under the terms of the Bulk Agreement</w:t>
      </w:r>
      <w:r w:rsidR="006B64EC">
        <w:rPr>
          <w:color w:val="000000"/>
        </w:rPr>
        <w:t>,</w:t>
      </w:r>
      <w:r w:rsidRPr="00720511">
        <w:rPr>
          <w:color w:val="000000"/>
        </w:rPr>
        <w:t xml:space="preserve"> EU would deliver wastewater to a lift station on the mainland and the wastewater would then be treated in th</w:t>
      </w:r>
      <w:r>
        <w:rPr>
          <w:color w:val="000000"/>
        </w:rPr>
        <w:t>e County’s treatment facilities.</w:t>
      </w:r>
      <w:r w:rsidR="0026364A">
        <w:t xml:space="preserve"> (TR 251; EXH 2</w:t>
      </w:r>
      <w:r w:rsidR="008E30DE">
        <w:t xml:space="preserve"> BSP 30</w:t>
      </w:r>
      <w:r w:rsidR="0026364A">
        <w:t xml:space="preserve">) </w:t>
      </w:r>
      <w:r w:rsidR="0026364A">
        <w:rPr>
          <w:color w:val="000000"/>
        </w:rPr>
        <w:t>The Bulk Agreement reserves capacity for up to 2,200 ERCs. (EXH 2</w:t>
      </w:r>
      <w:r w:rsidR="008E30DE">
        <w:rPr>
          <w:color w:val="000000"/>
        </w:rPr>
        <w:t xml:space="preserve"> BSP 32</w:t>
      </w:r>
      <w:r w:rsidR="0026364A">
        <w:rPr>
          <w:color w:val="000000"/>
        </w:rPr>
        <w:t>) The Bulk Agreement has a 30</w:t>
      </w:r>
      <w:r w:rsidR="00364E30">
        <w:rPr>
          <w:color w:val="000000"/>
        </w:rPr>
        <w:t>-</w:t>
      </w:r>
      <w:r w:rsidR="0026364A">
        <w:rPr>
          <w:color w:val="000000"/>
        </w:rPr>
        <w:t xml:space="preserve">year term, where the County </w:t>
      </w:r>
      <w:r w:rsidR="00FB6393">
        <w:rPr>
          <w:color w:val="000000"/>
        </w:rPr>
        <w:t>would</w:t>
      </w:r>
      <w:r w:rsidR="0026364A">
        <w:rPr>
          <w:color w:val="000000"/>
        </w:rPr>
        <w:t xml:space="preserve"> send a monthly invoice to EU for wastewater treatment based upon the sewer flow meter readings taken at the connection point between EU and the County. (EXH 2</w:t>
      </w:r>
      <w:r w:rsidR="008E30DE">
        <w:rPr>
          <w:color w:val="000000"/>
        </w:rPr>
        <w:t xml:space="preserve"> BSP 34</w:t>
      </w:r>
      <w:r w:rsidR="0026364A">
        <w:rPr>
          <w:color w:val="000000"/>
        </w:rPr>
        <w:t>) No other</w:t>
      </w:r>
      <w:r w:rsidR="00674C99">
        <w:rPr>
          <w:color w:val="000000"/>
        </w:rPr>
        <w:t xml:space="preserve"> </w:t>
      </w:r>
      <w:r w:rsidR="00594821">
        <w:rPr>
          <w:color w:val="000000"/>
        </w:rPr>
        <w:t>witness</w:t>
      </w:r>
      <w:r w:rsidR="0026364A">
        <w:rPr>
          <w:color w:val="000000"/>
        </w:rPr>
        <w:t xml:space="preserve"> addressed this issue during the </w:t>
      </w:r>
      <w:r w:rsidR="00FF4864">
        <w:rPr>
          <w:color w:val="000000"/>
        </w:rPr>
        <w:t>evidentiary</w:t>
      </w:r>
      <w:r w:rsidR="0026364A">
        <w:rPr>
          <w:color w:val="000000"/>
        </w:rPr>
        <w:t xml:space="preserve"> hearing. Staff agrees with witness Boyer that the Bulk Agreement appears to provide sufficient plant capacity to serve the requested territory. </w:t>
      </w:r>
    </w:p>
    <w:p w14:paraId="0FF9A77B" w14:textId="77777777" w:rsidR="0095668F" w:rsidRDefault="0095668F" w:rsidP="005D22AB">
      <w:pPr>
        <w:keepNext/>
        <w:spacing w:before="240" w:after="240"/>
        <w:jc w:val="center"/>
        <w:rPr>
          <w:rFonts w:ascii="Arial" w:hAnsi="Arial" w:cs="Arial"/>
          <w:b/>
        </w:rPr>
      </w:pPr>
      <w:r>
        <w:rPr>
          <w:rFonts w:ascii="Arial" w:hAnsi="Arial" w:cs="Arial"/>
          <w:b/>
        </w:rPr>
        <w:t>CONCLUSION</w:t>
      </w:r>
    </w:p>
    <w:p w14:paraId="4D195F6D" w14:textId="735D1A58" w:rsidR="005A2781" w:rsidRDefault="00E114E2" w:rsidP="005A2781">
      <w:pPr>
        <w:pStyle w:val="BodyText"/>
      </w:pPr>
      <w:r w:rsidRPr="00E114E2">
        <w:t>The Bulk Agreement with the County reserves adequate capacity to serve the proposed service territory and demonstrates that EU has properly planned for the estimated needs of the proposed service area.</w:t>
      </w:r>
    </w:p>
    <w:p w14:paraId="779ACB5C" w14:textId="37A4ECB3" w:rsidR="006E3F46" w:rsidRDefault="006E3F46" w:rsidP="005A2781">
      <w:pPr>
        <w:pStyle w:val="IssueHeading"/>
        <w:rPr>
          <w:vanish/>
          <w:specVanish/>
        </w:rPr>
      </w:pPr>
      <w:r w:rsidRPr="004C3641">
        <w:br w:type="page"/>
        <w:t xml:space="preserve">Issue </w:t>
      </w:r>
      <w:fldSimple w:instr=" SEQ Issue \* MERGEFORMAT ">
        <w:r w:rsidR="0028227E">
          <w:rPr>
            <w:noProof/>
          </w:rPr>
          <w:t>8</w:t>
        </w:r>
      </w:fldSimple>
      <w:r w:rsidRPr="004C3641">
        <w:t>:</w:t>
      </w:r>
      <w:r>
        <w:fldChar w:fldCharType="begin"/>
      </w:r>
      <w:r>
        <w:instrText xml:space="preserve"> TC "</w:instrText>
      </w:r>
      <w:bookmarkStart w:id="21" w:name="_Toc104278778"/>
      <w:r w:rsidR="00E07FD5">
        <w:instrText xml:space="preserve">Issue </w:instrText>
      </w:r>
      <w:r>
        <w:fldChar w:fldCharType="begin"/>
      </w:r>
      <w:r>
        <w:instrText xml:space="preserve"> SEQ issue \c </w:instrText>
      </w:r>
      <w:r>
        <w:fldChar w:fldCharType="separate"/>
      </w:r>
      <w:r w:rsidR="0028227E">
        <w:rPr>
          <w:noProof/>
        </w:rPr>
        <w:instrText>8</w:instrText>
      </w:r>
      <w:r>
        <w:fldChar w:fldCharType="end"/>
      </w:r>
      <w:r w:rsidR="00E07FD5">
        <w:instrText xml:space="preserve"> </w:instrText>
      </w:r>
      <w:r w:rsidR="00D866AF">
        <w:instrText>–</w:instrText>
      </w:r>
      <w:r w:rsidR="00E07FD5">
        <w:instrText xml:space="preserve"> </w:instrText>
      </w:r>
      <w:r w:rsidR="00D866AF">
        <w:instrText>Continued Use of Land</w:instrText>
      </w:r>
      <w:bookmarkEnd w:id="21"/>
      <w:r>
        <w:tab/>
        <w:instrText xml:space="preserve">" \l 1 </w:instrText>
      </w:r>
      <w:r>
        <w:fldChar w:fldCharType="end"/>
      </w:r>
      <w:r>
        <w:t> </w:t>
      </w:r>
    </w:p>
    <w:p w14:paraId="087872AD" w14:textId="77777777" w:rsidR="006E3F46" w:rsidRDefault="006E3F46">
      <w:pPr>
        <w:pStyle w:val="BodyText"/>
      </w:pPr>
      <w:r>
        <w:t> </w:t>
      </w:r>
      <w:r w:rsidR="00BB75C9" w:rsidRPr="00DA500F">
        <w:t>Has Environmental Utilities provided evidence that it has continued use of the land upon which the utility treatment facilities are or will be located?</w:t>
      </w:r>
    </w:p>
    <w:p w14:paraId="0FD3F9D8" w14:textId="77777777" w:rsidR="006E3F46" w:rsidRPr="004C3641" w:rsidRDefault="006E3F46">
      <w:pPr>
        <w:pStyle w:val="IssueSubsectionHeading"/>
        <w:rPr>
          <w:vanish/>
          <w:specVanish/>
        </w:rPr>
      </w:pPr>
      <w:r w:rsidRPr="004C3641">
        <w:t>Recommendation: </w:t>
      </w:r>
    </w:p>
    <w:p w14:paraId="52248046" w14:textId="6A95315E" w:rsidR="00BB75C9" w:rsidRDefault="00674C99" w:rsidP="00BB75C9">
      <w:pPr>
        <w:pStyle w:val="BodyText"/>
        <w:spacing w:after="0"/>
      </w:pPr>
      <w:r>
        <w:t>W</w:t>
      </w:r>
      <w:r w:rsidR="00CD7FF3">
        <w:t>astewater treatment will occur</w:t>
      </w:r>
      <w:r w:rsidR="00756F7C">
        <w:t xml:space="preserve"> pursuant to a Bulk Service Agreement</w:t>
      </w:r>
      <w:r>
        <w:t xml:space="preserve">. As such, </w:t>
      </w:r>
      <w:r w:rsidR="00CD7FF3">
        <w:t xml:space="preserve">EU </w:t>
      </w:r>
      <w:r w:rsidR="00756F7C">
        <w:t>does not own or operate the treatment facilities</w:t>
      </w:r>
      <w:r>
        <w:t xml:space="preserve"> and</w:t>
      </w:r>
      <w:r w:rsidR="00756F7C">
        <w:t xml:space="preserve"> evidence of continued u</w:t>
      </w:r>
      <w:r w:rsidR="00594821">
        <w:t xml:space="preserve">se of the land is not required or applicable in this instance. </w:t>
      </w:r>
      <w:r w:rsidR="0026364A">
        <w:t>(Phillips)</w:t>
      </w:r>
      <w:r w:rsidR="006E3F46">
        <w:t xml:space="preserve"> </w:t>
      </w:r>
    </w:p>
    <w:p w14:paraId="5D59EF18" w14:textId="77777777" w:rsidR="00BB75C9" w:rsidRDefault="00BB75C9" w:rsidP="00BB75C9">
      <w:pPr>
        <w:pStyle w:val="BodyText"/>
        <w:spacing w:after="0"/>
      </w:pPr>
    </w:p>
    <w:p w14:paraId="5E365A9C" w14:textId="77777777" w:rsidR="00BB75C9" w:rsidRDefault="00BB75C9" w:rsidP="00BB75C9">
      <w:pPr>
        <w:pStyle w:val="BodyText"/>
        <w:spacing w:after="0"/>
        <w:rPr>
          <w:rFonts w:ascii="Arial" w:hAnsi="Arial" w:cs="Arial"/>
          <w:b/>
        </w:rPr>
      </w:pPr>
      <w:r w:rsidRPr="006E3F46">
        <w:rPr>
          <w:rFonts w:ascii="Arial" w:hAnsi="Arial" w:cs="Arial"/>
          <w:b/>
        </w:rPr>
        <w:t>Position of the Parties</w:t>
      </w:r>
    </w:p>
    <w:p w14:paraId="663F0C47" w14:textId="77777777" w:rsidR="00BB75C9" w:rsidRDefault="00BB75C9" w:rsidP="00BB75C9">
      <w:pPr>
        <w:jc w:val="both"/>
        <w:rPr>
          <w:bCs/>
        </w:rPr>
      </w:pPr>
    </w:p>
    <w:p w14:paraId="1BC6F86E" w14:textId="77777777" w:rsidR="00CD3DE9" w:rsidRPr="00BB75C9" w:rsidRDefault="00CD3DE9" w:rsidP="00CD3DE9">
      <w:pPr>
        <w:jc w:val="both"/>
        <w:rPr>
          <w:b/>
          <w:bCs/>
        </w:rPr>
      </w:pPr>
      <w:r w:rsidRPr="00DE4013">
        <w:rPr>
          <w:rFonts w:ascii="Arial" w:hAnsi="Arial" w:cs="Arial"/>
          <w:b/>
          <w:bCs/>
        </w:rPr>
        <w:t>EU</w:t>
      </w:r>
      <w:r w:rsidRPr="00BB75C9">
        <w:rPr>
          <w:b/>
          <w:bCs/>
        </w:rPr>
        <w:t>:</w:t>
      </w:r>
      <w:r w:rsidR="00FC2233">
        <w:rPr>
          <w:bCs/>
        </w:rPr>
        <w:t xml:space="preserve"> </w:t>
      </w:r>
      <w:r w:rsidR="00FC2233" w:rsidRPr="00A04277">
        <w:rPr>
          <w:rFonts w:eastAsia="Calibri"/>
        </w:rPr>
        <w:t>This requirement is effectively satisfied through the Bulk Sewer Treatment Agreement entered into between EU and Charlotte County.</w:t>
      </w:r>
    </w:p>
    <w:p w14:paraId="3B35585F" w14:textId="77777777" w:rsidR="00CD3DE9" w:rsidRDefault="00CD3DE9" w:rsidP="00CD3DE9">
      <w:pPr>
        <w:jc w:val="both"/>
        <w:rPr>
          <w:bCs/>
        </w:rPr>
      </w:pPr>
    </w:p>
    <w:p w14:paraId="088C0823" w14:textId="77777777" w:rsidR="00DD5009" w:rsidRPr="00DD5009" w:rsidRDefault="00DD5009" w:rsidP="00DD5009">
      <w:pPr>
        <w:ind w:left="1440" w:hanging="1440"/>
        <w:jc w:val="both"/>
        <w:rPr>
          <w:bCs/>
        </w:rPr>
      </w:pPr>
      <w:r w:rsidRPr="00DE4013">
        <w:rPr>
          <w:rFonts w:ascii="Arial" w:hAnsi="Arial" w:cs="Arial"/>
          <w:b/>
          <w:bCs/>
        </w:rPr>
        <w:t>OPC</w:t>
      </w:r>
      <w:r w:rsidRPr="00BB75C9">
        <w:rPr>
          <w:b/>
          <w:bCs/>
        </w:rPr>
        <w:t>:</w:t>
      </w:r>
      <w:r>
        <w:rPr>
          <w:b/>
          <w:bCs/>
        </w:rPr>
        <w:t xml:space="preserve"> </w:t>
      </w:r>
      <w:r>
        <w:rPr>
          <w:bCs/>
        </w:rPr>
        <w:t>No position.</w:t>
      </w:r>
    </w:p>
    <w:p w14:paraId="7F20CF19" w14:textId="77777777" w:rsidR="00CD3DE9" w:rsidRPr="00DA500F" w:rsidRDefault="00CD3DE9" w:rsidP="00CD3DE9">
      <w:pPr>
        <w:jc w:val="both"/>
        <w:rPr>
          <w:bCs/>
        </w:rPr>
      </w:pPr>
    </w:p>
    <w:p w14:paraId="28B5EE9D" w14:textId="77777777" w:rsidR="00CD3DE9" w:rsidRPr="00E67C09" w:rsidRDefault="00CD3DE9" w:rsidP="00CD3DE9">
      <w:pPr>
        <w:jc w:val="both"/>
        <w:rPr>
          <w:bCs/>
        </w:rPr>
      </w:pPr>
      <w:r w:rsidRPr="00DE4013">
        <w:rPr>
          <w:rFonts w:ascii="Arial" w:hAnsi="Arial" w:cs="Arial"/>
          <w:b/>
          <w:bCs/>
        </w:rPr>
        <w:t>PIE</w:t>
      </w:r>
      <w:r w:rsidRPr="00BB75C9">
        <w:rPr>
          <w:b/>
          <w:bCs/>
        </w:rPr>
        <w:t>:</w:t>
      </w:r>
      <w:r w:rsidR="00E67C09">
        <w:rPr>
          <w:b/>
          <w:bCs/>
        </w:rPr>
        <w:t xml:space="preserve"> </w:t>
      </w:r>
      <w:r w:rsidR="00E67C09">
        <w:t>No. The applicant does not have continued use of the land upon which the utility treatment facilities are or will be located.</w:t>
      </w:r>
    </w:p>
    <w:p w14:paraId="668FD2AD" w14:textId="77777777" w:rsidR="00CD3DE9" w:rsidRDefault="00CD3DE9" w:rsidP="00CD3DE9">
      <w:pPr>
        <w:jc w:val="both"/>
        <w:rPr>
          <w:bCs/>
        </w:rPr>
      </w:pPr>
    </w:p>
    <w:p w14:paraId="3692284A" w14:textId="77777777" w:rsidR="00CD3DE9" w:rsidRPr="00E67C09" w:rsidRDefault="00CD3DE9" w:rsidP="00D2016F">
      <w:pPr>
        <w:tabs>
          <w:tab w:val="left" w:pos="0"/>
        </w:tabs>
        <w:jc w:val="both"/>
        <w:rPr>
          <w:bCs/>
        </w:rPr>
      </w:pPr>
      <w:r w:rsidRPr="00DE4013">
        <w:rPr>
          <w:rFonts w:ascii="Arial" w:hAnsi="Arial" w:cs="Arial"/>
          <w:b/>
          <w:bCs/>
        </w:rPr>
        <w:t>LC</w:t>
      </w:r>
      <w:r w:rsidRPr="00CD3DE9">
        <w:rPr>
          <w:b/>
          <w:bCs/>
        </w:rPr>
        <w:t>:</w:t>
      </w:r>
      <w:r w:rsidR="00E67C09">
        <w:rPr>
          <w:b/>
          <w:bCs/>
        </w:rPr>
        <w:t xml:space="preserve"> </w:t>
      </w:r>
      <w:r w:rsidR="00D2016F" w:rsidRPr="00542E0D">
        <w:t>No. The applicant has not brought forth evidence of agreements or documents which indicate a guarantee of continued use of the required land, exclusive of the connection point to Charlotte County Utilities.</w:t>
      </w:r>
    </w:p>
    <w:p w14:paraId="202078E0" w14:textId="77777777" w:rsidR="00BB75C9" w:rsidRPr="006E3F46" w:rsidRDefault="00BB75C9" w:rsidP="00D2016F">
      <w:pPr>
        <w:pStyle w:val="BodyText"/>
        <w:spacing w:after="0"/>
      </w:pPr>
    </w:p>
    <w:p w14:paraId="18C9E29F" w14:textId="77777777" w:rsidR="003B57AB" w:rsidRPr="004C3641" w:rsidRDefault="003B57AB" w:rsidP="003B57AB">
      <w:pPr>
        <w:pStyle w:val="IssueSubsectionHeading"/>
        <w:rPr>
          <w:vanish/>
          <w:specVanish/>
        </w:rPr>
      </w:pPr>
      <w:r w:rsidRPr="004C3641">
        <w:t>Staff Analysis: </w:t>
      </w:r>
    </w:p>
    <w:p w14:paraId="1407BEE9" w14:textId="77777777" w:rsidR="003B57AB" w:rsidRDefault="003B57AB" w:rsidP="003B57AB">
      <w:pPr>
        <w:pStyle w:val="BodyText"/>
      </w:pPr>
      <w:r>
        <w:t> </w:t>
      </w:r>
    </w:p>
    <w:p w14:paraId="0833BF9F" w14:textId="77777777" w:rsidR="0095668F" w:rsidRDefault="005833F0" w:rsidP="0095668F">
      <w:pPr>
        <w:pStyle w:val="BodyText"/>
        <w:spacing w:after="0"/>
        <w:jc w:val="center"/>
        <w:rPr>
          <w:rFonts w:ascii="Arial" w:hAnsi="Arial" w:cs="Arial"/>
          <w:b/>
        </w:rPr>
      </w:pPr>
      <w:r>
        <w:rPr>
          <w:rFonts w:ascii="Arial" w:hAnsi="Arial" w:cs="Arial"/>
          <w:b/>
        </w:rPr>
        <w:t>PARTIES’ ARGUMENTS</w:t>
      </w:r>
    </w:p>
    <w:p w14:paraId="444AFB79" w14:textId="77777777" w:rsidR="0026364A" w:rsidRDefault="0026364A" w:rsidP="00AD266A">
      <w:pPr>
        <w:pStyle w:val="BodyText"/>
        <w:spacing w:after="0"/>
        <w:rPr>
          <w:rFonts w:ascii="Arial" w:hAnsi="Arial" w:cs="Arial"/>
          <w:b/>
        </w:rPr>
      </w:pPr>
      <w:r>
        <w:rPr>
          <w:rFonts w:ascii="Arial" w:hAnsi="Arial" w:cs="Arial"/>
          <w:b/>
        </w:rPr>
        <w:t>EU</w:t>
      </w:r>
    </w:p>
    <w:p w14:paraId="0B9E1A17" w14:textId="5BFC89C6" w:rsidR="00320E81" w:rsidRPr="00BE14C9" w:rsidRDefault="00320E81" w:rsidP="00AD266A">
      <w:pPr>
        <w:pStyle w:val="BodyText"/>
        <w:spacing w:after="0"/>
      </w:pPr>
      <w:r w:rsidRPr="00320E81">
        <w:t>E</w:t>
      </w:r>
      <w:r w:rsidRPr="00BE14C9">
        <w:t>U stat</w:t>
      </w:r>
      <w:r w:rsidR="006C7349" w:rsidRPr="00BE14C9">
        <w:t>ed</w:t>
      </w:r>
      <w:r w:rsidRPr="00BE14C9">
        <w:t xml:space="preserve"> that </w:t>
      </w:r>
      <w:r w:rsidR="00594821">
        <w:t>it</w:t>
      </w:r>
      <w:r w:rsidRPr="00BE14C9">
        <w:t xml:space="preserve"> will only have treatment facilities through the Bulk Agreement. </w:t>
      </w:r>
      <w:r w:rsidR="00AD266A" w:rsidRPr="00BE14C9">
        <w:t xml:space="preserve">(EU BR 10) </w:t>
      </w:r>
      <w:r w:rsidRPr="00BE14C9">
        <w:t xml:space="preserve">EU </w:t>
      </w:r>
      <w:r w:rsidR="006C7349" w:rsidRPr="00BE14C9">
        <w:t>noted</w:t>
      </w:r>
      <w:r w:rsidRPr="00BE14C9">
        <w:t xml:space="preserve"> that </w:t>
      </w:r>
      <w:r w:rsidR="00497928" w:rsidRPr="00BE14C9">
        <w:t>R</w:t>
      </w:r>
      <w:r w:rsidRPr="00BE14C9">
        <w:t>ule</w:t>
      </w:r>
      <w:r w:rsidR="00497928" w:rsidRPr="00BE14C9">
        <w:t xml:space="preserve"> 25-30.033(1)(m), F.A.C.,</w:t>
      </w:r>
      <w:r w:rsidRPr="00BE14C9">
        <w:t xml:space="preserve"> only applies to land where treatment facilities are located and not to land </w:t>
      </w:r>
      <w:r w:rsidR="00497928" w:rsidRPr="00BE14C9">
        <w:t>associated with the collection system, such as easements and pump stations</w:t>
      </w:r>
      <w:r w:rsidRPr="00BE14C9">
        <w:t>. EU argue</w:t>
      </w:r>
      <w:r w:rsidR="006C7349" w:rsidRPr="00BE14C9">
        <w:t>d</w:t>
      </w:r>
      <w:r w:rsidRPr="00BE14C9">
        <w:t xml:space="preserve"> that since it only</w:t>
      </w:r>
      <w:r w:rsidR="00756F7C" w:rsidRPr="00BE14C9">
        <w:t xml:space="preserve"> operates</w:t>
      </w:r>
      <w:r w:rsidRPr="00BE14C9">
        <w:t xml:space="preserve"> a collection system and does not own treatment fac</w:t>
      </w:r>
      <w:r w:rsidR="00AD266A" w:rsidRPr="00BE14C9">
        <w:t xml:space="preserve">ilities the </w:t>
      </w:r>
      <w:r w:rsidR="00594821">
        <w:t>r</w:t>
      </w:r>
      <w:r w:rsidR="00AD266A" w:rsidRPr="00BE14C9">
        <w:t>ule is either inapplicable or deemed satisfied through the Bulk Agreement</w:t>
      </w:r>
      <w:r w:rsidRPr="00BE14C9">
        <w:t>.</w:t>
      </w:r>
      <w:r w:rsidR="00AD266A" w:rsidRPr="00BE14C9">
        <w:t xml:space="preserve"> (EU BR 10)</w:t>
      </w:r>
    </w:p>
    <w:p w14:paraId="4B5BA29F" w14:textId="77777777" w:rsidR="0026364A" w:rsidRPr="00BE14C9" w:rsidRDefault="0026364A" w:rsidP="005432C8">
      <w:pPr>
        <w:pStyle w:val="First-LevelSubheading"/>
        <w:outlineLvl w:val="9"/>
        <w:rPr>
          <w:rFonts w:ascii="Times New Roman" w:hAnsi="Times New Roman" w:cs="Times New Roman"/>
          <w:b w:val="0"/>
        </w:rPr>
      </w:pPr>
    </w:p>
    <w:p w14:paraId="157A856E" w14:textId="77777777" w:rsidR="0026364A" w:rsidRPr="00BE14C9" w:rsidRDefault="0026364A" w:rsidP="00844BA9">
      <w:pPr>
        <w:pStyle w:val="BodyText"/>
        <w:spacing w:after="0"/>
        <w:rPr>
          <w:rFonts w:ascii="Arial" w:hAnsi="Arial" w:cs="Arial"/>
          <w:b/>
        </w:rPr>
      </w:pPr>
      <w:r w:rsidRPr="00BE14C9">
        <w:rPr>
          <w:rFonts w:ascii="Arial" w:hAnsi="Arial" w:cs="Arial"/>
          <w:b/>
        </w:rPr>
        <w:t>PIE</w:t>
      </w:r>
    </w:p>
    <w:p w14:paraId="185D945F" w14:textId="77777777" w:rsidR="0026364A" w:rsidRPr="00BE14C9" w:rsidRDefault="00844BA9" w:rsidP="00844BA9">
      <w:pPr>
        <w:pStyle w:val="BodyText"/>
        <w:spacing w:after="0"/>
      </w:pPr>
      <w:r w:rsidRPr="00BE14C9">
        <w:t>PIE argue</w:t>
      </w:r>
      <w:r w:rsidR="006C7349" w:rsidRPr="00BE14C9">
        <w:t>d</w:t>
      </w:r>
      <w:r w:rsidRPr="00BE14C9">
        <w:t xml:space="preserve"> EU has insufficiently budgeted for the purchase of easements for its wastewater collection system, which are necessary for its operation. (PIE BR 14) </w:t>
      </w:r>
      <w:r w:rsidR="0026364A" w:rsidRPr="00BE14C9">
        <w:t xml:space="preserve">PIE </w:t>
      </w:r>
      <w:r w:rsidR="006C7349" w:rsidRPr="00BE14C9">
        <w:t>asserted</w:t>
      </w:r>
      <w:r w:rsidR="0026364A" w:rsidRPr="00BE14C9">
        <w:t xml:space="preserve"> that the </w:t>
      </w:r>
      <w:r w:rsidRPr="00BE14C9">
        <w:t xml:space="preserve">budgeted value of $250,000 is arbitrary, as other utilities on the island have paid up to $7,000 per </w:t>
      </w:r>
      <w:r w:rsidR="0026364A" w:rsidRPr="00BE14C9">
        <w:t xml:space="preserve">easement </w:t>
      </w:r>
      <w:r w:rsidRPr="00BE14C9">
        <w:t>and/or had to go through eminent domain</w:t>
      </w:r>
      <w:r w:rsidR="0026364A" w:rsidRPr="00BE14C9">
        <w:t xml:space="preserve">. (PIE BR 14) PIE </w:t>
      </w:r>
      <w:r w:rsidR="006C7349" w:rsidRPr="00BE14C9">
        <w:t>noted</w:t>
      </w:r>
      <w:r w:rsidR="0026364A" w:rsidRPr="00BE14C9">
        <w:t xml:space="preserve"> that part of the Bulk Agreement requires EU to obtain easements through Don Pedro Park</w:t>
      </w:r>
      <w:r w:rsidRPr="00BE14C9">
        <w:t>,</w:t>
      </w:r>
      <w:r w:rsidR="00F14CF2">
        <w:t xml:space="preserve"> and that</w:t>
      </w:r>
      <w:r w:rsidRPr="00BE14C9">
        <w:t xml:space="preserve"> EU did not provide testimony or evidence on this being</w:t>
      </w:r>
      <w:r w:rsidR="0026364A" w:rsidRPr="00BE14C9">
        <w:t xml:space="preserve"> </w:t>
      </w:r>
      <w:r w:rsidRPr="00BE14C9">
        <w:t>completed</w:t>
      </w:r>
      <w:r w:rsidR="0026364A" w:rsidRPr="00BE14C9">
        <w:t>. (PIE BR 14</w:t>
      </w:r>
      <w:r w:rsidRPr="00BE14C9">
        <w:t>-</w:t>
      </w:r>
      <w:r w:rsidR="0026364A" w:rsidRPr="00BE14C9">
        <w:t xml:space="preserve">15) </w:t>
      </w:r>
    </w:p>
    <w:p w14:paraId="5911B7F5" w14:textId="77777777" w:rsidR="0026364A" w:rsidRPr="00BE14C9" w:rsidRDefault="0026364A" w:rsidP="003129A3">
      <w:pPr>
        <w:pStyle w:val="BodyText"/>
        <w:spacing w:after="0"/>
      </w:pPr>
    </w:p>
    <w:p w14:paraId="17CB1BBB" w14:textId="77777777" w:rsidR="0026364A" w:rsidRPr="00BE14C9" w:rsidRDefault="0026364A" w:rsidP="003129A3">
      <w:pPr>
        <w:pStyle w:val="BodyText"/>
        <w:spacing w:after="0"/>
        <w:rPr>
          <w:rFonts w:ascii="Arial" w:hAnsi="Arial" w:cs="Arial"/>
          <w:b/>
        </w:rPr>
      </w:pPr>
      <w:r w:rsidRPr="00BE14C9">
        <w:rPr>
          <w:rFonts w:ascii="Arial" w:hAnsi="Arial" w:cs="Arial"/>
          <w:b/>
        </w:rPr>
        <w:t>LC</w:t>
      </w:r>
    </w:p>
    <w:p w14:paraId="65F393B9" w14:textId="3004D369" w:rsidR="0026364A" w:rsidRDefault="0026364A" w:rsidP="003129A3">
      <w:pPr>
        <w:pStyle w:val="BodyText"/>
        <w:spacing w:after="0"/>
      </w:pPr>
      <w:r w:rsidRPr="00BE14C9">
        <w:t xml:space="preserve">LC </w:t>
      </w:r>
      <w:r w:rsidR="006C7349" w:rsidRPr="00BE14C9">
        <w:t>contended</w:t>
      </w:r>
      <w:r w:rsidRPr="00BE14C9">
        <w:t xml:space="preserve"> that EU had not provided evidence to show that they </w:t>
      </w:r>
      <w:r w:rsidR="00FB6393">
        <w:t>would</w:t>
      </w:r>
      <w:r w:rsidRPr="00BE14C9">
        <w:t xml:space="preserve"> have continued use of the land where the</w:t>
      </w:r>
      <w:r w:rsidR="003129A3" w:rsidRPr="00BE14C9">
        <w:t xml:space="preserve"> County’s</w:t>
      </w:r>
      <w:r w:rsidRPr="00BE14C9">
        <w:t xml:space="preserve"> treatment facilities are l</w:t>
      </w:r>
      <w:r w:rsidR="003129A3" w:rsidRPr="00BE14C9">
        <w:t xml:space="preserve">ocated. (LC BR 18) LC </w:t>
      </w:r>
      <w:r w:rsidR="006C7349" w:rsidRPr="00BE14C9">
        <w:t>argued</w:t>
      </w:r>
      <w:r w:rsidR="003129A3" w:rsidRPr="00BE14C9">
        <w:t xml:space="preserve"> that EU</w:t>
      </w:r>
      <w:r w:rsidRPr="00BE14C9">
        <w:t xml:space="preserve"> has</w:t>
      </w:r>
      <w:r w:rsidR="003129A3" w:rsidRPr="00BE14C9">
        <w:t xml:space="preserve"> not provided any evidence of their</w:t>
      </w:r>
      <w:r w:rsidRPr="00BE14C9">
        <w:t xml:space="preserve"> access to the </w:t>
      </w:r>
      <w:r w:rsidR="003129A3" w:rsidRPr="00BE14C9">
        <w:t>easements and rights of way, including through Don Pedro Island State Park. (LC BR-18-19) LC also argue</w:t>
      </w:r>
      <w:r w:rsidR="006C7349" w:rsidRPr="00BE14C9">
        <w:t>d</w:t>
      </w:r>
      <w:r w:rsidR="003129A3" w:rsidRPr="00BE14C9">
        <w:t xml:space="preserve"> that the </w:t>
      </w:r>
      <w:r w:rsidR="00594821">
        <w:t>w</w:t>
      </w:r>
      <w:r w:rsidR="003129A3" w:rsidRPr="00BE14C9">
        <w:t>aste</w:t>
      </w:r>
      <w:r w:rsidR="003129A3">
        <w:t xml:space="preserve">water </w:t>
      </w:r>
      <w:r w:rsidR="00594821">
        <w:t>t</w:t>
      </w:r>
      <w:r w:rsidR="003129A3">
        <w:t xml:space="preserve">ariff </w:t>
      </w:r>
      <w:r w:rsidR="003129A3" w:rsidRPr="00BE14C9">
        <w:t xml:space="preserve">contained in the application requires customers to grant easements without cost to the Utility, and that this represents potential violations of private property rights. (LC BR 19) LC </w:t>
      </w:r>
      <w:r w:rsidR="006C7349" w:rsidRPr="00BE14C9">
        <w:t>asserted</w:t>
      </w:r>
      <w:r w:rsidR="003129A3" w:rsidRPr="00BE14C9">
        <w:t xml:space="preserve"> that the </w:t>
      </w:r>
      <w:r w:rsidR="00594821">
        <w:t>acquisition</w:t>
      </w:r>
      <w:r w:rsidR="003129A3" w:rsidRPr="00BE14C9">
        <w:t xml:space="preserve"> of easements will be met with resistance and </w:t>
      </w:r>
      <w:r w:rsidR="003E0F51">
        <w:t xml:space="preserve">will </w:t>
      </w:r>
      <w:r w:rsidR="003129A3" w:rsidRPr="00BE14C9">
        <w:t>require costly eminent domain proce</w:t>
      </w:r>
      <w:r w:rsidR="003129A3">
        <w:t xml:space="preserve">dures. </w:t>
      </w:r>
      <w:r>
        <w:t>(LC BR 19)</w:t>
      </w:r>
    </w:p>
    <w:p w14:paraId="4C77024A" w14:textId="77777777" w:rsidR="0095668F" w:rsidRDefault="005833F0" w:rsidP="005D22AB">
      <w:pPr>
        <w:keepNext/>
        <w:spacing w:before="240" w:after="240"/>
        <w:jc w:val="center"/>
        <w:rPr>
          <w:rFonts w:ascii="Arial" w:hAnsi="Arial" w:cs="Arial"/>
          <w:b/>
        </w:rPr>
      </w:pPr>
      <w:r>
        <w:rPr>
          <w:rFonts w:ascii="Arial" w:hAnsi="Arial" w:cs="Arial"/>
          <w:b/>
        </w:rPr>
        <w:t>ANALYSIS</w:t>
      </w:r>
    </w:p>
    <w:p w14:paraId="0C9FA1CF" w14:textId="5539A502" w:rsidR="0026364A" w:rsidRDefault="00594821" w:rsidP="0026364A">
      <w:pPr>
        <w:pStyle w:val="BodyText"/>
        <w:rPr>
          <w:color w:val="000000"/>
        </w:rPr>
      </w:pPr>
      <w:r>
        <w:rPr>
          <w:color w:val="000000"/>
        </w:rPr>
        <w:t xml:space="preserve">Section 367.1213, F.S., and </w:t>
      </w:r>
      <w:r w:rsidR="0026364A" w:rsidRPr="00844510">
        <w:rPr>
          <w:color w:val="000000"/>
        </w:rPr>
        <w:t xml:space="preserve">Rule </w:t>
      </w:r>
      <w:r w:rsidR="0026364A" w:rsidRPr="007D5DD3">
        <w:rPr>
          <w:color w:val="000000"/>
        </w:rPr>
        <w:t>25-30.033(1)(m)</w:t>
      </w:r>
      <w:r w:rsidR="00A93F99">
        <w:rPr>
          <w:color w:val="000000"/>
        </w:rPr>
        <w:t>,</w:t>
      </w:r>
      <w:r w:rsidR="0026364A" w:rsidRPr="00844510">
        <w:rPr>
          <w:color w:val="000000"/>
        </w:rPr>
        <w:t xml:space="preserve"> F.A.C</w:t>
      </w:r>
      <w:r w:rsidR="0026364A">
        <w:rPr>
          <w:color w:val="000000"/>
        </w:rPr>
        <w:t>., requires evidence that a u</w:t>
      </w:r>
      <w:r w:rsidR="0026364A" w:rsidRPr="00844510">
        <w:rPr>
          <w:color w:val="000000"/>
        </w:rPr>
        <w:t xml:space="preserve">tility </w:t>
      </w:r>
      <w:r w:rsidR="0026364A">
        <w:rPr>
          <w:color w:val="000000"/>
        </w:rPr>
        <w:t xml:space="preserve">has the </w:t>
      </w:r>
      <w:r w:rsidR="0026364A" w:rsidRPr="000D6F56">
        <w:rPr>
          <w:color w:val="000000"/>
        </w:rPr>
        <w:t xml:space="preserve">right to access and </w:t>
      </w:r>
      <w:r w:rsidR="0026364A">
        <w:rPr>
          <w:color w:val="000000"/>
        </w:rPr>
        <w:t xml:space="preserve">the </w:t>
      </w:r>
      <w:r w:rsidR="0026364A" w:rsidRPr="000D6F56">
        <w:rPr>
          <w:color w:val="000000"/>
        </w:rPr>
        <w:t xml:space="preserve">continued use of the land upon which the utility treatment facilities are or will be located. </w:t>
      </w:r>
      <w:r w:rsidR="0026364A" w:rsidRPr="007D5DD3">
        <w:rPr>
          <w:color w:val="000000"/>
        </w:rPr>
        <w:t>A</w:t>
      </w:r>
      <w:r w:rsidR="0026364A" w:rsidRPr="00CE1A37">
        <w:rPr>
          <w:color w:val="000000"/>
        </w:rPr>
        <w:t xml:space="preserve">s </w:t>
      </w:r>
      <w:r w:rsidR="00674C99">
        <w:rPr>
          <w:color w:val="000000"/>
        </w:rPr>
        <w:t xml:space="preserve">discussed </w:t>
      </w:r>
      <w:r w:rsidR="0026364A">
        <w:rPr>
          <w:color w:val="000000"/>
        </w:rPr>
        <w:t xml:space="preserve">in Issue 7, EU will utilize the County’s treatment facilities through the Bulk Agreement. </w:t>
      </w:r>
      <w:r w:rsidR="0026364A" w:rsidRPr="001E769A">
        <w:t>(TR 249; EXH 2</w:t>
      </w:r>
      <w:r w:rsidR="00470C52">
        <w:t xml:space="preserve"> BSP 26</w:t>
      </w:r>
      <w:r w:rsidR="0026364A" w:rsidRPr="001E769A">
        <w:t>) The Bulk Agreement, which has a term of 30 years, grants EU the ability to send wastewater to the County’s treatment facilities located on the mainland. (EXH 2</w:t>
      </w:r>
      <w:r w:rsidR="008E30DE">
        <w:t xml:space="preserve"> BSP 30</w:t>
      </w:r>
      <w:r w:rsidR="0026364A" w:rsidRPr="001E769A">
        <w:t>)</w:t>
      </w:r>
      <w:r w:rsidR="0026364A">
        <w:rPr>
          <w:color w:val="000000"/>
        </w:rPr>
        <w:t xml:space="preserve">. </w:t>
      </w:r>
    </w:p>
    <w:p w14:paraId="630F3C44" w14:textId="6A3CD259" w:rsidR="0095668F" w:rsidRDefault="0026364A" w:rsidP="0026364A">
      <w:pPr>
        <w:pStyle w:val="BodyText"/>
      </w:pPr>
      <w:r>
        <w:t>EU witness Cole described the proposed system as a S</w:t>
      </w:r>
      <w:r w:rsidRPr="00255A64">
        <w:t>eptic Tank Effluent Pumping</w:t>
      </w:r>
      <w:r>
        <w:t xml:space="preserve"> system where a septic tank and effluent pump </w:t>
      </w:r>
      <w:r w:rsidR="00FB6393">
        <w:t>would</w:t>
      </w:r>
      <w:r>
        <w:t xml:space="preserve"> be located on </w:t>
      </w:r>
      <w:r w:rsidR="00FB6393">
        <w:t xml:space="preserve">a </w:t>
      </w:r>
      <w:r>
        <w:t xml:space="preserve">customer’s private property. (TR 98) The effluent waste </w:t>
      </w:r>
      <w:r w:rsidR="00FB6393">
        <w:t>would</w:t>
      </w:r>
      <w:r>
        <w:t xml:space="preserve"> be pumped out while the remaining sludge is stored in the tank. (TR 115) The Utility </w:t>
      </w:r>
      <w:r w:rsidR="00FB6393">
        <w:t>would</w:t>
      </w:r>
      <w:r>
        <w:t xml:space="preserve"> need access to customer’s private property to remove existing septic tanks</w:t>
      </w:r>
      <w:r w:rsidR="00FB6393">
        <w:t>,</w:t>
      </w:r>
      <w:r>
        <w:t xml:space="preserve"> as well as connect a new septic tank and effluent pump. EU witness Cole testified that the pumps </w:t>
      </w:r>
      <w:r w:rsidR="00FB6393">
        <w:t>would</w:t>
      </w:r>
      <w:r>
        <w:t xml:space="preserve"> need to be connected to the customer’s electric service in order to operate. (TR 99) The Utility would then need continued periodic access to the customer’s property in order to empty the tanks. EU witness Cole testified that in his experience a typical easement run</w:t>
      </w:r>
      <w:r w:rsidR="00FB6393">
        <w:t>s</w:t>
      </w:r>
      <w:r>
        <w:t xml:space="preserve"> between 15 and 20 feet wide on private property. </w:t>
      </w:r>
      <w:r w:rsidR="00F44297" w:rsidRPr="00C85485">
        <w:t>During the service hearing</w:t>
      </w:r>
      <w:r w:rsidR="00F44297">
        <w:t xml:space="preserve">, a </w:t>
      </w:r>
      <w:r w:rsidR="00F05A33">
        <w:t>resident</w:t>
      </w:r>
      <w:r w:rsidR="00F44297" w:rsidRPr="00C85485">
        <w:t xml:space="preserve"> </w:t>
      </w:r>
      <w:r w:rsidR="00F44297">
        <w:t xml:space="preserve">testified that EU does not have </w:t>
      </w:r>
      <w:r w:rsidR="00594821">
        <w:t xml:space="preserve">the needed </w:t>
      </w:r>
      <w:r w:rsidR="00F44297">
        <w:t xml:space="preserve">easements and doubts EU’s ability to obtain them. </w:t>
      </w:r>
      <w:r w:rsidR="00F44297" w:rsidRPr="000A66A0">
        <w:t>(2/9 S-TR 30)</w:t>
      </w:r>
      <w:r w:rsidR="00674C99">
        <w:t xml:space="preserve"> </w:t>
      </w:r>
      <w:r>
        <w:t xml:space="preserve">EU </w:t>
      </w:r>
      <w:r w:rsidR="00B63120">
        <w:t>w</w:t>
      </w:r>
      <w:r>
        <w:t xml:space="preserve">itness Boyer acknowledged the possibly that the Utility would need to claim eminent domain and compensate property owners for use of land. (TR 64) Witness Boyer testified that EU has set aside $250,000 for eminent domain cases. (TR 65) </w:t>
      </w:r>
      <w:r w:rsidR="00F44297">
        <w:t xml:space="preserve">Staff notes the issue regarding the granting of easements is not before the Commission at this time. However, since easements are not yet secure and </w:t>
      </w:r>
      <w:r w:rsidR="00F05A33">
        <w:t>residents</w:t>
      </w:r>
      <w:r w:rsidR="00F44297">
        <w:t xml:space="preserve"> have expressed no desire for service, if the Commission grants the application, the provision of service could be </w:t>
      </w:r>
      <w:r w:rsidR="00594821">
        <w:t xml:space="preserve">substantially </w:t>
      </w:r>
      <w:r w:rsidR="00F44297">
        <w:t>delayed</w:t>
      </w:r>
      <w:r w:rsidR="00FB6393">
        <w:t xml:space="preserve"> as EU acquires the legal rights to access customer property.</w:t>
      </w:r>
    </w:p>
    <w:p w14:paraId="5A87F423" w14:textId="77777777" w:rsidR="0095668F" w:rsidRDefault="0095668F" w:rsidP="005D22AB">
      <w:pPr>
        <w:keepNext/>
        <w:spacing w:before="240" w:after="240"/>
        <w:jc w:val="center"/>
        <w:rPr>
          <w:rFonts w:ascii="Arial" w:hAnsi="Arial" w:cs="Arial"/>
          <w:b/>
        </w:rPr>
      </w:pPr>
      <w:r>
        <w:rPr>
          <w:rFonts w:ascii="Arial" w:hAnsi="Arial" w:cs="Arial"/>
          <w:b/>
        </w:rPr>
        <w:t>CONCLUSION</w:t>
      </w:r>
    </w:p>
    <w:p w14:paraId="56509657" w14:textId="170052F1" w:rsidR="00637E96" w:rsidRDefault="00637E96" w:rsidP="00637E96">
      <w:pPr>
        <w:jc w:val="both"/>
      </w:pPr>
      <w:r>
        <w:t xml:space="preserve">The Utility’s proposal of siting a septic tank and effluent pump on each customers’ private property appears to be a novel arrangement. Based on the record evidence, staff has concerns regarding the efficacy of such an arrangement that, (1) presumes easements will be obtainable for all customers; (2) depends on connection with and continued operation of a customer’s electric service, at the customer’s cost; and (3) requires routine and continued access to the customer’s property in order to properly maintain the system. Staff acknowledges that approval of the system design is under the </w:t>
      </w:r>
      <w:r w:rsidR="00ED4B0F">
        <w:t>pur</w:t>
      </w:r>
      <w:r>
        <w:t xml:space="preserve">view of the DEP. </w:t>
      </w:r>
    </w:p>
    <w:p w14:paraId="1CCF1AAB" w14:textId="77777777" w:rsidR="00637E96" w:rsidRDefault="00637E96" w:rsidP="00637E96">
      <w:pPr>
        <w:jc w:val="both"/>
      </w:pPr>
    </w:p>
    <w:p w14:paraId="2F92B6FD" w14:textId="2BC8B0DA" w:rsidR="0056006B" w:rsidRPr="00A32A94" w:rsidRDefault="00637E96" w:rsidP="0056006B">
      <w:pPr>
        <w:jc w:val="both"/>
      </w:pPr>
      <w:r>
        <w:t>Notwithstanding these concerns, w</w:t>
      </w:r>
      <w:r w:rsidRPr="00A32A94">
        <w:t>astewater treatment will occur pursuant to a Bulk Service Agreement. As such, EU does not own or operate the treatment facilities</w:t>
      </w:r>
      <w:r>
        <w:t xml:space="preserve">; therefore, staff recommends that </w:t>
      </w:r>
      <w:r w:rsidRPr="00A32A94">
        <w:t xml:space="preserve">evidence of continued use of the land </w:t>
      </w:r>
      <w:r>
        <w:t xml:space="preserve">upon </w:t>
      </w:r>
      <w:r w:rsidRPr="00A32A94">
        <w:t>is not required</w:t>
      </w:r>
      <w:r>
        <w:t xml:space="preserve"> or applicable in this instance</w:t>
      </w:r>
      <w:r w:rsidRPr="00A32A94">
        <w:t>.</w:t>
      </w:r>
    </w:p>
    <w:p w14:paraId="233B01D3" w14:textId="0DAC6E37" w:rsidR="006E3F46" w:rsidRDefault="006E3F46" w:rsidP="0056006B">
      <w:pPr>
        <w:pStyle w:val="IssueHeading"/>
        <w:rPr>
          <w:vanish/>
          <w:specVanish/>
        </w:rPr>
      </w:pPr>
      <w:r w:rsidRPr="004C3641">
        <w:rPr>
          <w:b w:val="0"/>
          <w:i w:val="0"/>
        </w:rPr>
        <w:br w:type="page"/>
      </w:r>
      <w:r w:rsidRPr="004C3641">
        <w:t xml:space="preserve">Issue </w:t>
      </w:r>
      <w:fldSimple w:instr=" SEQ Issue \* MERGEFORMAT ">
        <w:r w:rsidR="0028227E">
          <w:rPr>
            <w:noProof/>
          </w:rPr>
          <w:t>9</w:t>
        </w:r>
      </w:fldSimple>
      <w:r w:rsidRPr="004C3641">
        <w:t>:</w:t>
      </w:r>
      <w:r>
        <w:fldChar w:fldCharType="begin"/>
      </w:r>
      <w:r>
        <w:instrText xml:space="preserve"> TC "</w:instrText>
      </w:r>
      <w:bookmarkStart w:id="22" w:name="_Toc104278779"/>
      <w:r w:rsidR="00E07FD5">
        <w:instrText xml:space="preserve">Issue </w:instrText>
      </w:r>
      <w:r>
        <w:fldChar w:fldCharType="begin"/>
      </w:r>
      <w:r>
        <w:instrText xml:space="preserve"> SEQ issue \c </w:instrText>
      </w:r>
      <w:r>
        <w:fldChar w:fldCharType="separate"/>
      </w:r>
      <w:r w:rsidR="0028227E">
        <w:rPr>
          <w:noProof/>
        </w:rPr>
        <w:instrText>9</w:instrText>
      </w:r>
      <w:r>
        <w:fldChar w:fldCharType="end"/>
      </w:r>
      <w:r w:rsidR="00E07FD5">
        <w:instrText xml:space="preserve"> – </w:instrText>
      </w:r>
      <w:r w:rsidR="00D866AF">
        <w:instrText>Public Interest</w:instrText>
      </w:r>
      <w:bookmarkEnd w:id="22"/>
      <w:r>
        <w:tab/>
        <w:instrText xml:space="preserve">" \l 1 </w:instrText>
      </w:r>
      <w:r>
        <w:fldChar w:fldCharType="end"/>
      </w:r>
      <w:r>
        <w:t> </w:t>
      </w:r>
    </w:p>
    <w:p w14:paraId="29C1C469" w14:textId="77777777" w:rsidR="006E3F46" w:rsidRDefault="006E3F46">
      <w:pPr>
        <w:pStyle w:val="BodyText"/>
      </w:pPr>
      <w:r>
        <w:t> </w:t>
      </w:r>
      <w:r w:rsidR="00BB75C9" w:rsidRPr="00DA500F">
        <w:rPr>
          <w:bCs/>
        </w:rPr>
        <w:t>Is it in the public interest for Environmental Utilities to be granted a wastewater certificate for the territory proposed in its application?</w:t>
      </w:r>
    </w:p>
    <w:p w14:paraId="0998B1EF" w14:textId="77777777" w:rsidR="006E3F46" w:rsidRPr="004C3641" w:rsidRDefault="006E3F46" w:rsidP="0056006B">
      <w:pPr>
        <w:pStyle w:val="IssueSubsectionHeading"/>
        <w:rPr>
          <w:vanish/>
          <w:specVanish/>
        </w:rPr>
      </w:pPr>
      <w:r w:rsidRPr="004C3641">
        <w:t>Recommendation: </w:t>
      </w:r>
    </w:p>
    <w:p w14:paraId="7421231A" w14:textId="77777777" w:rsidR="0056006B" w:rsidRPr="002B4A31" w:rsidRDefault="0056006B" w:rsidP="0056006B">
      <w:pPr>
        <w:jc w:val="both"/>
      </w:pPr>
      <w:r>
        <w:t xml:space="preserve">No. </w:t>
      </w:r>
      <w:r w:rsidRPr="007B2946">
        <w:t>Based on staff’s</w:t>
      </w:r>
      <w:r>
        <w:t xml:space="preserve"> recommendation in Issue 2, EU has not demonstrated a need for service exists; therefore, its request for certification is not in the public interest and should be denied. However, if the Commission believes the application should be granted, </w:t>
      </w:r>
      <w:r w:rsidRPr="00577991">
        <w:t xml:space="preserve">the Utility </w:t>
      </w:r>
      <w:r>
        <w:t>should</w:t>
      </w:r>
      <w:r w:rsidRPr="00577991">
        <w:t xml:space="preserve"> </w:t>
      </w:r>
      <w:r>
        <w:t xml:space="preserve">be required to </w:t>
      </w:r>
      <w:r w:rsidRPr="00577991">
        <w:t>file an amended territory description and map</w:t>
      </w:r>
      <w:r>
        <w:t xml:space="preserve"> within 30 days of the issuance of the Commission’s order, and this docket should remain open for the parties and Commission to address the amended territory description and map, as discussed in Issue 4. (Phillips)</w:t>
      </w:r>
    </w:p>
    <w:p w14:paraId="5469998E" w14:textId="77777777" w:rsidR="00594821" w:rsidRPr="008F7E4A" w:rsidRDefault="00594821" w:rsidP="00594821"/>
    <w:p w14:paraId="0BF97C70" w14:textId="77777777" w:rsidR="00521536" w:rsidRDefault="00521536" w:rsidP="00521536">
      <w:pPr>
        <w:pStyle w:val="BodyText"/>
        <w:spacing w:after="0"/>
        <w:rPr>
          <w:rFonts w:ascii="Arial" w:hAnsi="Arial" w:cs="Arial"/>
          <w:b/>
        </w:rPr>
      </w:pPr>
      <w:r w:rsidRPr="006E3F46">
        <w:rPr>
          <w:rFonts w:ascii="Arial" w:hAnsi="Arial" w:cs="Arial"/>
          <w:b/>
        </w:rPr>
        <w:t>Position of the Parties</w:t>
      </w:r>
    </w:p>
    <w:p w14:paraId="7D278BFB" w14:textId="77777777" w:rsidR="00521536" w:rsidRDefault="00521536" w:rsidP="00521536">
      <w:pPr>
        <w:jc w:val="both"/>
        <w:rPr>
          <w:bCs/>
        </w:rPr>
      </w:pPr>
    </w:p>
    <w:p w14:paraId="71321E55" w14:textId="77777777" w:rsidR="00CD3DE9" w:rsidRPr="00BB75C9" w:rsidRDefault="00CD3DE9" w:rsidP="00CD3DE9">
      <w:pPr>
        <w:jc w:val="both"/>
        <w:rPr>
          <w:b/>
          <w:bCs/>
        </w:rPr>
      </w:pPr>
      <w:r w:rsidRPr="00DE4013">
        <w:rPr>
          <w:rFonts w:ascii="Arial" w:hAnsi="Arial" w:cs="Arial"/>
          <w:b/>
          <w:bCs/>
        </w:rPr>
        <w:t>EU</w:t>
      </w:r>
      <w:r w:rsidRPr="00BB75C9">
        <w:rPr>
          <w:b/>
          <w:bCs/>
        </w:rPr>
        <w:t>:</w:t>
      </w:r>
      <w:r w:rsidR="00FC2233">
        <w:rPr>
          <w:bCs/>
        </w:rPr>
        <w:t xml:space="preserve"> </w:t>
      </w:r>
      <w:r w:rsidR="00FC2233" w:rsidRPr="00A04277">
        <w:rPr>
          <w:rFonts w:eastAsia="Calibri"/>
        </w:rPr>
        <w:t>Yes. The County has identified these islands as a priority for the removal of septic tanks which the Charlotte County Master Sewer Plan identifies as a major contributor to the degradation of water quality in the waters adjacent to the County.</w:t>
      </w:r>
    </w:p>
    <w:p w14:paraId="2AC2905A" w14:textId="77777777" w:rsidR="00CD3DE9" w:rsidRDefault="00CD3DE9" w:rsidP="00CD3DE9">
      <w:pPr>
        <w:jc w:val="both"/>
        <w:rPr>
          <w:bCs/>
        </w:rPr>
      </w:pPr>
    </w:p>
    <w:p w14:paraId="05288EB6" w14:textId="77777777" w:rsidR="00DD5009" w:rsidRPr="00DD5009" w:rsidRDefault="00DD5009" w:rsidP="00DD5009">
      <w:pPr>
        <w:ind w:left="1440" w:hanging="1440"/>
        <w:jc w:val="both"/>
        <w:rPr>
          <w:bCs/>
        </w:rPr>
      </w:pPr>
      <w:r w:rsidRPr="00DE4013">
        <w:rPr>
          <w:rFonts w:ascii="Arial" w:hAnsi="Arial" w:cs="Arial"/>
          <w:b/>
          <w:bCs/>
        </w:rPr>
        <w:t>OPC</w:t>
      </w:r>
      <w:r w:rsidRPr="00BB75C9">
        <w:rPr>
          <w:b/>
          <w:bCs/>
        </w:rPr>
        <w:t>:</w:t>
      </w:r>
      <w:r>
        <w:rPr>
          <w:b/>
          <w:bCs/>
        </w:rPr>
        <w:t xml:space="preserve"> </w:t>
      </w:r>
      <w:r>
        <w:rPr>
          <w:bCs/>
        </w:rPr>
        <w:t>No position.</w:t>
      </w:r>
    </w:p>
    <w:p w14:paraId="7FF79090" w14:textId="77777777" w:rsidR="00CD3DE9" w:rsidRPr="00DA500F" w:rsidRDefault="00CD3DE9" w:rsidP="00CD3DE9">
      <w:pPr>
        <w:jc w:val="both"/>
        <w:rPr>
          <w:bCs/>
        </w:rPr>
      </w:pPr>
    </w:p>
    <w:p w14:paraId="5771EA35" w14:textId="77777777" w:rsidR="00CD3DE9" w:rsidRPr="00BB75C9" w:rsidRDefault="00CD3DE9" w:rsidP="00CD3DE9">
      <w:pPr>
        <w:jc w:val="both"/>
        <w:rPr>
          <w:b/>
          <w:bCs/>
        </w:rPr>
      </w:pPr>
      <w:r w:rsidRPr="00DE4013">
        <w:rPr>
          <w:rFonts w:ascii="Arial" w:hAnsi="Arial" w:cs="Arial"/>
          <w:b/>
          <w:bCs/>
        </w:rPr>
        <w:t>PIE</w:t>
      </w:r>
      <w:r w:rsidRPr="00BB75C9">
        <w:rPr>
          <w:b/>
          <w:bCs/>
        </w:rPr>
        <w:t>:</w:t>
      </w:r>
      <w:r>
        <w:rPr>
          <w:b/>
          <w:bCs/>
        </w:rPr>
        <w:t xml:space="preserve"> </w:t>
      </w:r>
      <w:r w:rsidR="00E67C09">
        <w:t>No. The public interest will not be served if a wastewater certificate for the territory proposed is issued to Environmental Utilities.</w:t>
      </w:r>
    </w:p>
    <w:p w14:paraId="4832E3DF" w14:textId="77777777" w:rsidR="00CD3DE9" w:rsidRPr="00DA500F" w:rsidRDefault="00CD3DE9" w:rsidP="00CD3DE9">
      <w:pPr>
        <w:jc w:val="both"/>
        <w:rPr>
          <w:bCs/>
        </w:rPr>
      </w:pPr>
    </w:p>
    <w:p w14:paraId="635CBC13" w14:textId="77777777" w:rsidR="00CD3DE9" w:rsidRPr="00E67C09" w:rsidRDefault="00CD3DE9" w:rsidP="00D2016F">
      <w:pPr>
        <w:tabs>
          <w:tab w:val="left" w:pos="0"/>
        </w:tabs>
        <w:jc w:val="both"/>
        <w:rPr>
          <w:bCs/>
        </w:rPr>
      </w:pPr>
      <w:r w:rsidRPr="00DE4013">
        <w:rPr>
          <w:rFonts w:ascii="Arial" w:hAnsi="Arial" w:cs="Arial"/>
          <w:b/>
          <w:bCs/>
        </w:rPr>
        <w:t>LC</w:t>
      </w:r>
      <w:r w:rsidRPr="00CD3DE9">
        <w:rPr>
          <w:b/>
          <w:bCs/>
        </w:rPr>
        <w:t>:</w:t>
      </w:r>
      <w:r w:rsidR="00E67C09">
        <w:rPr>
          <w:b/>
          <w:bCs/>
        </w:rPr>
        <w:t xml:space="preserve"> </w:t>
      </w:r>
      <w:r w:rsidR="00D2016F" w:rsidRPr="00542E0D">
        <w:t xml:space="preserve">No. Evidence has not been provided that this proposal for central sewer is in the public interest. No need for service has been established for this service area. </w:t>
      </w:r>
      <w:r w:rsidR="00320E81">
        <w:t>T</w:t>
      </w:r>
      <w:r w:rsidR="00D2016F" w:rsidRPr="00542E0D">
        <w:t>he potential for negative environmental impacts is greater with the introduction of this central sewer system. The rates and charges are not fair and equitable, and the proposal places excessive</w:t>
      </w:r>
      <w:r w:rsidR="00D2016F">
        <w:t xml:space="preserve"> </w:t>
      </w:r>
      <w:r w:rsidR="00D2016F" w:rsidRPr="00542E0D">
        <w:t>burden on the homeowner at too great a cost.</w:t>
      </w:r>
    </w:p>
    <w:p w14:paraId="77A80B7A" w14:textId="77777777" w:rsidR="003B57AB" w:rsidRPr="006E3F46" w:rsidRDefault="003B57AB" w:rsidP="003B57AB">
      <w:pPr>
        <w:pStyle w:val="BodyText"/>
        <w:spacing w:after="0"/>
      </w:pPr>
    </w:p>
    <w:p w14:paraId="04CD3AB7" w14:textId="77777777" w:rsidR="003B57AB" w:rsidRPr="004C3641" w:rsidRDefault="003B57AB" w:rsidP="003B57AB">
      <w:pPr>
        <w:pStyle w:val="IssueSubsectionHeading"/>
        <w:rPr>
          <w:vanish/>
          <w:specVanish/>
        </w:rPr>
      </w:pPr>
      <w:r w:rsidRPr="004C3641">
        <w:t>Staff Analysis: </w:t>
      </w:r>
    </w:p>
    <w:p w14:paraId="50522777" w14:textId="77777777" w:rsidR="003B57AB" w:rsidRDefault="003B57AB" w:rsidP="003B57AB">
      <w:pPr>
        <w:pStyle w:val="BodyText"/>
      </w:pPr>
      <w:r>
        <w:t> </w:t>
      </w:r>
    </w:p>
    <w:p w14:paraId="7AC0E7C7" w14:textId="77777777" w:rsidR="0095668F" w:rsidRPr="00BE14C9" w:rsidRDefault="005833F0" w:rsidP="0095668F">
      <w:pPr>
        <w:pStyle w:val="BodyText"/>
        <w:spacing w:after="0"/>
        <w:jc w:val="center"/>
        <w:rPr>
          <w:rFonts w:ascii="Arial" w:hAnsi="Arial" w:cs="Arial"/>
          <w:b/>
        </w:rPr>
      </w:pPr>
      <w:r w:rsidRPr="00BE14C9">
        <w:rPr>
          <w:rFonts w:ascii="Arial" w:hAnsi="Arial" w:cs="Arial"/>
          <w:b/>
        </w:rPr>
        <w:t>PARTIES’ ARGUMENTS</w:t>
      </w:r>
    </w:p>
    <w:p w14:paraId="5588BE8B" w14:textId="77777777" w:rsidR="0026364A" w:rsidRPr="00BE14C9" w:rsidRDefault="0026364A" w:rsidP="00BF4597">
      <w:pPr>
        <w:pStyle w:val="BodyText"/>
        <w:spacing w:after="0"/>
        <w:rPr>
          <w:rFonts w:ascii="Arial" w:hAnsi="Arial" w:cs="Arial"/>
          <w:b/>
        </w:rPr>
      </w:pPr>
      <w:r w:rsidRPr="00BE14C9">
        <w:rPr>
          <w:rFonts w:ascii="Arial" w:hAnsi="Arial" w:cs="Arial"/>
          <w:b/>
        </w:rPr>
        <w:t>EU</w:t>
      </w:r>
    </w:p>
    <w:p w14:paraId="7A02C112" w14:textId="77777777" w:rsidR="0026364A" w:rsidRPr="00BE14C9" w:rsidRDefault="0026364A" w:rsidP="00BF4597">
      <w:pPr>
        <w:pStyle w:val="BodyText"/>
        <w:spacing w:after="0"/>
      </w:pPr>
      <w:r w:rsidRPr="00BE14C9">
        <w:t>EU argue</w:t>
      </w:r>
      <w:r w:rsidR="00203096" w:rsidRPr="00BE14C9">
        <w:t>d</w:t>
      </w:r>
      <w:r w:rsidRPr="00BE14C9">
        <w:t xml:space="preserve"> that the County has</w:t>
      </w:r>
      <w:r w:rsidR="00BF4597" w:rsidRPr="00BE14C9">
        <w:t xml:space="preserve"> established that</w:t>
      </w:r>
      <w:r w:rsidRPr="00BE14C9">
        <w:t xml:space="preserve"> converting the proposed service territory from sept</w:t>
      </w:r>
      <w:r w:rsidR="00BF4597" w:rsidRPr="00BE14C9">
        <w:t>ic to sewer is a priority and</w:t>
      </w:r>
      <w:r w:rsidRPr="00BE14C9">
        <w:t xml:space="preserve"> in the public interest</w:t>
      </w:r>
      <w:r w:rsidR="00BF4597" w:rsidRPr="00BE14C9">
        <w:t>, and the Commission should defer to the County</w:t>
      </w:r>
      <w:r w:rsidRPr="00BE14C9">
        <w:t xml:space="preserve">. (EU BR 10) EU </w:t>
      </w:r>
      <w:r w:rsidR="00203096" w:rsidRPr="00BE14C9">
        <w:t>asserted</w:t>
      </w:r>
      <w:r w:rsidRPr="00BE14C9">
        <w:t xml:space="preserve"> that public interest is not determined by the opinions of property owners</w:t>
      </w:r>
      <w:r w:rsidR="00BF4597" w:rsidRPr="00BE14C9">
        <w:t xml:space="preserve"> as expressed by number of letters or vote of property owners</w:t>
      </w:r>
      <w:r w:rsidRPr="00BE14C9">
        <w:t>.</w:t>
      </w:r>
      <w:r w:rsidR="00BF4597" w:rsidRPr="00BE14C9">
        <w:t xml:space="preserve"> (EU BR 10-11)</w:t>
      </w:r>
      <w:r w:rsidRPr="00BE14C9">
        <w:t xml:space="preserve"> EU also state</w:t>
      </w:r>
      <w:r w:rsidR="00203096" w:rsidRPr="00BE14C9">
        <w:t>d</w:t>
      </w:r>
      <w:r w:rsidRPr="00BE14C9">
        <w:t xml:space="preserve"> that</w:t>
      </w:r>
      <w:r w:rsidR="00BF4597" w:rsidRPr="00BE14C9">
        <w:t xml:space="preserve"> the County has considered the broader public interest and has articulated its support by signing the Bulk Agreement and the statements of its designated witness, County </w:t>
      </w:r>
      <w:r w:rsidR="0063787C" w:rsidRPr="00BE14C9">
        <w:t xml:space="preserve">deponent </w:t>
      </w:r>
      <w:r w:rsidR="005F2E9D" w:rsidRPr="00BE14C9">
        <w:t>Rudy</w:t>
      </w:r>
      <w:r w:rsidR="00BF4597" w:rsidRPr="00BE14C9">
        <w:t xml:space="preserve">, </w:t>
      </w:r>
      <w:r w:rsidR="005432C8" w:rsidRPr="00BE14C9">
        <w:t>testifying that</w:t>
      </w:r>
      <w:r w:rsidR="00BF4597" w:rsidRPr="00BE14C9">
        <w:t xml:space="preserve"> the County is “100</w:t>
      </w:r>
      <w:r w:rsidR="001C385A">
        <w:t>%</w:t>
      </w:r>
      <w:r w:rsidR="00BF4597" w:rsidRPr="00BE14C9">
        <w:t xml:space="preserve"> behind” the project. (EU BR 11; EXH 42 </w:t>
      </w:r>
      <w:r w:rsidR="001872E8">
        <w:t>BSP 1067</w:t>
      </w:r>
      <w:r w:rsidR="00BF4597" w:rsidRPr="00BE14C9">
        <w:t>)</w:t>
      </w:r>
      <w:r w:rsidRPr="00BE14C9">
        <w:t xml:space="preserve"> </w:t>
      </w:r>
    </w:p>
    <w:p w14:paraId="56B5C2ED" w14:textId="77777777" w:rsidR="0026364A" w:rsidRPr="00BE14C9" w:rsidRDefault="0026364A" w:rsidP="005432C8">
      <w:pPr>
        <w:pStyle w:val="BodyText"/>
        <w:spacing w:after="0"/>
      </w:pPr>
    </w:p>
    <w:p w14:paraId="1603F3D0" w14:textId="77777777" w:rsidR="0026364A" w:rsidRPr="00BE14C9" w:rsidRDefault="0026364A" w:rsidP="000832BF">
      <w:pPr>
        <w:pStyle w:val="BodyText"/>
        <w:spacing w:after="0"/>
        <w:rPr>
          <w:rFonts w:ascii="Arial" w:hAnsi="Arial" w:cs="Arial"/>
          <w:b/>
        </w:rPr>
      </w:pPr>
      <w:r w:rsidRPr="00BE14C9">
        <w:rPr>
          <w:rFonts w:ascii="Arial" w:hAnsi="Arial" w:cs="Arial"/>
          <w:b/>
        </w:rPr>
        <w:t>PIE</w:t>
      </w:r>
    </w:p>
    <w:p w14:paraId="0110C3BC" w14:textId="52C469BB" w:rsidR="006108AC" w:rsidRDefault="000832BF" w:rsidP="000832BF">
      <w:pPr>
        <w:pStyle w:val="BodyText"/>
        <w:spacing w:after="0"/>
      </w:pPr>
      <w:r w:rsidRPr="00BE14C9">
        <w:t>PIE a</w:t>
      </w:r>
      <w:r w:rsidR="00203096" w:rsidRPr="00BE14C9">
        <w:t xml:space="preserve">sserted </w:t>
      </w:r>
      <w:r w:rsidRPr="00BE14C9">
        <w:t>that EU has not demonstrated a need, with no testimony provided showing water quality issues, no expert witnesses establishing a need, and its application being inconsistent with the Comp Plan. (PIE BR 15) PIE further argue</w:t>
      </w:r>
      <w:r w:rsidR="00203096" w:rsidRPr="00BE14C9">
        <w:t>d</w:t>
      </w:r>
      <w:r w:rsidRPr="00BE14C9">
        <w:t xml:space="preserve"> that EU has failed to provide proof of financial ability to support the Utility. (PIE BR 15)</w:t>
      </w:r>
    </w:p>
    <w:p w14:paraId="11DC3FCF" w14:textId="77777777" w:rsidR="006108AC" w:rsidRDefault="006108AC" w:rsidP="000832BF">
      <w:pPr>
        <w:pStyle w:val="BodyText"/>
        <w:spacing w:after="0"/>
        <w:sectPr w:rsidR="006108AC" w:rsidSect="006108AC">
          <w:pgSz w:w="12240" w:h="15840" w:code="1"/>
          <w:pgMar w:top="1584" w:right="1440" w:bottom="1440" w:left="1440" w:header="720" w:footer="720" w:gutter="0"/>
          <w:cols w:space="720"/>
          <w:formProt w:val="0"/>
          <w:docGrid w:linePitch="360"/>
        </w:sectPr>
      </w:pPr>
    </w:p>
    <w:p w14:paraId="3D121EE7" w14:textId="77777777" w:rsidR="0026364A" w:rsidRPr="00BE14C9" w:rsidRDefault="0026364A" w:rsidP="00213349">
      <w:pPr>
        <w:pStyle w:val="BodyText"/>
        <w:spacing w:after="0"/>
        <w:rPr>
          <w:rFonts w:ascii="Arial" w:hAnsi="Arial" w:cs="Arial"/>
          <w:b/>
        </w:rPr>
      </w:pPr>
      <w:r w:rsidRPr="00BE14C9">
        <w:rPr>
          <w:rFonts w:ascii="Arial" w:hAnsi="Arial" w:cs="Arial"/>
          <w:b/>
        </w:rPr>
        <w:t>LC</w:t>
      </w:r>
    </w:p>
    <w:p w14:paraId="7B385763" w14:textId="77777777" w:rsidR="00413848" w:rsidRDefault="00413848" w:rsidP="00413848">
      <w:pPr>
        <w:pStyle w:val="BodyText"/>
        <w:spacing w:after="0"/>
      </w:pPr>
      <w:r w:rsidRPr="00BE14C9">
        <w:t xml:space="preserve">LC </w:t>
      </w:r>
      <w:r w:rsidR="00203096" w:rsidRPr="00BE14C9">
        <w:t>emphasized</w:t>
      </w:r>
      <w:r w:rsidRPr="00BE14C9">
        <w:t xml:space="preserve"> that as FLU Policy 3.2.4 prohibits sewer infrastructure in the Rural Service Area, the County cannot extend central sewer service to the </w:t>
      </w:r>
      <w:r w:rsidR="009641E1" w:rsidRPr="00BE14C9">
        <w:t>bridgeless</w:t>
      </w:r>
      <w:r w:rsidRPr="00BE14C9">
        <w:t xml:space="preserve"> barrier islands, or allow EU to do so, without an amendment to the Comp Plan. LC further argues an amendment to the Comp Plan to allow such would not be in the public interest due to increased development that would follow. (LC BR 19) LC assert</w:t>
      </w:r>
      <w:r w:rsidR="00203096" w:rsidRPr="00BE14C9">
        <w:t>ed</w:t>
      </w:r>
      <w:r w:rsidRPr="00BE14C9">
        <w:t xml:space="preserve"> that the rates and charges for the proposed service fail to take into account additional expenses with the installation and that EU has made no provision for alternative payments to address these. (LC BR 20)</w:t>
      </w:r>
      <w:r w:rsidR="00213349" w:rsidRPr="00BE14C9">
        <w:t xml:space="preserve"> LC </w:t>
      </w:r>
      <w:r w:rsidR="00203096" w:rsidRPr="00BE14C9">
        <w:t>noted</w:t>
      </w:r>
      <w:r w:rsidR="00213349" w:rsidRPr="00BE14C9">
        <w:t xml:space="preserve"> that a central sewer system may result in environmental damage in the event of a spill, and environmental damage may occur to wildlife habitat during installation. (LC BR 20-21) LC also argue</w:t>
      </w:r>
      <w:r w:rsidR="00203096" w:rsidRPr="00BE14C9">
        <w:t>d</w:t>
      </w:r>
      <w:r w:rsidR="00213349" w:rsidRPr="00BE14C9">
        <w:t xml:space="preserve"> that additional concerns, such as tariff terms that appear burdensome, a failure to address how the system </w:t>
      </w:r>
      <w:r w:rsidR="00FB6393">
        <w:t>would</w:t>
      </w:r>
      <w:r w:rsidR="00213349" w:rsidRPr="00BE14C9">
        <w:t xml:space="preserve"> be serviced in a storm, a lack of consideration for property owners with new septic systems, and disruption of traffic caused by construction. (LC BR 21-22)</w:t>
      </w:r>
      <w:r w:rsidR="00213349">
        <w:t xml:space="preserve"> </w:t>
      </w:r>
    </w:p>
    <w:p w14:paraId="3B7D5824" w14:textId="77777777" w:rsidR="0095668F" w:rsidRDefault="005833F0" w:rsidP="005D22AB">
      <w:pPr>
        <w:keepNext/>
        <w:spacing w:before="240" w:after="240"/>
        <w:jc w:val="center"/>
        <w:rPr>
          <w:rFonts w:ascii="Arial" w:hAnsi="Arial" w:cs="Arial"/>
          <w:b/>
        </w:rPr>
      </w:pPr>
      <w:r>
        <w:rPr>
          <w:rFonts w:ascii="Arial" w:hAnsi="Arial" w:cs="Arial"/>
          <w:b/>
        </w:rPr>
        <w:t>ANALYSIS</w:t>
      </w:r>
    </w:p>
    <w:p w14:paraId="52AB3B90" w14:textId="77777777" w:rsidR="005E2847" w:rsidRDefault="005E2847" w:rsidP="005E2847">
      <w:pPr>
        <w:jc w:val="both"/>
      </w:pPr>
      <w:r w:rsidRPr="00456198">
        <w:t>Sections 367.021 and 367.031, F.S., give the Commission the authority to issue a utility a certificate of authorization to serve a specific service area.</w:t>
      </w:r>
      <w:r>
        <w:t xml:space="preserve"> </w:t>
      </w:r>
      <w:r w:rsidRPr="00604AD2">
        <w:t>To implement the</w:t>
      </w:r>
      <w:r>
        <w:t>s</w:t>
      </w:r>
      <w:r w:rsidRPr="00604AD2">
        <w:t>e statutes, Rule 25-30.033(1)(</w:t>
      </w:r>
      <w:r>
        <w:t>h</w:t>
      </w:r>
      <w:r w:rsidRPr="00604AD2">
        <w:t>)</w:t>
      </w:r>
      <w:r>
        <w:t xml:space="preserve">, (i), and (k), </w:t>
      </w:r>
      <w:r w:rsidRPr="00604AD2">
        <w:t>F</w:t>
      </w:r>
      <w:r>
        <w:t>.</w:t>
      </w:r>
      <w:r w:rsidRPr="00604AD2">
        <w:t>A</w:t>
      </w:r>
      <w:r>
        <w:t>.</w:t>
      </w:r>
      <w:r w:rsidRPr="00604AD2">
        <w:t>C</w:t>
      </w:r>
      <w:r>
        <w:t>.</w:t>
      </w:r>
      <w:r w:rsidRPr="00604AD2">
        <w:t>, require statement</w:t>
      </w:r>
      <w:r>
        <w:t>s</w:t>
      </w:r>
      <w:r w:rsidRPr="00604AD2">
        <w:t xml:space="preserve"> showing the financial and technical ability of the applicant to provide service, the need for service in the proposed service area, the identity of any other utilities within the proposed service area that could potentially provide service, and the steps the applicant took to ascertain whether such other service is available.</w:t>
      </w:r>
    </w:p>
    <w:p w14:paraId="0E18DF07" w14:textId="77777777" w:rsidR="005E2847" w:rsidRDefault="005E2847" w:rsidP="005E2847">
      <w:pPr>
        <w:jc w:val="both"/>
      </w:pPr>
    </w:p>
    <w:p w14:paraId="6B30CF9B" w14:textId="77777777" w:rsidR="005E2847" w:rsidRDefault="005E2847" w:rsidP="005E2847">
      <w:pPr>
        <w:jc w:val="both"/>
      </w:pPr>
      <w:r w:rsidRPr="00686ADE">
        <w:t>Section 367.045(5)(a), F.S., provides that the Commission may grant or amend a certificate of authorization, in whole or in part or with modifications in the public interest, or it may deny a certificate of authorization or an amendment to a certificate of authorization, if in the public interest. In prior proceedings, the Commission has made its determination regarding the public interest based upon whether a utility’s application demonstrates there is a need for service, that the application is not in competition with or duplication of another system, that the utility has the financial and technical ability to provide service, and the utility has sufficient plant capacity or will construct the plant when needed.</w:t>
      </w:r>
      <w:r w:rsidRPr="00686ADE">
        <w:rPr>
          <w:vertAlign w:val="superscript"/>
        </w:rPr>
        <w:footnoteReference w:id="12"/>
      </w:r>
    </w:p>
    <w:p w14:paraId="4A9952C3" w14:textId="77777777" w:rsidR="005E2847" w:rsidRDefault="005E2847" w:rsidP="005E2847">
      <w:pPr>
        <w:jc w:val="both"/>
      </w:pPr>
    </w:p>
    <w:p w14:paraId="24652AB4" w14:textId="5DF506FE" w:rsidR="00594821" w:rsidRPr="008F7E4A" w:rsidRDefault="00594821" w:rsidP="00594821">
      <w:pPr>
        <w:spacing w:after="240"/>
        <w:jc w:val="both"/>
      </w:pPr>
      <w:r w:rsidRPr="008F7E4A">
        <w:t xml:space="preserve">In Issues 2 and 3, staff recommends that EU’s application </w:t>
      </w:r>
      <w:r w:rsidR="009B7306">
        <w:t>may b</w:t>
      </w:r>
      <w:r w:rsidR="009B7306" w:rsidRPr="009B7306">
        <w:t>e</w:t>
      </w:r>
      <w:r w:rsidRPr="009B7306">
        <w:t xml:space="preserve"> inconsistent wi</w:t>
      </w:r>
      <w:r w:rsidRPr="008F7E4A">
        <w:t>th the Charlotte County Comp Plan, and is inconsistent with the provisions of the Sewer Plan. As previously discussed, the Commission is not bound by the provisions of either document. Staff does not believe that, in isolation, the perceived inconsistencies should cause the Commission to deny EU’s application. As discussed in Issue 4, a</w:t>
      </w:r>
      <w:r w:rsidRPr="008F7E4A">
        <w:rPr>
          <w:color w:val="000000"/>
        </w:rPr>
        <w:t xml:space="preserve"> portion of EU’s proposed service territory would be in competition with or in duplication of another system currently providing wastewater service. If the Commission were to grant EU’s certificate, staff recommends that it be granted only for the territory not currently served by another utility. </w:t>
      </w:r>
      <w:r w:rsidRPr="008F7E4A">
        <w:t xml:space="preserve">In Issues 5 and 6, staff recommends that EU has demonstrated that it has the financial and technical ability to serve the proposed service area. In Issue 7, staff recommends that EU’s application proposes sufficient plant capacity to serve the requested territory. As discussed in Issue 8, due to the unique system configuration proposed by EU, evidence of continued use of the land on which the utility treatment facilities are or will be located is not applicable. </w:t>
      </w:r>
    </w:p>
    <w:p w14:paraId="582413BB" w14:textId="264099B5" w:rsidR="00594821" w:rsidRPr="008F7E4A" w:rsidRDefault="00594821" w:rsidP="00594821">
      <w:pPr>
        <w:spacing w:after="240"/>
        <w:jc w:val="both"/>
      </w:pPr>
      <w:r w:rsidRPr="008F7E4A">
        <w:t xml:space="preserve">As discussed in Issue 2, staff recommends that the Utility has not demonstrated a need for service in the proposed service territory. Staff believes that this is of significant concern. The Utility has not provided any request </w:t>
      </w:r>
      <w:r w:rsidR="00960348">
        <w:t>for</w:t>
      </w:r>
      <w:r w:rsidRPr="008F7E4A">
        <w:t xml:space="preserve"> service from existing residents of the proposed service territory, and written correspondence has indicated that the existing residence are largely opposed to EU’s application. EU has not provided evidence that any environmental regulator mandated the conversion of septic systems to central sewer, and no evidence has been provided substantiating EU’s claim of an environmental or health related need. Nor were any County leaders present during the hearing to clarify the needs of the County. Finally, although customer preference is not an appropriate basis for granting or denying a certificate application, in terms of demonstrating a need for the service, the overwhelming majority of prospective customers who testified before the Commission stated they were in opposition to the application.</w:t>
      </w:r>
    </w:p>
    <w:p w14:paraId="7B15CCB0" w14:textId="1BD26C85" w:rsidR="00594821" w:rsidRPr="008F7E4A" w:rsidRDefault="00594821" w:rsidP="00594821">
      <w:pPr>
        <w:spacing w:after="240"/>
        <w:jc w:val="both"/>
      </w:pPr>
      <w:r w:rsidRPr="008F7E4A">
        <w:t xml:space="preserve">Since EU has not demonstrated a need for service, staff believes that EU’s financial and technical capability is irrelevant. Since no need for service exists, and the existing residents are largely opposed to EU’s application, staff believes the Utility’s application is not in the public interest. Therefore, staff recommends that EU’s application for a wastewater certificate should be denied. However, as discussed in Issue 4, if the Commission grants EU’s application, the Utility should be required to file an amended territory description and map within 30 days of the issuance of the Commission’s order, and this docket should remain open for the parties and Commission to address the amended territory description and map. </w:t>
      </w:r>
    </w:p>
    <w:p w14:paraId="29B65481" w14:textId="77777777" w:rsidR="0095668F" w:rsidRDefault="0095668F" w:rsidP="005D22AB">
      <w:pPr>
        <w:keepNext/>
        <w:spacing w:before="240" w:after="240"/>
        <w:jc w:val="center"/>
        <w:rPr>
          <w:rFonts w:ascii="Arial" w:hAnsi="Arial" w:cs="Arial"/>
          <w:b/>
        </w:rPr>
      </w:pPr>
      <w:r>
        <w:rPr>
          <w:rFonts w:ascii="Arial" w:hAnsi="Arial" w:cs="Arial"/>
          <w:b/>
        </w:rPr>
        <w:t>CONCLUSION</w:t>
      </w:r>
    </w:p>
    <w:p w14:paraId="754E345B" w14:textId="77777777" w:rsidR="0056006B" w:rsidRPr="0056006B" w:rsidRDefault="0056006B" w:rsidP="0056006B">
      <w:pPr>
        <w:jc w:val="both"/>
      </w:pPr>
      <w:r w:rsidRPr="0056006B">
        <w:t>Based on staff’s recommendation in Issue 2, EU has not demonstrated a need for service exists; therefore, its request for certification is not in the public interest and should be denied. This is consistent with prior Commission precedent where the Commission denied a portion of territory where the need for service was not demonstrated.</w:t>
      </w:r>
      <w:r w:rsidRPr="0056006B">
        <w:rPr>
          <w:vertAlign w:val="superscript"/>
        </w:rPr>
        <w:footnoteReference w:id="13"/>
      </w:r>
      <w:r w:rsidRPr="0056006B">
        <w:t xml:space="preserve"> However, as discussed in Issue 4, if the Commission grants EU’s request for certification, the Utility should be required to file an amended territory description and map within 30 days of the issuance of the Commission’s order, and this docket should remain open for the parties and Commission to address the amended territory description and map.  </w:t>
      </w:r>
    </w:p>
    <w:p w14:paraId="52D4B2B4" w14:textId="08F3353E" w:rsidR="003B57AB" w:rsidRPr="003B57AB" w:rsidRDefault="00744049" w:rsidP="003B57AB">
      <w:pPr>
        <w:pStyle w:val="BodyText"/>
        <w:spacing w:after="0"/>
      </w:pPr>
      <w:r>
        <w:t xml:space="preserve"> </w:t>
      </w:r>
    </w:p>
    <w:p w14:paraId="44D87510" w14:textId="77777777" w:rsidR="006E3F46" w:rsidRDefault="006E3F46">
      <w:pPr>
        <w:pStyle w:val="IssueHeading"/>
        <w:rPr>
          <w:vanish/>
          <w:specVanish/>
        </w:rPr>
      </w:pPr>
      <w:r w:rsidRPr="004C3641">
        <w:rPr>
          <w:b w:val="0"/>
          <w:i w:val="0"/>
        </w:rPr>
        <w:br w:type="page"/>
      </w:r>
      <w:r w:rsidRPr="004C3641">
        <w:t xml:space="preserve">Issue </w:t>
      </w:r>
      <w:fldSimple w:instr=" SEQ Issue \* MERGEFORMAT ">
        <w:r w:rsidR="0028227E">
          <w:rPr>
            <w:noProof/>
          </w:rPr>
          <w:t>10</w:t>
        </w:r>
      </w:fldSimple>
      <w:r w:rsidRPr="004C3641">
        <w:t>:</w:t>
      </w:r>
      <w:r>
        <w:fldChar w:fldCharType="begin"/>
      </w:r>
      <w:r>
        <w:instrText xml:space="preserve"> TC "</w:instrText>
      </w:r>
      <w:bookmarkStart w:id="23" w:name="_Toc104278780"/>
      <w:r w:rsidR="00E07FD5">
        <w:instrText xml:space="preserve">Issue </w:instrText>
      </w:r>
      <w:r>
        <w:fldChar w:fldCharType="begin"/>
      </w:r>
      <w:r>
        <w:instrText xml:space="preserve"> SEQ issue \c </w:instrText>
      </w:r>
      <w:r>
        <w:fldChar w:fldCharType="separate"/>
      </w:r>
      <w:r w:rsidR="0028227E">
        <w:rPr>
          <w:noProof/>
        </w:rPr>
        <w:instrText>10</w:instrText>
      </w:r>
      <w:r>
        <w:fldChar w:fldCharType="end"/>
      </w:r>
      <w:r w:rsidR="00E07FD5">
        <w:instrText xml:space="preserve"> </w:instrText>
      </w:r>
      <w:r w:rsidR="00D25E9A">
        <w:instrText>–</w:instrText>
      </w:r>
      <w:r w:rsidR="00E07FD5">
        <w:instrText xml:space="preserve"> </w:instrText>
      </w:r>
      <w:r w:rsidR="00D25E9A">
        <w:instrText>Appropriate Rate</w:instrText>
      </w:r>
      <w:r w:rsidR="005F1DBD">
        <w:instrText xml:space="preserve"> </w:instrText>
      </w:r>
      <w:r w:rsidR="00D25E9A">
        <w:instrText>Structure</w:instrText>
      </w:r>
      <w:r w:rsidR="00075332">
        <w:instrText>s and Rates</w:instrText>
      </w:r>
      <w:bookmarkEnd w:id="23"/>
      <w:r>
        <w:tab/>
        <w:instrText xml:space="preserve">" \l 1 </w:instrText>
      </w:r>
      <w:r>
        <w:fldChar w:fldCharType="end"/>
      </w:r>
      <w:r>
        <w:t> </w:t>
      </w:r>
    </w:p>
    <w:p w14:paraId="3F0FC034" w14:textId="77777777" w:rsidR="006E3F46" w:rsidRDefault="006E3F46">
      <w:pPr>
        <w:pStyle w:val="BodyText"/>
      </w:pPr>
      <w:r>
        <w:t> </w:t>
      </w:r>
      <w:r w:rsidR="00BB75C9" w:rsidRPr="00DA500F">
        <w:rPr>
          <w:bCs/>
        </w:rPr>
        <w:t>What are the appropriate rate structures and rates for the wastewater system for Environmental Utilities?</w:t>
      </w:r>
    </w:p>
    <w:p w14:paraId="5A4D591D" w14:textId="77777777" w:rsidR="006E3F46" w:rsidRPr="004C3641" w:rsidRDefault="006E3F46">
      <w:pPr>
        <w:pStyle w:val="IssueSubsectionHeading"/>
        <w:rPr>
          <w:vanish/>
          <w:specVanish/>
        </w:rPr>
      </w:pPr>
      <w:r w:rsidRPr="004C3641">
        <w:t>Recommendation: </w:t>
      </w:r>
    </w:p>
    <w:p w14:paraId="64609FA6" w14:textId="6BAACC10" w:rsidR="00353552" w:rsidRDefault="009428A3" w:rsidP="00353552">
      <w:pPr>
        <w:pStyle w:val="BodyText"/>
      </w:pPr>
      <w:r>
        <w:t xml:space="preserve">If the Commission approves staff’s recommendation in Issue 9, Issues 10 through 13 are moot. However, </w:t>
      </w:r>
      <w:r w:rsidR="00353552" w:rsidRPr="00353552">
        <w:t xml:space="preserve">staff’s recommended wastewater rates, shown on Schedule No. 4, should be approved if the Commission grants the Utility’s certificate. </w:t>
      </w:r>
      <w:r w:rsidR="00987047">
        <w:t xml:space="preserve">The Utility’s proposal to include a repression adjustment should be denied; therefore, the staff-recommended rates shown on Schedule No. 4 do not include a repression adjustment. </w:t>
      </w:r>
      <w:r w:rsidR="00353552" w:rsidRPr="00353552">
        <w:t>The rates should be effective for services rendered or connections made on or after the stamped approval date on the tariff sheets, pursuant to Rule 25-30.475, F.A.C. The Utility should be required to charge the approved rates until authorized to change them by the Commission in a subsequent proceeding. A return on equity of 7.85 percent, with a range of plus or minus 100 basis points, should also be approved. (Thurmond, Ellis, Bruce)</w:t>
      </w:r>
    </w:p>
    <w:p w14:paraId="69D995A5" w14:textId="77777777" w:rsidR="00521536" w:rsidRPr="009428A3" w:rsidRDefault="00521536" w:rsidP="005A2781">
      <w:pPr>
        <w:spacing w:after="240"/>
        <w:outlineLvl w:val="2"/>
        <w:rPr>
          <w:rFonts w:ascii="Arial" w:hAnsi="Arial" w:cs="Arial"/>
          <w:b/>
        </w:rPr>
      </w:pPr>
      <w:r w:rsidRPr="009428A3">
        <w:rPr>
          <w:rFonts w:ascii="Arial" w:hAnsi="Arial" w:cs="Arial"/>
          <w:b/>
        </w:rPr>
        <w:t>Position of the Parties</w:t>
      </w:r>
    </w:p>
    <w:p w14:paraId="7688622B" w14:textId="77777777" w:rsidR="00FC2233" w:rsidRPr="00FC2233" w:rsidRDefault="00CD3DE9" w:rsidP="00FC2233">
      <w:pPr>
        <w:spacing w:after="200" w:line="276" w:lineRule="auto"/>
        <w:contextualSpacing/>
        <w:jc w:val="both"/>
        <w:outlineLvl w:val="2"/>
        <w:rPr>
          <w:rFonts w:eastAsia="Calibri"/>
        </w:rPr>
      </w:pPr>
      <w:r w:rsidRPr="00DE4013">
        <w:rPr>
          <w:rFonts w:ascii="Arial" w:hAnsi="Arial" w:cs="Arial"/>
          <w:b/>
          <w:bCs/>
        </w:rPr>
        <w:t>EU</w:t>
      </w:r>
      <w:r w:rsidRPr="00BB75C9">
        <w:rPr>
          <w:b/>
          <w:bCs/>
        </w:rPr>
        <w:t>:</w:t>
      </w:r>
      <w:r w:rsidR="00FC2233">
        <w:rPr>
          <w:bCs/>
        </w:rPr>
        <w:t xml:space="preserve"> </w:t>
      </w:r>
      <w:r w:rsidR="00FC2233" w:rsidRPr="00FC2233">
        <w:rPr>
          <w:rFonts w:eastAsia="Calibri"/>
        </w:rPr>
        <w:t>Base Facility Charge: 5/8” x 3/4" ……………</w:t>
      </w:r>
      <w:r w:rsidR="00D84BF4">
        <w:rPr>
          <w:rFonts w:eastAsia="Calibri"/>
        </w:rPr>
        <w:t>…</w:t>
      </w:r>
      <w:r w:rsidR="00156176">
        <w:rPr>
          <w:rFonts w:eastAsia="Calibri"/>
        </w:rPr>
        <w:t>……………….</w:t>
      </w:r>
      <w:r w:rsidR="00815BBC">
        <w:rPr>
          <w:rFonts w:eastAsia="Calibri"/>
        </w:rPr>
        <w:t>.</w:t>
      </w:r>
      <w:r w:rsidR="00D84BF4">
        <w:rPr>
          <w:rFonts w:eastAsia="Calibri"/>
        </w:rPr>
        <w:t>.</w:t>
      </w:r>
      <w:r w:rsidR="00FC2233" w:rsidRPr="00FC2233">
        <w:rPr>
          <w:rFonts w:eastAsia="Calibri"/>
        </w:rPr>
        <w:t>$ 112.78</w:t>
      </w:r>
    </w:p>
    <w:p w14:paraId="692B07A0" w14:textId="77777777" w:rsidR="00FC2233" w:rsidRPr="00FC2233" w:rsidRDefault="00FC2233" w:rsidP="00FC2233">
      <w:pPr>
        <w:tabs>
          <w:tab w:val="left" w:pos="540"/>
        </w:tabs>
        <w:spacing w:after="200" w:line="276" w:lineRule="auto"/>
        <w:ind w:left="450"/>
        <w:contextualSpacing/>
        <w:jc w:val="both"/>
        <w:outlineLvl w:val="2"/>
        <w:rPr>
          <w:rFonts w:eastAsia="Calibri"/>
        </w:rPr>
      </w:pPr>
      <w:r w:rsidRPr="00FC2233">
        <w:rPr>
          <w:rFonts w:eastAsia="Calibri"/>
        </w:rPr>
        <w:t>[all other meter sizes to be increased pursuant to Rule 25-30.055(1)(b), F.A.C.]</w:t>
      </w:r>
    </w:p>
    <w:p w14:paraId="32D076A4" w14:textId="77777777" w:rsidR="00FC2233" w:rsidRPr="00FC2233" w:rsidRDefault="00FC2233" w:rsidP="00FC2233">
      <w:pPr>
        <w:tabs>
          <w:tab w:val="left" w:pos="540"/>
        </w:tabs>
        <w:spacing w:after="200" w:line="276" w:lineRule="auto"/>
        <w:ind w:left="450"/>
        <w:contextualSpacing/>
        <w:jc w:val="both"/>
        <w:outlineLvl w:val="2"/>
        <w:rPr>
          <w:rFonts w:eastAsia="Calibri"/>
        </w:rPr>
      </w:pPr>
      <w:r w:rsidRPr="00FC2233">
        <w:rPr>
          <w:rFonts w:eastAsia="Calibri"/>
        </w:rPr>
        <w:t>Residential Gallonage Charge (10,000 cap) ……</w:t>
      </w:r>
      <w:r w:rsidR="00156176">
        <w:rPr>
          <w:rFonts w:eastAsia="Calibri"/>
        </w:rPr>
        <w:t>………………...</w:t>
      </w:r>
      <w:r w:rsidRPr="00FC2233">
        <w:rPr>
          <w:rFonts w:eastAsia="Calibri"/>
        </w:rPr>
        <w:t>$   35.97</w:t>
      </w:r>
    </w:p>
    <w:p w14:paraId="0264528A" w14:textId="77777777" w:rsidR="00CD3DE9" w:rsidRPr="00BB75C9" w:rsidRDefault="00FC2233" w:rsidP="00FC2233">
      <w:pPr>
        <w:tabs>
          <w:tab w:val="left" w:pos="540"/>
        </w:tabs>
        <w:ind w:left="450"/>
        <w:jc w:val="both"/>
        <w:rPr>
          <w:b/>
          <w:bCs/>
        </w:rPr>
      </w:pPr>
      <w:r w:rsidRPr="00FC2233">
        <w:rPr>
          <w:rFonts w:eastAsia="Calibri"/>
        </w:rPr>
        <w:t>General Service Gallonage Charge ……………</w:t>
      </w:r>
      <w:r w:rsidR="00D84BF4">
        <w:rPr>
          <w:rFonts w:eastAsia="Calibri"/>
        </w:rPr>
        <w:t>…</w:t>
      </w:r>
      <w:r w:rsidR="00156176">
        <w:rPr>
          <w:rFonts w:eastAsia="Calibri"/>
        </w:rPr>
        <w:t>……………….</w:t>
      </w:r>
      <w:r w:rsidRPr="00FC2233">
        <w:rPr>
          <w:rFonts w:eastAsia="Calibri"/>
        </w:rPr>
        <w:t>$   43.16</w:t>
      </w:r>
    </w:p>
    <w:p w14:paraId="5DBF2D41" w14:textId="77777777" w:rsidR="00CD3DE9" w:rsidRPr="00DA500F" w:rsidRDefault="00CD3DE9" w:rsidP="00CD3DE9">
      <w:pPr>
        <w:jc w:val="both"/>
        <w:rPr>
          <w:bCs/>
        </w:rPr>
      </w:pPr>
    </w:p>
    <w:p w14:paraId="0A380E81" w14:textId="77777777" w:rsidR="00CD3DE9" w:rsidRPr="00DD5009" w:rsidRDefault="00CD3DE9" w:rsidP="00DD5009">
      <w:pPr>
        <w:jc w:val="both"/>
        <w:rPr>
          <w:bCs/>
        </w:rPr>
      </w:pPr>
      <w:r w:rsidRPr="00DE4013">
        <w:rPr>
          <w:rFonts w:ascii="Arial" w:hAnsi="Arial" w:cs="Arial"/>
          <w:b/>
          <w:bCs/>
        </w:rPr>
        <w:t>OPC</w:t>
      </w:r>
      <w:r w:rsidRPr="00BB75C9">
        <w:rPr>
          <w:b/>
          <w:bCs/>
        </w:rPr>
        <w:t>:</w:t>
      </w:r>
      <w:r w:rsidR="00DA4367">
        <w:rPr>
          <w:b/>
          <w:bCs/>
        </w:rPr>
        <w:t xml:space="preserve"> </w:t>
      </w:r>
      <w:r w:rsidR="00DD5009" w:rsidRPr="003012D8">
        <w:t xml:space="preserve">The precise, appropriate rate structures and rates for the wastewater system for Environmental Utilities cannot be known at this time. The initial </w:t>
      </w:r>
      <w:r w:rsidR="00DD5009">
        <w:t xml:space="preserve">projected </w:t>
      </w:r>
      <w:r w:rsidR="00DD5009" w:rsidRPr="003012D8">
        <w:t>rates filed by the company were understated and may still be, impeding the Commission’s ability to fully evaluate the public interest.</w:t>
      </w:r>
    </w:p>
    <w:p w14:paraId="239126F5" w14:textId="77777777" w:rsidR="00CD3DE9" w:rsidRPr="00DA500F" w:rsidRDefault="00CD3DE9" w:rsidP="00CD3DE9">
      <w:pPr>
        <w:jc w:val="both"/>
        <w:rPr>
          <w:bCs/>
        </w:rPr>
      </w:pPr>
    </w:p>
    <w:p w14:paraId="12905268" w14:textId="77777777" w:rsidR="00CD3DE9" w:rsidRPr="00E67C09" w:rsidRDefault="00CD3DE9" w:rsidP="00CD3DE9">
      <w:pPr>
        <w:jc w:val="both"/>
        <w:rPr>
          <w:bCs/>
        </w:rPr>
      </w:pPr>
      <w:r w:rsidRPr="00DE4013">
        <w:rPr>
          <w:rFonts w:ascii="Arial" w:hAnsi="Arial" w:cs="Arial"/>
          <w:b/>
          <w:bCs/>
        </w:rPr>
        <w:t>PIE</w:t>
      </w:r>
      <w:r w:rsidRPr="00BB75C9">
        <w:rPr>
          <w:b/>
          <w:bCs/>
        </w:rPr>
        <w:t>:</w:t>
      </w:r>
      <w:r w:rsidR="00353552">
        <w:rPr>
          <w:b/>
          <w:bCs/>
        </w:rPr>
        <w:t xml:space="preserve"> </w:t>
      </w:r>
      <w:r w:rsidR="00DA4367">
        <w:t>PIE has no position on this issue.</w:t>
      </w:r>
    </w:p>
    <w:p w14:paraId="45B62B9C" w14:textId="77777777" w:rsidR="00CD3DE9" w:rsidRDefault="00CD3DE9" w:rsidP="00CD3DE9">
      <w:pPr>
        <w:jc w:val="both"/>
        <w:rPr>
          <w:bCs/>
        </w:rPr>
      </w:pPr>
    </w:p>
    <w:p w14:paraId="78B3D29D" w14:textId="77777777" w:rsidR="004E6512" w:rsidRPr="004E6512" w:rsidRDefault="00CD3DE9" w:rsidP="004E6512">
      <w:pPr>
        <w:jc w:val="both"/>
        <w:rPr>
          <w:color w:val="000000" w:themeColor="text1"/>
        </w:rPr>
      </w:pPr>
      <w:r w:rsidRPr="00DE4013">
        <w:rPr>
          <w:rFonts w:ascii="Arial" w:hAnsi="Arial" w:cs="Arial"/>
          <w:b/>
          <w:bCs/>
        </w:rPr>
        <w:t>LC</w:t>
      </w:r>
      <w:r w:rsidRPr="00CD3DE9">
        <w:rPr>
          <w:b/>
          <w:bCs/>
        </w:rPr>
        <w:t>:</w:t>
      </w:r>
      <w:r w:rsidR="00E67C09">
        <w:rPr>
          <w:b/>
          <w:bCs/>
        </w:rPr>
        <w:t xml:space="preserve"> </w:t>
      </w:r>
      <w:r w:rsidR="004E6512" w:rsidRPr="004E6512">
        <w:rPr>
          <w:color w:val="000000" w:themeColor="text1"/>
        </w:rPr>
        <w:t>Undetermined. The appropriate rate structures and rates cannot be established based on the information provided in this application and its attendant exhibits.</w:t>
      </w:r>
      <w:r w:rsidR="004E6512">
        <w:rPr>
          <w:color w:val="000000" w:themeColor="text1"/>
        </w:rPr>
        <w:t xml:space="preserve"> </w:t>
      </w:r>
      <w:r w:rsidR="004E6512" w:rsidRPr="004E6512">
        <w:rPr>
          <w:color w:val="000000" w:themeColor="text1"/>
        </w:rPr>
        <w:t>The budget is</w:t>
      </w:r>
      <w:r w:rsidR="004E6512">
        <w:rPr>
          <w:color w:val="000000" w:themeColor="text1"/>
        </w:rPr>
        <w:t xml:space="preserve"> </w:t>
      </w:r>
      <w:r w:rsidR="004E6512" w:rsidRPr="004E6512">
        <w:rPr>
          <w:color w:val="000000" w:themeColor="text1"/>
        </w:rPr>
        <w:t>deficient in providing realistic cost estimates for this proposal and is not inclusive of all prospective costs.</w:t>
      </w:r>
    </w:p>
    <w:p w14:paraId="25A3D429" w14:textId="77777777" w:rsidR="004E6512" w:rsidRPr="004E6512" w:rsidRDefault="004E6512" w:rsidP="004E6512">
      <w:pPr>
        <w:jc w:val="both"/>
        <w:rPr>
          <w:b/>
          <w:bCs/>
          <w:color w:val="000000" w:themeColor="text1"/>
        </w:rPr>
      </w:pPr>
    </w:p>
    <w:p w14:paraId="190EFDF1" w14:textId="77777777" w:rsidR="003B57AB" w:rsidRPr="004C3641" w:rsidRDefault="003B57AB" w:rsidP="003B57AB">
      <w:pPr>
        <w:pStyle w:val="IssueSubsectionHeading"/>
        <w:rPr>
          <w:vanish/>
          <w:specVanish/>
        </w:rPr>
      </w:pPr>
      <w:r w:rsidRPr="004C3641">
        <w:t>Staff Analysis: </w:t>
      </w:r>
    </w:p>
    <w:p w14:paraId="6F30C03E" w14:textId="77777777" w:rsidR="003B57AB" w:rsidRDefault="003B57AB" w:rsidP="00252302">
      <w:pPr>
        <w:pStyle w:val="BodyText"/>
        <w:spacing w:after="0"/>
      </w:pPr>
      <w:r>
        <w:t> </w:t>
      </w:r>
    </w:p>
    <w:p w14:paraId="3C4C057B" w14:textId="77777777" w:rsidR="0095668F" w:rsidRDefault="005833F0" w:rsidP="00252302">
      <w:pPr>
        <w:pStyle w:val="BodyText"/>
        <w:spacing w:after="0"/>
        <w:jc w:val="center"/>
        <w:rPr>
          <w:rFonts w:ascii="Arial" w:hAnsi="Arial" w:cs="Arial"/>
          <w:b/>
        </w:rPr>
      </w:pPr>
      <w:r>
        <w:rPr>
          <w:rFonts w:ascii="Arial" w:hAnsi="Arial" w:cs="Arial"/>
          <w:b/>
        </w:rPr>
        <w:t>PARTIES’ ARGUMENTS</w:t>
      </w:r>
    </w:p>
    <w:p w14:paraId="4B7B1C5F" w14:textId="77777777" w:rsidR="00470C52" w:rsidRDefault="00470C52" w:rsidP="00470C52">
      <w:pPr>
        <w:pStyle w:val="First-LevelSubheading"/>
      </w:pPr>
      <w:r>
        <w:t>EU</w:t>
      </w:r>
    </w:p>
    <w:p w14:paraId="4CFC3670" w14:textId="77777777" w:rsidR="00470C52" w:rsidRDefault="00470C52" w:rsidP="00156176">
      <w:pPr>
        <w:pStyle w:val="First-LevelSubheading"/>
        <w:rPr>
          <w:rFonts w:ascii="Times New Roman" w:hAnsi="Times New Roman" w:cs="Times New Roman"/>
          <w:b w:val="0"/>
        </w:rPr>
      </w:pPr>
      <w:r w:rsidRPr="00E34542">
        <w:rPr>
          <w:rFonts w:ascii="Times New Roman" w:hAnsi="Times New Roman" w:cs="Times New Roman"/>
          <w:b w:val="0"/>
        </w:rPr>
        <w:t>In its brief,</w:t>
      </w:r>
      <w:r>
        <w:t xml:space="preserve"> </w:t>
      </w:r>
      <w:r>
        <w:rPr>
          <w:rFonts w:ascii="Times New Roman" w:hAnsi="Times New Roman" w:cs="Times New Roman"/>
          <w:b w:val="0"/>
        </w:rPr>
        <w:t>EU stated that pursuant to Rule 25-30.033(1)(p), F.A.C., the applicant for an original certificate is required to support its proposed rates and charges with projected financial information, especially when the process is not bifurcated to allow more time for accurate financial information once the construction process has started. (EU BR 11)</w:t>
      </w:r>
      <w:r w:rsidRPr="00F835BD">
        <w:rPr>
          <w:rFonts w:ascii="Times New Roman" w:hAnsi="Times New Roman" w:cs="Times New Roman"/>
          <w:b w:val="0"/>
        </w:rPr>
        <w:t xml:space="preserve"> </w:t>
      </w:r>
      <w:r>
        <w:rPr>
          <w:rFonts w:ascii="Times New Roman" w:hAnsi="Times New Roman" w:cs="Times New Roman"/>
          <w:b w:val="0"/>
        </w:rPr>
        <w:t>EU argued that it was hypocritical of interveners to object to the accuracy of its projections given the objections to bifurcation. (OPC BR 11; TR 236) EU also emphasized the testimony of EU witness Swain, who stated that the original certificate application process is based on best available estimates, as opposed to a rate case where records can be audited. (EU BR 12; TR 127) Lastly, the Utility highlighted that the projected costs were vetted through discovery and th</w:t>
      </w:r>
      <w:r w:rsidR="009641E1">
        <w:rPr>
          <w:rFonts w:ascii="Times New Roman" w:hAnsi="Times New Roman" w:cs="Times New Roman"/>
          <w:b w:val="0"/>
        </w:rPr>
        <w:t>e fact that none of the intervenors</w:t>
      </w:r>
      <w:r>
        <w:rPr>
          <w:rFonts w:ascii="Times New Roman" w:hAnsi="Times New Roman" w:cs="Times New Roman"/>
          <w:b w:val="0"/>
        </w:rPr>
        <w:t xml:space="preserve"> offered testimony proposing alternative costs. (OPC BR 12; EXH 23-29, 32-45, and 37-39) </w:t>
      </w:r>
    </w:p>
    <w:p w14:paraId="4A4B52EC" w14:textId="77777777" w:rsidR="00B91B33" w:rsidRDefault="00B91B33" w:rsidP="00156176">
      <w:pPr>
        <w:pStyle w:val="First-LevelSubheading"/>
      </w:pPr>
      <w:r>
        <w:t>OPC</w:t>
      </w:r>
      <w:r w:rsidR="00603C13">
        <w:t xml:space="preserve"> </w:t>
      </w:r>
    </w:p>
    <w:p w14:paraId="46B9071F" w14:textId="0158CFFC" w:rsidR="00B91B33" w:rsidRPr="00B81769" w:rsidRDefault="00B91B33" w:rsidP="00B91B33">
      <w:pPr>
        <w:pStyle w:val="Second-LevelSubheading"/>
      </w:pPr>
      <w:r w:rsidRPr="00B81769">
        <w:t>Accumulated Deferred Income Taxes</w:t>
      </w:r>
    </w:p>
    <w:p w14:paraId="43530382" w14:textId="14B63DD4" w:rsidR="00B91B33" w:rsidRDefault="00B91B33" w:rsidP="00B91B33">
      <w:pPr>
        <w:pStyle w:val="First-LevelSubheading"/>
        <w:rPr>
          <w:rFonts w:ascii="Times New Roman" w:hAnsi="Times New Roman" w:cs="Times New Roman"/>
          <w:b w:val="0"/>
        </w:rPr>
      </w:pPr>
      <w:r>
        <w:rPr>
          <w:rFonts w:ascii="Times New Roman" w:hAnsi="Times New Roman" w:cs="Times New Roman"/>
          <w:b w:val="0"/>
        </w:rPr>
        <w:t xml:space="preserve">In its brief, OPC stated that while it agrees the taxation of </w:t>
      </w:r>
      <w:r w:rsidR="00E973DC">
        <w:rPr>
          <w:rFonts w:ascii="Times New Roman" w:hAnsi="Times New Roman" w:cs="Times New Roman"/>
          <w:b w:val="0"/>
        </w:rPr>
        <w:t>CIAC</w:t>
      </w:r>
      <w:r>
        <w:rPr>
          <w:rFonts w:ascii="Times New Roman" w:hAnsi="Times New Roman" w:cs="Times New Roman"/>
          <w:b w:val="0"/>
        </w:rPr>
        <w:t xml:space="preserve"> does not create accumulated deferred income taxes (ADITs), ADITs associated with the tax timing differences should still be included in the Utility’s capital structure. (OPC BR 2; TR 145-146) OPC cited witness Swain’s testimony that EU is not required to calculate and include ADITs in rate base. (OPC BR 3; TR 145-146) OPC argued that the fact that one could not find a true original certificate </w:t>
      </w:r>
      <w:r w:rsidR="009428A3">
        <w:rPr>
          <w:rFonts w:ascii="Times New Roman" w:hAnsi="Times New Roman" w:cs="Times New Roman"/>
          <w:b w:val="0"/>
        </w:rPr>
        <w:t xml:space="preserve">docket </w:t>
      </w:r>
      <w:r>
        <w:rPr>
          <w:rFonts w:ascii="Times New Roman" w:hAnsi="Times New Roman" w:cs="Times New Roman"/>
          <w:b w:val="0"/>
        </w:rPr>
        <w:t xml:space="preserve">in which ADITs were required is not a sufficient basis on which to argue that they </w:t>
      </w:r>
      <w:r w:rsidR="00D84BF4">
        <w:rPr>
          <w:rFonts w:ascii="Times New Roman" w:hAnsi="Times New Roman" w:cs="Times New Roman"/>
          <w:b w:val="0"/>
        </w:rPr>
        <w:t>should not</w:t>
      </w:r>
      <w:r>
        <w:rPr>
          <w:rFonts w:ascii="Times New Roman" w:hAnsi="Times New Roman" w:cs="Times New Roman"/>
          <w:b w:val="0"/>
        </w:rPr>
        <w:t xml:space="preserve"> be included. (OPC BR 3)</w:t>
      </w:r>
    </w:p>
    <w:p w14:paraId="62BA647F" w14:textId="77777777" w:rsidR="00B91B33" w:rsidRDefault="00B91B33" w:rsidP="00B91B33">
      <w:pPr>
        <w:pStyle w:val="Second-LevelSubheading"/>
      </w:pPr>
    </w:p>
    <w:p w14:paraId="23AE46E9" w14:textId="77777777" w:rsidR="00B91B33" w:rsidRDefault="00B91B33" w:rsidP="00B91B33">
      <w:pPr>
        <w:pStyle w:val="Second-LevelSubheading"/>
      </w:pPr>
      <w:r>
        <w:t>Barging</w:t>
      </w:r>
    </w:p>
    <w:p w14:paraId="6FE32C43" w14:textId="6721613A" w:rsidR="00B91B33" w:rsidRDefault="00B91B33" w:rsidP="00B91B33">
      <w:pPr>
        <w:pStyle w:val="BodyText"/>
      </w:pPr>
      <w:r>
        <w:t>In its brief, OPC stated that EU has produced no evidence to corroborate the accuracy of barging fees included in projected rates. (OPC BR 3) EU witness Boyer claims to have discussed a proposal for a flat rate transport fee with Palm Island Transit. (OPC BR 3; TR 129) However, because EU witness Boyer brought forward no proof that this discussion has occurred</w:t>
      </w:r>
      <w:r w:rsidR="004547C1">
        <w:t>,</w:t>
      </w:r>
      <w:r>
        <w:t xml:space="preserve"> OPC stated that such quotes and proposals are inadmissible hearsay under Section 120.57(1)(c), F.S., as they are not being used to supplement or explain other evidence. (OPC BR 3-4; TR 130) OPC also pointed out the inconsistent responses EU has given in discovery when asked about transportation costs. (OPC BR 4; EXH 22; EXH 27; EXH 34) </w:t>
      </w:r>
    </w:p>
    <w:p w14:paraId="7925FB73" w14:textId="77777777" w:rsidR="00B91B33" w:rsidRDefault="00B91B33" w:rsidP="00AB3D73">
      <w:pPr>
        <w:pStyle w:val="Second-LevelSubheading"/>
      </w:pPr>
      <w:r>
        <w:t>Surveying and Easements</w:t>
      </w:r>
    </w:p>
    <w:p w14:paraId="412C6762" w14:textId="2F9DDCB5" w:rsidR="00B91B33" w:rsidRPr="00A6656B" w:rsidRDefault="00933488" w:rsidP="00AB3D73">
      <w:pPr>
        <w:pStyle w:val="BodyText"/>
      </w:pPr>
      <w:r w:rsidRPr="00AB3D73">
        <w:t xml:space="preserve">In its brief, OPC stated that EU’s estimated costs were not based on any corroborating evidence and testimony. (OPC BR 4) </w:t>
      </w:r>
      <w:r w:rsidR="009428A3">
        <w:t xml:space="preserve">OPC contends that </w:t>
      </w:r>
      <w:r w:rsidRPr="00AB3D73">
        <w:t>EU witness Boyer’s conversations with other parties used to support the estimates should be inadmissible under Section 120.57(1)(c), F.S., as they are relied upon as the sole support for the costs. (OPC BR 4-5) OPC asserts that EU’s witnesses are inconsistent even with r</w:t>
      </w:r>
      <w:r w:rsidR="000F734A">
        <w:t>egard to the estimated $250,000</w:t>
      </w:r>
      <w:r w:rsidRPr="00AB3D73">
        <w:t xml:space="preserve"> </w:t>
      </w:r>
      <w:r w:rsidR="009428A3">
        <w:t xml:space="preserve">amount, </w:t>
      </w:r>
      <w:r w:rsidRPr="00AB3D73">
        <w:t xml:space="preserve">with EU witness Boyer stating </w:t>
      </w:r>
      <w:r w:rsidR="009428A3">
        <w:t>the amount</w:t>
      </w:r>
      <w:r w:rsidRPr="00AB3D73">
        <w:t xml:space="preserve"> includes only easements, while EU witness Swain claims</w:t>
      </w:r>
      <w:r w:rsidR="009428A3">
        <w:t xml:space="preserve"> the amount</w:t>
      </w:r>
      <w:r w:rsidRPr="00AB3D73">
        <w:t xml:space="preserve"> addresses both surveying and easement expenses. (OPC BR 5) OPC argues that while EU witness Boyer ac</w:t>
      </w:r>
      <w:r w:rsidR="00AB3D73" w:rsidRPr="00AB3D73">
        <w:t xml:space="preserve">knowledged having to pay for easements, either directly or </w:t>
      </w:r>
      <w:r w:rsidR="001F2047">
        <w:t>through</w:t>
      </w:r>
      <w:r w:rsidR="00AB3D73" w:rsidRPr="00AB3D73">
        <w:t xml:space="preserve"> eminent domain, in the same area in the past,</w:t>
      </w:r>
      <w:r w:rsidR="009428A3">
        <w:rPr>
          <w:rStyle w:val="FootnoteReference"/>
        </w:rPr>
        <w:footnoteReference w:id="14"/>
      </w:r>
      <w:r w:rsidR="00AB3D73" w:rsidRPr="00AB3D73">
        <w:t xml:space="preserve"> the Utility’s filings assume all easements wi</w:t>
      </w:r>
      <w:r w:rsidR="009641E1">
        <w:t>l</w:t>
      </w:r>
      <w:r w:rsidR="00AB3D73" w:rsidRPr="00AB3D73">
        <w:t>l be donated. (OPC BR 5)</w:t>
      </w:r>
    </w:p>
    <w:p w14:paraId="5F86F723" w14:textId="77777777" w:rsidR="00B91B33" w:rsidRDefault="00B91B33" w:rsidP="00B91B33">
      <w:pPr>
        <w:pStyle w:val="Second-LevelSubheading"/>
      </w:pPr>
      <w:r>
        <w:t>Salaries &amp; Wages</w:t>
      </w:r>
    </w:p>
    <w:p w14:paraId="57C3E011" w14:textId="77777777" w:rsidR="00B91B33" w:rsidRDefault="00B91B33" w:rsidP="00B91B33">
      <w:pPr>
        <w:pStyle w:val="BodyText"/>
      </w:pPr>
      <w:r>
        <w:t xml:space="preserve">In its brief, OPC stated that EU’s estimates regarding salaries and wages are understated. (OPC BR 5; EXH 22) OPC asserted that the salary levels included in the Utility’s </w:t>
      </w:r>
      <w:r w:rsidR="008060A4">
        <w:t>s</w:t>
      </w:r>
      <w:r>
        <w:t xml:space="preserve">chedules and its responses to </w:t>
      </w:r>
      <w:r w:rsidR="009641E1">
        <w:t>discover</w:t>
      </w:r>
      <w:r w:rsidR="008060A4">
        <w:t>y</w:t>
      </w:r>
      <w:r>
        <w:t xml:space="preserve"> were inconsistent. (OPC BR 5-6; EXH 25) OPC also stated that the estimated expense for salary is severely underestimated, as it is comprised of salaries significantly lower than comparable salaries of Englewood Water District, which were provided by EU in response to discovery. (OPC BR 6; EXH 27)</w:t>
      </w:r>
    </w:p>
    <w:p w14:paraId="02560F74" w14:textId="77777777" w:rsidR="00252302" w:rsidRDefault="00252302" w:rsidP="00B91B33">
      <w:pPr>
        <w:pStyle w:val="Second-LevelSubheading"/>
        <w:sectPr w:rsidR="00252302" w:rsidSect="006108AC">
          <w:pgSz w:w="12240" w:h="15840" w:code="1"/>
          <w:pgMar w:top="1584" w:right="1440" w:bottom="1440" w:left="1440" w:header="720" w:footer="720" w:gutter="0"/>
          <w:cols w:space="720"/>
          <w:formProt w:val="0"/>
          <w:docGrid w:linePitch="360"/>
        </w:sectPr>
      </w:pPr>
    </w:p>
    <w:p w14:paraId="1077CAAA" w14:textId="0D188FEC" w:rsidR="00B91B33" w:rsidRDefault="00B91B33" w:rsidP="00B91B33">
      <w:pPr>
        <w:pStyle w:val="Second-LevelSubheading"/>
      </w:pPr>
      <w:r>
        <w:t>Inflation</w:t>
      </w:r>
    </w:p>
    <w:p w14:paraId="5EA6911B" w14:textId="77777777" w:rsidR="00B91B33" w:rsidRDefault="00B91B33" w:rsidP="00B91B33">
      <w:pPr>
        <w:pStyle w:val="BodyText"/>
      </w:pPr>
      <w:r>
        <w:t xml:space="preserve">In its brief, OPC argued that EU’s estimated costs do not sufficiently account for the impact of inflation. (OPC BR 6) OPC stated that while EU witness Cole says that he added a “bump up” to account for inflation, he also stated that the same “bump up” is intended to cover all the costs that were not specifically itemized such as </w:t>
      </w:r>
      <w:r w:rsidR="00C83B18">
        <w:t>g</w:t>
      </w:r>
      <w:r>
        <w:t xml:space="preserve">opher </w:t>
      </w:r>
      <w:r w:rsidR="00C83B18">
        <w:t>t</w:t>
      </w:r>
      <w:r>
        <w:t>ortoise relocation. (OPC BR 6; TR 105; TR 114) OPC also stated that there is no direct evidence that this “bump up” was intended to or will sufficiently cover inflation. (OPC BR 6) Lastly, OPC stated that while it understands that EU cannot continually update its estimates through the hearing date, the exceptionally high rate of inflation over the last year casts further doubt on the Utility’s ability to do the project for the amount the Utility has proposed here. (OPC BR 6)</w:t>
      </w:r>
    </w:p>
    <w:p w14:paraId="37199F3D" w14:textId="77777777" w:rsidR="000E58B5" w:rsidRDefault="000E58B5" w:rsidP="000E58B5">
      <w:pPr>
        <w:spacing w:after="240"/>
        <w:jc w:val="both"/>
      </w:pPr>
      <w:r w:rsidRPr="00156176">
        <w:t>OPC attested that the Commission has never applied a repression adjustment to a wastewater only utility. OPC contends that a repression adjustment for a wastewater only utility would be contrary to decades of Commission precedent. In addition, the demographics of the service area is 65 percent rental properties. As a result, there would be no incentives to restrict usage based on cost because the short-term renters are not paying the utility bill. (OPC BR 7)</w:t>
      </w:r>
    </w:p>
    <w:p w14:paraId="77860815" w14:textId="77777777" w:rsidR="00B91B33" w:rsidRPr="000E58B5" w:rsidRDefault="00B91B33" w:rsidP="00B91B33">
      <w:pPr>
        <w:pStyle w:val="First-LevelSubheading"/>
      </w:pPr>
      <w:r w:rsidRPr="000E58B5">
        <w:t>LC</w:t>
      </w:r>
    </w:p>
    <w:p w14:paraId="6BF1013E" w14:textId="4DEB0C90" w:rsidR="00B91B33" w:rsidRDefault="00B91B33" w:rsidP="00B91B33">
      <w:pPr>
        <w:pStyle w:val="BodyText"/>
      </w:pPr>
      <w:r w:rsidRPr="000E58B5">
        <w:t xml:space="preserve">In her brief, LC stated that while the mathematical calculations used for rates and charges may be correct, they pre-suppose that the underlying estimates given were accurate and she believes that these estimates are not necessarily accurate nor comprehensive. (LC BR 23) She further stated that there is no way to know if the budget category contains all the relevant elements and their associated costs. (LC BR 23) LC emphasized that the construction estimates given by Giffels-Webster Engineering stated that the costs presented “cannot and should not be taken as a total project cost.” (LC BR 23; EXH 4 </w:t>
      </w:r>
      <w:r w:rsidR="001872E8">
        <w:t>BSP 101</w:t>
      </w:r>
      <w:r w:rsidRPr="000E58B5">
        <w:t xml:space="preserve">) LC further stated that permitting costs, environmental impact fees, and other factors were not adequately considered. (LC BR 23) LC went into detail regarding the cost of </w:t>
      </w:r>
      <w:r w:rsidR="005E6E8A" w:rsidRPr="000E58B5">
        <w:t>g</w:t>
      </w:r>
      <w:r w:rsidRPr="000E58B5">
        <w:t xml:space="preserve">opher </w:t>
      </w:r>
      <w:r w:rsidR="005E6E8A" w:rsidRPr="000E58B5">
        <w:t>t</w:t>
      </w:r>
      <w:r w:rsidRPr="000E58B5">
        <w:t xml:space="preserve">ortoise removal, a cost that EU witness Boyer did not include in his projected </w:t>
      </w:r>
      <w:r w:rsidR="00DD2F78" w:rsidRPr="000E58B5">
        <w:t>operation and maintenance (O&amp;M)</w:t>
      </w:r>
      <w:r w:rsidRPr="000E58B5">
        <w:t xml:space="preserve"> costs. (LC BR 24; TR 67-68) LC also noted that EU has failed to include costs for a water resource caution area reuse feasibility study, which is required on the island per the Florida Department of Environmental Protection. (LC BR 24-25; EXH 18</w:t>
      </w:r>
      <w:r w:rsidR="001872E8">
        <w:t xml:space="preserve"> BSP 892-893</w:t>
      </w:r>
      <w:r w:rsidRPr="000E58B5">
        <w:t xml:space="preserve">) LC further stated that easement costs were left out of cost estimates made by EU. (LC BR 25) LC stated that it is impossible to know whether the following expenses were included in cost estimates: tap fees, barging fees, cost to fill abandonment of septic tanks, maintenance for sewer pump out, mitigation costs for environmental issues, installation of the main pump station, and permitting fees. (LC BR 25-26) Additionally, LC stated that the “final cost analysis” that was to be provided by EU witness Cole if any items were missing from his memo has not been filed. (LC BR 26; TR 108) Lastly, LC stated that should these expense estimates be approved, which she believes to be neither accurate nor comprehensive, the </w:t>
      </w:r>
      <w:r w:rsidR="009428A3">
        <w:t>Commission</w:t>
      </w:r>
      <w:r w:rsidRPr="000E58B5">
        <w:t xml:space="preserve"> would likely be forced to address the funding gap for this project in the future, thus increasing rates. (LC BR 26; TR 261)</w:t>
      </w:r>
    </w:p>
    <w:p w14:paraId="7016FBAA" w14:textId="77777777" w:rsidR="006108AC" w:rsidRDefault="006108AC">
      <w:pPr>
        <w:rPr>
          <w:rFonts w:ascii="Arial" w:hAnsi="Arial" w:cs="Arial"/>
          <w:b/>
        </w:rPr>
        <w:sectPr w:rsidR="006108AC" w:rsidSect="006108AC">
          <w:pgSz w:w="12240" w:h="15840" w:code="1"/>
          <w:pgMar w:top="1584" w:right="1440" w:bottom="1440" w:left="1440" w:header="720" w:footer="720" w:gutter="0"/>
          <w:cols w:space="720"/>
          <w:formProt w:val="0"/>
          <w:docGrid w:linePitch="360"/>
        </w:sectPr>
      </w:pPr>
    </w:p>
    <w:p w14:paraId="2A070C6E" w14:textId="77777777" w:rsidR="0095668F" w:rsidRDefault="005833F0" w:rsidP="00883EB8">
      <w:pPr>
        <w:keepNext/>
        <w:spacing w:before="240" w:after="240"/>
        <w:jc w:val="center"/>
        <w:rPr>
          <w:rFonts w:ascii="Arial" w:hAnsi="Arial" w:cs="Arial"/>
          <w:b/>
        </w:rPr>
      </w:pPr>
      <w:r>
        <w:rPr>
          <w:rFonts w:ascii="Arial" w:hAnsi="Arial" w:cs="Arial"/>
          <w:b/>
        </w:rPr>
        <w:t>ANALYSIS</w:t>
      </w:r>
    </w:p>
    <w:p w14:paraId="6B749074" w14:textId="08087A11" w:rsidR="00B91B33" w:rsidRPr="00AB47AC" w:rsidRDefault="00B91B33" w:rsidP="00B91B33">
      <w:pPr>
        <w:pStyle w:val="BodyText"/>
      </w:pPr>
      <w:r w:rsidRPr="00333F49">
        <w:t>In setting initial rates and charges for a new utility, Commission practice has been to set rates so that the utility will have an opportunity to earn a fair return on its investment when approximately 80 percent of its projected customers are being served.</w:t>
      </w:r>
      <w:r w:rsidRPr="00333F49">
        <w:rPr>
          <w:rStyle w:val="FootnoteReference"/>
        </w:rPr>
        <w:footnoteReference w:id="15"/>
      </w:r>
      <w:r w:rsidRPr="00333F49">
        <w:t xml:space="preserve"> Typically, in the early years of development, the customer base of a utility is not sufficient to allow the </w:t>
      </w:r>
      <w:r>
        <w:t xml:space="preserve">utility to recover its </w:t>
      </w:r>
      <w:r w:rsidR="00DD2F78">
        <w:t>O&amp;M</w:t>
      </w:r>
      <w:r w:rsidRPr="00333F49">
        <w:t xml:space="preserve"> expenses and earn a fair return on its investment. However, as growth reaches 80 percent of a utility’s projected design capacity, the initial rates</w:t>
      </w:r>
      <w:r w:rsidR="009428A3">
        <w:t xml:space="preserve"> should</w:t>
      </w:r>
      <w:r w:rsidRPr="00333F49">
        <w:t xml:space="preserve"> become compensatory.</w:t>
      </w:r>
      <w:r>
        <w:rPr>
          <w:rStyle w:val="FootnoteReference"/>
        </w:rPr>
        <w:footnoteReference w:id="16"/>
      </w:r>
    </w:p>
    <w:p w14:paraId="71D6B0B1" w14:textId="77777777" w:rsidR="00B91B33" w:rsidRDefault="00B91B33" w:rsidP="00B91B33">
      <w:pPr>
        <w:pStyle w:val="BodyText"/>
      </w:pPr>
      <w:r w:rsidRPr="00AB47AC">
        <w:t>Within its application, the Utility provided the appropriate information pursuant to Rule 25-30.033(1)(p), F.A.C., to support its proposed rates and charges. In this case, the Utility is not yet built so the rate base, cost of capital, and net operating income provi</w:t>
      </w:r>
      <w:r>
        <w:t>ded by the Utility in its application</w:t>
      </w:r>
      <w:r w:rsidRPr="00AB47AC">
        <w:t xml:space="preserve"> are based on estimates used to set initial rates. (EXH 7) Below are staff’s recommended adjustments to these figures, should the </w:t>
      </w:r>
      <w:r>
        <w:t>Commission</w:t>
      </w:r>
      <w:r w:rsidRPr="00AB47AC">
        <w:t xml:space="preserve"> approve the Utility’s request for a wastewater certificate.</w:t>
      </w:r>
    </w:p>
    <w:p w14:paraId="54456E8F" w14:textId="77777777" w:rsidR="00B91B33" w:rsidRDefault="00B91B33" w:rsidP="00B91B33">
      <w:pPr>
        <w:pStyle w:val="First-LevelSubheading"/>
      </w:pPr>
      <w:r>
        <w:t>Projected Rate Base</w:t>
      </w:r>
    </w:p>
    <w:p w14:paraId="06AF5253" w14:textId="77777777" w:rsidR="00B91B33" w:rsidRPr="00AB47AC" w:rsidRDefault="00B91B33" w:rsidP="00B91B33">
      <w:pPr>
        <w:pStyle w:val="BodyText"/>
        <w:rPr>
          <w:rFonts w:ascii="Arial" w:hAnsi="Arial" w:cs="Arial"/>
          <w:b/>
        </w:rPr>
      </w:pPr>
      <w:r>
        <w:t>Consistent with Commission practice in applications for original certificates, rate base is identified only as a tool to aid in setting initial rates and is not intended to formally establish rate base.</w:t>
      </w:r>
      <w:r w:rsidRPr="00AB47AC">
        <w:rPr>
          <w:rStyle w:val="FootnoteReference"/>
        </w:rPr>
        <w:footnoteReference w:id="17"/>
      </w:r>
      <w:r>
        <w:t xml:space="preserve"> The Utility’s proposed wastewater rate base calculations, as well as staff adjustments, are described below.</w:t>
      </w:r>
    </w:p>
    <w:p w14:paraId="0EF5DC9F" w14:textId="77777777" w:rsidR="00B91B33" w:rsidRDefault="00B91B33" w:rsidP="00B91B33">
      <w:pPr>
        <w:jc w:val="both"/>
      </w:pPr>
      <w:r>
        <w:t>The Utility proposed a plant-in-service balance of $</w:t>
      </w:r>
      <w:r w:rsidRPr="00323DBF">
        <w:t>21,958,148</w:t>
      </w:r>
      <w:r>
        <w:t xml:space="preserve"> in its filing. (EXH 7) Included in this balance is $800,000 for land. Land is separate from plant-in-service and should be included as a separate line item. Thus, staff is recommending an adjustment to decrease plant-in-service by $800,000 and increase land by $800,000. </w:t>
      </w:r>
    </w:p>
    <w:p w14:paraId="091D8885" w14:textId="77777777" w:rsidR="00F171E6" w:rsidRDefault="00F171E6" w:rsidP="00B91B33">
      <w:pPr>
        <w:jc w:val="both"/>
      </w:pPr>
    </w:p>
    <w:p w14:paraId="4D0B181A" w14:textId="536C8E9F" w:rsidR="00B91B33" w:rsidRDefault="006906A8" w:rsidP="00B91B33">
      <w:pPr>
        <w:jc w:val="both"/>
      </w:pPr>
      <w:r>
        <w:t>In addition</w:t>
      </w:r>
      <w:r w:rsidR="00B91B33">
        <w:t xml:space="preserve">, the Utility estimated $522,000 of </w:t>
      </w:r>
      <w:r w:rsidR="00030B3F">
        <w:t>o</w:t>
      </w:r>
      <w:r w:rsidR="00B91B33">
        <w:t>rganization costs in EU’s plant-in-s</w:t>
      </w:r>
      <w:r>
        <w:t>ervice. Included in this amount</w:t>
      </w:r>
      <w:r w:rsidR="00B91B33">
        <w:t xml:space="preserve"> is an estimate for engineering costs. In response to discovery, the Utility provided documentation of updated actual costs and estimates to completion that total</w:t>
      </w:r>
      <w:r w:rsidR="00B91B33" w:rsidRPr="00976C9F">
        <w:t>ed $4</w:t>
      </w:r>
      <w:r w:rsidR="00B91B33">
        <w:t xml:space="preserve">1,862. (EXH 34) Based on the updated information provided by the Utility, staff recommends an adjustment to decrease </w:t>
      </w:r>
      <w:r w:rsidR="00030B3F">
        <w:t>o</w:t>
      </w:r>
      <w:r w:rsidR="00B91B33">
        <w:t xml:space="preserve">rganization costs by $88,138 to reflect the actual and updated estimates to complete. </w:t>
      </w:r>
      <w:r w:rsidR="00B91B33" w:rsidRPr="00E713CC">
        <w:t>(EXH 34)</w:t>
      </w:r>
    </w:p>
    <w:p w14:paraId="3DA889B8" w14:textId="77777777" w:rsidR="00B91B33" w:rsidRDefault="00B91B33" w:rsidP="00B91B33">
      <w:pPr>
        <w:jc w:val="both"/>
      </w:pPr>
      <w:r>
        <w:t xml:space="preserve"> </w:t>
      </w:r>
    </w:p>
    <w:p w14:paraId="05B81D62" w14:textId="77777777" w:rsidR="00B91B33" w:rsidRDefault="00B91B33" w:rsidP="00B91B33">
      <w:pPr>
        <w:jc w:val="both"/>
      </w:pPr>
      <w:r>
        <w:t xml:space="preserve">In response to discovery, EU stated that $14,781,130 of the amount originally included in Account 354 – Pumping Structures was included in that account in error and belonged in Account 371 – Pumping Equipment. (EXH 26 BSP </w:t>
      </w:r>
      <w:r w:rsidR="001872E8">
        <w:t>950</w:t>
      </w:r>
      <w:r>
        <w:t>) Staff recommends removing $14,781,130 from Account 354 – Pumping Structures. However, as discussed below, staff is recommending adjustments to the amount reclassified in Account 371 – Pumping Equipment.</w:t>
      </w:r>
    </w:p>
    <w:p w14:paraId="034BDB4C" w14:textId="77777777" w:rsidR="00B91B33" w:rsidRDefault="00B91B33" w:rsidP="00B91B33">
      <w:pPr>
        <w:jc w:val="both"/>
      </w:pPr>
    </w:p>
    <w:p w14:paraId="1028A9E9" w14:textId="16FA4DF7" w:rsidR="00521D81" w:rsidRPr="00D653A5" w:rsidRDefault="00521D81" w:rsidP="00FA0E7C">
      <w:pPr>
        <w:pStyle w:val="IssueHeading"/>
        <w:outlineLvl w:val="9"/>
        <w:rPr>
          <w:rFonts w:ascii="Times New Roman" w:hAnsi="Times New Roman" w:cs="Times New Roman"/>
          <w:b w:val="0"/>
          <w:i w:val="0"/>
        </w:rPr>
      </w:pPr>
      <w:r>
        <w:rPr>
          <w:rFonts w:ascii="Times New Roman" w:hAnsi="Times New Roman" w:cs="Times New Roman"/>
          <w:b w:val="0"/>
          <w:i w:val="0"/>
        </w:rPr>
        <w:t xml:space="preserve">The Utility assumed that 998 septic tanks would need to be crushed and filled to install service. (EXH 29) However, only houses with existing septic tanks at the time of the connection to EU will need the tanks removed since the County will no longer issue permits for septic tanks once central sewer is available. (EXH 30) Since only an estimated 860 customers will have septic tanks in the proposed service territory at the time EU would be created, staff recommends that </w:t>
      </w:r>
      <w:r w:rsidRPr="00A154A5">
        <w:rPr>
          <w:rFonts w:ascii="Times New Roman" w:hAnsi="Times New Roman" w:cs="Times New Roman"/>
          <w:b w:val="0"/>
          <w:i w:val="0"/>
        </w:rPr>
        <w:t>$1,290,000</w:t>
      </w:r>
      <w:r>
        <w:rPr>
          <w:rFonts w:ascii="Times New Roman" w:hAnsi="Times New Roman" w:cs="Times New Roman"/>
          <w:b w:val="0"/>
          <w:i w:val="0"/>
        </w:rPr>
        <w:t xml:space="preserve"> (860 ERC x $1,500/ERC) is the correct value for crush and fill septic tanks in Account 371</w:t>
      </w:r>
      <w:r w:rsidR="00D653A5" w:rsidRPr="00D653A5">
        <w:rPr>
          <w:rFonts w:ascii="Times New Roman" w:hAnsi="Times New Roman" w:cs="Times New Roman"/>
          <w:b w:val="0"/>
          <w:i w:val="0"/>
        </w:rPr>
        <w:t xml:space="preserve"> – Pumping Equipment</w:t>
      </w:r>
      <w:r w:rsidRPr="00D653A5">
        <w:rPr>
          <w:rFonts w:ascii="Times New Roman" w:hAnsi="Times New Roman" w:cs="Times New Roman"/>
          <w:b w:val="0"/>
          <w:i w:val="0"/>
        </w:rPr>
        <w:t xml:space="preserve">. </w:t>
      </w:r>
    </w:p>
    <w:p w14:paraId="030B0513" w14:textId="58A791DB" w:rsidR="00521D81" w:rsidRPr="007E7CFF" w:rsidRDefault="00521D81" w:rsidP="00FA0E7C">
      <w:pPr>
        <w:pStyle w:val="BodyText"/>
      </w:pPr>
      <w:r>
        <w:t>EU accounted for 1,251 LPS tank installations in Account 371</w:t>
      </w:r>
      <w:r w:rsidR="00D653A5" w:rsidRPr="00D653A5">
        <w:t xml:space="preserve"> – Pumping Equipment</w:t>
      </w:r>
      <w:r w:rsidRPr="00D653A5">
        <w:t xml:space="preserve">; </w:t>
      </w:r>
      <w:r w:rsidRPr="00286276">
        <w:t>h</w:t>
      </w:r>
      <w:r w:rsidRPr="00B72309">
        <w:t>owever</w:t>
      </w:r>
      <w:r>
        <w:t>,</w:t>
      </w:r>
      <w:r w:rsidRPr="00B72309">
        <w:t xml:space="preserve"> the Utility reaches 80</w:t>
      </w:r>
      <w:r>
        <w:t xml:space="preserve"> percent </w:t>
      </w:r>
      <w:r w:rsidRPr="00B72309">
        <w:t>capacity in year 10</w:t>
      </w:r>
      <w:r>
        <w:t>, with an</w:t>
      </w:r>
      <w:r w:rsidRPr="00B72309">
        <w:t xml:space="preserve"> ERC count </w:t>
      </w:r>
      <w:r>
        <w:t>of</w:t>
      </w:r>
      <w:r w:rsidRPr="00B72309">
        <w:t xml:space="preserve"> 1,013</w:t>
      </w:r>
      <w:r>
        <w:t xml:space="preserve"> by end of year</w:t>
      </w:r>
      <w:r w:rsidRPr="00B72309">
        <w:t>, therefore</w:t>
      </w:r>
      <w:r>
        <w:t>,</w:t>
      </w:r>
      <w:r w:rsidRPr="00B72309">
        <w:t xml:space="preserve"> 1,013 LPS tanks should be used instead. (EXH 29) Staff recommends that $8,104,00</w:t>
      </w:r>
      <w:r w:rsidRPr="00286276">
        <w:t>0</w:t>
      </w:r>
      <w:r>
        <w:t xml:space="preserve"> </w:t>
      </w:r>
      <w:r w:rsidRPr="007E7CFF">
        <w:t>(1,013 ERCs x $8,000/ERC) be added into Account 371</w:t>
      </w:r>
      <w:r w:rsidR="007E7CFF">
        <w:t xml:space="preserve"> – Pumping Equipment</w:t>
      </w:r>
      <w:r w:rsidRPr="007E7CFF">
        <w:t xml:space="preserve"> for the LPS tank installations.</w:t>
      </w:r>
    </w:p>
    <w:p w14:paraId="58CE6193" w14:textId="131E19CB" w:rsidR="00B91B33" w:rsidRPr="000E58B5" w:rsidRDefault="00521D81" w:rsidP="00FA0E7C">
      <w:pPr>
        <w:jc w:val="both"/>
      </w:pPr>
      <w:r w:rsidRPr="007E7CFF">
        <w:t>Due to staff modifications</w:t>
      </w:r>
      <w:r w:rsidR="00A54FEC" w:rsidRPr="007E7CFF">
        <w:t>,</w:t>
      </w:r>
      <w:r w:rsidRPr="007E7CFF">
        <w:t xml:space="preserve"> EU’s proposed allocation method should be adjusted to reflect the new values. Staff recommends that $76,748 be removed from </w:t>
      </w:r>
      <w:r w:rsidR="007E7CFF" w:rsidRPr="007E7CFF">
        <w:t>Account 371 – Pumping Equipment</w:t>
      </w:r>
      <w:r w:rsidRPr="007E7CFF">
        <w:t xml:space="preserve"> and $7,180 from Account 360</w:t>
      </w:r>
      <w:r w:rsidR="007E7CFF">
        <w:t xml:space="preserve"> – Force Main</w:t>
      </w:r>
      <w:r w:rsidRPr="007E7CFF">
        <w:t>. Staff recommends that subsequently a total of $83,928 be added in to Account 361</w:t>
      </w:r>
      <w:r w:rsidR="007E7CFF">
        <w:t xml:space="preserve"> – Gravity Main</w:t>
      </w:r>
      <w:r w:rsidRPr="007E7CFF">
        <w:t xml:space="preserve"> to correct the improper allocation. (EXH 25; 34)</w:t>
      </w:r>
    </w:p>
    <w:p w14:paraId="00821CAD" w14:textId="77777777" w:rsidR="00521D81" w:rsidRDefault="00521D81" w:rsidP="00521D81">
      <w:pPr>
        <w:jc w:val="both"/>
      </w:pPr>
    </w:p>
    <w:p w14:paraId="1A92BBEB" w14:textId="77777777" w:rsidR="00B91B33" w:rsidRDefault="00B91B33" w:rsidP="00B91B33">
      <w:pPr>
        <w:jc w:val="both"/>
      </w:pPr>
      <w:r>
        <w:t>Based on the above, staff recommends a reduction to EU’s projected plant in service of $2,864,138 and an increase in land of $800,000. As such, staff recommends an adjusted projected plant in service, inclusive of land, of $</w:t>
      </w:r>
      <w:r w:rsidRPr="00323DBF">
        <w:t>19,894,010</w:t>
      </w:r>
      <w:r>
        <w:t>.</w:t>
      </w:r>
    </w:p>
    <w:p w14:paraId="0A3FDA27" w14:textId="77777777" w:rsidR="00B91B33" w:rsidRDefault="00B91B33" w:rsidP="00B91B33">
      <w:pPr>
        <w:jc w:val="both"/>
      </w:pPr>
    </w:p>
    <w:p w14:paraId="4EA0B67D" w14:textId="77777777" w:rsidR="00B91B33" w:rsidRDefault="00B91B33" w:rsidP="00B91B33">
      <w:pPr>
        <w:jc w:val="both"/>
      </w:pPr>
      <w:r>
        <w:t>In its filing, the Utility proposed an accumulated depreciation balance of $6,731,961. (EXH 7) Based on updated information provided by the Utility</w:t>
      </w:r>
      <w:r w:rsidR="00AD580C">
        <w:t xml:space="preserve"> </w:t>
      </w:r>
      <w:r>
        <w:t xml:space="preserve">regarding average service life and corresponding adjustments to reflect adjustments to plant-in-service, as described above, an adjustment to accumulated depreciation is necessary. (EXH 26 BSP </w:t>
      </w:r>
      <w:r w:rsidR="001872E8">
        <w:t>949</w:t>
      </w:r>
      <w:r>
        <w:t>) Staff recommends an increase to accumulated depreciation of $1,946,766. As such, staff recommends an accumulated depreciation balance of $8,678,727.</w:t>
      </w:r>
    </w:p>
    <w:p w14:paraId="0685B0F8" w14:textId="77777777" w:rsidR="00B91B33" w:rsidRDefault="00B91B33" w:rsidP="00B91B33">
      <w:pPr>
        <w:jc w:val="both"/>
      </w:pPr>
    </w:p>
    <w:p w14:paraId="51E2C3E7" w14:textId="4871808C" w:rsidR="00B91B33" w:rsidRDefault="00B91B33" w:rsidP="00B91B33">
      <w:pPr>
        <w:jc w:val="both"/>
      </w:pPr>
      <w:r>
        <w:t>In its filing, the Utility proposed CIAC and accumulated amortization of CIAC balances of $13,079,845 and $4,124,751, respectively. (EXH 7) Based on the revised service availability charges recommended in Issue 11, staff recommends corresponding adjustments to increase CIAC and accumulated amortization of CIAC by $162,263 and $51,170, respectively. This results in recommended CIAC and accumulated amortization of CIAC balances of $13,242,108 and $4,175,921, respectively.</w:t>
      </w:r>
    </w:p>
    <w:p w14:paraId="03825C66" w14:textId="77777777" w:rsidR="00B91B33" w:rsidRDefault="00B91B33" w:rsidP="00B91B33">
      <w:pPr>
        <w:jc w:val="both"/>
      </w:pPr>
    </w:p>
    <w:p w14:paraId="3B1F629D" w14:textId="77777777" w:rsidR="00B91B33" w:rsidRDefault="00B91B33" w:rsidP="00B91B33">
      <w:pPr>
        <w:jc w:val="both"/>
      </w:pPr>
      <w:r>
        <w:t>In its filing, the Utility proposed a working capital balance of $174,443. (EXH 7) O&amp;M expense was one factor used by the Utility in computing the working capital balanc</w:t>
      </w:r>
      <w:r w:rsidRPr="00B3423D">
        <w:t>e. (EXH 39) A</w:t>
      </w:r>
      <w:r>
        <w:t>s such, based on adjustments to O&amp;M expense, as discussed below, staff recommends an increase to working capital of $5,026. As a result, staff recommends a working capital balance of $179,469.</w:t>
      </w:r>
    </w:p>
    <w:p w14:paraId="0F675A4C" w14:textId="77777777" w:rsidR="00B91B33" w:rsidRDefault="00B91B33" w:rsidP="00B91B33">
      <w:pPr>
        <w:jc w:val="both"/>
      </w:pPr>
      <w:r>
        <w:t xml:space="preserve">In total, EU proposed a rate base of $6,445,536. (EXH 7) Based on the adjustments discussed above, staff recommends that the rate base be decreased by $4,117,820. Consequently, staff recommends an adjusted rate base of $2,328,564. </w:t>
      </w:r>
      <w:r w:rsidR="00030B3F">
        <w:t>Wastewater r</w:t>
      </w:r>
      <w:r>
        <w:t>ate base calculations are shown on Schedule No. 1-A. Staff’s adjustments</w:t>
      </w:r>
      <w:r w:rsidR="00030B3F">
        <w:t xml:space="preserve"> to rate base</w:t>
      </w:r>
      <w:r>
        <w:t xml:space="preserve"> are shown on Schedule No. 1-B.</w:t>
      </w:r>
    </w:p>
    <w:p w14:paraId="0AFFC63E" w14:textId="77777777" w:rsidR="00662F10" w:rsidRDefault="00662F10" w:rsidP="008060A4">
      <w:pPr>
        <w:rPr>
          <w:rFonts w:ascii="Arial" w:hAnsi="Arial" w:cs="Arial"/>
          <w:b/>
          <w:bCs/>
          <w:iCs/>
          <w:szCs w:val="28"/>
        </w:rPr>
      </w:pPr>
    </w:p>
    <w:p w14:paraId="1164E795" w14:textId="77777777" w:rsidR="00B91B33" w:rsidRDefault="00B91B33" w:rsidP="008060A4">
      <w:pPr>
        <w:pStyle w:val="First-LevelSubheading"/>
      </w:pPr>
      <w:r>
        <w:t>Projected Cost of Capital</w:t>
      </w:r>
    </w:p>
    <w:p w14:paraId="6714F54D" w14:textId="35A26D87" w:rsidR="00B91B33" w:rsidRDefault="00B91B33" w:rsidP="008060A4">
      <w:pPr>
        <w:pStyle w:val="BodyText"/>
        <w:spacing w:after="0"/>
      </w:pPr>
      <w:r>
        <w:t xml:space="preserve">The Utility’s application contained a schedule of the Utility’s capital structure with projected common equity of $3,399,206, customer deposits of $6,420, and ADITs of $3,040,210. (EXH 7) Staff recommends adjustments to accumulated deferred income taxes, as described below. </w:t>
      </w:r>
    </w:p>
    <w:p w14:paraId="2A137154" w14:textId="77777777" w:rsidR="00D23170" w:rsidRPr="00184C02" w:rsidRDefault="00D23170" w:rsidP="008060A4">
      <w:pPr>
        <w:pStyle w:val="BodyText"/>
        <w:spacing w:after="0"/>
        <w:rPr>
          <w:rFonts w:ascii="Arial" w:hAnsi="Arial" w:cs="Arial"/>
          <w:b/>
        </w:rPr>
      </w:pPr>
    </w:p>
    <w:p w14:paraId="46EF5BA3" w14:textId="4E90E616" w:rsidR="00B91B33" w:rsidRDefault="00B91B33" w:rsidP="00815BBC">
      <w:pPr>
        <w:pStyle w:val="BodyText"/>
        <w:widowControl w:val="0"/>
      </w:pPr>
      <w:r>
        <w:t>In response to staff discovery, the Utility stated the computation of the ADIT balance it projected was “no longer relevant as the ‘Infrastructure Investment and Jobs Act’ is in effect, and CIAC is no longer taxable.</w:t>
      </w:r>
      <w:r w:rsidR="00030B3F">
        <w:t>”</w:t>
      </w:r>
      <w:r>
        <w:t xml:space="preserve"> (EXH 27) OPC did not contest the removal of the ADITs associated with the taxation of CIAC. However, OPC argued in its brief that, based on EU witness Swain’s testimony that ADITs are created from a timing difference in tax depreciation and </w:t>
      </w:r>
      <w:r w:rsidR="003B4CF0">
        <w:t>Commission</w:t>
      </w:r>
      <w:r>
        <w:t xml:space="preserve"> book depreciation, they should be included</w:t>
      </w:r>
      <w:r w:rsidR="00D23170">
        <w:t xml:space="preserve"> in</w:t>
      </w:r>
      <w:r>
        <w:t xml:space="preserve"> the calculation of rates, as they will be created from the additions of plant requested in this case. (OPC BR 2-3; TR 145-146) Witness Swain explained two specific reasons </w:t>
      </w:r>
      <w:r w:rsidR="00A54FEC">
        <w:t xml:space="preserve">why </w:t>
      </w:r>
      <w:r>
        <w:t xml:space="preserve">she did not include ADITs associated with plant additions in the calculation of rates: </w:t>
      </w:r>
      <w:r w:rsidR="00030B3F">
        <w:t>(</w:t>
      </w:r>
      <w:r>
        <w:t xml:space="preserve">1) there is no way of knowing if the owner will elect to take advantage of a shorter tax life at this point in time; and </w:t>
      </w:r>
      <w:r w:rsidR="00030B3F">
        <w:t>(</w:t>
      </w:r>
      <w:r>
        <w:t>2) it has never been included in an original certificate application approved by the Commission. (TR 145-146) She further stated that in a full rate case, the addition of ADITs would be mandatory assuming a difference in asset life for tax purposes based on the Utility’s election. (TR 146) Staff agrees with witness Swain’s justification for the exclusion of the ADITs related to plant additions. Thus, staff recommends an adjustment to decrease defe</w:t>
      </w:r>
      <w:r w:rsidR="00270D22">
        <w:t>rred income taxes by $3,040,210</w:t>
      </w:r>
      <w:r>
        <w:t xml:space="preserve"> bringing the balance of deferred income taxes to $0. Cost of Capital </w:t>
      </w:r>
      <w:r w:rsidR="00030B3F">
        <w:t>c</w:t>
      </w:r>
      <w:r>
        <w:t>alculations are shown on Schedule</w:t>
      </w:r>
      <w:r w:rsidR="00270D22">
        <w:t xml:space="preserve"> No. </w:t>
      </w:r>
      <w:r>
        <w:t>2.</w:t>
      </w:r>
    </w:p>
    <w:p w14:paraId="679B57ED" w14:textId="77777777" w:rsidR="00B91B33" w:rsidRDefault="00B91B33" w:rsidP="00815BBC">
      <w:pPr>
        <w:pStyle w:val="BodyText"/>
        <w:widowControl w:val="0"/>
      </w:pPr>
      <w:r>
        <w:t>EU proposed a cost rate for common equity of 7.09 percent. (EXH 7) However, based on the adjustments to capital structure made above, staff recommends a cost rate for common equity of 7.85 percent based on the current leverage formula.</w:t>
      </w:r>
      <w:r>
        <w:rPr>
          <w:rStyle w:val="FootnoteReference"/>
        </w:rPr>
        <w:footnoteReference w:id="18"/>
      </w:r>
    </w:p>
    <w:p w14:paraId="4D890586" w14:textId="77777777" w:rsidR="00B91B33" w:rsidRDefault="00B91B33" w:rsidP="00B91B33">
      <w:pPr>
        <w:pStyle w:val="First-LevelSubheading"/>
        <w:rPr>
          <w:rFonts w:ascii="Times New Roman" w:hAnsi="Times New Roman" w:cs="Times New Roman"/>
          <w:b w:val="0"/>
          <w:bCs w:val="0"/>
          <w:iCs w:val="0"/>
          <w:szCs w:val="24"/>
        </w:rPr>
      </w:pPr>
      <w:r w:rsidRPr="000C002D">
        <w:rPr>
          <w:rFonts w:ascii="Times New Roman" w:hAnsi="Times New Roman" w:cs="Times New Roman"/>
          <w:b w:val="0"/>
          <w:bCs w:val="0"/>
          <w:iCs w:val="0"/>
          <w:szCs w:val="24"/>
        </w:rPr>
        <w:t xml:space="preserve">Based on the adjustments above, staff recommends an overall cost of capital of </w:t>
      </w:r>
      <w:r>
        <w:rPr>
          <w:rFonts w:ascii="Times New Roman" w:hAnsi="Times New Roman" w:cs="Times New Roman"/>
          <w:b w:val="0"/>
          <w:bCs w:val="0"/>
          <w:iCs w:val="0"/>
          <w:szCs w:val="24"/>
        </w:rPr>
        <w:t>7.84</w:t>
      </w:r>
      <w:r w:rsidRPr="000C002D">
        <w:rPr>
          <w:rFonts w:ascii="Times New Roman" w:hAnsi="Times New Roman" w:cs="Times New Roman"/>
          <w:b w:val="0"/>
          <w:bCs w:val="0"/>
          <w:iCs w:val="0"/>
          <w:szCs w:val="24"/>
        </w:rPr>
        <w:t xml:space="preserve"> percent. The appropriate </w:t>
      </w:r>
      <w:r>
        <w:rPr>
          <w:rFonts w:ascii="Times New Roman" w:hAnsi="Times New Roman" w:cs="Times New Roman"/>
          <w:b w:val="0"/>
          <w:bCs w:val="0"/>
          <w:iCs w:val="0"/>
          <w:szCs w:val="24"/>
        </w:rPr>
        <w:t>return on equity for EU is 7.85</w:t>
      </w:r>
      <w:r w:rsidRPr="000C002D">
        <w:rPr>
          <w:rFonts w:ascii="Times New Roman" w:hAnsi="Times New Roman" w:cs="Times New Roman"/>
          <w:b w:val="0"/>
          <w:bCs w:val="0"/>
          <w:iCs w:val="0"/>
          <w:szCs w:val="24"/>
        </w:rPr>
        <w:t xml:space="preserve"> percent, with a range of plus or minus 100 basis points, as shown on Schedule No. 2. </w:t>
      </w:r>
    </w:p>
    <w:p w14:paraId="1CA5CB23" w14:textId="77777777" w:rsidR="00B91B33" w:rsidRDefault="00B91B33" w:rsidP="00B91B33">
      <w:pPr>
        <w:pStyle w:val="First-LevelSubheading"/>
        <w:rPr>
          <w:rFonts w:ascii="Times New Roman" w:hAnsi="Times New Roman" w:cs="Times New Roman"/>
          <w:b w:val="0"/>
          <w:bCs w:val="0"/>
          <w:iCs w:val="0"/>
          <w:szCs w:val="24"/>
        </w:rPr>
      </w:pPr>
    </w:p>
    <w:p w14:paraId="1F6EAEF2" w14:textId="77777777" w:rsidR="00B91B33" w:rsidRDefault="00B91B33" w:rsidP="00B91B33">
      <w:pPr>
        <w:pStyle w:val="First-LevelSubheading"/>
      </w:pPr>
      <w:r>
        <w:t>Projected Net Operating Income</w:t>
      </w:r>
    </w:p>
    <w:p w14:paraId="743A3A59" w14:textId="324EB05E" w:rsidR="000E58B5" w:rsidRDefault="00B91B33" w:rsidP="000E58B5">
      <w:pPr>
        <w:pStyle w:val="BodyText"/>
        <w:rPr>
          <w:rFonts w:ascii="Arial" w:hAnsi="Arial" w:cs="Arial"/>
          <w:b/>
          <w:bCs/>
          <w:iCs/>
          <w:szCs w:val="28"/>
        </w:rPr>
      </w:pPr>
      <w:r>
        <w:t>EU requested net operating income (NOI) of $241,078,</w:t>
      </w:r>
      <w:r w:rsidRPr="006316CE">
        <w:t xml:space="preserve"> based on the projected rate base and a projected overall c</w:t>
      </w:r>
      <w:r>
        <w:t>ost of capital of 3.74 percent</w:t>
      </w:r>
      <w:r w:rsidRPr="006316CE">
        <w:t xml:space="preserve">. </w:t>
      </w:r>
      <w:r>
        <w:t xml:space="preserve">(EXH 7) </w:t>
      </w:r>
      <w:r w:rsidRPr="006316CE">
        <w:t>Staff</w:t>
      </w:r>
      <w:r>
        <w:t>’s recommended NOI of $182,532</w:t>
      </w:r>
      <w:r w:rsidRPr="006316CE">
        <w:t xml:space="preserve"> reflects the full return on investment resulting from recommended projections of rate base and overall cost of cap</w:t>
      </w:r>
      <w:r>
        <w:t>ital. The projected NOI is</w:t>
      </w:r>
      <w:r w:rsidRPr="006316CE">
        <w:t xml:space="preserve"> sho</w:t>
      </w:r>
      <w:r>
        <w:t>wn in Schedule No. 3-A. Staff’s adjustments are shown on Schedule No. 3-B.</w:t>
      </w:r>
    </w:p>
    <w:p w14:paraId="03AFE548" w14:textId="77777777" w:rsidR="00454AF9" w:rsidRDefault="00454AF9" w:rsidP="005E6E8A">
      <w:pPr>
        <w:jc w:val="both"/>
        <w:outlineLvl w:val="2"/>
        <w:rPr>
          <w:rFonts w:ascii="Arial" w:hAnsi="Arial" w:cs="Arial"/>
          <w:b/>
          <w:bCs/>
          <w:iCs/>
          <w:szCs w:val="28"/>
        </w:rPr>
        <w:sectPr w:rsidR="00454AF9" w:rsidSect="006108AC">
          <w:pgSz w:w="12240" w:h="15840" w:code="1"/>
          <w:pgMar w:top="1584" w:right="1440" w:bottom="1440" w:left="1440" w:header="720" w:footer="720" w:gutter="0"/>
          <w:cols w:space="720"/>
          <w:formProt w:val="0"/>
          <w:docGrid w:linePitch="360"/>
        </w:sectPr>
      </w:pPr>
    </w:p>
    <w:p w14:paraId="78DD70A0" w14:textId="6DA590C6" w:rsidR="005E6E8A" w:rsidRPr="005E6E8A" w:rsidRDefault="005E6E8A" w:rsidP="005E6E8A">
      <w:pPr>
        <w:jc w:val="both"/>
        <w:outlineLvl w:val="2"/>
        <w:rPr>
          <w:rFonts w:ascii="Arial" w:hAnsi="Arial" w:cs="Arial"/>
          <w:b/>
          <w:bCs/>
          <w:iCs/>
          <w:szCs w:val="28"/>
        </w:rPr>
      </w:pPr>
      <w:r w:rsidRPr="005E6E8A">
        <w:rPr>
          <w:rFonts w:ascii="Arial" w:hAnsi="Arial" w:cs="Arial"/>
          <w:b/>
          <w:bCs/>
          <w:iCs/>
          <w:szCs w:val="28"/>
        </w:rPr>
        <w:t>Projected Revenue Requirement</w:t>
      </w:r>
    </w:p>
    <w:p w14:paraId="6236938C" w14:textId="18EEF0C0" w:rsidR="005E6E8A" w:rsidRPr="005E6E8A" w:rsidRDefault="005E6E8A" w:rsidP="005E6E8A">
      <w:pPr>
        <w:spacing w:after="240"/>
        <w:jc w:val="both"/>
      </w:pPr>
      <w:r w:rsidRPr="005E6E8A">
        <w:t>The Utility proposed a revenue requirement of $2,142,157. (EXH 7) Staff recommends an adjusted revenue requirement of $2,279,478. The Utility’s projected revenue requirement includes O&amp;M expenses, depreciation and amortization expense, taxes other than income, income taxes, as well as a return on investment. The recommended revenue requirements will allow the Utility the opportunity to recover its expenses and earn a 7.8</w:t>
      </w:r>
      <w:r w:rsidR="007A3A36">
        <w:t>5</w:t>
      </w:r>
      <w:r w:rsidRPr="005E6E8A">
        <w:t xml:space="preserve"> percent return on its investment in rate base.</w:t>
      </w:r>
    </w:p>
    <w:p w14:paraId="62C75193" w14:textId="77777777" w:rsidR="00B91B33" w:rsidRDefault="00B91B33" w:rsidP="00B91B33">
      <w:pPr>
        <w:pStyle w:val="First-LevelSubheading"/>
      </w:pPr>
      <w:r>
        <w:t>Projected Operation and Maintenance</w:t>
      </w:r>
      <w:r w:rsidR="00C83B18">
        <w:t xml:space="preserve"> </w:t>
      </w:r>
      <w:r>
        <w:t>Expense</w:t>
      </w:r>
    </w:p>
    <w:p w14:paraId="13916DF0" w14:textId="77777777" w:rsidR="00B91B33" w:rsidRPr="00184C02" w:rsidRDefault="00B91B33" w:rsidP="00B91B33">
      <w:pPr>
        <w:pStyle w:val="BodyText"/>
      </w:pPr>
      <w:r>
        <w:t xml:space="preserve">EU proposed total O&amp;M expense of $1,236,731. (EXH 7) Staff believes adjustments are necessary and are explained below. </w:t>
      </w:r>
    </w:p>
    <w:p w14:paraId="4D335B7D" w14:textId="77777777" w:rsidR="00B91B33" w:rsidRPr="00E158AD" w:rsidRDefault="00B91B33" w:rsidP="00B91B33">
      <w:pPr>
        <w:pStyle w:val="Second-LevelSubheading"/>
      </w:pPr>
      <w:r w:rsidRPr="00E158AD">
        <w:t>Projected Salaries and Wages</w:t>
      </w:r>
    </w:p>
    <w:p w14:paraId="4649B94E" w14:textId="63D83A2F" w:rsidR="00B91B33" w:rsidRDefault="00B91B33" w:rsidP="00B91B33">
      <w:pPr>
        <w:pStyle w:val="BodyText"/>
      </w:pPr>
      <w:r>
        <w:t xml:space="preserve">In its filing, the Utility projected salaries and wages – employees expense of $164,808 and salaries and wages – other of $85,330. (EXH 7) OPC highlighted inconsistencies in salaries and wages expense in its brief. The inconsistencies are due to the inflation factor added by the Utility, along with the incorrect identification of total salaries and wages expense. (OPC BR) The total expense in the Utility’s application included $164,808 booked in Account 701 </w:t>
      </w:r>
      <w:r w:rsidR="00252302">
        <w:t xml:space="preserve">- </w:t>
      </w:r>
      <w:r w:rsidR="00960348">
        <w:t>S</w:t>
      </w:r>
      <w:r>
        <w:t xml:space="preserve">alaries and </w:t>
      </w:r>
      <w:r w:rsidR="00960348">
        <w:t>W</w:t>
      </w:r>
      <w:r>
        <w:t xml:space="preserve">ages – </w:t>
      </w:r>
      <w:r w:rsidR="00960348">
        <w:t>E</w:t>
      </w:r>
      <w:r w:rsidR="00252302">
        <w:t>mployees</w:t>
      </w:r>
      <w:r>
        <w:t xml:space="preserve"> and $85,330 in Account 703 </w:t>
      </w:r>
      <w:r w:rsidR="00252302">
        <w:t>-</w:t>
      </w:r>
      <w:r w:rsidR="00960348">
        <w:t>S</w:t>
      </w:r>
      <w:r>
        <w:t xml:space="preserve">alaries and </w:t>
      </w:r>
      <w:r w:rsidR="00960348">
        <w:t>W</w:t>
      </w:r>
      <w:r>
        <w:t xml:space="preserve">ages – </w:t>
      </w:r>
      <w:r w:rsidR="00960348">
        <w:t>O</w:t>
      </w:r>
      <w:r>
        <w:t>ther, for a total of $250,138. (EXH 22</w:t>
      </w:r>
      <w:r w:rsidR="00AF4189">
        <w:t xml:space="preserve"> BSP 913</w:t>
      </w:r>
      <w:r>
        <w:t xml:space="preserve">) OPC cited and compared expense amounts that were adjusted for inflation to those that were not adjusted. (OPC BR 5-6) In response to discovery requesting a breakdown of the amounts included in the total expense, EU provided the base salary for each position, which did not include the inflation factor it included in the total expense it requested. (EXH 25 BSP </w:t>
      </w:r>
      <w:r w:rsidR="00AF4189">
        <w:t>944</w:t>
      </w:r>
      <w:r>
        <w:t>) The breakdown and inclusion of this factor is further confirmed in the Utility’s work papers provided in response to OPC’s discovery. (EXH 39)</w:t>
      </w:r>
    </w:p>
    <w:p w14:paraId="1556B896" w14:textId="77777777" w:rsidR="00B91B33" w:rsidRPr="00940128" w:rsidRDefault="00B91B33" w:rsidP="00B91B33">
      <w:pPr>
        <w:pStyle w:val="BodyText"/>
      </w:pPr>
      <w:r w:rsidRPr="00AE3AB8">
        <w:t xml:space="preserve">OPC additionally argued that the salary levels proposed by EU were too low in comparison to the support documentation provided by the Utility. (OPC BR 6) </w:t>
      </w:r>
      <w:r w:rsidRPr="00194F7F">
        <w:t xml:space="preserve">To support its request, the Utility cited pay ranges of positions with the Englewood Water District that it identified as being similar to those included in </w:t>
      </w:r>
      <w:r>
        <w:t>EU’s</w:t>
      </w:r>
      <w:r w:rsidRPr="00194F7F">
        <w:t xml:space="preserve"> salaries and wages expense. (EXH 27 BSP </w:t>
      </w:r>
      <w:r w:rsidR="00AF4189">
        <w:t>957</w:t>
      </w:r>
      <w:r w:rsidRPr="00194F7F">
        <w:t>) Staff believes the ranges provided by the Utility are appropriate to support the requested expense.</w:t>
      </w:r>
      <w:r>
        <w:t xml:space="preserve"> T</w:t>
      </w:r>
      <w:r w:rsidRPr="00AE3AB8">
        <w:t>he</w:t>
      </w:r>
      <w:r>
        <w:t xml:space="preserve"> salary</w:t>
      </w:r>
      <w:r w:rsidRPr="00AE3AB8">
        <w:t xml:space="preserve"> expense included in rates reflect an inflationary factor for </w:t>
      </w:r>
      <w:r w:rsidR="00696EEE">
        <w:t>10</w:t>
      </w:r>
      <w:r w:rsidRPr="00AE3AB8">
        <w:t xml:space="preserve"> years out. (EXH 39) OPC did not provide any testimony to propose a specific adjustment.</w:t>
      </w:r>
      <w:r>
        <w:t xml:space="preserve"> </w:t>
      </w:r>
    </w:p>
    <w:p w14:paraId="3AF3FE67" w14:textId="77777777" w:rsidR="00B91B33" w:rsidRPr="00232501" w:rsidRDefault="00B91B33" w:rsidP="00B91B33">
      <w:pPr>
        <w:pStyle w:val="BodyText"/>
      </w:pPr>
      <w:r>
        <w:t xml:space="preserve">Staff believes one adjustment is necessary to remove duplicative expenses. In response to discovery, EU stated that holiday and vacation pay was incorrectly included in both salaries and wages – employees and employee pensions and benefits. (EXH 29 BSP </w:t>
      </w:r>
      <w:r w:rsidR="00AF4189">
        <w:t>970</w:t>
      </w:r>
      <w:r>
        <w:t>) To remove this duplication of the employee benefit expense, staff recommends an adjustment to decrease salaries and wages expense by $29,824. This results in a total salaries and wages expense of $220,314.</w:t>
      </w:r>
    </w:p>
    <w:p w14:paraId="3D7379D4" w14:textId="77777777" w:rsidR="00B91B33" w:rsidRDefault="00B91B33" w:rsidP="00B91B33">
      <w:pPr>
        <w:pStyle w:val="Second-LevelSubheading"/>
      </w:pPr>
      <w:r>
        <w:t>Projected Employee Pensions and Benefits</w:t>
      </w:r>
    </w:p>
    <w:p w14:paraId="12158DA4" w14:textId="77777777" w:rsidR="00B91B33" w:rsidRDefault="00B91B33" w:rsidP="00B91B33">
      <w:pPr>
        <w:pStyle w:val="BodyText"/>
      </w:pPr>
      <w:r>
        <w:t>In its filing, the Utility projected employee pensions and benefits expense of $86,215. (EXH 7) To estimate this expense, the Utility used a percentage of salaries and wages – employees expense. (EXH 39) Staff agrees with this methodology but recommends a decrease to employee pensions and benefits expense of $1,818 due to the corresponding adjustment to salaries and wages expense discussed above. This results in an employee pensions and benefits balance of $84,397.</w:t>
      </w:r>
    </w:p>
    <w:p w14:paraId="5FE774F6" w14:textId="77777777" w:rsidR="00B91B33" w:rsidRDefault="00B91B33" w:rsidP="00B91B33">
      <w:pPr>
        <w:pStyle w:val="Second-LevelSubheading"/>
      </w:pPr>
      <w:r>
        <w:t>Projected Transportation Expense</w:t>
      </w:r>
    </w:p>
    <w:p w14:paraId="4D7EFDE6" w14:textId="77777777" w:rsidR="00B91B33" w:rsidRDefault="00B91B33" w:rsidP="00B91B33">
      <w:pPr>
        <w:pStyle w:val="BodyText"/>
      </w:pPr>
      <w:r>
        <w:t>In its filing, the Utility projected transportation expense of $19,016. (EXH 7) OPC’s concerns over the inconsistencies regarding this projection can be largely explained through inflation. (EXH 7; EXH 22</w:t>
      </w:r>
      <w:r w:rsidR="006A41CD">
        <w:t xml:space="preserve"> BSP 929</w:t>
      </w:r>
      <w:r>
        <w:t xml:space="preserve">; EXH 27 BSP </w:t>
      </w:r>
      <w:r w:rsidR="006A41CD">
        <w:t>956</w:t>
      </w:r>
      <w:r>
        <w:t xml:space="preserve">) In her original filing, EU witness Swain projected $19,016 of transportation expense, which included an inflation factor. (EXH 22 </w:t>
      </w:r>
      <w:r w:rsidR="006A41CD">
        <w:t>BSP 929</w:t>
      </w:r>
      <w:r>
        <w:t xml:space="preserve">) In response to discovery, EU witness Swain provided calculations for the base expense that did not include inflation. (EXH 27 BSP </w:t>
      </w:r>
      <w:r w:rsidR="006A41CD">
        <w:t>956</w:t>
      </w:r>
      <w:r>
        <w:t>) Staff recommends no adjustments to transportation expense.</w:t>
      </w:r>
    </w:p>
    <w:p w14:paraId="1BDF360D" w14:textId="77777777" w:rsidR="00B91B33" w:rsidRDefault="00B91B33" w:rsidP="00B91B33">
      <w:pPr>
        <w:pStyle w:val="Second-LevelSubheading"/>
      </w:pPr>
      <w:r>
        <w:t>Projected Insurance – Workman’s Compensation</w:t>
      </w:r>
    </w:p>
    <w:p w14:paraId="5D294DDD" w14:textId="77777777" w:rsidR="00B91B33" w:rsidRDefault="00B91B33" w:rsidP="00B91B33">
      <w:pPr>
        <w:pStyle w:val="BodyText"/>
      </w:pPr>
      <w:r>
        <w:t>In its filing, the Utility projected insurance – workman’s compensation expense of $22,489. (EXH 7) To estimate this expense, the Utility used a percentage of salaries and wages – employees expense. (EXH 39) Staff agrees with this methodology but recommends a decrease of $3,269 due to the corresponding adjustment to salaries and wages expense discussed above. This results in a</w:t>
      </w:r>
      <w:r w:rsidR="009641E1">
        <w:t>n</w:t>
      </w:r>
      <w:r>
        <w:t xml:space="preserve"> insurance – workman’s compensation expense of $19,220. </w:t>
      </w:r>
    </w:p>
    <w:p w14:paraId="149CF985" w14:textId="77777777" w:rsidR="00521D81" w:rsidRDefault="00521D81" w:rsidP="00FA0E7C">
      <w:pPr>
        <w:pStyle w:val="Second-LevelSubheading"/>
      </w:pPr>
      <w:r>
        <w:t>Projected Sludge Removal Expense</w:t>
      </w:r>
    </w:p>
    <w:p w14:paraId="651D1BCF" w14:textId="62820ADE" w:rsidR="00521D81" w:rsidRDefault="00521D81" w:rsidP="00FA0E7C">
      <w:pPr>
        <w:pStyle w:val="BodyText"/>
      </w:pPr>
      <w:r>
        <w:t>The Utility only accounted for the cost of 810 ERCs for sludge removal expenses in Account 711</w:t>
      </w:r>
      <w:r w:rsidR="007E7CFF">
        <w:t xml:space="preserve"> – Sludge Removal Expense</w:t>
      </w:r>
      <w:r>
        <w:t xml:space="preserve">. Using the Utility’s updated analysis at 80 percent capacity, </w:t>
      </w:r>
      <w:r w:rsidR="00BC3390" w:rsidRPr="00BC3390">
        <w:t xml:space="preserve">which is 998.4 ERCs (1248 ERC x 80 percent = 998.4), </w:t>
      </w:r>
      <w:r w:rsidRPr="00BC3390">
        <w:t>staff recommends that an additional $68,751 be added to Account 711</w:t>
      </w:r>
      <w:r w:rsidR="007E7CFF">
        <w:t xml:space="preserve"> – Sludge Removal Expense</w:t>
      </w:r>
      <w:r w:rsidRPr="00BC3390">
        <w:t xml:space="preserve"> to account for sludge removal. (EXH 29 BSP 969)</w:t>
      </w:r>
    </w:p>
    <w:p w14:paraId="28C0D2C1" w14:textId="77777777" w:rsidR="00521D81" w:rsidRDefault="00521D81" w:rsidP="00FA0E7C">
      <w:pPr>
        <w:pStyle w:val="Second-LevelSubheading"/>
      </w:pPr>
      <w:r>
        <w:t>Projected Purchased Power Expense</w:t>
      </w:r>
    </w:p>
    <w:p w14:paraId="086207F0" w14:textId="5F9C6242" w:rsidR="00521D81" w:rsidRDefault="00521D81" w:rsidP="00FA0E7C">
      <w:pPr>
        <w:pStyle w:val="BodyText"/>
      </w:pPr>
      <w:r>
        <w:t>EU accounted for the purchase</w:t>
      </w:r>
      <w:r w:rsidR="00AE2990">
        <w:t>d</w:t>
      </w:r>
      <w:r>
        <w:t xml:space="preserve"> power cost of 1,251 ERCs in Account 715</w:t>
      </w:r>
      <w:r w:rsidR="007E7CFF">
        <w:t xml:space="preserve"> – Purchased Power</w:t>
      </w:r>
      <w:r>
        <w:t xml:space="preserve">. Using the Utility’s updated analysis at 80 percent capacity, </w:t>
      </w:r>
      <w:r w:rsidR="00BC3390">
        <w:t>or 998 ER</w:t>
      </w:r>
      <w:r w:rsidR="00E7127B">
        <w:t>C</w:t>
      </w:r>
      <w:r w:rsidR="00BC3390">
        <w:t xml:space="preserve">s, </w:t>
      </w:r>
      <w:r>
        <w:t>staff recommends that $3,686 be removed from Account 715</w:t>
      </w:r>
      <w:r w:rsidR="007E7CFF">
        <w:t xml:space="preserve"> – Purchased Power</w:t>
      </w:r>
      <w:r>
        <w:t xml:space="preserve"> to account for the reduction of purchase</w:t>
      </w:r>
      <w:r w:rsidR="00AE2990">
        <w:t>d</w:t>
      </w:r>
      <w:r>
        <w:t xml:space="preserve"> power cost. (EXH 29 BSP 972)</w:t>
      </w:r>
    </w:p>
    <w:p w14:paraId="33D74327" w14:textId="77777777" w:rsidR="00B91B33" w:rsidRDefault="00B91B33" w:rsidP="00B91B33">
      <w:pPr>
        <w:pStyle w:val="Second-LevelSubheading"/>
      </w:pPr>
      <w:r>
        <w:t>C</w:t>
      </w:r>
      <w:r w:rsidRPr="008877B6">
        <w:t>ost Projection</w:t>
      </w:r>
    </w:p>
    <w:p w14:paraId="6437F526" w14:textId="77777777" w:rsidR="00B91B33" w:rsidRDefault="00B91B33" w:rsidP="00B91B33">
      <w:pPr>
        <w:pStyle w:val="BodyText"/>
      </w:pPr>
      <w:r>
        <w:t>Both OPC and LC have raised concerns over what they char</w:t>
      </w:r>
      <w:r w:rsidR="00696EEE">
        <w:t>a</w:t>
      </w:r>
      <w:r>
        <w:t>cterize as general inaccuracies or inconsistencies in cost projections. (OPC BR 6-7; LC BR 23-26) OPC raised concerns about maintenance on the vacuum station, inflation, engineering costs, and deprecation life. (TR 286; EXH 4; TR 303-304) LC raised concerns over tap fees, barging fees, septic tank abandonment costs, maintenance of the sewer tank pump, mitigation costs for environmental issues, cost responsibility for the main pump station, and permitting fees. (LC BR 23-26) As stated above, the Utility is not built yet, so it must rely on estimates and projections for costs. It is staff’s position that, apart from the adjustments listed above, the Utility has met its burden of responsibility in providing the most accurate information it has in estimating O&amp;M costs.</w:t>
      </w:r>
    </w:p>
    <w:p w14:paraId="51C4A5AB" w14:textId="77777777" w:rsidR="00B91B33" w:rsidRDefault="00B91B33" w:rsidP="00B91B33">
      <w:pPr>
        <w:pStyle w:val="Second-LevelSubheading"/>
        <w:ind w:left="0" w:firstLine="720"/>
      </w:pPr>
      <w:r>
        <w:t>Projected O&amp;M Expense Summary</w:t>
      </w:r>
    </w:p>
    <w:p w14:paraId="00147C6C" w14:textId="3F28EAD8" w:rsidR="00B91B33" w:rsidRDefault="00B91B33" w:rsidP="00B91B33">
      <w:pPr>
        <w:pStyle w:val="BodyText"/>
      </w:pPr>
      <w:r>
        <w:t>Based on the above adjustments, staff recommends projected O&amp;M expense be increased by $30,155 (-$29,824 - $1,818 - $3,269 + $65,065). This results in total O&amp;M expense of $1,266,886.</w:t>
      </w:r>
    </w:p>
    <w:p w14:paraId="0F97AB0D" w14:textId="77777777" w:rsidR="006108AC" w:rsidRDefault="006108AC" w:rsidP="00B91B33">
      <w:pPr>
        <w:pStyle w:val="BodyText"/>
        <w:sectPr w:rsidR="006108AC" w:rsidSect="006108AC">
          <w:pgSz w:w="12240" w:h="15840" w:code="1"/>
          <w:pgMar w:top="1584" w:right="1440" w:bottom="1440" w:left="1440" w:header="720" w:footer="720" w:gutter="0"/>
          <w:cols w:space="720"/>
          <w:formProt w:val="0"/>
          <w:docGrid w:linePitch="360"/>
        </w:sectPr>
      </w:pPr>
    </w:p>
    <w:p w14:paraId="7274868C" w14:textId="77777777" w:rsidR="005E6E8A" w:rsidRPr="005E6E8A" w:rsidRDefault="005E6E8A" w:rsidP="005E6E8A">
      <w:pPr>
        <w:jc w:val="both"/>
        <w:outlineLvl w:val="2"/>
        <w:rPr>
          <w:rFonts w:ascii="Arial" w:hAnsi="Arial" w:cs="Arial"/>
          <w:b/>
          <w:bCs/>
          <w:iCs/>
          <w:szCs w:val="28"/>
        </w:rPr>
      </w:pPr>
      <w:r w:rsidRPr="005E6E8A">
        <w:rPr>
          <w:rFonts w:ascii="Arial" w:hAnsi="Arial" w:cs="Arial"/>
          <w:b/>
          <w:bCs/>
          <w:iCs/>
          <w:szCs w:val="28"/>
        </w:rPr>
        <w:t>Projected Depreciation Expense</w:t>
      </w:r>
    </w:p>
    <w:p w14:paraId="7B5A8F48" w14:textId="77777777" w:rsidR="005F1DBD" w:rsidRDefault="005E6E8A" w:rsidP="003640D1">
      <w:pPr>
        <w:spacing w:after="240"/>
        <w:jc w:val="both"/>
      </w:pPr>
      <w:r w:rsidRPr="005E6E8A">
        <w:t>The Utility reflected depreciation expense of $232,177. (EXH 7) Staff has reviewed depreciation expense and determined adjustments were needed. First, based on staff’s review of the Utility’s work papers, staff recommends $17,217 of amortization expense associated with plant costs be reclassified as depreciation expense. (EXH 39) This adjustment increases depreciation expense by $17,217. Second, based on staff’s adjustments to rate base, corresponding adjustments should be made to increase depreciation expense by $224,050 (-$2,203 - $5,535 + $231,788). Based on staff’s adjustments, this results in depreciation expense of $473,444.</w:t>
      </w:r>
    </w:p>
    <w:p w14:paraId="5C37C90C" w14:textId="77777777" w:rsidR="005E6E8A" w:rsidRPr="005E6E8A" w:rsidRDefault="005E6E8A" w:rsidP="005E6E8A">
      <w:pPr>
        <w:jc w:val="both"/>
        <w:outlineLvl w:val="2"/>
        <w:rPr>
          <w:rFonts w:ascii="Arial" w:hAnsi="Arial" w:cs="Arial"/>
          <w:b/>
          <w:bCs/>
          <w:iCs/>
          <w:szCs w:val="28"/>
        </w:rPr>
      </w:pPr>
      <w:r w:rsidRPr="005E6E8A">
        <w:rPr>
          <w:rFonts w:ascii="Arial" w:hAnsi="Arial" w:cs="Arial"/>
          <w:b/>
          <w:bCs/>
          <w:iCs/>
          <w:szCs w:val="28"/>
        </w:rPr>
        <w:t>Projected Amortization</w:t>
      </w:r>
    </w:p>
    <w:p w14:paraId="6328AFFE" w14:textId="77777777" w:rsidR="005E6E8A" w:rsidRPr="005E6E8A" w:rsidRDefault="005E6E8A" w:rsidP="005E6E8A">
      <w:pPr>
        <w:spacing w:after="240"/>
        <w:jc w:val="both"/>
      </w:pPr>
      <w:r w:rsidRPr="005E6E8A">
        <w:t>The Utility reflected an amortization expense of $17,217. (EXH 7) Based on the adjustment to reclassify a portion of amortization expense to depreciation expense discussed above, staff recommends an adjustment to decrease amortization by $17,217. This results in amortization expense of $0.</w:t>
      </w:r>
    </w:p>
    <w:p w14:paraId="2AF48CED" w14:textId="77777777" w:rsidR="00B91B33" w:rsidRDefault="00B91B33" w:rsidP="00B91B33">
      <w:pPr>
        <w:pStyle w:val="First-LevelSubheading"/>
      </w:pPr>
      <w:r>
        <w:t>Projected Taxes Other Than Income</w:t>
      </w:r>
    </w:p>
    <w:p w14:paraId="02CF17EC" w14:textId="0870ED30" w:rsidR="00B91B33" w:rsidRDefault="00B91B33" w:rsidP="00B91B33">
      <w:pPr>
        <w:pStyle w:val="BodyText"/>
      </w:pPr>
      <w:r w:rsidRPr="00096317">
        <w:t xml:space="preserve">In its filing, EU </w:t>
      </w:r>
      <w:r>
        <w:t>included taxes other than income (TOTI) expense of $333,110. (EXH 7)</w:t>
      </w:r>
      <w:r w:rsidRPr="001A1586">
        <w:t xml:space="preserve"> </w:t>
      </w:r>
      <w:r>
        <w:t xml:space="preserve">Based on a corresponding adjustment to salaries and wages expense made above, staff is recommending a decrease to TOTI of $5,719. In response to discovery, the Utility provided updated millage rates for calculating property tax expense. (EXH 33 BSP </w:t>
      </w:r>
      <w:r w:rsidR="006A41CD">
        <w:t>988</w:t>
      </w:r>
      <w:r>
        <w:t xml:space="preserve">) To reflect updated property tax expense, staff is recommending a decrease to TOTI of $38,922. Also, staff made a corresponding adjustment to increase </w:t>
      </w:r>
      <w:r w:rsidR="004F3260">
        <w:t xml:space="preserve">regulatory assessment fees </w:t>
      </w:r>
      <w:r>
        <w:t xml:space="preserve">by $6,179 to reflect the fallout from staff’s recommended revenue requirement. This results in a recommended decrease to TOTI of $38,462 and a TOTI balance of $294,648. </w:t>
      </w:r>
    </w:p>
    <w:p w14:paraId="5DD57892" w14:textId="77777777" w:rsidR="005E6E8A" w:rsidRPr="005E6E8A" w:rsidRDefault="005E6E8A" w:rsidP="005E6E8A">
      <w:pPr>
        <w:jc w:val="both"/>
        <w:outlineLvl w:val="2"/>
        <w:rPr>
          <w:rFonts w:ascii="Arial" w:hAnsi="Arial" w:cs="Arial"/>
          <w:b/>
          <w:bCs/>
          <w:iCs/>
          <w:szCs w:val="28"/>
        </w:rPr>
      </w:pPr>
      <w:r w:rsidRPr="005E6E8A">
        <w:rPr>
          <w:rFonts w:ascii="Arial" w:hAnsi="Arial" w:cs="Arial"/>
          <w:b/>
          <w:bCs/>
          <w:iCs/>
          <w:szCs w:val="28"/>
        </w:rPr>
        <w:t>Income Taxes</w:t>
      </w:r>
    </w:p>
    <w:p w14:paraId="617F6FF3" w14:textId="77777777" w:rsidR="00353552" w:rsidRPr="005256FB" w:rsidRDefault="005E6E8A" w:rsidP="00353552">
      <w:pPr>
        <w:jc w:val="both"/>
        <w:outlineLvl w:val="2"/>
      </w:pPr>
      <w:r w:rsidRPr="005E6E8A">
        <w:t>EU proposed income taxes of $81,844. (EXH 7) Based on staff’s adjustments to NOI, including the revenue increase, staff recommends decreasing income taxes by $19,875 (-$53,113 + $39,417). Therefore, staff recommends income taxes of $61,969.</w:t>
      </w:r>
      <w:r w:rsidR="00353552" w:rsidRPr="00353552">
        <w:t xml:space="preserve"> The projected NOI is shown in Schedule No. 3-A. Staff’s adjustments are shown on Schedule No. 3-B.</w:t>
      </w:r>
    </w:p>
    <w:p w14:paraId="70F6B83B" w14:textId="77777777" w:rsidR="005E6E8A" w:rsidRPr="005E6E8A" w:rsidRDefault="005E6E8A" w:rsidP="005E6E8A">
      <w:pPr>
        <w:jc w:val="both"/>
        <w:outlineLvl w:val="2"/>
      </w:pPr>
    </w:p>
    <w:p w14:paraId="4406B269" w14:textId="77777777" w:rsidR="005E6E8A" w:rsidRDefault="00B91B33" w:rsidP="005E6E8A">
      <w:pPr>
        <w:pStyle w:val="BodyText"/>
        <w:spacing w:after="0"/>
        <w:rPr>
          <w:rFonts w:ascii="Arial" w:hAnsi="Arial" w:cs="Arial"/>
          <w:b/>
        </w:rPr>
      </w:pPr>
      <w:r>
        <w:rPr>
          <w:rFonts w:ascii="Arial" w:hAnsi="Arial" w:cs="Arial"/>
          <w:b/>
        </w:rPr>
        <w:t xml:space="preserve">Projected </w:t>
      </w:r>
      <w:r w:rsidRPr="006E6711">
        <w:rPr>
          <w:rFonts w:ascii="Arial" w:hAnsi="Arial" w:cs="Arial"/>
          <w:b/>
        </w:rPr>
        <w:t>Rates and Rate Structure</w:t>
      </w:r>
    </w:p>
    <w:p w14:paraId="4FF72D1A" w14:textId="77777777" w:rsidR="005E6E8A" w:rsidRPr="005E6E8A" w:rsidRDefault="005E6E8A" w:rsidP="005E6E8A">
      <w:pPr>
        <w:jc w:val="both"/>
      </w:pPr>
      <w:r w:rsidRPr="005E6E8A">
        <w:t>The Utility structured its proposed wastewater rates in accordance with Rule 25-30.033(2), F.A.C., which requires that a base facility and usage rate structure, as defined in Rule 25-30.437(</w:t>
      </w:r>
      <w:r w:rsidR="0028227E">
        <w:t>5</w:t>
      </w:r>
      <w:r w:rsidRPr="005E6E8A">
        <w:t>), F.A.C., be used for metered service. EU’s proposed rate structure consists of a base facility charge (BFC) and gallonage charge for its residential and general service customers. In addition, the Utility proposed a 10,000 gallon cap for residential usage. (EXH 7</w:t>
      </w:r>
      <w:r w:rsidR="006A41CD">
        <w:t xml:space="preserve"> BSP 160</w:t>
      </w:r>
      <w:r w:rsidRPr="005E6E8A">
        <w:t>) EU’s proposed rates were designed to generate the Utility’s requested revenue requirement of $2,412,842 for its wastewater system. (EXH 2</w:t>
      </w:r>
      <w:r w:rsidR="006A41CD">
        <w:t>2 BSP 929</w:t>
      </w:r>
      <w:r w:rsidRPr="005E6E8A">
        <w:t xml:space="preserve">)  </w:t>
      </w:r>
    </w:p>
    <w:p w14:paraId="588A18CF" w14:textId="77777777" w:rsidR="005E6E8A" w:rsidRPr="005E6E8A" w:rsidRDefault="005E6E8A" w:rsidP="005E6E8A">
      <w:pPr>
        <w:jc w:val="both"/>
      </w:pPr>
    </w:p>
    <w:p w14:paraId="44E69949" w14:textId="77777777" w:rsidR="005E6E8A" w:rsidRPr="005E6E8A" w:rsidRDefault="005E6E8A" w:rsidP="005E6E8A">
      <w:pPr>
        <w:jc w:val="both"/>
      </w:pPr>
      <w:r w:rsidRPr="005E6E8A">
        <w:t>The Utility’s proposed wastewater rates recover 56 percent of wastewater revenues through the BFC. (EXH 22</w:t>
      </w:r>
      <w:r w:rsidR="006A41CD">
        <w:t xml:space="preserve"> BSP 929)</w:t>
      </w:r>
      <w:r w:rsidRPr="005E6E8A">
        <w:t xml:space="preserve"> It is Commission practice to recover 50 percent, or greater, of the revenue through the BFC for the purpose of recognizing the capital intensive nature of wastewater plants.</w:t>
      </w:r>
      <w:r w:rsidRPr="005E6E8A">
        <w:rPr>
          <w:vertAlign w:val="superscript"/>
        </w:rPr>
        <w:footnoteReference w:id="19"/>
      </w:r>
      <w:r w:rsidRPr="005E6E8A">
        <w:t xml:space="preserve"> Therefore, staff believes the Utility’s proposed allocation is reasonable. </w:t>
      </w:r>
    </w:p>
    <w:p w14:paraId="7B19EE71" w14:textId="70125A7D" w:rsidR="005E6E8A" w:rsidRPr="005E6E8A" w:rsidRDefault="005E6E8A" w:rsidP="005E6E8A">
      <w:pPr>
        <w:jc w:val="both"/>
      </w:pPr>
      <w:r w:rsidRPr="005E6E8A">
        <w:t xml:space="preserve">EU is a wastewater only utility. Wastewater is billed based on water usage. The water providers to the potential customers of EU are Bocilla Utilities and Little Gasparilla Utility. Since the Utility is not the water service provider, in response to staff’s interrogatories, witness Swain provided the method used to determine billable gallons. (EXH 28,BSP </w:t>
      </w:r>
      <w:r w:rsidR="006A41CD">
        <w:t>963</w:t>
      </w:r>
      <w:r w:rsidRPr="005E6E8A">
        <w:t>) The billable gallons are based on water gallons sold from the annual reports of Bocilla and Little Gasparilla. Based on this information, witness Swain determined that average gallons per day per equivalent residential connection (ERC) is 90 gallons. The anticipated number of ERCs at design capacity for the Utility is 1,248. Rates in this proceeding are based on 80 percent of the design capacity of the system, which is 998</w:t>
      </w:r>
      <w:r w:rsidR="00BC3390">
        <w:t xml:space="preserve"> ERCs</w:t>
      </w:r>
      <w:r w:rsidRPr="005E6E8A">
        <w:t>. Witness Swain estimated billable gallons by multiplying 998.4 x 90 x 365, which results in 32,797,440 gallons</w:t>
      </w:r>
      <w:r w:rsidR="006A41CD">
        <w:t>. (EXH 28</w:t>
      </w:r>
      <w:r w:rsidRPr="005E6E8A">
        <w:t xml:space="preserve"> BSP </w:t>
      </w:r>
      <w:r w:rsidR="006A41CD">
        <w:t>963</w:t>
      </w:r>
      <w:r w:rsidRPr="005E6E8A">
        <w:t>). Staff agrees with witness Swain’s calculation of proposed billable gallons.</w:t>
      </w:r>
    </w:p>
    <w:p w14:paraId="2CDD64E1" w14:textId="77777777" w:rsidR="005E6E8A" w:rsidRPr="005E6E8A" w:rsidRDefault="005E6E8A" w:rsidP="005E6E8A">
      <w:pPr>
        <w:jc w:val="both"/>
      </w:pPr>
    </w:p>
    <w:p w14:paraId="4473E115" w14:textId="785134E6" w:rsidR="005E6E8A" w:rsidRPr="005E6E8A" w:rsidRDefault="005E6E8A" w:rsidP="005E6E8A">
      <w:pPr>
        <w:jc w:val="both"/>
      </w:pPr>
      <w:r w:rsidRPr="005E6E8A">
        <w:t>Witness Swain also proposed a 10 percent repression adjustment to reduce the proposed billable gallons to reflect the customers’ response to now having to pay for wastewater. (EXH 7</w:t>
      </w:r>
      <w:r w:rsidR="006A41CD">
        <w:t xml:space="preserve"> BSP 177</w:t>
      </w:r>
      <w:r w:rsidRPr="005E6E8A">
        <w:t>; EXH 22</w:t>
      </w:r>
      <w:r w:rsidR="006A41CD">
        <w:t xml:space="preserve"> BSP 929; EXH 28</w:t>
      </w:r>
      <w:r w:rsidRPr="005E6E8A">
        <w:t xml:space="preserve"> BSP </w:t>
      </w:r>
      <w:r w:rsidR="006A41CD">
        <w:t>963</w:t>
      </w:r>
      <w:r w:rsidRPr="005E6E8A">
        <w:t xml:space="preserve">) Witness Swain explained that a repression adjustment is recognized when there is a significant increase in the gallonage bill which has an impact on the water use. (TR 305) Witness Swain stated </w:t>
      </w:r>
      <w:r w:rsidR="005B13E7">
        <w:t xml:space="preserve">that </w:t>
      </w:r>
      <w:r w:rsidRPr="005E6E8A">
        <w:t>repression adjustments are routinely done for water and should also flow through to wastewater if the utility is both water and wastewater. (TR 305) In some instances, the Commission, as a result of an increase in the price of water, has applied a corresponding wastewater repression adjustment when the water and wastewater provider are the same utility.</w:t>
      </w:r>
      <w:r w:rsidRPr="005E6E8A">
        <w:rPr>
          <w:vertAlign w:val="superscript"/>
        </w:rPr>
        <w:footnoteReference w:id="20"/>
      </w:r>
      <w:r w:rsidRPr="005E6E8A">
        <w:t xml:space="preserve"> Even in the cases with a water and wastewater utility provider, there still has been no recognition of an adjustment due to an increase in </w:t>
      </w:r>
      <w:r w:rsidR="00737865">
        <w:t xml:space="preserve">the </w:t>
      </w:r>
      <w:r w:rsidRPr="005E6E8A">
        <w:t xml:space="preserve">price of wastewater, but only the recognition of the effect of an increase in </w:t>
      </w:r>
      <w:r w:rsidR="00737865">
        <w:t xml:space="preserve">the </w:t>
      </w:r>
      <w:r w:rsidRPr="005E6E8A">
        <w:t>price of water on customer demand. It is Commission practice that an increase in the price of water is the catalyst for whether or not there is a repression adjustment which would ultimately flow through to wastewater.</w:t>
      </w:r>
    </w:p>
    <w:p w14:paraId="2C8EB833" w14:textId="77777777" w:rsidR="005E6E8A" w:rsidRPr="005E6E8A" w:rsidRDefault="005E6E8A" w:rsidP="005E6E8A">
      <w:pPr>
        <w:jc w:val="both"/>
      </w:pPr>
    </w:p>
    <w:p w14:paraId="7A3D40A2" w14:textId="77777777" w:rsidR="005E6E8A" w:rsidRPr="005E6E8A" w:rsidRDefault="005E6E8A" w:rsidP="005E6E8A">
      <w:pPr>
        <w:jc w:val="both"/>
      </w:pPr>
      <w:r w:rsidRPr="005E6E8A">
        <w:t xml:space="preserve">As mentioned previously, EU is not the water provider to its potential customers. The potential customers are served by two separate water utilities, which are Bocilla and Little Gasparilla. There would have to be an increase in the price of water provided by those two entities in order to determine whether there should be a repression adjustment to the billable gallons for wastewater. There is nothing in the record to evaluate price increases in water for Bocilla and Little Gasparilla. </w:t>
      </w:r>
    </w:p>
    <w:p w14:paraId="1AE58B54" w14:textId="77777777" w:rsidR="005E6E8A" w:rsidRPr="005E6E8A" w:rsidRDefault="005E6E8A" w:rsidP="005E6E8A">
      <w:pPr>
        <w:jc w:val="both"/>
      </w:pPr>
    </w:p>
    <w:p w14:paraId="731ECE62" w14:textId="3EB162F1" w:rsidR="005E6E8A" w:rsidRPr="005E6E8A" w:rsidRDefault="005E6E8A" w:rsidP="005E6E8A">
      <w:pPr>
        <w:jc w:val="both"/>
      </w:pPr>
      <w:r w:rsidRPr="005E6E8A">
        <w:t>Historically, the Commission has not calculated a repression adjustment for a wastewater only utility. In its brief, OPC also stated that a repression adjustment in this case is unusual because the Commission has never applied a repression adjustment for wastewater</w:t>
      </w:r>
      <w:r w:rsidR="00637E96">
        <w:t>-</w:t>
      </w:r>
      <w:r w:rsidRPr="005E6E8A">
        <w:t>only cases</w:t>
      </w:r>
      <w:r w:rsidR="00637E96">
        <w:t>,</w:t>
      </w:r>
      <w:r w:rsidRPr="005E6E8A">
        <w:t xml:space="preserve"> and doing so would be contrary to years of precedent. (OPC BR 7) In addition to a </w:t>
      </w:r>
      <w:r w:rsidR="00637E96">
        <w:t xml:space="preserve">lack of precedent for a </w:t>
      </w:r>
      <w:r w:rsidRPr="005E6E8A">
        <w:t>w</w:t>
      </w:r>
      <w:r w:rsidR="00637E96">
        <w:t>astewater repression adjustment</w:t>
      </w:r>
      <w:r w:rsidRPr="005E6E8A">
        <w:t>, there is no incentive to restrict usage because the demographics</w:t>
      </w:r>
      <w:r w:rsidR="00637E96">
        <w:t xml:space="preserve"> of the area</w:t>
      </w:r>
      <w:r w:rsidRPr="005E6E8A">
        <w:t xml:space="preserve"> is 65 percent rental properties. The renters are not paying the utility bill which provides no incentive to restrict usage based on cost. (OPC BR 7) Based on the above, staff does not believe a repression adjustment is appropriate for the Utility.</w:t>
      </w:r>
    </w:p>
    <w:p w14:paraId="7BE9C76F" w14:textId="77777777" w:rsidR="00737865" w:rsidRDefault="00737865" w:rsidP="005E6E8A">
      <w:pPr>
        <w:jc w:val="both"/>
        <w:sectPr w:rsidR="00737865" w:rsidSect="006108AC">
          <w:pgSz w:w="12240" w:h="15840" w:code="1"/>
          <w:pgMar w:top="1584" w:right="1440" w:bottom="1440" w:left="1440" w:header="720" w:footer="720" w:gutter="0"/>
          <w:cols w:space="720"/>
          <w:formProt w:val="0"/>
          <w:docGrid w:linePitch="360"/>
        </w:sectPr>
      </w:pPr>
    </w:p>
    <w:p w14:paraId="62B3AA94" w14:textId="77777777" w:rsidR="005E6E8A" w:rsidRPr="005E6E8A" w:rsidRDefault="005E6E8A" w:rsidP="005E6E8A">
      <w:pPr>
        <w:jc w:val="both"/>
      </w:pPr>
      <w:r w:rsidRPr="005E6E8A">
        <w:t>Witness Swain reduced the proposed billable gallons by 20 percent to reflect that not all water returns to the wastewater system. (EXH 22</w:t>
      </w:r>
      <w:r w:rsidR="006A41CD">
        <w:t xml:space="preserve"> BSP 929</w:t>
      </w:r>
      <w:r w:rsidRPr="005E6E8A">
        <w:t>) This proposed reduction is consistent with Commission practice. Lastly, the Utility proposed a residential wastewater cap of 10,000 gallons for its wastewater rates. (EXH 7</w:t>
      </w:r>
      <w:r w:rsidR="006A41CD">
        <w:t xml:space="preserve"> BSP 160</w:t>
      </w:r>
      <w:r w:rsidRPr="005E6E8A">
        <w:t>) The wastewater cap is to recognize that not all water consumption is returned to the wastewater system.</w:t>
      </w:r>
      <w:r w:rsidR="00B30703">
        <w:rPr>
          <w:rStyle w:val="FootnoteReference"/>
        </w:rPr>
        <w:footnoteReference w:id="21"/>
      </w:r>
      <w:r w:rsidRPr="005E6E8A">
        <w:t xml:space="preserve"> Staff believes the proposed cap of 10,000 gallons is reasonable for that recognition.</w:t>
      </w:r>
    </w:p>
    <w:p w14:paraId="21A3E6FB" w14:textId="77777777" w:rsidR="005E6E8A" w:rsidRPr="005E6E8A" w:rsidRDefault="005E6E8A" w:rsidP="005E6E8A">
      <w:pPr>
        <w:jc w:val="both"/>
      </w:pPr>
    </w:p>
    <w:p w14:paraId="27E0DE49" w14:textId="77777777" w:rsidR="005E6E8A" w:rsidRPr="005E6E8A" w:rsidRDefault="005E6E8A" w:rsidP="005E6E8A">
      <w:pPr>
        <w:spacing w:after="240"/>
        <w:jc w:val="center"/>
        <w:rPr>
          <w:rFonts w:ascii="Arial" w:hAnsi="Arial" w:cs="Arial"/>
          <w:b/>
        </w:rPr>
      </w:pPr>
      <w:r w:rsidRPr="005E6E8A">
        <w:rPr>
          <w:rFonts w:ascii="Arial" w:hAnsi="Arial" w:cs="Arial"/>
          <w:b/>
        </w:rPr>
        <w:t>CONCLUSION</w:t>
      </w:r>
    </w:p>
    <w:p w14:paraId="78BC6BB6" w14:textId="429CCB9C" w:rsidR="00D278D1" w:rsidRDefault="00637E96" w:rsidP="00DE2B7E">
      <w:pPr>
        <w:pStyle w:val="BodyText"/>
        <w:spacing w:after="0"/>
        <w:rPr>
          <w:highlight w:val="yellow"/>
        </w:rPr>
      </w:pPr>
      <w:r>
        <w:t>If the Commission approves staff’s recommendation in Issue 9, Issues 10 through 13 are moot.</w:t>
      </w:r>
      <w:r w:rsidR="00D278D1">
        <w:t xml:space="preserve"> However, if the Commission approves EU’s application, in accordance with staff’s recommended revenue requirement, the appropriate rate structures and wastewater rates shown on Schedule No. 4 should be approved. The Utility’s proposal to include a repression adjustment should be denied; therefore, the </w:t>
      </w:r>
      <w:r w:rsidR="00987047">
        <w:t xml:space="preserve">staff-recommended </w:t>
      </w:r>
      <w:r w:rsidR="00D278D1">
        <w:t>rates shown on Schedule No. 4 do not include a repression adjustment. The rates should be effective for services rendered on or after the stamped approval date on the tariff sheets, pursuant to Rule 25-30.475, F.A.C. EU should be required to charge the approved rates until authorized to change them by the Commission in a subsequent proceeding. A return on equity of 7.85 percent, with a range of plus or minus 100 basis points, should also be approved.</w:t>
      </w:r>
    </w:p>
    <w:p w14:paraId="6F7D131C" w14:textId="77777777" w:rsidR="00D278D1" w:rsidRDefault="00D278D1" w:rsidP="00DE2B7E">
      <w:pPr>
        <w:pStyle w:val="BodyText"/>
        <w:spacing w:after="0"/>
        <w:rPr>
          <w:highlight w:val="yellow"/>
        </w:rPr>
      </w:pPr>
    </w:p>
    <w:p w14:paraId="2C530BE3" w14:textId="77777777" w:rsidR="006E3F46" w:rsidRDefault="006E3F46">
      <w:pPr>
        <w:pStyle w:val="IssueHeading"/>
        <w:rPr>
          <w:vanish/>
          <w:specVanish/>
        </w:rPr>
      </w:pPr>
      <w:r w:rsidRPr="004C3641">
        <w:rPr>
          <w:b w:val="0"/>
          <w:i w:val="0"/>
        </w:rPr>
        <w:br w:type="page"/>
      </w:r>
      <w:r w:rsidRPr="004C3641">
        <w:t xml:space="preserve">Issue </w:t>
      </w:r>
      <w:fldSimple w:instr=" SEQ Issue \* MERGEFORMAT ">
        <w:r w:rsidR="0028227E">
          <w:rPr>
            <w:noProof/>
          </w:rPr>
          <w:t>11</w:t>
        </w:r>
      </w:fldSimple>
      <w:r w:rsidRPr="004C3641">
        <w:t>:</w:t>
      </w:r>
      <w:r>
        <w:fldChar w:fldCharType="begin"/>
      </w:r>
      <w:r>
        <w:instrText xml:space="preserve"> TC "</w:instrText>
      </w:r>
      <w:bookmarkStart w:id="26" w:name="_Toc104278781"/>
      <w:r w:rsidR="00D25E9A">
        <w:instrText xml:space="preserve">Issue </w:instrText>
      </w:r>
      <w:r>
        <w:fldChar w:fldCharType="begin"/>
      </w:r>
      <w:r>
        <w:instrText xml:space="preserve"> SEQ issue \c </w:instrText>
      </w:r>
      <w:r>
        <w:fldChar w:fldCharType="separate"/>
      </w:r>
      <w:r w:rsidR="0028227E">
        <w:rPr>
          <w:noProof/>
        </w:rPr>
        <w:instrText>11</w:instrText>
      </w:r>
      <w:r>
        <w:fldChar w:fldCharType="end"/>
      </w:r>
      <w:r w:rsidR="00D25E9A">
        <w:instrText xml:space="preserve"> –Service Availability Charges</w:instrText>
      </w:r>
      <w:bookmarkEnd w:id="26"/>
      <w:r>
        <w:tab/>
        <w:instrText xml:space="preserve">" \l 1 </w:instrText>
      </w:r>
      <w:r>
        <w:fldChar w:fldCharType="end"/>
      </w:r>
      <w:r>
        <w:t> </w:t>
      </w:r>
    </w:p>
    <w:p w14:paraId="08FBE0E7" w14:textId="77777777" w:rsidR="006E3F46" w:rsidRDefault="006E3F46">
      <w:pPr>
        <w:pStyle w:val="BodyText"/>
      </w:pPr>
      <w:r>
        <w:t> </w:t>
      </w:r>
      <w:r w:rsidR="00BB75C9" w:rsidRPr="00DA500F">
        <w:rPr>
          <w:bCs/>
        </w:rPr>
        <w:t>What are the appropriate service availability charges?</w:t>
      </w:r>
    </w:p>
    <w:p w14:paraId="41EFC4CD" w14:textId="77777777" w:rsidR="006E3F46" w:rsidRPr="004C3641" w:rsidRDefault="006E3F46">
      <w:pPr>
        <w:pStyle w:val="IssueSubsectionHeading"/>
        <w:rPr>
          <w:vanish/>
          <w:specVanish/>
        </w:rPr>
      </w:pPr>
      <w:r w:rsidRPr="004C3641">
        <w:t>Recommendation: </w:t>
      </w:r>
    </w:p>
    <w:p w14:paraId="265DBFDF" w14:textId="4110414E" w:rsidR="003640D1" w:rsidRPr="003640D1" w:rsidRDefault="00637E96" w:rsidP="003640D1">
      <w:pPr>
        <w:jc w:val="both"/>
        <w:rPr>
          <w:rFonts w:eastAsiaTheme="minorHAnsi"/>
          <w:szCs w:val="22"/>
        </w:rPr>
      </w:pPr>
      <w:r>
        <w:t xml:space="preserve">If the Commission approves staff’s recommendation in Issue 9, Issues 10 through 13 are moot. </w:t>
      </w:r>
      <w:r w:rsidR="003640D1" w:rsidRPr="003640D1">
        <w:rPr>
          <w:rFonts w:eastAsiaTheme="minorHAnsi"/>
          <w:szCs w:val="22"/>
        </w:rPr>
        <w:t>However, if the Commission approves EU’s application, the appropriate service availability charges are shown on Schedule No. 5 and should be approved. In addition, the Utility’s proposed service availability policy should be approved. The approved charges and policy should be effective for connections made on or after the stamped approval date on the tariff sheets pursuant to Rule 25-30.475, F.A.C. EU should be required to collect its approved service availability charges until authorized to change them by the Commission in a subsequent proceeding. (Bruce)</w:t>
      </w:r>
    </w:p>
    <w:p w14:paraId="759687DA" w14:textId="77777777" w:rsidR="00521536" w:rsidRDefault="00521536" w:rsidP="00521536">
      <w:pPr>
        <w:pStyle w:val="BodyText"/>
        <w:spacing w:after="0"/>
      </w:pPr>
    </w:p>
    <w:p w14:paraId="2AE6BF17" w14:textId="77777777" w:rsidR="00521536" w:rsidRDefault="00521536" w:rsidP="00521536">
      <w:pPr>
        <w:pStyle w:val="BodyText"/>
        <w:spacing w:after="0"/>
        <w:rPr>
          <w:rFonts w:ascii="Arial" w:hAnsi="Arial" w:cs="Arial"/>
          <w:b/>
        </w:rPr>
      </w:pPr>
      <w:r w:rsidRPr="006E3F46">
        <w:rPr>
          <w:rFonts w:ascii="Arial" w:hAnsi="Arial" w:cs="Arial"/>
          <w:b/>
        </w:rPr>
        <w:t>Position of the Parties</w:t>
      </w:r>
    </w:p>
    <w:p w14:paraId="713DA9CC" w14:textId="77777777" w:rsidR="00521536" w:rsidRDefault="00521536" w:rsidP="00521536">
      <w:pPr>
        <w:jc w:val="both"/>
        <w:rPr>
          <w:bCs/>
        </w:rPr>
      </w:pPr>
    </w:p>
    <w:p w14:paraId="65A7EC25" w14:textId="77777777" w:rsidR="00DD5009" w:rsidRPr="00DD5009" w:rsidRDefault="00CD3DE9" w:rsidP="00DD5009">
      <w:pPr>
        <w:spacing w:line="276" w:lineRule="auto"/>
        <w:contextualSpacing/>
        <w:jc w:val="both"/>
        <w:outlineLvl w:val="2"/>
        <w:rPr>
          <w:rFonts w:eastAsia="Calibri"/>
        </w:rPr>
      </w:pPr>
      <w:r w:rsidRPr="00DE4013">
        <w:rPr>
          <w:rFonts w:ascii="Arial" w:hAnsi="Arial" w:cs="Arial"/>
          <w:b/>
          <w:bCs/>
        </w:rPr>
        <w:t>EU</w:t>
      </w:r>
      <w:r w:rsidRPr="00BB75C9">
        <w:rPr>
          <w:b/>
          <w:bCs/>
        </w:rPr>
        <w:t>:</w:t>
      </w:r>
      <w:r w:rsidR="00DD5009">
        <w:rPr>
          <w:bCs/>
        </w:rPr>
        <w:t xml:space="preserve"> </w:t>
      </w:r>
      <w:r w:rsidR="00DD5009" w:rsidRPr="00DD5009">
        <w:rPr>
          <w:rFonts w:eastAsia="Calibri"/>
          <w:u w:val="single"/>
        </w:rPr>
        <w:t>Ma</w:t>
      </w:r>
      <w:r w:rsidR="00DD5009" w:rsidRPr="00DD5009">
        <w:rPr>
          <w:rFonts w:eastAsia="Calibri"/>
          <w:spacing w:val="1"/>
          <w:u w:val="single"/>
        </w:rPr>
        <w:t>i</w:t>
      </w:r>
      <w:r w:rsidR="00DD5009" w:rsidRPr="00DD5009">
        <w:rPr>
          <w:rFonts w:eastAsia="Calibri"/>
          <w:u w:val="single"/>
        </w:rPr>
        <w:t>n</w:t>
      </w:r>
      <w:r w:rsidR="00DD5009" w:rsidRPr="00DD5009">
        <w:rPr>
          <w:rFonts w:eastAsia="Calibri"/>
          <w:spacing w:val="-5"/>
          <w:u w:val="single"/>
        </w:rPr>
        <w:t xml:space="preserve"> </w:t>
      </w:r>
      <w:r w:rsidR="00DD5009" w:rsidRPr="00DD5009">
        <w:rPr>
          <w:rFonts w:eastAsia="Calibri"/>
          <w:spacing w:val="-1"/>
          <w:u w:val="single"/>
        </w:rPr>
        <w:t>Capacity</w:t>
      </w:r>
      <w:r w:rsidR="00DD5009" w:rsidRPr="00DD5009">
        <w:rPr>
          <w:rFonts w:eastAsia="Calibri"/>
          <w:spacing w:val="-10"/>
          <w:u w:val="single"/>
        </w:rPr>
        <w:t xml:space="preserve"> </w:t>
      </w:r>
      <w:r w:rsidR="00DD5009" w:rsidRPr="00DD5009">
        <w:rPr>
          <w:rFonts w:eastAsia="Calibri"/>
          <w:u w:val="single"/>
        </w:rPr>
        <w:t>C</w:t>
      </w:r>
      <w:r w:rsidR="00DD5009" w:rsidRPr="00DD5009">
        <w:rPr>
          <w:rFonts w:eastAsia="Calibri"/>
          <w:spacing w:val="2"/>
          <w:u w:val="single"/>
        </w:rPr>
        <w:t>h</w:t>
      </w:r>
      <w:r w:rsidR="00DD5009" w:rsidRPr="00DD5009">
        <w:rPr>
          <w:rFonts w:eastAsia="Calibri"/>
          <w:u w:val="single"/>
        </w:rPr>
        <w:t>a</w:t>
      </w:r>
      <w:r w:rsidR="00DD5009" w:rsidRPr="00DD5009">
        <w:rPr>
          <w:rFonts w:eastAsia="Calibri"/>
          <w:spacing w:val="1"/>
          <w:u w:val="single"/>
        </w:rPr>
        <w:t>r</w:t>
      </w:r>
      <w:r w:rsidR="00DD5009" w:rsidRPr="00DD5009">
        <w:rPr>
          <w:rFonts w:eastAsia="Calibri"/>
          <w:u w:val="single"/>
        </w:rPr>
        <w:t>ge</w:t>
      </w:r>
    </w:p>
    <w:p w14:paraId="761B3D27" w14:textId="77777777" w:rsidR="00DD5009" w:rsidRPr="00DD5009" w:rsidRDefault="00DD5009" w:rsidP="00DD5009">
      <w:pPr>
        <w:tabs>
          <w:tab w:val="left" w:pos="-180"/>
          <w:tab w:val="left" w:pos="8280"/>
        </w:tabs>
        <w:ind w:left="540" w:hanging="90"/>
        <w:jc w:val="both"/>
        <w:rPr>
          <w:rFonts w:eastAsia="Calibri"/>
        </w:rPr>
      </w:pPr>
      <w:r w:rsidRPr="00DD5009">
        <w:rPr>
          <w:rFonts w:eastAsia="Calibri"/>
        </w:rPr>
        <w:t>Re</w:t>
      </w:r>
      <w:r w:rsidRPr="00DD5009">
        <w:rPr>
          <w:rFonts w:eastAsia="Calibri"/>
          <w:spacing w:val="1"/>
        </w:rPr>
        <w:t>s</w:t>
      </w:r>
      <w:r w:rsidRPr="00DD5009">
        <w:rPr>
          <w:rFonts w:eastAsia="Calibri"/>
          <w:spacing w:val="-1"/>
        </w:rPr>
        <w:t>i</w:t>
      </w:r>
      <w:r w:rsidRPr="00DD5009">
        <w:rPr>
          <w:rFonts w:eastAsia="Calibri"/>
        </w:rPr>
        <w:t>d</w:t>
      </w:r>
      <w:r w:rsidRPr="00DD5009">
        <w:rPr>
          <w:rFonts w:eastAsia="Calibri"/>
          <w:spacing w:val="2"/>
        </w:rPr>
        <w:t>e</w:t>
      </w:r>
      <w:r w:rsidRPr="00DD5009">
        <w:rPr>
          <w:rFonts w:eastAsia="Calibri"/>
        </w:rPr>
        <w:t>nt</w:t>
      </w:r>
      <w:r w:rsidRPr="00DD5009">
        <w:rPr>
          <w:rFonts w:eastAsia="Calibri"/>
          <w:spacing w:val="1"/>
        </w:rPr>
        <w:t>i</w:t>
      </w:r>
      <w:r w:rsidRPr="00DD5009">
        <w:rPr>
          <w:rFonts w:eastAsia="Calibri"/>
        </w:rPr>
        <w:t>al</w:t>
      </w:r>
      <w:r w:rsidRPr="00DD5009">
        <w:rPr>
          <w:rFonts w:eastAsia="Calibri"/>
          <w:spacing w:val="-9"/>
        </w:rPr>
        <w:t xml:space="preserve"> </w:t>
      </w:r>
      <w:r w:rsidRPr="00DD5009">
        <w:rPr>
          <w:rFonts w:eastAsia="Calibri"/>
        </w:rPr>
        <w:t xml:space="preserve">per </w:t>
      </w:r>
      <w:r w:rsidRPr="00DD5009">
        <w:rPr>
          <w:rFonts w:eastAsia="Calibri"/>
          <w:spacing w:val="-1"/>
        </w:rPr>
        <w:t>E</w:t>
      </w:r>
      <w:r w:rsidRPr="00DD5009">
        <w:rPr>
          <w:rFonts w:eastAsia="Calibri"/>
        </w:rPr>
        <w:t>RC ..</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00222126">
        <w:rPr>
          <w:rFonts w:eastAsia="Calibri"/>
        </w:rPr>
        <w:t>.</w:t>
      </w:r>
      <w:r w:rsidRPr="00DD5009">
        <w:rPr>
          <w:rFonts w:eastAsia="Calibri"/>
        </w:rPr>
        <w:t xml:space="preserve"> $ 11,928</w:t>
      </w:r>
      <w:r w:rsidRPr="00DD5009">
        <w:rPr>
          <w:rFonts w:eastAsia="Calibri"/>
          <w:spacing w:val="2"/>
        </w:rPr>
        <w:t>.</w:t>
      </w:r>
      <w:r w:rsidRPr="00DD5009">
        <w:rPr>
          <w:rFonts w:eastAsia="Calibri"/>
        </w:rPr>
        <w:t>00</w:t>
      </w:r>
    </w:p>
    <w:p w14:paraId="0E05E8B9" w14:textId="77777777" w:rsidR="00DD5009" w:rsidRPr="00DD5009" w:rsidRDefault="00DD5009" w:rsidP="00DD5009">
      <w:pPr>
        <w:tabs>
          <w:tab w:val="left" w:pos="-180"/>
          <w:tab w:val="left" w:pos="8280"/>
        </w:tabs>
        <w:ind w:left="540" w:hanging="90"/>
        <w:jc w:val="both"/>
        <w:rPr>
          <w:rFonts w:eastAsia="Calibri"/>
        </w:rPr>
      </w:pPr>
      <w:r w:rsidRPr="00DD5009">
        <w:rPr>
          <w:rFonts w:eastAsia="Calibri"/>
          <w:spacing w:val="-1"/>
        </w:rPr>
        <w:t>A</w:t>
      </w:r>
      <w:r w:rsidRPr="00DD5009">
        <w:rPr>
          <w:rFonts w:eastAsia="Calibri"/>
          <w:spacing w:val="1"/>
        </w:rPr>
        <w:t>l</w:t>
      </w:r>
      <w:r w:rsidRPr="00DD5009">
        <w:rPr>
          <w:rFonts w:eastAsia="Calibri"/>
        </w:rPr>
        <w:t>l</w:t>
      </w:r>
      <w:r w:rsidRPr="00DD5009">
        <w:rPr>
          <w:rFonts w:eastAsia="Calibri"/>
          <w:spacing w:val="-3"/>
        </w:rPr>
        <w:t xml:space="preserve"> </w:t>
      </w:r>
      <w:r w:rsidRPr="00DD5009">
        <w:rPr>
          <w:rFonts w:eastAsia="Calibri"/>
        </w:rPr>
        <w:t>o</w:t>
      </w:r>
      <w:r w:rsidRPr="00DD5009">
        <w:rPr>
          <w:rFonts w:eastAsia="Calibri"/>
          <w:spacing w:val="2"/>
        </w:rPr>
        <w:t>t</w:t>
      </w:r>
      <w:r w:rsidRPr="00DD5009">
        <w:rPr>
          <w:rFonts w:eastAsia="Calibri"/>
        </w:rPr>
        <w:t>hers</w:t>
      </w:r>
      <w:r w:rsidRPr="00DD5009">
        <w:rPr>
          <w:rFonts w:eastAsia="Calibri"/>
          <w:spacing w:val="-5"/>
        </w:rPr>
        <w:t xml:space="preserve"> </w:t>
      </w:r>
      <w:r w:rsidRPr="00DD5009">
        <w:rPr>
          <w:rFonts w:eastAsia="Calibri"/>
          <w:spacing w:val="2"/>
        </w:rPr>
        <w:t>p</w:t>
      </w:r>
      <w:r w:rsidRPr="00DD5009">
        <w:rPr>
          <w:rFonts w:eastAsia="Calibri"/>
        </w:rPr>
        <w:t>er</w:t>
      </w:r>
      <w:r w:rsidRPr="00DD5009">
        <w:rPr>
          <w:rFonts w:eastAsia="Calibri"/>
          <w:spacing w:val="-3"/>
        </w:rPr>
        <w:t xml:space="preserve"> </w:t>
      </w:r>
      <w:r w:rsidRPr="00DD5009">
        <w:rPr>
          <w:rFonts w:eastAsia="Calibri"/>
        </w:rPr>
        <w:t>g</w:t>
      </w:r>
      <w:r w:rsidRPr="00DD5009">
        <w:rPr>
          <w:rFonts w:eastAsia="Calibri"/>
          <w:spacing w:val="2"/>
        </w:rPr>
        <w:t>a</w:t>
      </w:r>
      <w:r w:rsidRPr="00DD5009">
        <w:rPr>
          <w:rFonts w:eastAsia="Calibri"/>
          <w:spacing w:val="-1"/>
        </w:rPr>
        <w:t>l</w:t>
      </w:r>
      <w:r w:rsidRPr="00DD5009">
        <w:rPr>
          <w:rFonts w:eastAsia="Calibri"/>
          <w:spacing w:val="1"/>
        </w:rPr>
        <w:t>l</w:t>
      </w:r>
      <w:r w:rsidRPr="00DD5009">
        <w:rPr>
          <w:rFonts w:eastAsia="Calibri"/>
        </w:rPr>
        <w:t>on ..</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Pr="00DD5009">
        <w:rPr>
          <w:rFonts w:eastAsia="Calibri"/>
          <w:spacing w:val="2"/>
        </w:rPr>
        <w:t>.</w:t>
      </w:r>
      <w:r w:rsidRPr="00DD5009">
        <w:rPr>
          <w:rFonts w:eastAsia="Calibri"/>
        </w:rPr>
        <w:t>..</w:t>
      </w:r>
      <w:r w:rsidR="00222126">
        <w:rPr>
          <w:rFonts w:eastAsia="Calibri"/>
        </w:rPr>
        <w:t>.</w:t>
      </w:r>
      <w:r w:rsidRPr="00DD5009">
        <w:rPr>
          <w:rFonts w:eastAsia="Calibri"/>
        </w:rPr>
        <w:t xml:space="preserve"> $        55.22</w:t>
      </w:r>
    </w:p>
    <w:p w14:paraId="13BDB5E2" w14:textId="77777777" w:rsidR="00CD3DE9" w:rsidRPr="00BB75C9" w:rsidRDefault="00DD5009" w:rsidP="00DD5009">
      <w:pPr>
        <w:ind w:left="540" w:hanging="90"/>
        <w:jc w:val="both"/>
        <w:rPr>
          <w:b/>
          <w:bCs/>
        </w:rPr>
      </w:pPr>
      <w:r w:rsidRPr="00DD5009">
        <w:rPr>
          <w:rFonts w:eastAsia="Calibri"/>
          <w:u w:val="single"/>
        </w:rPr>
        <w:t>Sewer Lateral Installation Fee</w:t>
      </w:r>
      <w:r w:rsidRPr="00DD5009">
        <w:rPr>
          <w:rFonts w:eastAsia="Calibri"/>
        </w:rPr>
        <w:t xml:space="preserve"> ………………………….</w:t>
      </w:r>
      <w:r w:rsidR="00222126">
        <w:rPr>
          <w:rFonts w:eastAsia="Calibri"/>
        </w:rPr>
        <w:t xml:space="preserve">…. </w:t>
      </w:r>
      <w:r w:rsidRPr="00DD5009">
        <w:rPr>
          <w:rFonts w:eastAsia="Calibri"/>
        </w:rPr>
        <w:t xml:space="preserve">$ </w:t>
      </w:r>
      <w:r w:rsidR="00D0646B">
        <w:rPr>
          <w:rFonts w:eastAsia="Calibri"/>
        </w:rPr>
        <w:t xml:space="preserve"> </w:t>
      </w:r>
      <w:r w:rsidRPr="00DD5009">
        <w:rPr>
          <w:rFonts w:eastAsia="Calibri"/>
        </w:rPr>
        <w:t xml:space="preserve">  1,292.85</w:t>
      </w:r>
    </w:p>
    <w:p w14:paraId="6FF76D2D" w14:textId="77777777" w:rsidR="00CD3DE9" w:rsidRPr="00DA500F" w:rsidRDefault="00CD3DE9" w:rsidP="00DD5009">
      <w:pPr>
        <w:ind w:left="540" w:hanging="90"/>
        <w:jc w:val="both"/>
        <w:rPr>
          <w:bCs/>
        </w:rPr>
      </w:pPr>
    </w:p>
    <w:p w14:paraId="02243B88" w14:textId="77777777" w:rsidR="00CD3DE9" w:rsidRDefault="00CD3DE9" w:rsidP="00DD5009">
      <w:pPr>
        <w:jc w:val="both"/>
        <w:rPr>
          <w:bCs/>
        </w:rPr>
      </w:pPr>
      <w:r w:rsidRPr="00DE4013">
        <w:rPr>
          <w:rFonts w:ascii="Arial" w:hAnsi="Arial" w:cs="Arial"/>
          <w:b/>
          <w:bCs/>
        </w:rPr>
        <w:t>OPC</w:t>
      </w:r>
      <w:r w:rsidRPr="00BB75C9">
        <w:rPr>
          <w:b/>
          <w:bCs/>
        </w:rPr>
        <w:t>:</w:t>
      </w:r>
      <w:r w:rsidR="00DD5009">
        <w:rPr>
          <w:b/>
          <w:bCs/>
        </w:rPr>
        <w:t xml:space="preserve"> </w:t>
      </w:r>
      <w:r w:rsidR="00DD5009" w:rsidRPr="003012D8">
        <w:rPr>
          <w:bCs/>
        </w:rPr>
        <w:t>Service availability charges should be designed in accordance with Rule 25-30.580, F.A.C.</w:t>
      </w:r>
    </w:p>
    <w:p w14:paraId="430C7E56" w14:textId="77777777" w:rsidR="00CD3DE9" w:rsidRPr="00DA500F" w:rsidRDefault="00CD3DE9" w:rsidP="00CD3DE9">
      <w:pPr>
        <w:jc w:val="both"/>
        <w:rPr>
          <w:bCs/>
        </w:rPr>
      </w:pPr>
    </w:p>
    <w:p w14:paraId="51579058" w14:textId="77777777" w:rsidR="00CD3DE9" w:rsidRPr="00E67C09" w:rsidRDefault="00CD3DE9" w:rsidP="00CD3DE9">
      <w:pPr>
        <w:jc w:val="both"/>
        <w:rPr>
          <w:bCs/>
        </w:rPr>
      </w:pPr>
      <w:r w:rsidRPr="00DE4013">
        <w:rPr>
          <w:rFonts w:ascii="Arial" w:hAnsi="Arial" w:cs="Arial"/>
          <w:b/>
          <w:bCs/>
        </w:rPr>
        <w:t>PIE</w:t>
      </w:r>
      <w:r w:rsidRPr="00BB75C9">
        <w:rPr>
          <w:b/>
          <w:bCs/>
        </w:rPr>
        <w:t>:</w:t>
      </w:r>
      <w:r w:rsidR="00E67C09">
        <w:rPr>
          <w:b/>
          <w:bCs/>
        </w:rPr>
        <w:t xml:space="preserve"> </w:t>
      </w:r>
      <w:r w:rsidR="00E67C09">
        <w:t>PIE has no position on this issue.</w:t>
      </w:r>
    </w:p>
    <w:p w14:paraId="27496E6A" w14:textId="77777777" w:rsidR="00CD3DE9" w:rsidRDefault="00CD3DE9" w:rsidP="00CD3DE9">
      <w:pPr>
        <w:jc w:val="both"/>
        <w:rPr>
          <w:bCs/>
        </w:rPr>
      </w:pPr>
    </w:p>
    <w:p w14:paraId="471DA84E" w14:textId="77777777" w:rsidR="00D2016F" w:rsidRPr="00D2016F" w:rsidRDefault="00CD3DE9" w:rsidP="00D2016F">
      <w:pPr>
        <w:jc w:val="both"/>
      </w:pPr>
      <w:r w:rsidRPr="00DE4013">
        <w:rPr>
          <w:rFonts w:ascii="Arial" w:hAnsi="Arial" w:cs="Arial"/>
          <w:b/>
          <w:bCs/>
        </w:rPr>
        <w:t>LC</w:t>
      </w:r>
      <w:r w:rsidRPr="00CD3DE9">
        <w:rPr>
          <w:b/>
          <w:bCs/>
        </w:rPr>
        <w:t>:</w:t>
      </w:r>
      <w:r w:rsidR="00E67C09">
        <w:rPr>
          <w:b/>
          <w:bCs/>
        </w:rPr>
        <w:t xml:space="preserve"> </w:t>
      </w:r>
      <w:r w:rsidR="00D2016F" w:rsidRPr="00D2016F">
        <w:t>Undetermined.</w:t>
      </w:r>
      <w:r w:rsidR="00D2016F">
        <w:t xml:space="preserve"> </w:t>
      </w:r>
      <w:r w:rsidR="00D2016F" w:rsidRPr="00D2016F">
        <w:rPr>
          <w:rFonts w:eastAsiaTheme="minorEastAsia"/>
        </w:rPr>
        <w:t>The service availability charges cannot be analyzed productively because all of the costs related to the construction and installation of the proposed project have not yet been provided with substantiating documentation.</w:t>
      </w:r>
    </w:p>
    <w:p w14:paraId="57CEA355" w14:textId="77777777" w:rsidR="00CD3DE9" w:rsidRPr="00E67C09" w:rsidRDefault="00CD3DE9" w:rsidP="00D2016F">
      <w:pPr>
        <w:tabs>
          <w:tab w:val="left" w:pos="0"/>
        </w:tabs>
        <w:jc w:val="both"/>
        <w:rPr>
          <w:bCs/>
        </w:rPr>
      </w:pPr>
    </w:p>
    <w:p w14:paraId="2D5CDC68" w14:textId="77777777" w:rsidR="003B57AB" w:rsidRPr="004C3641" w:rsidRDefault="003B57AB" w:rsidP="003B57AB">
      <w:pPr>
        <w:pStyle w:val="IssueSubsectionHeading"/>
        <w:rPr>
          <w:vanish/>
          <w:specVanish/>
        </w:rPr>
      </w:pPr>
      <w:r w:rsidRPr="004C3641">
        <w:t>Staff Analysis: </w:t>
      </w:r>
    </w:p>
    <w:p w14:paraId="5E80442B" w14:textId="77777777" w:rsidR="003B57AB" w:rsidRDefault="003B57AB" w:rsidP="003B57AB">
      <w:pPr>
        <w:pStyle w:val="BodyText"/>
      </w:pPr>
      <w:r>
        <w:t> </w:t>
      </w:r>
    </w:p>
    <w:p w14:paraId="79C3FCE9" w14:textId="77777777" w:rsidR="0095668F" w:rsidRDefault="005833F0" w:rsidP="0095668F">
      <w:pPr>
        <w:pStyle w:val="BodyText"/>
        <w:spacing w:after="0"/>
        <w:jc w:val="center"/>
        <w:rPr>
          <w:rFonts w:ascii="Arial" w:hAnsi="Arial" w:cs="Arial"/>
          <w:b/>
        </w:rPr>
      </w:pPr>
      <w:r>
        <w:rPr>
          <w:rFonts w:ascii="Arial" w:hAnsi="Arial" w:cs="Arial"/>
          <w:b/>
        </w:rPr>
        <w:t>PARTIES’ ARGUMENTS</w:t>
      </w:r>
    </w:p>
    <w:p w14:paraId="66022E3D" w14:textId="77777777" w:rsidR="003640D1" w:rsidRPr="003640D1" w:rsidRDefault="003640D1" w:rsidP="003640D1">
      <w:pPr>
        <w:rPr>
          <w:rFonts w:ascii="Arial" w:eastAsiaTheme="minorHAnsi" w:hAnsi="Arial" w:cs="Arial"/>
          <w:b/>
          <w:bCs/>
          <w:szCs w:val="22"/>
        </w:rPr>
      </w:pPr>
      <w:r w:rsidRPr="003640D1">
        <w:rPr>
          <w:rFonts w:ascii="Arial" w:eastAsiaTheme="minorHAnsi" w:hAnsi="Arial" w:cs="Arial"/>
          <w:b/>
          <w:bCs/>
          <w:szCs w:val="22"/>
        </w:rPr>
        <w:t xml:space="preserve">EU   </w:t>
      </w:r>
    </w:p>
    <w:p w14:paraId="7CB4C215" w14:textId="2B0C7DFB" w:rsidR="003640D1" w:rsidRPr="003640D1" w:rsidRDefault="003640D1" w:rsidP="003640D1">
      <w:pPr>
        <w:jc w:val="both"/>
        <w:rPr>
          <w:rFonts w:eastAsiaTheme="minorHAnsi"/>
          <w:szCs w:val="22"/>
        </w:rPr>
      </w:pPr>
      <w:r w:rsidRPr="003640D1">
        <w:rPr>
          <w:rFonts w:eastAsiaTheme="minorHAnsi"/>
          <w:szCs w:val="22"/>
        </w:rPr>
        <w:t xml:space="preserve">EU asserted that the service availability charges are based on projected financial information because it was not allowed to bifurcate the certification process due to objections by intervenors. (EU BR 12) As a result, the Utility had to provide projected construction costs by a professional engineer with expertise in the conversion of septic to sewer projects. (TR 86) EU contended that no intervenors offered alternatives to the Utility’s construction cost but only cast doubt on the soundness of the Utility’s projected construction cost. EU further emphasized that the validity of its projected construction cost was adequately supported. (TR 94-96, 98, 105-107, 113-114, 140-141,145-146) The Utility argued that its connection charge is within reason of Charlotte County’s charge of $10,000 as attested to by a property owner. (SH2. 92) EU’s initial proposed service availability charges included a sewer lateral charge and were revised due to a calculation error. Based on these initial proposed service availability charges, the Utility claimed that the resulting </w:t>
      </w:r>
      <w:r w:rsidR="00E973DC">
        <w:rPr>
          <w:rFonts w:eastAsiaTheme="minorHAnsi"/>
          <w:szCs w:val="22"/>
        </w:rPr>
        <w:t>CIAC</w:t>
      </w:r>
      <w:r w:rsidRPr="003640D1">
        <w:rPr>
          <w:rFonts w:eastAsiaTheme="minorHAnsi"/>
          <w:szCs w:val="22"/>
        </w:rPr>
        <w:t xml:space="preserve"> level, although slightly above the guidelines in accordance with Rule 25.30.580, F.A.C., produce lower monthly rates. (EU BR 12)</w:t>
      </w:r>
    </w:p>
    <w:p w14:paraId="17A32114" w14:textId="77777777" w:rsidR="00A30BB4" w:rsidRDefault="00A30BB4" w:rsidP="003640D1">
      <w:pPr>
        <w:rPr>
          <w:rFonts w:ascii="Arial" w:eastAsiaTheme="minorHAnsi" w:hAnsi="Arial" w:cs="Arial"/>
          <w:b/>
          <w:bCs/>
          <w:szCs w:val="22"/>
        </w:rPr>
        <w:sectPr w:rsidR="00A30BB4" w:rsidSect="006108AC">
          <w:pgSz w:w="12240" w:h="15840" w:code="1"/>
          <w:pgMar w:top="1584" w:right="1440" w:bottom="1440" w:left="1440" w:header="720" w:footer="720" w:gutter="0"/>
          <w:cols w:space="720"/>
          <w:formProt w:val="0"/>
          <w:docGrid w:linePitch="360"/>
        </w:sectPr>
      </w:pPr>
    </w:p>
    <w:p w14:paraId="3D869D5C" w14:textId="394E9B28" w:rsidR="003640D1" w:rsidRPr="003640D1" w:rsidRDefault="003640D1" w:rsidP="003640D1">
      <w:pPr>
        <w:rPr>
          <w:rFonts w:ascii="Arial" w:eastAsiaTheme="minorHAnsi" w:hAnsi="Arial" w:cs="Arial"/>
          <w:b/>
          <w:bCs/>
          <w:szCs w:val="22"/>
        </w:rPr>
      </w:pPr>
      <w:r w:rsidRPr="003640D1">
        <w:rPr>
          <w:rFonts w:ascii="Arial" w:eastAsiaTheme="minorHAnsi" w:hAnsi="Arial" w:cs="Arial"/>
          <w:b/>
          <w:bCs/>
          <w:szCs w:val="22"/>
        </w:rPr>
        <w:t>OPC</w:t>
      </w:r>
    </w:p>
    <w:p w14:paraId="704FA477" w14:textId="77777777" w:rsidR="003640D1" w:rsidRPr="003640D1" w:rsidRDefault="003640D1" w:rsidP="003640D1">
      <w:pPr>
        <w:jc w:val="both"/>
        <w:rPr>
          <w:rFonts w:eastAsiaTheme="minorHAnsi"/>
          <w:szCs w:val="22"/>
        </w:rPr>
      </w:pPr>
      <w:r w:rsidRPr="003640D1">
        <w:rPr>
          <w:rFonts w:eastAsiaTheme="minorHAnsi"/>
          <w:szCs w:val="22"/>
        </w:rPr>
        <w:t>OPC agreed with witness Swain’s revised calculation for the sewer lateral cost. At the hearing, witness Swain indicated she miscalculated the sewer lateral cost because the calculation was based on the incorrect number of ERCs. (TR 310) Witness Swain</w:t>
      </w:r>
      <w:r w:rsidR="007D2194">
        <w:rPr>
          <w:rFonts w:eastAsiaTheme="minorHAnsi"/>
          <w:szCs w:val="22"/>
        </w:rPr>
        <w:t xml:space="preserve">’s </w:t>
      </w:r>
      <w:r w:rsidRPr="003640D1">
        <w:rPr>
          <w:rFonts w:eastAsiaTheme="minorHAnsi"/>
          <w:szCs w:val="22"/>
        </w:rPr>
        <w:t>revised calculation results in a lateral cost of $1,613,476.80. (TR 311) OPC contended that the main extension charge should be $11,696.32 based on the lateral cost offered by witness Swain. (OPR BR 8)</w:t>
      </w:r>
    </w:p>
    <w:p w14:paraId="3A656576" w14:textId="77777777" w:rsidR="003640D1" w:rsidRPr="003640D1" w:rsidRDefault="003640D1" w:rsidP="003640D1">
      <w:pPr>
        <w:jc w:val="both"/>
        <w:rPr>
          <w:rFonts w:eastAsiaTheme="minorHAnsi"/>
          <w:szCs w:val="22"/>
        </w:rPr>
      </w:pPr>
    </w:p>
    <w:p w14:paraId="0F37152C" w14:textId="77777777" w:rsidR="003640D1" w:rsidRPr="003640D1" w:rsidRDefault="003640D1" w:rsidP="003640D1">
      <w:pPr>
        <w:jc w:val="both"/>
        <w:rPr>
          <w:rFonts w:ascii="Arial" w:eastAsiaTheme="minorHAnsi" w:hAnsi="Arial" w:cs="Arial"/>
          <w:b/>
          <w:bCs/>
          <w:szCs w:val="22"/>
        </w:rPr>
      </w:pPr>
      <w:r w:rsidRPr="003640D1">
        <w:rPr>
          <w:rFonts w:ascii="Arial" w:eastAsiaTheme="minorHAnsi" w:hAnsi="Arial" w:cs="Arial"/>
          <w:b/>
          <w:bCs/>
          <w:szCs w:val="22"/>
        </w:rPr>
        <w:t>LC</w:t>
      </w:r>
    </w:p>
    <w:p w14:paraId="4F33E976" w14:textId="77777777" w:rsidR="003640D1" w:rsidRPr="003640D1" w:rsidRDefault="003640D1" w:rsidP="003640D1">
      <w:pPr>
        <w:jc w:val="both"/>
        <w:rPr>
          <w:rFonts w:eastAsiaTheme="minorHAnsi"/>
          <w:szCs w:val="22"/>
        </w:rPr>
      </w:pPr>
      <w:r w:rsidRPr="003640D1">
        <w:rPr>
          <w:rFonts w:eastAsiaTheme="minorHAnsi"/>
          <w:szCs w:val="22"/>
        </w:rPr>
        <w:t xml:space="preserve">LC contended that due to the lack of substantiation of construction costs the service availability charges cannot be analyzed appropriately. (LC BR 27) LC argued that the connection fee has varied from $10,000 to $20,000 per ERC with the EU actual proposal being $11,927.85. (LC BR 27) LC asserts that a feasibility study and more effort on EU’s part would provide the best estimate of the construction cost of the proposed project. (LC BR 27) </w:t>
      </w:r>
    </w:p>
    <w:p w14:paraId="159041B7" w14:textId="77777777" w:rsidR="003640D1" w:rsidRPr="003640D1" w:rsidRDefault="003640D1" w:rsidP="003640D1">
      <w:pPr>
        <w:jc w:val="both"/>
        <w:rPr>
          <w:rFonts w:eastAsiaTheme="minorHAnsi"/>
          <w:szCs w:val="22"/>
        </w:rPr>
      </w:pPr>
    </w:p>
    <w:p w14:paraId="5A35C7E5" w14:textId="77777777" w:rsidR="003640D1" w:rsidRPr="003640D1" w:rsidRDefault="003640D1" w:rsidP="003640D1">
      <w:pPr>
        <w:spacing w:after="200" w:line="276" w:lineRule="auto"/>
        <w:jc w:val="center"/>
        <w:rPr>
          <w:rFonts w:ascii="Arial" w:eastAsiaTheme="minorHAnsi" w:hAnsi="Arial" w:cs="Arial"/>
          <w:b/>
          <w:szCs w:val="22"/>
        </w:rPr>
      </w:pPr>
      <w:r w:rsidRPr="003640D1">
        <w:rPr>
          <w:rFonts w:ascii="Arial" w:eastAsiaTheme="minorHAnsi" w:hAnsi="Arial" w:cs="Arial"/>
          <w:b/>
          <w:szCs w:val="22"/>
        </w:rPr>
        <w:t>ANALYSIS</w:t>
      </w:r>
    </w:p>
    <w:p w14:paraId="5C4281CB" w14:textId="77777777" w:rsidR="003640D1" w:rsidRPr="003640D1" w:rsidRDefault="003640D1" w:rsidP="003640D1">
      <w:pPr>
        <w:jc w:val="both"/>
        <w:rPr>
          <w:rFonts w:eastAsiaTheme="minorHAnsi"/>
          <w:szCs w:val="22"/>
        </w:rPr>
      </w:pPr>
      <w:r w:rsidRPr="003640D1">
        <w:rPr>
          <w:rFonts w:eastAsiaTheme="minorHAnsi"/>
          <w:szCs w:val="22"/>
        </w:rPr>
        <w:t xml:space="preserve">Pursuant to Rule 25-30.580(1), F.A.C., the maximum amount of CIAC, net of amortization, should not exceed 75 percent of the total original cost, net of depreciation, of the Utility’s facilities and plant when the facilities and plant are at their designed capacity. Rule 25-30.580(2), F.A.C., provides that the minimum amount of CIAC should not be less than the percentage of such facilities and plant that is represented by water transmission and distribution and sewage collection systems. Service availability charges are one-time charges applicable to new connections, which allow customers to pay their pro rata share of the facilities and plant costs. </w:t>
      </w:r>
    </w:p>
    <w:p w14:paraId="7E7A2E45" w14:textId="77777777" w:rsidR="003640D1" w:rsidRPr="003640D1" w:rsidRDefault="003640D1" w:rsidP="003640D1">
      <w:pPr>
        <w:jc w:val="both"/>
        <w:rPr>
          <w:rFonts w:eastAsiaTheme="minorHAnsi"/>
          <w:szCs w:val="22"/>
        </w:rPr>
      </w:pPr>
    </w:p>
    <w:p w14:paraId="304E11FE" w14:textId="77777777" w:rsidR="003640D1" w:rsidRPr="003640D1" w:rsidRDefault="003640D1" w:rsidP="003640D1">
      <w:pPr>
        <w:jc w:val="both"/>
        <w:rPr>
          <w:rFonts w:eastAsiaTheme="minorHAnsi"/>
          <w:szCs w:val="22"/>
        </w:rPr>
      </w:pPr>
      <w:r w:rsidRPr="003640D1">
        <w:rPr>
          <w:rFonts w:eastAsiaTheme="minorHAnsi"/>
          <w:szCs w:val="22"/>
        </w:rPr>
        <w:t>EU proposed a main capacity (or main extension) charge of $11,928 to recover a portion of the cost of the Utility’s collection system from future customers. (EXH 22</w:t>
      </w:r>
      <w:r w:rsidR="006A41CD">
        <w:rPr>
          <w:rFonts w:eastAsiaTheme="minorHAnsi"/>
          <w:szCs w:val="22"/>
        </w:rPr>
        <w:t xml:space="preserve"> BSP 914</w:t>
      </w:r>
      <w:r w:rsidRPr="003640D1">
        <w:rPr>
          <w:rFonts w:eastAsiaTheme="minorHAnsi"/>
          <w:szCs w:val="22"/>
        </w:rPr>
        <w:t>) In addition, the Utility proposed a sewer lateral installation charge to recover the cost of piping used to connect customers to mains. Witness Swain in her rebuttal testimony provided a corrected sewer lateral charge of $1,292.85, as the charge included in direct testimony was based on the incorrect number of ERCs. (EXH 22</w:t>
      </w:r>
      <w:r w:rsidR="006A41CD">
        <w:rPr>
          <w:rFonts w:eastAsiaTheme="minorHAnsi"/>
          <w:szCs w:val="22"/>
        </w:rPr>
        <w:t xml:space="preserve"> BSP 915</w:t>
      </w:r>
      <w:r w:rsidRPr="003640D1">
        <w:rPr>
          <w:rFonts w:eastAsiaTheme="minorHAnsi"/>
          <w:szCs w:val="22"/>
        </w:rPr>
        <w:t>) The Utility states that its proposed service availability charges result in a contribution level of 83.56 percent at design capacity. (EXH 22</w:t>
      </w:r>
      <w:r w:rsidR="006A41CD">
        <w:rPr>
          <w:rFonts w:eastAsiaTheme="minorHAnsi"/>
          <w:szCs w:val="22"/>
        </w:rPr>
        <w:t xml:space="preserve"> BSP 914</w:t>
      </w:r>
      <w:r w:rsidRPr="003640D1">
        <w:rPr>
          <w:rFonts w:eastAsiaTheme="minorHAnsi"/>
          <w:szCs w:val="22"/>
        </w:rPr>
        <w:t>)</w:t>
      </w:r>
    </w:p>
    <w:p w14:paraId="3E14F9BE" w14:textId="77777777" w:rsidR="003640D1" w:rsidRPr="003640D1" w:rsidRDefault="003640D1" w:rsidP="003640D1">
      <w:pPr>
        <w:jc w:val="both"/>
        <w:rPr>
          <w:rFonts w:eastAsiaTheme="minorHAnsi"/>
          <w:szCs w:val="22"/>
        </w:rPr>
      </w:pPr>
    </w:p>
    <w:p w14:paraId="45BDB7E7" w14:textId="7EC08D62" w:rsidR="003640D1" w:rsidRDefault="00FB16F9" w:rsidP="003640D1">
      <w:pPr>
        <w:jc w:val="both"/>
        <w:rPr>
          <w:rFonts w:eastAsiaTheme="minorHAnsi"/>
          <w:szCs w:val="22"/>
        </w:rPr>
      </w:pPr>
      <w:r>
        <w:rPr>
          <w:rFonts w:eastAsiaTheme="minorHAnsi"/>
          <w:szCs w:val="22"/>
        </w:rPr>
        <w:t>S</w:t>
      </w:r>
      <w:r w:rsidR="003640D1" w:rsidRPr="003640D1">
        <w:rPr>
          <w:rFonts w:eastAsiaTheme="minorHAnsi"/>
          <w:szCs w:val="22"/>
        </w:rPr>
        <w:t xml:space="preserve">taff made adjustments to </w:t>
      </w:r>
      <w:r w:rsidR="007203DB">
        <w:rPr>
          <w:rFonts w:eastAsiaTheme="minorHAnsi"/>
          <w:szCs w:val="22"/>
        </w:rPr>
        <w:t>Utility plant-in-service</w:t>
      </w:r>
      <w:r w:rsidR="003640D1" w:rsidRPr="003640D1">
        <w:rPr>
          <w:rFonts w:eastAsiaTheme="minorHAnsi"/>
          <w:szCs w:val="22"/>
        </w:rPr>
        <w:t xml:space="preserve"> which included an adjustment to lateral cost. As a result, staff recommends a main extension charge of $11,782 ($14,703,761/1,248) and a sewer lateral installation charge of $1,290.17 (</w:t>
      </w:r>
      <w:r w:rsidR="007D2194">
        <w:rPr>
          <w:rFonts w:eastAsiaTheme="minorHAnsi"/>
          <w:szCs w:val="22"/>
        </w:rPr>
        <w:t>$</w:t>
      </w:r>
      <w:r w:rsidR="003640D1" w:rsidRPr="003640D1">
        <w:rPr>
          <w:rFonts w:eastAsiaTheme="minorHAnsi"/>
          <w:szCs w:val="22"/>
        </w:rPr>
        <w:t>1,610,133/1,248). Staff’s recommended cha</w:t>
      </w:r>
      <w:r>
        <w:rPr>
          <w:rFonts w:eastAsiaTheme="minorHAnsi"/>
          <w:szCs w:val="22"/>
        </w:rPr>
        <w:t>r</w:t>
      </w:r>
      <w:r w:rsidR="003640D1" w:rsidRPr="003640D1">
        <w:rPr>
          <w:rFonts w:eastAsiaTheme="minorHAnsi"/>
          <w:szCs w:val="22"/>
        </w:rPr>
        <w:t xml:space="preserve">ges result in a contribution level of 96.36 percent at design capacity. Staff recognizes that the contribution level is greater than the 75 percent maximum pursuant to the rule. However, pursuant to Rule 25-30.580, F.A.C., the minimum amount of CIAC should not be less than the percentage of such facilities and plant that is represented by water transmission and distribution and sewage collection systems. In this case, EU’s wastewater system in </w:t>
      </w:r>
      <w:r w:rsidR="00637E96">
        <w:rPr>
          <w:rFonts w:eastAsiaTheme="minorHAnsi"/>
          <w:szCs w:val="22"/>
        </w:rPr>
        <w:t xml:space="preserve">its </w:t>
      </w:r>
      <w:r w:rsidR="003640D1" w:rsidRPr="003640D1">
        <w:rPr>
          <w:rFonts w:eastAsiaTheme="minorHAnsi"/>
          <w:szCs w:val="22"/>
        </w:rPr>
        <w:t xml:space="preserve">entirety is a collection system, which represents 96.39 percent of total </w:t>
      </w:r>
      <w:r w:rsidR="007203DB">
        <w:rPr>
          <w:rFonts w:eastAsiaTheme="minorHAnsi"/>
          <w:szCs w:val="22"/>
        </w:rPr>
        <w:t>Utility plant-in-service</w:t>
      </w:r>
      <w:r w:rsidR="003640D1" w:rsidRPr="003640D1">
        <w:rPr>
          <w:rFonts w:eastAsiaTheme="minorHAnsi"/>
          <w:szCs w:val="22"/>
        </w:rPr>
        <w:t xml:space="preserve">. Staff’s </w:t>
      </w:r>
      <w:r w:rsidR="00637E96">
        <w:rPr>
          <w:rFonts w:eastAsiaTheme="minorHAnsi"/>
          <w:szCs w:val="22"/>
        </w:rPr>
        <w:t xml:space="preserve">recommended </w:t>
      </w:r>
      <w:r w:rsidR="003640D1" w:rsidRPr="003640D1">
        <w:rPr>
          <w:rFonts w:eastAsiaTheme="minorHAnsi"/>
          <w:szCs w:val="22"/>
        </w:rPr>
        <w:t xml:space="preserve">contribution level is higher than EU’s because the Utility only included the main extension charge in its contribution level calculation and not the sewer lateral charge. Based on the above, staff’s recommended service availability charges are </w:t>
      </w:r>
      <w:r w:rsidR="00637E96">
        <w:rPr>
          <w:rFonts w:eastAsiaTheme="minorHAnsi"/>
          <w:szCs w:val="22"/>
        </w:rPr>
        <w:t>appropriate based on projected costs</w:t>
      </w:r>
      <w:r w:rsidR="003640D1" w:rsidRPr="003640D1">
        <w:rPr>
          <w:rFonts w:eastAsiaTheme="minorHAnsi"/>
          <w:szCs w:val="22"/>
        </w:rPr>
        <w:t xml:space="preserve"> and result in contribution levels that are consistent with Rule 25-30.580, F.A.C., and should be approved. It should be noted that the recommended charges are not grossed up consistent with the recent tax law changes.</w:t>
      </w:r>
    </w:p>
    <w:p w14:paraId="3BFCE1C3" w14:textId="77777777" w:rsidR="00637E96" w:rsidRPr="003640D1" w:rsidRDefault="00637E96" w:rsidP="003640D1">
      <w:pPr>
        <w:jc w:val="both"/>
        <w:rPr>
          <w:rFonts w:eastAsiaTheme="minorHAnsi"/>
          <w:szCs w:val="22"/>
        </w:rPr>
      </w:pPr>
    </w:p>
    <w:p w14:paraId="62B187AE" w14:textId="3C2D14C9" w:rsidR="003640D1" w:rsidRPr="003640D1" w:rsidRDefault="003640D1" w:rsidP="003640D1">
      <w:pPr>
        <w:jc w:val="both"/>
        <w:rPr>
          <w:rFonts w:eastAsiaTheme="minorHAnsi"/>
          <w:szCs w:val="22"/>
        </w:rPr>
      </w:pPr>
      <w:r w:rsidRPr="003640D1">
        <w:rPr>
          <w:rFonts w:eastAsiaTheme="minorHAnsi"/>
          <w:szCs w:val="22"/>
        </w:rPr>
        <w:t>The Utility’s proposed service availability policy states that the sewer lateral and low</w:t>
      </w:r>
      <w:r w:rsidR="00175D93">
        <w:rPr>
          <w:rFonts w:eastAsiaTheme="minorHAnsi"/>
          <w:szCs w:val="22"/>
        </w:rPr>
        <w:t>-</w:t>
      </w:r>
      <w:r w:rsidRPr="003640D1">
        <w:rPr>
          <w:rFonts w:eastAsiaTheme="minorHAnsi"/>
          <w:szCs w:val="22"/>
        </w:rPr>
        <w:t xml:space="preserve">pressure system tank for each residence will be installed by the </w:t>
      </w:r>
      <w:r w:rsidR="00B84F11">
        <w:rPr>
          <w:rFonts w:eastAsiaTheme="minorHAnsi"/>
          <w:szCs w:val="22"/>
        </w:rPr>
        <w:t>c</w:t>
      </w:r>
      <w:r w:rsidRPr="003640D1">
        <w:rPr>
          <w:rFonts w:eastAsiaTheme="minorHAnsi"/>
          <w:szCs w:val="22"/>
        </w:rPr>
        <w:t>ompany. The customer will be responsible for the plumbing and electrical to connect from the residence to the tank. Furthermore, according to the Utility’s proposed service availability policy, the customers will be required to pay the Commission’s recommended service availability charges as well as existing charges imposed by Charlotte County. (EXH 35, 13)</w:t>
      </w:r>
    </w:p>
    <w:p w14:paraId="4FAF0FBA" w14:textId="77777777" w:rsidR="003640D1" w:rsidRPr="003640D1" w:rsidRDefault="003640D1" w:rsidP="003640D1">
      <w:pPr>
        <w:jc w:val="both"/>
        <w:rPr>
          <w:rFonts w:eastAsiaTheme="minorHAnsi"/>
          <w:szCs w:val="22"/>
        </w:rPr>
      </w:pPr>
    </w:p>
    <w:p w14:paraId="09FB3388" w14:textId="77777777" w:rsidR="003640D1" w:rsidRPr="003640D1" w:rsidRDefault="003640D1" w:rsidP="003640D1">
      <w:pPr>
        <w:spacing w:after="200" w:line="276" w:lineRule="auto"/>
        <w:jc w:val="center"/>
        <w:rPr>
          <w:rFonts w:ascii="Arial" w:eastAsiaTheme="minorHAnsi" w:hAnsi="Arial" w:cs="Arial"/>
          <w:b/>
          <w:szCs w:val="22"/>
        </w:rPr>
      </w:pPr>
      <w:r>
        <w:rPr>
          <w:rFonts w:ascii="Arial" w:eastAsiaTheme="minorHAnsi" w:hAnsi="Arial" w:cs="Arial"/>
          <w:b/>
          <w:szCs w:val="22"/>
        </w:rPr>
        <w:t>CONCLUSION</w:t>
      </w:r>
    </w:p>
    <w:p w14:paraId="04F49D89" w14:textId="34A060D9" w:rsidR="003640D1" w:rsidRPr="003640D1" w:rsidRDefault="00637E96" w:rsidP="003640D1">
      <w:pPr>
        <w:jc w:val="both"/>
        <w:rPr>
          <w:rFonts w:eastAsiaTheme="minorHAnsi"/>
          <w:szCs w:val="22"/>
        </w:rPr>
      </w:pPr>
      <w:r>
        <w:t xml:space="preserve">If the Commission approves staff’s recommendation in Issue 9, Issues 10 through 13 are moot. </w:t>
      </w:r>
      <w:r w:rsidR="003640D1" w:rsidRPr="003640D1">
        <w:rPr>
          <w:rFonts w:eastAsiaTheme="minorHAnsi"/>
          <w:szCs w:val="22"/>
        </w:rPr>
        <w:t xml:space="preserve">However, if the Commission approves EU’s application, based on the above, the appropriate service availability charges are shown on Schedule No. 5 and should be approved. In addition, the Utility’s proposed service availability policy should be approved. The approved charges and policy should be effective for connections made on or after the stamped approval date on the tariff sheets pursuant to Rule 25-30.475, F.A.C. EU should be required to collect its approved service availability charges until authorized to change them by the Commission in a subsequent proceeding. </w:t>
      </w:r>
    </w:p>
    <w:p w14:paraId="374C3BEE" w14:textId="77777777" w:rsidR="006E3F46" w:rsidRDefault="006E3F46">
      <w:pPr>
        <w:pStyle w:val="BodyText"/>
      </w:pPr>
    </w:p>
    <w:p w14:paraId="02A3E4EB" w14:textId="77777777" w:rsidR="006E3F46" w:rsidRDefault="006E3F46">
      <w:pPr>
        <w:pStyle w:val="IssueHeading"/>
        <w:rPr>
          <w:vanish/>
          <w:specVanish/>
        </w:rPr>
      </w:pPr>
      <w:r w:rsidRPr="004C3641">
        <w:rPr>
          <w:b w:val="0"/>
          <w:i w:val="0"/>
        </w:rPr>
        <w:br w:type="page"/>
      </w:r>
      <w:r w:rsidRPr="004C3641">
        <w:t xml:space="preserve">Issue </w:t>
      </w:r>
      <w:fldSimple w:instr=" SEQ Issue \* MERGEFORMAT ">
        <w:r w:rsidR="0028227E">
          <w:rPr>
            <w:noProof/>
          </w:rPr>
          <w:t>12</w:t>
        </w:r>
      </w:fldSimple>
      <w:r w:rsidRPr="004C3641">
        <w:t>:</w:t>
      </w:r>
      <w:r>
        <w:fldChar w:fldCharType="begin"/>
      </w:r>
      <w:r>
        <w:instrText xml:space="preserve"> TC "</w:instrText>
      </w:r>
      <w:bookmarkStart w:id="27" w:name="_Toc104278782"/>
      <w:r w:rsidR="00D25E9A">
        <w:instrText xml:space="preserve">Issue </w:instrText>
      </w:r>
      <w:r>
        <w:fldChar w:fldCharType="begin"/>
      </w:r>
      <w:r>
        <w:instrText xml:space="preserve"> SEQ issue \c </w:instrText>
      </w:r>
      <w:r>
        <w:fldChar w:fldCharType="separate"/>
      </w:r>
      <w:r w:rsidR="0028227E">
        <w:rPr>
          <w:noProof/>
        </w:rPr>
        <w:instrText>12</w:instrText>
      </w:r>
      <w:r>
        <w:fldChar w:fldCharType="end"/>
      </w:r>
      <w:r w:rsidR="00D25E9A">
        <w:instrText xml:space="preserve"> – Miscellaneous Service Charges</w:instrText>
      </w:r>
      <w:bookmarkEnd w:id="27"/>
      <w:r>
        <w:tab/>
        <w:instrText xml:space="preserve">" \l 1 </w:instrText>
      </w:r>
      <w:r>
        <w:fldChar w:fldCharType="end"/>
      </w:r>
      <w:r>
        <w:t> </w:t>
      </w:r>
    </w:p>
    <w:p w14:paraId="6491BB79" w14:textId="77777777" w:rsidR="006E3F46" w:rsidRDefault="006E3F46">
      <w:pPr>
        <w:pStyle w:val="BodyText"/>
      </w:pPr>
      <w:r>
        <w:t> </w:t>
      </w:r>
      <w:r w:rsidR="00BB75C9" w:rsidRPr="00DA500F">
        <w:t>What are the appropriate miscellaneous service charges for Environmental Utilities?</w:t>
      </w:r>
    </w:p>
    <w:p w14:paraId="45D20253" w14:textId="77777777" w:rsidR="006E3F46" w:rsidRPr="004C3641" w:rsidRDefault="006E3F46">
      <w:pPr>
        <w:pStyle w:val="IssueSubsectionHeading"/>
        <w:rPr>
          <w:vanish/>
          <w:specVanish/>
        </w:rPr>
      </w:pPr>
      <w:r w:rsidRPr="004C3641">
        <w:t>Recommendation: </w:t>
      </w:r>
    </w:p>
    <w:p w14:paraId="24B0142E" w14:textId="2D503D2D" w:rsidR="003640D1" w:rsidRPr="003640D1" w:rsidRDefault="00B609A2" w:rsidP="003640D1">
      <w:pPr>
        <w:pStyle w:val="BodyText"/>
        <w:spacing w:after="0"/>
        <w:rPr>
          <w:rFonts w:eastAsiaTheme="minorHAnsi"/>
          <w:szCs w:val="22"/>
        </w:rPr>
      </w:pPr>
      <w:r>
        <w:t xml:space="preserve">If the Commission approves staff’s recommendation in Issue 9, Issues 10 through 13 are moot. </w:t>
      </w:r>
      <w:r w:rsidR="003640D1" w:rsidRPr="003640D1">
        <w:rPr>
          <w:rFonts w:eastAsiaTheme="minorHAnsi"/>
          <w:szCs w:val="22"/>
        </w:rPr>
        <w:t xml:space="preserve">However, if the Commission approves EU’s application, the appropriate miscellaneous service charges are shown on Schedule No. 5 and should be approved. </w:t>
      </w:r>
      <w:r w:rsidR="003640D1" w:rsidRPr="003640D1">
        <w:rPr>
          <w:rFonts w:eastAsiaTheme="minorHAnsi" w:cstheme="minorBidi"/>
          <w:szCs w:val="22"/>
        </w:rPr>
        <w:t>The Utility should file revised tariff sheets and a proposed customer notice to reflect the Commission-approved charges. The approved charges should be effective for services rendered on or after the stamped approval date on the tariff sheet provided customers have received notice pursuant to Rule 25-30.475(1), F.A.C. The Utility should provide proof of noticing within 10 days of rende</w:t>
      </w:r>
      <w:r w:rsidR="0041363D">
        <w:rPr>
          <w:rFonts w:eastAsiaTheme="minorHAnsi" w:cstheme="minorBidi"/>
          <w:szCs w:val="22"/>
        </w:rPr>
        <w:t xml:space="preserve">ring the approved notice. </w:t>
      </w:r>
      <w:r w:rsidR="003640D1" w:rsidRPr="003640D1">
        <w:rPr>
          <w:rFonts w:eastAsiaTheme="minorHAnsi" w:cstheme="minorBidi"/>
          <w:szCs w:val="22"/>
        </w:rPr>
        <w:t>(Bruce)</w:t>
      </w:r>
    </w:p>
    <w:p w14:paraId="1202DD04" w14:textId="77777777" w:rsidR="00521536" w:rsidRDefault="00521536" w:rsidP="00521536">
      <w:pPr>
        <w:pStyle w:val="BodyText"/>
        <w:spacing w:after="0"/>
      </w:pPr>
    </w:p>
    <w:p w14:paraId="12E58DB1" w14:textId="77777777" w:rsidR="00521536" w:rsidRDefault="00521536" w:rsidP="00521536">
      <w:pPr>
        <w:pStyle w:val="BodyText"/>
        <w:spacing w:after="0"/>
        <w:rPr>
          <w:rFonts w:ascii="Arial" w:hAnsi="Arial" w:cs="Arial"/>
          <w:b/>
        </w:rPr>
      </w:pPr>
      <w:r w:rsidRPr="006E3F46">
        <w:rPr>
          <w:rFonts w:ascii="Arial" w:hAnsi="Arial" w:cs="Arial"/>
          <w:b/>
        </w:rPr>
        <w:t>Position of the Parties</w:t>
      </w:r>
    </w:p>
    <w:p w14:paraId="0B796B5D" w14:textId="77777777" w:rsidR="00521536" w:rsidRDefault="00521536" w:rsidP="00521536">
      <w:pPr>
        <w:jc w:val="both"/>
        <w:rPr>
          <w:bCs/>
        </w:rPr>
      </w:pPr>
    </w:p>
    <w:p w14:paraId="4C187AC5" w14:textId="77777777" w:rsidR="003640D1" w:rsidRPr="00DE4013" w:rsidRDefault="00CD3DE9" w:rsidP="003640D1">
      <w:pPr>
        <w:spacing w:after="200" w:line="276" w:lineRule="auto"/>
        <w:contextualSpacing/>
        <w:jc w:val="both"/>
        <w:outlineLvl w:val="2"/>
        <w:rPr>
          <w:rFonts w:ascii="Arial" w:hAnsi="Arial" w:cs="Arial"/>
          <w:b/>
          <w:bCs/>
        </w:rPr>
      </w:pPr>
      <w:r w:rsidRPr="00DE4013">
        <w:rPr>
          <w:rFonts w:ascii="Arial" w:hAnsi="Arial" w:cs="Arial"/>
          <w:b/>
          <w:bCs/>
        </w:rPr>
        <w:t>EU</w:t>
      </w:r>
      <w:r w:rsidR="00662F10">
        <w:rPr>
          <w:rFonts w:ascii="Arial" w:hAnsi="Arial" w:cs="Arial"/>
          <w:b/>
          <w:bCs/>
        </w:rPr>
        <w:t>:</w:t>
      </w:r>
      <w:r w:rsidR="00DD5009">
        <w:rPr>
          <w:bCs/>
        </w:rPr>
        <w:t xml:space="preserve"> </w:t>
      </w:r>
    </w:p>
    <w:tbl>
      <w:tblPr>
        <w:tblStyle w:val="TableGrid1"/>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140"/>
      </w:tblGrid>
      <w:tr w:rsidR="003640D1" w:rsidRPr="003640D1" w14:paraId="2FD5CAA2" w14:textId="77777777" w:rsidTr="00134844">
        <w:tc>
          <w:tcPr>
            <w:tcW w:w="4050" w:type="dxa"/>
          </w:tcPr>
          <w:p w14:paraId="622AA2F1" w14:textId="77777777" w:rsidR="003640D1" w:rsidRPr="003640D1" w:rsidRDefault="005152F1" w:rsidP="003640D1">
            <w:pPr>
              <w:rPr>
                <w:rFonts w:ascii="Times New Roman" w:hAnsi="Times New Roman" w:cs="Times New Roman"/>
                <w:szCs w:val="22"/>
              </w:rPr>
            </w:pPr>
            <w:r>
              <w:rPr>
                <w:rFonts w:ascii="Times New Roman" w:hAnsi="Times New Roman" w:cs="Times New Roman"/>
                <w:szCs w:val="22"/>
              </w:rPr>
              <w:t>*</w:t>
            </w:r>
            <w:r w:rsidR="003640D1" w:rsidRPr="003640D1">
              <w:rPr>
                <w:rFonts w:ascii="Times New Roman" w:hAnsi="Times New Roman" w:cs="Times New Roman"/>
                <w:szCs w:val="22"/>
              </w:rPr>
              <w:t>Initial Connection</w:t>
            </w:r>
            <w:r>
              <w:rPr>
                <w:rFonts w:ascii="Times New Roman" w:hAnsi="Times New Roman" w:cs="Times New Roman"/>
                <w:szCs w:val="22"/>
              </w:rPr>
              <w:t xml:space="preserve"> Charge</w:t>
            </w:r>
          </w:p>
        </w:tc>
        <w:tc>
          <w:tcPr>
            <w:tcW w:w="4140" w:type="dxa"/>
          </w:tcPr>
          <w:p w14:paraId="18B9ED6A" w14:textId="77777777" w:rsidR="003640D1" w:rsidRPr="003640D1" w:rsidRDefault="003640D1" w:rsidP="003640D1">
            <w:pPr>
              <w:jc w:val="right"/>
              <w:rPr>
                <w:rFonts w:ascii="Times New Roman" w:hAnsi="Times New Roman" w:cs="Times New Roman"/>
                <w:szCs w:val="22"/>
              </w:rPr>
            </w:pPr>
            <w:r w:rsidRPr="003640D1">
              <w:rPr>
                <w:rFonts w:ascii="Times New Roman" w:hAnsi="Times New Roman" w:cs="Times New Roman"/>
                <w:szCs w:val="22"/>
              </w:rPr>
              <w:t>$30.00</w:t>
            </w:r>
          </w:p>
        </w:tc>
      </w:tr>
      <w:tr w:rsidR="003640D1" w:rsidRPr="003640D1" w14:paraId="00C22159" w14:textId="77777777" w:rsidTr="00134844">
        <w:tc>
          <w:tcPr>
            <w:tcW w:w="4050" w:type="dxa"/>
          </w:tcPr>
          <w:p w14:paraId="37CB7B80" w14:textId="77777777" w:rsidR="003640D1" w:rsidRPr="003640D1" w:rsidRDefault="003640D1" w:rsidP="003640D1">
            <w:pPr>
              <w:rPr>
                <w:rFonts w:ascii="Times New Roman" w:hAnsi="Times New Roman" w:cs="Times New Roman"/>
                <w:szCs w:val="22"/>
              </w:rPr>
            </w:pPr>
            <w:r w:rsidRPr="003640D1">
              <w:rPr>
                <w:rFonts w:ascii="Times New Roman" w:hAnsi="Times New Roman" w:cs="Times New Roman"/>
                <w:szCs w:val="22"/>
              </w:rPr>
              <w:t>Normal Reconnection</w:t>
            </w:r>
            <w:r w:rsidR="005152F1">
              <w:rPr>
                <w:rFonts w:ascii="Times New Roman" w:hAnsi="Times New Roman" w:cs="Times New Roman"/>
                <w:szCs w:val="22"/>
              </w:rPr>
              <w:t xml:space="preserve"> Charge</w:t>
            </w:r>
          </w:p>
        </w:tc>
        <w:tc>
          <w:tcPr>
            <w:tcW w:w="4140" w:type="dxa"/>
          </w:tcPr>
          <w:p w14:paraId="144D9E64" w14:textId="77777777" w:rsidR="003640D1" w:rsidRPr="003640D1" w:rsidRDefault="003640D1" w:rsidP="003640D1">
            <w:pPr>
              <w:jc w:val="right"/>
              <w:rPr>
                <w:rFonts w:ascii="Times New Roman" w:hAnsi="Times New Roman" w:cs="Times New Roman"/>
                <w:szCs w:val="22"/>
              </w:rPr>
            </w:pPr>
            <w:r w:rsidRPr="003640D1">
              <w:rPr>
                <w:rFonts w:ascii="Times New Roman" w:hAnsi="Times New Roman" w:cs="Times New Roman"/>
                <w:szCs w:val="22"/>
              </w:rPr>
              <w:t>$30.00</w:t>
            </w:r>
          </w:p>
        </w:tc>
      </w:tr>
      <w:tr w:rsidR="003640D1" w:rsidRPr="003640D1" w14:paraId="17B2E35B" w14:textId="77777777" w:rsidTr="00134844">
        <w:tc>
          <w:tcPr>
            <w:tcW w:w="4050" w:type="dxa"/>
          </w:tcPr>
          <w:p w14:paraId="3285FD98" w14:textId="77777777" w:rsidR="003640D1" w:rsidRPr="003640D1" w:rsidRDefault="003640D1" w:rsidP="003640D1">
            <w:pPr>
              <w:rPr>
                <w:rFonts w:ascii="Times New Roman" w:hAnsi="Times New Roman" w:cs="Times New Roman"/>
                <w:szCs w:val="22"/>
              </w:rPr>
            </w:pPr>
            <w:r w:rsidRPr="003640D1">
              <w:rPr>
                <w:rFonts w:ascii="Times New Roman" w:hAnsi="Times New Roman" w:cs="Times New Roman"/>
                <w:szCs w:val="22"/>
              </w:rPr>
              <w:t>Violation Reconnection</w:t>
            </w:r>
            <w:r w:rsidR="005152F1">
              <w:rPr>
                <w:rFonts w:ascii="Times New Roman" w:hAnsi="Times New Roman" w:cs="Times New Roman"/>
                <w:szCs w:val="22"/>
              </w:rPr>
              <w:t xml:space="preserve"> Charge</w:t>
            </w:r>
          </w:p>
        </w:tc>
        <w:tc>
          <w:tcPr>
            <w:tcW w:w="4140" w:type="dxa"/>
          </w:tcPr>
          <w:p w14:paraId="595E74C7" w14:textId="77777777" w:rsidR="003640D1" w:rsidRPr="003640D1" w:rsidRDefault="003640D1" w:rsidP="003640D1">
            <w:pPr>
              <w:jc w:val="right"/>
              <w:rPr>
                <w:rFonts w:ascii="Times New Roman" w:hAnsi="Times New Roman" w:cs="Times New Roman"/>
                <w:szCs w:val="22"/>
              </w:rPr>
            </w:pPr>
            <w:r w:rsidRPr="003640D1">
              <w:rPr>
                <w:rFonts w:ascii="Times New Roman" w:hAnsi="Times New Roman" w:cs="Times New Roman"/>
                <w:szCs w:val="22"/>
              </w:rPr>
              <w:t>Actual Cost</w:t>
            </w:r>
          </w:p>
        </w:tc>
      </w:tr>
      <w:tr w:rsidR="003640D1" w:rsidRPr="003640D1" w14:paraId="12CF8A81" w14:textId="77777777" w:rsidTr="00134844">
        <w:tc>
          <w:tcPr>
            <w:tcW w:w="4050" w:type="dxa"/>
          </w:tcPr>
          <w:p w14:paraId="44C8C8D0" w14:textId="77777777" w:rsidR="003640D1" w:rsidRDefault="003640D1" w:rsidP="003640D1">
            <w:pPr>
              <w:rPr>
                <w:rFonts w:ascii="Times New Roman" w:hAnsi="Times New Roman" w:cs="Times New Roman"/>
                <w:szCs w:val="22"/>
              </w:rPr>
            </w:pPr>
            <w:r w:rsidRPr="003640D1">
              <w:rPr>
                <w:rFonts w:ascii="Times New Roman" w:hAnsi="Times New Roman" w:cs="Times New Roman"/>
                <w:szCs w:val="22"/>
              </w:rPr>
              <w:t xml:space="preserve">Premise Visit </w:t>
            </w:r>
          </w:p>
          <w:p w14:paraId="65CCBA96" w14:textId="77777777" w:rsidR="00B30703" w:rsidRPr="003640D1" w:rsidRDefault="00B30703" w:rsidP="003640D1">
            <w:pPr>
              <w:rPr>
                <w:rFonts w:ascii="Times New Roman" w:hAnsi="Times New Roman" w:cs="Times New Roman"/>
                <w:szCs w:val="22"/>
              </w:rPr>
            </w:pPr>
            <w:r>
              <w:rPr>
                <w:rFonts w:ascii="Times New Roman" w:hAnsi="Times New Roman" w:cs="Times New Roman"/>
                <w:szCs w:val="22"/>
              </w:rPr>
              <w:t>(in lieu of disconnection)</w:t>
            </w:r>
          </w:p>
        </w:tc>
        <w:tc>
          <w:tcPr>
            <w:tcW w:w="4140" w:type="dxa"/>
          </w:tcPr>
          <w:p w14:paraId="7A1F0353" w14:textId="77777777" w:rsidR="003640D1" w:rsidRPr="003640D1" w:rsidRDefault="003640D1" w:rsidP="003640D1">
            <w:pPr>
              <w:jc w:val="right"/>
              <w:rPr>
                <w:rFonts w:ascii="Times New Roman" w:hAnsi="Times New Roman" w:cs="Times New Roman"/>
                <w:szCs w:val="22"/>
              </w:rPr>
            </w:pPr>
            <w:r w:rsidRPr="003640D1">
              <w:rPr>
                <w:rFonts w:ascii="Times New Roman" w:hAnsi="Times New Roman" w:cs="Times New Roman"/>
                <w:szCs w:val="22"/>
              </w:rPr>
              <w:t>$30.00</w:t>
            </w:r>
          </w:p>
        </w:tc>
      </w:tr>
      <w:tr w:rsidR="003640D1" w:rsidRPr="003640D1" w14:paraId="22C68AC9" w14:textId="77777777" w:rsidTr="00134844">
        <w:tc>
          <w:tcPr>
            <w:tcW w:w="4050" w:type="dxa"/>
          </w:tcPr>
          <w:p w14:paraId="3F013A60" w14:textId="77777777" w:rsidR="003640D1" w:rsidRPr="003640D1" w:rsidRDefault="003640D1" w:rsidP="00B30703">
            <w:pPr>
              <w:rPr>
                <w:rFonts w:ascii="Times New Roman" w:hAnsi="Times New Roman" w:cs="Times New Roman"/>
                <w:szCs w:val="22"/>
              </w:rPr>
            </w:pPr>
            <w:r w:rsidRPr="003640D1">
              <w:rPr>
                <w:rFonts w:ascii="Times New Roman" w:hAnsi="Times New Roman" w:cs="Times New Roman"/>
                <w:szCs w:val="22"/>
              </w:rPr>
              <w:t xml:space="preserve">Late Payment </w:t>
            </w:r>
            <w:r w:rsidR="00B30703">
              <w:rPr>
                <w:rFonts w:ascii="Times New Roman" w:hAnsi="Times New Roman" w:cs="Times New Roman"/>
                <w:szCs w:val="22"/>
              </w:rPr>
              <w:t>Fee</w:t>
            </w:r>
          </w:p>
        </w:tc>
        <w:tc>
          <w:tcPr>
            <w:tcW w:w="4140" w:type="dxa"/>
          </w:tcPr>
          <w:p w14:paraId="2D29419A" w14:textId="77777777" w:rsidR="003640D1" w:rsidRPr="003640D1" w:rsidRDefault="003640D1" w:rsidP="003640D1">
            <w:pPr>
              <w:jc w:val="right"/>
              <w:rPr>
                <w:rFonts w:ascii="Times New Roman" w:hAnsi="Times New Roman" w:cs="Times New Roman"/>
                <w:szCs w:val="22"/>
              </w:rPr>
            </w:pPr>
            <w:r w:rsidRPr="003640D1">
              <w:rPr>
                <w:rFonts w:ascii="Times New Roman" w:hAnsi="Times New Roman" w:cs="Times New Roman"/>
                <w:szCs w:val="22"/>
              </w:rPr>
              <w:t>$7.50</w:t>
            </w:r>
          </w:p>
        </w:tc>
      </w:tr>
      <w:tr w:rsidR="003640D1" w:rsidRPr="003640D1" w14:paraId="7025F986" w14:textId="77777777" w:rsidTr="00134844">
        <w:tc>
          <w:tcPr>
            <w:tcW w:w="4050" w:type="dxa"/>
          </w:tcPr>
          <w:p w14:paraId="35C712B1" w14:textId="77777777" w:rsidR="003640D1" w:rsidRPr="003640D1" w:rsidRDefault="00B30703" w:rsidP="00B30703">
            <w:pPr>
              <w:rPr>
                <w:rFonts w:ascii="Times New Roman" w:hAnsi="Times New Roman" w:cs="Times New Roman"/>
                <w:szCs w:val="22"/>
              </w:rPr>
            </w:pPr>
            <w:r>
              <w:rPr>
                <w:rFonts w:ascii="Times New Roman" w:hAnsi="Times New Roman" w:cs="Times New Roman"/>
                <w:szCs w:val="22"/>
              </w:rPr>
              <w:t>Bad Check</w:t>
            </w:r>
            <w:r w:rsidR="003640D1" w:rsidRPr="003640D1">
              <w:rPr>
                <w:rFonts w:ascii="Times New Roman" w:hAnsi="Times New Roman" w:cs="Times New Roman"/>
                <w:szCs w:val="22"/>
              </w:rPr>
              <w:t xml:space="preserve"> Charge</w:t>
            </w:r>
          </w:p>
        </w:tc>
        <w:tc>
          <w:tcPr>
            <w:tcW w:w="4140" w:type="dxa"/>
          </w:tcPr>
          <w:p w14:paraId="3124E9B1" w14:textId="77777777" w:rsidR="003640D1" w:rsidRPr="003640D1" w:rsidRDefault="003640D1" w:rsidP="00134844">
            <w:pPr>
              <w:jc w:val="right"/>
              <w:rPr>
                <w:rFonts w:ascii="Times New Roman" w:hAnsi="Times New Roman" w:cs="Times New Roman"/>
                <w:szCs w:val="22"/>
              </w:rPr>
            </w:pPr>
            <w:r w:rsidRPr="003640D1">
              <w:rPr>
                <w:rFonts w:ascii="Times New Roman" w:hAnsi="Times New Roman" w:cs="Times New Roman"/>
                <w:szCs w:val="22"/>
              </w:rPr>
              <w:t xml:space="preserve">Pursuant to </w:t>
            </w:r>
            <w:r w:rsidR="00B30703" w:rsidRPr="00A04277">
              <w:rPr>
                <w:rFonts w:ascii="Times New Roman" w:eastAsia="Calibri" w:hAnsi="Times New Roman" w:cs="Times New Roman"/>
              </w:rPr>
              <w:t>§</w:t>
            </w:r>
            <w:r w:rsidRPr="003640D1">
              <w:rPr>
                <w:rFonts w:ascii="Times New Roman" w:hAnsi="Times New Roman" w:cs="Times New Roman"/>
                <w:szCs w:val="22"/>
              </w:rPr>
              <w:t xml:space="preserve">68.065(2), </w:t>
            </w:r>
            <w:r w:rsidR="00B30703" w:rsidRPr="00A04277">
              <w:rPr>
                <w:rFonts w:ascii="Times New Roman" w:eastAsia="Calibri" w:hAnsi="Times New Roman" w:cs="Times New Roman"/>
              </w:rPr>
              <w:t xml:space="preserve">Fla. </w:t>
            </w:r>
            <w:r w:rsidR="00134844">
              <w:rPr>
                <w:rFonts w:ascii="Times New Roman" w:eastAsia="Calibri" w:hAnsi="Times New Roman" w:cs="Times New Roman"/>
              </w:rPr>
              <w:t>S</w:t>
            </w:r>
            <w:r w:rsidR="00B30703" w:rsidRPr="00A04277">
              <w:rPr>
                <w:rFonts w:ascii="Times New Roman" w:eastAsia="Calibri" w:hAnsi="Times New Roman" w:cs="Times New Roman"/>
              </w:rPr>
              <w:t>tatutes</w:t>
            </w:r>
            <w:r w:rsidR="00B30703">
              <w:rPr>
                <w:rFonts w:ascii="Times New Roman" w:eastAsia="Calibri" w:hAnsi="Times New Roman" w:cs="Times New Roman"/>
              </w:rPr>
              <w:t>*</w:t>
            </w:r>
          </w:p>
        </w:tc>
      </w:tr>
    </w:tbl>
    <w:p w14:paraId="7BE27BCB" w14:textId="77777777" w:rsidR="003640D1" w:rsidRDefault="003640D1" w:rsidP="003640D1">
      <w:pPr>
        <w:spacing w:after="200" w:line="276" w:lineRule="auto"/>
        <w:contextualSpacing/>
        <w:jc w:val="both"/>
        <w:outlineLvl w:val="2"/>
        <w:rPr>
          <w:rFonts w:ascii="Arial" w:hAnsi="Arial" w:cs="Arial"/>
          <w:b/>
          <w:bCs/>
        </w:rPr>
      </w:pPr>
    </w:p>
    <w:p w14:paraId="3AB40D2A" w14:textId="77777777" w:rsidR="00CD3DE9" w:rsidRPr="00DD5009" w:rsidRDefault="00CD3DE9" w:rsidP="00662F10">
      <w:pPr>
        <w:spacing w:after="200" w:line="276" w:lineRule="auto"/>
        <w:contextualSpacing/>
        <w:jc w:val="both"/>
        <w:outlineLvl w:val="2"/>
        <w:rPr>
          <w:bCs/>
        </w:rPr>
      </w:pPr>
      <w:r w:rsidRPr="00DE4013">
        <w:rPr>
          <w:rFonts w:ascii="Arial" w:hAnsi="Arial" w:cs="Arial"/>
          <w:b/>
          <w:bCs/>
        </w:rPr>
        <w:t>OPC</w:t>
      </w:r>
      <w:r w:rsidR="00662F10">
        <w:rPr>
          <w:b/>
          <w:bCs/>
        </w:rPr>
        <w:t xml:space="preserve">: </w:t>
      </w:r>
      <w:r w:rsidR="00DD5009" w:rsidRPr="003012D8">
        <w:t>The appropriate miscellaneous service charges cannot be known at this time but are likely to be higher than those provided by the company given EU’s use of incorrect salary and wage data and likely underestimation of salaries and wages.</w:t>
      </w:r>
    </w:p>
    <w:p w14:paraId="2869C5D2" w14:textId="77777777" w:rsidR="00CD3DE9" w:rsidRPr="00DA500F" w:rsidRDefault="00CD3DE9" w:rsidP="00CD3DE9">
      <w:pPr>
        <w:jc w:val="both"/>
        <w:rPr>
          <w:bCs/>
        </w:rPr>
      </w:pPr>
    </w:p>
    <w:p w14:paraId="7CD6E0A7" w14:textId="77777777" w:rsidR="00CD3DE9" w:rsidRPr="00811E58" w:rsidRDefault="00CD3DE9" w:rsidP="00CD3DE9">
      <w:pPr>
        <w:jc w:val="both"/>
        <w:rPr>
          <w:bCs/>
        </w:rPr>
      </w:pPr>
      <w:r w:rsidRPr="00DE4013">
        <w:rPr>
          <w:rFonts w:ascii="Arial" w:hAnsi="Arial" w:cs="Arial"/>
          <w:b/>
          <w:bCs/>
        </w:rPr>
        <w:t>PIE</w:t>
      </w:r>
      <w:r w:rsidRPr="00BB75C9">
        <w:rPr>
          <w:b/>
          <w:bCs/>
        </w:rPr>
        <w:t>:</w:t>
      </w:r>
      <w:r w:rsidR="00811E58">
        <w:rPr>
          <w:b/>
          <w:bCs/>
        </w:rPr>
        <w:t xml:space="preserve"> </w:t>
      </w:r>
      <w:r w:rsidR="00811E58">
        <w:t>PIE has no position on this issue.</w:t>
      </w:r>
    </w:p>
    <w:p w14:paraId="5A755EED" w14:textId="77777777" w:rsidR="00CD3DE9" w:rsidRDefault="00CD3DE9" w:rsidP="00CD3DE9">
      <w:pPr>
        <w:jc w:val="both"/>
        <w:rPr>
          <w:bCs/>
        </w:rPr>
      </w:pPr>
    </w:p>
    <w:p w14:paraId="63C79877" w14:textId="77777777" w:rsidR="00CD3DE9" w:rsidRPr="00811E58" w:rsidRDefault="00CD3DE9" w:rsidP="00CD3DE9">
      <w:pPr>
        <w:tabs>
          <w:tab w:val="left" w:pos="0"/>
        </w:tabs>
        <w:ind w:left="1530" w:hanging="1530"/>
        <w:jc w:val="both"/>
        <w:rPr>
          <w:bCs/>
        </w:rPr>
      </w:pPr>
      <w:r w:rsidRPr="00DE4013">
        <w:rPr>
          <w:rFonts w:ascii="Arial" w:hAnsi="Arial" w:cs="Arial"/>
          <w:b/>
          <w:bCs/>
        </w:rPr>
        <w:t>LC</w:t>
      </w:r>
      <w:r w:rsidRPr="00CD3DE9">
        <w:rPr>
          <w:b/>
          <w:bCs/>
        </w:rPr>
        <w:t>:</w:t>
      </w:r>
      <w:r w:rsidR="00811E58">
        <w:rPr>
          <w:b/>
          <w:bCs/>
        </w:rPr>
        <w:t xml:space="preserve"> </w:t>
      </w:r>
      <w:r w:rsidR="00D2016F" w:rsidRPr="00542E0D">
        <w:t>Undetermined.</w:t>
      </w:r>
    </w:p>
    <w:p w14:paraId="7B30FC6C" w14:textId="77777777" w:rsidR="00521536" w:rsidRPr="006E3F46" w:rsidRDefault="00521536" w:rsidP="00521536">
      <w:pPr>
        <w:pStyle w:val="BodyText"/>
        <w:spacing w:after="0"/>
      </w:pPr>
    </w:p>
    <w:p w14:paraId="2150AA5B" w14:textId="77777777" w:rsidR="003B57AB" w:rsidRPr="004C3641" w:rsidRDefault="003B57AB" w:rsidP="003B57AB">
      <w:pPr>
        <w:pStyle w:val="IssueSubsectionHeading"/>
        <w:rPr>
          <w:vanish/>
          <w:specVanish/>
        </w:rPr>
      </w:pPr>
      <w:r w:rsidRPr="004C3641">
        <w:t>Staff Analysis: </w:t>
      </w:r>
    </w:p>
    <w:p w14:paraId="2EA426EC" w14:textId="77777777" w:rsidR="003B57AB" w:rsidRDefault="003B57AB" w:rsidP="003B57AB">
      <w:pPr>
        <w:pStyle w:val="BodyText"/>
      </w:pPr>
      <w:r>
        <w:t> </w:t>
      </w:r>
    </w:p>
    <w:p w14:paraId="6A75F89C" w14:textId="77777777" w:rsidR="0095668F" w:rsidRDefault="005833F0" w:rsidP="0095668F">
      <w:pPr>
        <w:pStyle w:val="BodyText"/>
        <w:spacing w:after="0"/>
        <w:jc w:val="center"/>
        <w:rPr>
          <w:rFonts w:ascii="Arial" w:hAnsi="Arial" w:cs="Arial"/>
          <w:b/>
        </w:rPr>
      </w:pPr>
      <w:r>
        <w:rPr>
          <w:rFonts w:ascii="Arial" w:hAnsi="Arial" w:cs="Arial"/>
          <w:b/>
        </w:rPr>
        <w:t>PARTIES’ ARGUMENTS</w:t>
      </w:r>
    </w:p>
    <w:p w14:paraId="4ACF6072" w14:textId="77777777" w:rsidR="003640D1" w:rsidRPr="003640D1" w:rsidRDefault="003640D1" w:rsidP="003640D1">
      <w:pPr>
        <w:rPr>
          <w:rFonts w:ascii="Arial" w:eastAsiaTheme="minorHAnsi" w:hAnsi="Arial" w:cs="Arial"/>
          <w:b/>
          <w:bCs/>
          <w:szCs w:val="22"/>
        </w:rPr>
      </w:pPr>
      <w:r w:rsidRPr="003640D1">
        <w:rPr>
          <w:rFonts w:ascii="Arial" w:eastAsiaTheme="minorHAnsi" w:hAnsi="Arial" w:cs="Arial"/>
          <w:b/>
          <w:bCs/>
          <w:szCs w:val="22"/>
        </w:rPr>
        <w:t>EU</w:t>
      </w:r>
    </w:p>
    <w:p w14:paraId="10B3E536" w14:textId="331ED970" w:rsidR="003640D1" w:rsidRDefault="003640D1" w:rsidP="003640D1">
      <w:pPr>
        <w:jc w:val="both"/>
        <w:rPr>
          <w:rFonts w:eastAsiaTheme="minorHAnsi"/>
          <w:szCs w:val="22"/>
        </w:rPr>
      </w:pPr>
      <w:r w:rsidRPr="003640D1">
        <w:rPr>
          <w:rFonts w:eastAsiaTheme="minorHAnsi"/>
          <w:szCs w:val="22"/>
        </w:rPr>
        <w:t>EU indicated intervenor Cotherman’s position is that miscellaneous service charges cannot be determined because of her belief that cost of construction had not been documented. (EU BR 13) EU asserted that it provided cost justification in support of its proposed charges and the charges are not based on the cost of construction. (EU BR 13) The Utility pointed out that intervenor Cotherman offered no evidence to address the validity of the Utility’s proposed miscellaneous service charges. (EU BR 13)</w:t>
      </w:r>
    </w:p>
    <w:p w14:paraId="76CE72B9" w14:textId="77777777" w:rsidR="006108AC" w:rsidRDefault="006108AC" w:rsidP="003640D1">
      <w:pPr>
        <w:jc w:val="both"/>
        <w:rPr>
          <w:rFonts w:ascii="Arial" w:eastAsiaTheme="minorHAnsi" w:hAnsi="Arial" w:cs="Arial"/>
          <w:b/>
          <w:i/>
          <w:szCs w:val="22"/>
        </w:rPr>
        <w:sectPr w:rsidR="006108AC" w:rsidSect="006108AC">
          <w:pgSz w:w="12240" w:h="15840" w:code="1"/>
          <w:pgMar w:top="1584" w:right="1440" w:bottom="1440" w:left="1440" w:header="720" w:footer="720" w:gutter="0"/>
          <w:cols w:space="720"/>
          <w:formProt w:val="0"/>
          <w:docGrid w:linePitch="360"/>
        </w:sectPr>
      </w:pPr>
    </w:p>
    <w:p w14:paraId="4885DB48" w14:textId="77777777" w:rsidR="003640D1" w:rsidRPr="003640D1" w:rsidRDefault="003640D1" w:rsidP="003640D1">
      <w:pPr>
        <w:jc w:val="both"/>
        <w:rPr>
          <w:rFonts w:ascii="Arial" w:eastAsiaTheme="minorHAnsi" w:hAnsi="Arial" w:cs="Arial"/>
          <w:b/>
          <w:bCs/>
          <w:szCs w:val="22"/>
        </w:rPr>
      </w:pPr>
      <w:r w:rsidRPr="003640D1">
        <w:rPr>
          <w:rFonts w:ascii="Arial" w:eastAsiaTheme="minorHAnsi" w:hAnsi="Arial" w:cs="Arial"/>
          <w:b/>
          <w:bCs/>
          <w:szCs w:val="22"/>
        </w:rPr>
        <w:t>OPC</w:t>
      </w:r>
    </w:p>
    <w:p w14:paraId="523A28E1" w14:textId="5B1D390A" w:rsidR="003640D1" w:rsidRPr="003640D1" w:rsidRDefault="003640D1" w:rsidP="003640D1">
      <w:pPr>
        <w:jc w:val="both"/>
        <w:rPr>
          <w:rFonts w:eastAsiaTheme="minorHAnsi"/>
          <w:szCs w:val="22"/>
        </w:rPr>
      </w:pPr>
      <w:r w:rsidRPr="003640D1">
        <w:rPr>
          <w:rFonts w:eastAsiaTheme="minorHAnsi"/>
          <w:szCs w:val="22"/>
        </w:rPr>
        <w:t xml:space="preserve">OPC attested that the calculation of miscellaneous service charges provided in Exhibit 7, Schedule 6 do not appear to be unreasonable </w:t>
      </w:r>
      <w:r w:rsidR="00B84F11">
        <w:rPr>
          <w:rFonts w:eastAsiaTheme="minorHAnsi"/>
          <w:szCs w:val="22"/>
        </w:rPr>
        <w:t xml:space="preserve">at </w:t>
      </w:r>
      <w:r w:rsidRPr="003640D1">
        <w:rPr>
          <w:rFonts w:eastAsiaTheme="minorHAnsi"/>
          <w:szCs w:val="22"/>
        </w:rPr>
        <w:t>face value. (OPC BR 9) However, OPC argued that EU underestimated the employee salaries and thus, the proposed charges are underestimated. (OPC BR 9) OPC contended that miscellaneous service charges should be based on the actual labor expense. (OPC BR 9)</w:t>
      </w:r>
    </w:p>
    <w:p w14:paraId="1C3F23C5" w14:textId="77777777" w:rsidR="003640D1" w:rsidRPr="003640D1" w:rsidRDefault="003640D1" w:rsidP="003640D1">
      <w:pPr>
        <w:rPr>
          <w:rFonts w:ascii="Arial" w:eastAsiaTheme="minorHAnsi" w:hAnsi="Arial" w:cs="Arial"/>
          <w:b/>
          <w:bCs/>
          <w:szCs w:val="22"/>
        </w:rPr>
      </w:pPr>
    </w:p>
    <w:p w14:paraId="751526B5" w14:textId="77777777" w:rsidR="003640D1" w:rsidRPr="003640D1" w:rsidRDefault="003640D1" w:rsidP="003640D1">
      <w:pPr>
        <w:rPr>
          <w:rFonts w:ascii="Arial" w:eastAsiaTheme="minorHAnsi" w:hAnsi="Arial" w:cs="Arial"/>
          <w:b/>
          <w:bCs/>
          <w:szCs w:val="22"/>
        </w:rPr>
      </w:pPr>
      <w:r w:rsidRPr="003640D1">
        <w:rPr>
          <w:rFonts w:ascii="Arial" w:eastAsiaTheme="minorHAnsi" w:hAnsi="Arial" w:cs="Arial"/>
          <w:b/>
          <w:bCs/>
          <w:szCs w:val="22"/>
        </w:rPr>
        <w:t>LC</w:t>
      </w:r>
    </w:p>
    <w:p w14:paraId="477ADE5F" w14:textId="77777777" w:rsidR="003640D1" w:rsidRPr="003640D1" w:rsidRDefault="003640D1" w:rsidP="003640D1">
      <w:pPr>
        <w:rPr>
          <w:rFonts w:eastAsiaTheme="minorHAnsi"/>
          <w:szCs w:val="22"/>
        </w:rPr>
      </w:pPr>
      <w:r w:rsidRPr="003640D1">
        <w:rPr>
          <w:rFonts w:eastAsiaTheme="minorHAnsi"/>
          <w:szCs w:val="22"/>
        </w:rPr>
        <w:t>Since costs related to the construction and installation of the facilities have not yet been provided and documented, LC argued that miscellaneous service charge cannot be accurately analyzed.</w:t>
      </w:r>
    </w:p>
    <w:p w14:paraId="4FB1BCA6" w14:textId="77777777" w:rsidR="003640D1" w:rsidRPr="003640D1" w:rsidRDefault="003640D1" w:rsidP="003640D1">
      <w:pPr>
        <w:rPr>
          <w:rFonts w:ascii="Arial" w:eastAsiaTheme="minorHAnsi" w:hAnsi="Arial" w:cs="Arial"/>
          <w:b/>
          <w:bCs/>
          <w:szCs w:val="22"/>
        </w:rPr>
      </w:pPr>
    </w:p>
    <w:p w14:paraId="709F19D9" w14:textId="77777777" w:rsidR="003640D1" w:rsidRPr="003640D1" w:rsidRDefault="003640D1" w:rsidP="003640D1">
      <w:pPr>
        <w:spacing w:after="200" w:line="276" w:lineRule="auto"/>
        <w:jc w:val="center"/>
        <w:rPr>
          <w:rFonts w:ascii="Arial" w:eastAsiaTheme="minorHAnsi" w:hAnsi="Arial" w:cs="Arial"/>
          <w:bCs/>
          <w:iCs/>
          <w:szCs w:val="22"/>
        </w:rPr>
      </w:pPr>
      <w:r w:rsidRPr="003640D1">
        <w:rPr>
          <w:rFonts w:ascii="Arial" w:eastAsiaTheme="minorHAnsi" w:hAnsi="Arial" w:cs="Arial"/>
          <w:b/>
          <w:iCs/>
          <w:szCs w:val="22"/>
        </w:rPr>
        <w:t>ANALYSIS</w:t>
      </w:r>
    </w:p>
    <w:p w14:paraId="22AF891A" w14:textId="77777777" w:rsidR="003640D1" w:rsidRPr="003640D1" w:rsidRDefault="003640D1" w:rsidP="003640D1">
      <w:pPr>
        <w:jc w:val="both"/>
        <w:rPr>
          <w:rFonts w:eastAsiaTheme="minorHAnsi"/>
          <w:szCs w:val="22"/>
        </w:rPr>
      </w:pPr>
      <w:r w:rsidRPr="003640D1">
        <w:rPr>
          <w:rFonts w:eastAsiaTheme="minorHAnsi"/>
          <w:szCs w:val="22"/>
        </w:rPr>
        <w:t>In witness Swain’s testimony, shown on Schedule 6, the Utility proposed miscellaneous charges consisting of initial connection, normal reconnection, and premises visit charges of $30 during normal business hours, and EU requested that its violation reconnection charge for its wastewater system be actual cost. The Utility proposed a late payment charge of $7.50 and Non-Sufficient Funds (NSF) charges. (EXH 7</w:t>
      </w:r>
      <w:r w:rsidR="006A41CD">
        <w:rPr>
          <w:rFonts w:eastAsiaTheme="minorHAnsi"/>
          <w:szCs w:val="22"/>
        </w:rPr>
        <w:t xml:space="preserve"> BSP 159</w:t>
      </w:r>
      <w:r w:rsidRPr="003640D1">
        <w:rPr>
          <w:rFonts w:eastAsiaTheme="minorHAnsi"/>
          <w:szCs w:val="22"/>
        </w:rPr>
        <w:t>) EU’s proposed miscellaneous charges were accompanied by a cost justification as required by Section 367.091(6), F.S.</w:t>
      </w:r>
    </w:p>
    <w:p w14:paraId="432B7A3E" w14:textId="77777777" w:rsidR="003640D1" w:rsidRPr="003640D1" w:rsidRDefault="003640D1" w:rsidP="003640D1">
      <w:pPr>
        <w:jc w:val="both"/>
        <w:rPr>
          <w:rFonts w:eastAsiaTheme="minorHAnsi"/>
          <w:szCs w:val="22"/>
        </w:rPr>
      </w:pPr>
    </w:p>
    <w:p w14:paraId="75FD8785" w14:textId="386F9EF6" w:rsidR="003640D1" w:rsidRPr="003640D1" w:rsidRDefault="003640D1" w:rsidP="003640D1">
      <w:pPr>
        <w:jc w:val="both"/>
      </w:pPr>
      <w:r w:rsidRPr="003640D1">
        <w:t xml:space="preserve">The purpose of these charges is to place the burden for requesting or causing these services on the cost-causer rather than the general body of ratepayers. The Utility requested the recovery of $26.60 of field and supervisorial labor associated with processing miscellaneous services based on an hourly salary of $20 and the time it takes to perform all job functions, which is estimated to be 1.33 hours. Additionally, the Utility requested recovery of vehicle mileage of $3.48 based on a mileage rate of $0.58 per mile for </w:t>
      </w:r>
      <w:r w:rsidR="00074F21">
        <w:t>six</w:t>
      </w:r>
      <w:r w:rsidRPr="003640D1">
        <w:t xml:space="preserve"> miles. (EXH 7</w:t>
      </w:r>
      <w:r w:rsidR="001D7E88">
        <w:t xml:space="preserve"> BSP 159</w:t>
      </w:r>
      <w:r w:rsidRPr="003640D1">
        <w:t>) The Utility’s cost justification for its requested miscellaneous service charges is shown in Table 12-1.</w:t>
      </w:r>
    </w:p>
    <w:p w14:paraId="1A44E1D8" w14:textId="77777777" w:rsidR="003640D1" w:rsidRPr="003640D1" w:rsidRDefault="003640D1" w:rsidP="003640D1">
      <w:pPr>
        <w:jc w:val="both"/>
      </w:pPr>
    </w:p>
    <w:p w14:paraId="5F98DDEE" w14:textId="77777777" w:rsidR="003640D1" w:rsidRPr="003640D1" w:rsidRDefault="003640D1" w:rsidP="003640D1">
      <w:pPr>
        <w:jc w:val="both"/>
      </w:pPr>
    </w:p>
    <w:p w14:paraId="0686D1B9" w14:textId="77777777" w:rsidR="003640D1" w:rsidRPr="003640D1" w:rsidRDefault="003640D1" w:rsidP="003640D1">
      <w:pPr>
        <w:keepNext/>
        <w:jc w:val="center"/>
        <w:rPr>
          <w:rFonts w:ascii="Arial" w:hAnsi="Arial"/>
          <w:b/>
        </w:rPr>
      </w:pPr>
      <w:r w:rsidRPr="003640D1">
        <w:rPr>
          <w:rFonts w:ascii="Arial" w:hAnsi="Arial"/>
          <w:b/>
        </w:rPr>
        <w:t>Table 12-1</w:t>
      </w:r>
    </w:p>
    <w:p w14:paraId="7D286D03" w14:textId="77777777" w:rsidR="003640D1" w:rsidRPr="003640D1" w:rsidRDefault="003640D1" w:rsidP="003640D1">
      <w:pPr>
        <w:keepNext/>
        <w:jc w:val="center"/>
        <w:rPr>
          <w:rFonts w:ascii="Arial" w:hAnsi="Arial"/>
          <w:b/>
        </w:rPr>
      </w:pPr>
      <w:r w:rsidRPr="003640D1">
        <w:rPr>
          <w:rFonts w:ascii="Arial" w:hAnsi="Arial"/>
          <w:b/>
        </w:rPr>
        <w:t>Miscellaneous Service Charges Cost Justification</w:t>
      </w:r>
    </w:p>
    <w:tbl>
      <w:tblPr>
        <w:tblStyle w:val="TableGrid11"/>
        <w:tblW w:w="0" w:type="auto"/>
        <w:jc w:val="center"/>
        <w:tblLook w:val="04A0" w:firstRow="1" w:lastRow="0" w:firstColumn="1" w:lastColumn="0" w:noHBand="0" w:noVBand="1"/>
      </w:tblPr>
      <w:tblGrid>
        <w:gridCol w:w="3888"/>
        <w:gridCol w:w="3456"/>
      </w:tblGrid>
      <w:tr w:rsidR="003640D1" w:rsidRPr="003640D1" w14:paraId="402D8855" w14:textId="77777777" w:rsidTr="0028227E">
        <w:trPr>
          <w:jc w:val="center"/>
        </w:trPr>
        <w:tc>
          <w:tcPr>
            <w:tcW w:w="3888" w:type="dxa"/>
          </w:tcPr>
          <w:p w14:paraId="12EAFEE2" w14:textId="77777777" w:rsidR="003640D1" w:rsidRPr="003640D1" w:rsidRDefault="003640D1" w:rsidP="003640D1">
            <w:r w:rsidRPr="003640D1">
              <w:t>Labor ($20 x 1.33)</w:t>
            </w:r>
          </w:p>
        </w:tc>
        <w:tc>
          <w:tcPr>
            <w:tcW w:w="3456" w:type="dxa"/>
          </w:tcPr>
          <w:p w14:paraId="5C40E211" w14:textId="77777777" w:rsidR="003640D1" w:rsidRPr="003640D1" w:rsidRDefault="003640D1" w:rsidP="003640D1">
            <w:pPr>
              <w:jc w:val="right"/>
            </w:pPr>
            <w:r w:rsidRPr="003640D1">
              <w:t>$26.60</w:t>
            </w:r>
          </w:p>
        </w:tc>
      </w:tr>
      <w:tr w:rsidR="003640D1" w:rsidRPr="003640D1" w14:paraId="4476A22F" w14:textId="77777777" w:rsidTr="0028227E">
        <w:trPr>
          <w:jc w:val="center"/>
        </w:trPr>
        <w:tc>
          <w:tcPr>
            <w:tcW w:w="3888" w:type="dxa"/>
          </w:tcPr>
          <w:p w14:paraId="2DD3FCC5" w14:textId="77777777" w:rsidR="003640D1" w:rsidRPr="003640D1" w:rsidRDefault="003640D1" w:rsidP="003640D1">
            <w:r w:rsidRPr="003640D1">
              <w:t>Vehicle ($0.58 x 6)</w:t>
            </w:r>
          </w:p>
        </w:tc>
        <w:tc>
          <w:tcPr>
            <w:tcW w:w="3456" w:type="dxa"/>
          </w:tcPr>
          <w:p w14:paraId="3894EDE1" w14:textId="77777777" w:rsidR="003640D1" w:rsidRPr="003640D1" w:rsidRDefault="003640D1" w:rsidP="003640D1">
            <w:pPr>
              <w:jc w:val="right"/>
            </w:pPr>
            <w:r w:rsidRPr="003640D1">
              <w:t>$3.48</w:t>
            </w:r>
          </w:p>
        </w:tc>
      </w:tr>
      <w:tr w:rsidR="003640D1" w:rsidRPr="003640D1" w14:paraId="785B19C7" w14:textId="77777777" w:rsidTr="0028227E">
        <w:trPr>
          <w:jc w:val="center"/>
        </w:trPr>
        <w:tc>
          <w:tcPr>
            <w:tcW w:w="3888" w:type="dxa"/>
          </w:tcPr>
          <w:p w14:paraId="1638CFED" w14:textId="77777777" w:rsidR="003640D1" w:rsidRPr="003640D1" w:rsidRDefault="003640D1" w:rsidP="003640D1">
            <w:r w:rsidRPr="003640D1">
              <w:t>Total</w:t>
            </w:r>
          </w:p>
        </w:tc>
        <w:tc>
          <w:tcPr>
            <w:tcW w:w="3456" w:type="dxa"/>
          </w:tcPr>
          <w:p w14:paraId="1C8D6B53" w14:textId="77777777" w:rsidR="003640D1" w:rsidRPr="003640D1" w:rsidRDefault="003640D1" w:rsidP="003640D1">
            <w:pPr>
              <w:jc w:val="right"/>
            </w:pPr>
            <w:r w:rsidRPr="003640D1">
              <w:t>$30.08</w:t>
            </w:r>
          </w:p>
        </w:tc>
      </w:tr>
    </w:tbl>
    <w:p w14:paraId="59F8E432" w14:textId="77777777" w:rsidR="003640D1" w:rsidRPr="003640D1" w:rsidRDefault="003640D1" w:rsidP="003640D1">
      <w:pPr>
        <w:ind w:left="720"/>
        <w:jc w:val="both"/>
        <w:rPr>
          <w:sz w:val="20"/>
          <w:szCs w:val="20"/>
        </w:rPr>
      </w:pPr>
      <w:r w:rsidRPr="003640D1">
        <w:rPr>
          <w:sz w:val="20"/>
          <w:szCs w:val="20"/>
        </w:rPr>
        <w:t xml:space="preserve">      </w:t>
      </w:r>
      <w:r w:rsidR="0028227E">
        <w:rPr>
          <w:sz w:val="20"/>
          <w:szCs w:val="20"/>
        </w:rPr>
        <w:t xml:space="preserve">  </w:t>
      </w:r>
      <w:r w:rsidRPr="003640D1">
        <w:rPr>
          <w:sz w:val="20"/>
          <w:szCs w:val="20"/>
        </w:rPr>
        <w:t>Source: Utility’s Cost Justification</w:t>
      </w:r>
    </w:p>
    <w:p w14:paraId="3C574A93" w14:textId="77777777" w:rsidR="003640D1" w:rsidRPr="003640D1" w:rsidRDefault="003640D1" w:rsidP="003640D1">
      <w:pPr>
        <w:jc w:val="both"/>
        <w:rPr>
          <w:rFonts w:eastAsiaTheme="minorHAnsi"/>
          <w:szCs w:val="22"/>
        </w:rPr>
      </w:pPr>
    </w:p>
    <w:p w14:paraId="7BD4BF44" w14:textId="51BD4E34" w:rsidR="003640D1" w:rsidRDefault="003640D1" w:rsidP="003640D1">
      <w:pPr>
        <w:jc w:val="both"/>
        <w:rPr>
          <w:rFonts w:eastAsiaTheme="minorHAnsi"/>
          <w:szCs w:val="22"/>
        </w:rPr>
      </w:pPr>
      <w:r w:rsidRPr="003640D1">
        <w:rPr>
          <w:rFonts w:eastAsiaTheme="minorHAnsi"/>
          <w:szCs w:val="22"/>
        </w:rPr>
        <w:t xml:space="preserve">OPC has concerns that miscellaneous service charges are underestimated due to severely underestimated salaries and wages. As discussed in </w:t>
      </w:r>
      <w:r w:rsidR="007D2194">
        <w:rPr>
          <w:rFonts w:eastAsiaTheme="minorHAnsi"/>
          <w:szCs w:val="22"/>
        </w:rPr>
        <w:t>I</w:t>
      </w:r>
      <w:r w:rsidRPr="003640D1">
        <w:rPr>
          <w:rFonts w:eastAsiaTheme="minorHAnsi"/>
          <w:szCs w:val="22"/>
        </w:rPr>
        <w:t xml:space="preserve">ssue 10, staff made no adjustments to EU’s proposed salaries and wages. Therefore, the labor component for the miscellaneous service charges are in line with the overall staff recommended salary expense. Intervenor Cotherman believes that the cost of construction has not been documented; therefore, the miscellaneous service charges cannot be established. (LC BR 28) However, </w:t>
      </w:r>
      <w:r w:rsidR="00506806">
        <w:rPr>
          <w:rFonts w:eastAsiaTheme="minorHAnsi"/>
          <w:szCs w:val="22"/>
        </w:rPr>
        <w:t>t</w:t>
      </w:r>
      <w:r w:rsidRPr="003640D1">
        <w:rPr>
          <w:rFonts w:eastAsiaTheme="minorHAnsi"/>
          <w:szCs w:val="22"/>
        </w:rPr>
        <w:t xml:space="preserve">he components used to determine miscellaneous service charges are not related to construction cost but rather to operating expenses. Intervenor Cotherman did not provide any evidence to support her position. </w:t>
      </w:r>
    </w:p>
    <w:p w14:paraId="2BBA9A0D" w14:textId="77777777" w:rsidR="00506806" w:rsidRPr="003640D1" w:rsidRDefault="00506806" w:rsidP="003640D1">
      <w:pPr>
        <w:jc w:val="both"/>
        <w:rPr>
          <w:rFonts w:eastAsiaTheme="minorHAnsi"/>
          <w:szCs w:val="22"/>
        </w:rPr>
      </w:pPr>
    </w:p>
    <w:p w14:paraId="30B4B26D" w14:textId="77777777" w:rsidR="003640D1" w:rsidRPr="003640D1" w:rsidRDefault="003640D1" w:rsidP="003640D1">
      <w:pPr>
        <w:jc w:val="both"/>
        <w:rPr>
          <w:rFonts w:eastAsiaTheme="minorHAnsi"/>
          <w:szCs w:val="22"/>
        </w:rPr>
      </w:pPr>
      <w:r w:rsidRPr="003640D1">
        <w:rPr>
          <w:rFonts w:eastAsiaTheme="minorHAnsi"/>
          <w:szCs w:val="22"/>
        </w:rPr>
        <w:t xml:space="preserve">Staff believes the Utility’s cost justification is reasonable for the proposed miscellaneous services. However, Rule 25-30.460, F.A.C., was recently amended to remove initial connection and normal reconnection charges. Pursuant to Rule 25-30.460, F.A.C., the definitions for initial connection charges and normal reconnection charges were incorporated in the definition of the premises visit charge. </w:t>
      </w:r>
      <w:r w:rsidRPr="003640D1">
        <w:t xml:space="preserve">It should be noted that EU’s request for initial connection and normal reconnection charges </w:t>
      </w:r>
      <w:r w:rsidR="00FB16F9">
        <w:t xml:space="preserve">are obsolete and </w:t>
      </w:r>
      <w:r w:rsidRPr="003640D1">
        <w:t xml:space="preserve">do not conform with the miscellaneous service charges rule. </w:t>
      </w:r>
      <w:r w:rsidRPr="003640D1">
        <w:rPr>
          <w:rFonts w:eastAsiaTheme="minorHAnsi"/>
          <w:szCs w:val="22"/>
        </w:rPr>
        <w:t>As a result, staff recommends that the Utility’s requested initial connection and normal reconnection charges should not be approved; the Utility’s requested premises visit charge of $30 and violation reconnection charge at actual cost should be approved pursuant to Rule 25-30.460, F.A.C.</w:t>
      </w:r>
    </w:p>
    <w:p w14:paraId="1F2DC0F0" w14:textId="77777777" w:rsidR="003640D1" w:rsidRPr="003640D1" w:rsidRDefault="003640D1" w:rsidP="003640D1">
      <w:pPr>
        <w:jc w:val="both"/>
        <w:rPr>
          <w:rFonts w:eastAsiaTheme="minorHAnsi"/>
          <w:szCs w:val="22"/>
        </w:rPr>
      </w:pPr>
    </w:p>
    <w:p w14:paraId="394F79A6" w14:textId="77777777" w:rsidR="003640D1" w:rsidRPr="003640D1" w:rsidRDefault="003640D1" w:rsidP="003640D1">
      <w:pPr>
        <w:jc w:val="both"/>
      </w:pPr>
      <w:r w:rsidRPr="003640D1">
        <w:rPr>
          <w:rFonts w:eastAsiaTheme="minorHAnsi"/>
          <w:szCs w:val="22"/>
        </w:rPr>
        <w:t>The Utility’s requested late payment charge of $7.50 is to recover the cost of supplies and labor associated with processing late payment notices. Within its cost justification, EU included $5.00 for clerical labor associated with processing late payments based on the clerical employee who is paid $20 per hour and the amount of time it takes the employee to process a single late payment charge of 15 minutes. (EXH 7</w:t>
      </w:r>
      <w:r w:rsidR="00731BFD">
        <w:rPr>
          <w:rFonts w:eastAsiaTheme="minorHAnsi"/>
          <w:szCs w:val="22"/>
        </w:rPr>
        <w:t xml:space="preserve"> BSP 159</w:t>
      </w:r>
      <w:r w:rsidRPr="003640D1">
        <w:rPr>
          <w:rFonts w:eastAsiaTheme="minorHAnsi"/>
          <w:szCs w:val="22"/>
        </w:rPr>
        <w:t>) This is consistent with Commission practice, in which the Commission has found that 10 to 15 minutes is an appropriate amount of time for a billing employee to process a single late payment.</w:t>
      </w:r>
      <w:r w:rsidRPr="003640D1">
        <w:rPr>
          <w:rFonts w:eastAsiaTheme="minorHAnsi"/>
          <w:szCs w:val="22"/>
          <w:vertAlign w:val="superscript"/>
        </w:rPr>
        <w:footnoteReference w:id="22"/>
      </w:r>
      <w:r w:rsidRPr="003640D1">
        <w:rPr>
          <w:rFonts w:eastAsiaTheme="minorHAnsi"/>
          <w:szCs w:val="22"/>
        </w:rPr>
        <w:t xml:space="preserve"> Furthermore, EU requested to recover supervisorial labor of $2.00 based on the supervisor’s hourly salary of $25 per hour and the time it takes the supervisor to review a late payment charge of eight minutes, which is consistent with recently approved cases. The Utility is also requesting recovery of $0.10 for supplies and $0.50 for postage. (EXH 7</w:t>
      </w:r>
      <w:r w:rsidR="00731BFD" w:rsidRPr="00731BFD">
        <w:rPr>
          <w:rFonts w:eastAsiaTheme="minorHAnsi"/>
          <w:szCs w:val="22"/>
        </w:rPr>
        <w:t xml:space="preserve"> </w:t>
      </w:r>
      <w:r w:rsidR="00731BFD">
        <w:rPr>
          <w:rFonts w:eastAsiaTheme="minorHAnsi"/>
          <w:szCs w:val="22"/>
        </w:rPr>
        <w:t>BSP 159</w:t>
      </w:r>
      <w:r w:rsidRPr="003640D1">
        <w:rPr>
          <w:rFonts w:eastAsiaTheme="minorHAnsi"/>
          <w:szCs w:val="22"/>
        </w:rPr>
        <w:t>) EU’s cost justification totals to $7.60. The Utility rounded down its requested late payment charge to $7.50. The Commission recently approved a late payment charge of $7.50.</w:t>
      </w:r>
      <w:r w:rsidRPr="003640D1">
        <w:rPr>
          <w:rFonts w:eastAsiaTheme="minorHAnsi"/>
          <w:szCs w:val="22"/>
          <w:vertAlign w:val="superscript"/>
        </w:rPr>
        <w:footnoteReference w:id="23"/>
      </w:r>
      <w:r w:rsidRPr="003640D1">
        <w:rPr>
          <w:rFonts w:eastAsiaTheme="minorHAnsi"/>
          <w:szCs w:val="22"/>
        </w:rPr>
        <w:t xml:space="preserve"> Staff believes the Utility’s requested late payment charge is reasonable and should be approved. </w:t>
      </w:r>
      <w:r w:rsidRPr="003640D1">
        <w:t>The Utility’s cost justification for its requested miscellaneous service charges is shown in Table 12-2.</w:t>
      </w:r>
    </w:p>
    <w:p w14:paraId="38FAB391" w14:textId="77777777" w:rsidR="003640D1" w:rsidRPr="003640D1" w:rsidRDefault="003640D1" w:rsidP="003640D1">
      <w:pPr>
        <w:jc w:val="both"/>
        <w:rPr>
          <w:rFonts w:eastAsiaTheme="minorHAnsi"/>
          <w:szCs w:val="22"/>
        </w:rPr>
      </w:pPr>
    </w:p>
    <w:p w14:paraId="04C7887D" w14:textId="77777777" w:rsidR="003640D1" w:rsidRPr="003640D1" w:rsidRDefault="003640D1" w:rsidP="003640D1">
      <w:pPr>
        <w:keepNext/>
        <w:jc w:val="center"/>
        <w:rPr>
          <w:rFonts w:ascii="Arial" w:hAnsi="Arial"/>
          <w:b/>
        </w:rPr>
      </w:pPr>
      <w:r w:rsidRPr="003640D1">
        <w:rPr>
          <w:rFonts w:ascii="Arial" w:hAnsi="Arial"/>
          <w:b/>
        </w:rPr>
        <w:t>Table 12-2</w:t>
      </w:r>
    </w:p>
    <w:p w14:paraId="75CBC979" w14:textId="77777777" w:rsidR="003640D1" w:rsidRPr="003640D1" w:rsidRDefault="003640D1" w:rsidP="003640D1">
      <w:pPr>
        <w:keepNext/>
        <w:jc w:val="center"/>
        <w:rPr>
          <w:rFonts w:ascii="Arial" w:hAnsi="Arial"/>
          <w:b/>
        </w:rPr>
      </w:pPr>
      <w:r w:rsidRPr="003640D1">
        <w:rPr>
          <w:rFonts w:ascii="Arial" w:hAnsi="Arial"/>
          <w:b/>
        </w:rPr>
        <w:t>Late Payment Charge Cost Justification</w:t>
      </w:r>
    </w:p>
    <w:tbl>
      <w:tblPr>
        <w:tblStyle w:val="TableGrid11"/>
        <w:tblW w:w="0" w:type="auto"/>
        <w:jc w:val="center"/>
        <w:tblLook w:val="04A0" w:firstRow="1" w:lastRow="0" w:firstColumn="1" w:lastColumn="0" w:noHBand="0" w:noVBand="1"/>
      </w:tblPr>
      <w:tblGrid>
        <w:gridCol w:w="3888"/>
        <w:gridCol w:w="3456"/>
      </w:tblGrid>
      <w:tr w:rsidR="003640D1" w:rsidRPr="003640D1" w14:paraId="55C9919C" w14:textId="77777777" w:rsidTr="005F1DBD">
        <w:trPr>
          <w:jc w:val="center"/>
        </w:trPr>
        <w:tc>
          <w:tcPr>
            <w:tcW w:w="3888" w:type="dxa"/>
          </w:tcPr>
          <w:p w14:paraId="25FD0B4A" w14:textId="77777777" w:rsidR="003640D1" w:rsidRPr="003640D1" w:rsidRDefault="003640D1" w:rsidP="003640D1">
            <w:r w:rsidRPr="003640D1">
              <w:t>Clerical Labor ($20 x 0.25)</w:t>
            </w:r>
          </w:p>
        </w:tc>
        <w:tc>
          <w:tcPr>
            <w:tcW w:w="3456" w:type="dxa"/>
          </w:tcPr>
          <w:p w14:paraId="77A6D1BF" w14:textId="77777777" w:rsidR="003640D1" w:rsidRPr="003640D1" w:rsidRDefault="003640D1" w:rsidP="003640D1">
            <w:pPr>
              <w:jc w:val="right"/>
            </w:pPr>
            <w:r w:rsidRPr="003640D1">
              <w:t>$5.00</w:t>
            </w:r>
          </w:p>
        </w:tc>
      </w:tr>
      <w:tr w:rsidR="003640D1" w:rsidRPr="003640D1" w14:paraId="26EDC3EB" w14:textId="77777777" w:rsidTr="005F1DBD">
        <w:trPr>
          <w:jc w:val="center"/>
        </w:trPr>
        <w:tc>
          <w:tcPr>
            <w:tcW w:w="3888" w:type="dxa"/>
          </w:tcPr>
          <w:p w14:paraId="30E3E603" w14:textId="77777777" w:rsidR="003640D1" w:rsidRPr="003640D1" w:rsidRDefault="003640D1" w:rsidP="003640D1">
            <w:r w:rsidRPr="003640D1">
              <w:t>Supervisor Labor ($25 x 0.08)</w:t>
            </w:r>
          </w:p>
        </w:tc>
        <w:tc>
          <w:tcPr>
            <w:tcW w:w="3456" w:type="dxa"/>
          </w:tcPr>
          <w:p w14:paraId="31FBE0D9" w14:textId="77777777" w:rsidR="003640D1" w:rsidRPr="003640D1" w:rsidRDefault="003640D1" w:rsidP="003640D1">
            <w:pPr>
              <w:jc w:val="right"/>
            </w:pPr>
            <w:r w:rsidRPr="003640D1">
              <w:t>$2.00</w:t>
            </w:r>
          </w:p>
        </w:tc>
      </w:tr>
      <w:tr w:rsidR="003640D1" w:rsidRPr="003640D1" w14:paraId="746A4326" w14:textId="77777777" w:rsidTr="005F1DBD">
        <w:trPr>
          <w:jc w:val="center"/>
        </w:trPr>
        <w:tc>
          <w:tcPr>
            <w:tcW w:w="3888" w:type="dxa"/>
          </w:tcPr>
          <w:p w14:paraId="0A81D51B" w14:textId="77777777" w:rsidR="003640D1" w:rsidRPr="003640D1" w:rsidRDefault="003640D1" w:rsidP="003640D1">
            <w:r w:rsidRPr="003640D1">
              <w:t>Printing Supplies and Postage</w:t>
            </w:r>
          </w:p>
        </w:tc>
        <w:tc>
          <w:tcPr>
            <w:tcW w:w="3456" w:type="dxa"/>
          </w:tcPr>
          <w:p w14:paraId="31D93245" w14:textId="77777777" w:rsidR="003640D1" w:rsidRPr="003640D1" w:rsidRDefault="003640D1" w:rsidP="003640D1">
            <w:pPr>
              <w:jc w:val="right"/>
            </w:pPr>
            <w:r w:rsidRPr="003640D1">
              <w:t>$0.60</w:t>
            </w:r>
          </w:p>
        </w:tc>
      </w:tr>
      <w:tr w:rsidR="003640D1" w:rsidRPr="003640D1" w14:paraId="6B01D1B9" w14:textId="77777777" w:rsidTr="005F1DBD">
        <w:trPr>
          <w:jc w:val="center"/>
        </w:trPr>
        <w:tc>
          <w:tcPr>
            <w:tcW w:w="3888" w:type="dxa"/>
          </w:tcPr>
          <w:p w14:paraId="2B9F10F3" w14:textId="77777777" w:rsidR="003640D1" w:rsidRPr="003640D1" w:rsidRDefault="003640D1" w:rsidP="003640D1">
            <w:r w:rsidRPr="003640D1">
              <w:t>Total</w:t>
            </w:r>
          </w:p>
        </w:tc>
        <w:tc>
          <w:tcPr>
            <w:tcW w:w="3456" w:type="dxa"/>
          </w:tcPr>
          <w:p w14:paraId="105A15C5" w14:textId="77777777" w:rsidR="003640D1" w:rsidRPr="003640D1" w:rsidRDefault="003640D1" w:rsidP="003640D1">
            <w:pPr>
              <w:jc w:val="right"/>
            </w:pPr>
            <w:r w:rsidRPr="003640D1">
              <w:t>$7.60</w:t>
            </w:r>
          </w:p>
        </w:tc>
      </w:tr>
    </w:tbl>
    <w:p w14:paraId="3FD79806" w14:textId="77777777" w:rsidR="003640D1" w:rsidRPr="003640D1" w:rsidRDefault="003640D1" w:rsidP="003640D1">
      <w:pPr>
        <w:ind w:left="720"/>
        <w:jc w:val="both"/>
        <w:rPr>
          <w:sz w:val="20"/>
          <w:szCs w:val="20"/>
        </w:rPr>
      </w:pPr>
      <w:r w:rsidRPr="003640D1">
        <w:rPr>
          <w:sz w:val="20"/>
          <w:szCs w:val="20"/>
        </w:rPr>
        <w:t xml:space="preserve">      </w:t>
      </w:r>
      <w:r w:rsidR="0028227E">
        <w:rPr>
          <w:sz w:val="20"/>
          <w:szCs w:val="20"/>
        </w:rPr>
        <w:t xml:space="preserve">  </w:t>
      </w:r>
      <w:r w:rsidRPr="003640D1">
        <w:rPr>
          <w:sz w:val="20"/>
          <w:szCs w:val="20"/>
        </w:rPr>
        <w:t>Source: Utility’s Cost Justification</w:t>
      </w:r>
    </w:p>
    <w:p w14:paraId="00874B45" w14:textId="77777777" w:rsidR="00074F21" w:rsidRDefault="00074F21" w:rsidP="003640D1">
      <w:pPr>
        <w:jc w:val="both"/>
        <w:rPr>
          <w:rFonts w:eastAsiaTheme="minorHAnsi"/>
          <w:szCs w:val="22"/>
        </w:rPr>
      </w:pPr>
    </w:p>
    <w:p w14:paraId="2C8C2F2E" w14:textId="77D26A77" w:rsidR="003640D1" w:rsidRDefault="003640D1" w:rsidP="003640D1">
      <w:pPr>
        <w:jc w:val="both"/>
        <w:rPr>
          <w:rFonts w:eastAsiaTheme="minorHAnsi"/>
          <w:szCs w:val="22"/>
        </w:rPr>
      </w:pPr>
      <w:r w:rsidRPr="003640D1">
        <w:rPr>
          <w:rFonts w:eastAsiaTheme="minorHAnsi"/>
          <w:szCs w:val="22"/>
        </w:rPr>
        <w:t xml:space="preserve">Staff </w:t>
      </w:r>
      <w:r w:rsidR="00B609A2">
        <w:rPr>
          <w:rFonts w:eastAsiaTheme="minorHAnsi"/>
          <w:szCs w:val="22"/>
        </w:rPr>
        <w:t xml:space="preserve">recommends </w:t>
      </w:r>
      <w:r w:rsidRPr="003640D1">
        <w:rPr>
          <w:rFonts w:eastAsiaTheme="minorHAnsi"/>
          <w:szCs w:val="22"/>
        </w:rPr>
        <w:t>that EU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14:paraId="5E4B3F3B" w14:textId="77777777" w:rsidR="00074F21" w:rsidRPr="003640D1" w:rsidRDefault="00074F21" w:rsidP="003640D1">
      <w:pPr>
        <w:jc w:val="both"/>
        <w:rPr>
          <w:rFonts w:eastAsiaTheme="minorHAnsi"/>
          <w:szCs w:val="22"/>
        </w:rPr>
      </w:pPr>
    </w:p>
    <w:p w14:paraId="67A232C6" w14:textId="77777777" w:rsidR="003640D1" w:rsidRPr="003640D1" w:rsidRDefault="003640D1" w:rsidP="003640D1">
      <w:pPr>
        <w:numPr>
          <w:ilvl w:val="0"/>
          <w:numId w:val="12"/>
        </w:numPr>
        <w:spacing w:after="200" w:line="276" w:lineRule="auto"/>
        <w:contextualSpacing/>
        <w:jc w:val="both"/>
        <w:rPr>
          <w:rFonts w:eastAsiaTheme="minorHAnsi"/>
          <w:szCs w:val="22"/>
        </w:rPr>
      </w:pPr>
      <w:r w:rsidRPr="003640D1">
        <w:rPr>
          <w:rFonts w:eastAsiaTheme="minorHAnsi"/>
          <w:szCs w:val="22"/>
        </w:rPr>
        <w:t>$25, if the face value does not exceed $50,</w:t>
      </w:r>
    </w:p>
    <w:p w14:paraId="5482C98B" w14:textId="77777777" w:rsidR="003640D1" w:rsidRPr="003640D1" w:rsidRDefault="003640D1" w:rsidP="003640D1">
      <w:pPr>
        <w:numPr>
          <w:ilvl w:val="0"/>
          <w:numId w:val="12"/>
        </w:numPr>
        <w:spacing w:after="200" w:line="276" w:lineRule="auto"/>
        <w:contextualSpacing/>
        <w:jc w:val="both"/>
        <w:rPr>
          <w:rFonts w:eastAsiaTheme="minorHAnsi"/>
          <w:szCs w:val="22"/>
        </w:rPr>
      </w:pPr>
      <w:r w:rsidRPr="003640D1">
        <w:rPr>
          <w:rFonts w:eastAsiaTheme="minorHAnsi"/>
          <w:szCs w:val="22"/>
        </w:rPr>
        <w:t>$30, if the face value exceeds $50 but does not exceed $300</w:t>
      </w:r>
      <w:r w:rsidR="00550E2E">
        <w:rPr>
          <w:rFonts w:eastAsiaTheme="minorHAnsi"/>
          <w:szCs w:val="22"/>
        </w:rPr>
        <w:t>,</w:t>
      </w:r>
    </w:p>
    <w:p w14:paraId="387ABDC0" w14:textId="77777777" w:rsidR="003640D1" w:rsidRPr="003640D1" w:rsidRDefault="003640D1" w:rsidP="003640D1">
      <w:pPr>
        <w:numPr>
          <w:ilvl w:val="0"/>
          <w:numId w:val="12"/>
        </w:numPr>
        <w:spacing w:after="200" w:line="276" w:lineRule="auto"/>
        <w:contextualSpacing/>
        <w:jc w:val="both"/>
        <w:rPr>
          <w:rFonts w:eastAsiaTheme="minorHAnsi"/>
          <w:szCs w:val="22"/>
        </w:rPr>
      </w:pPr>
      <w:r w:rsidRPr="003640D1">
        <w:rPr>
          <w:rFonts w:eastAsiaTheme="minorHAnsi"/>
          <w:szCs w:val="22"/>
        </w:rPr>
        <w:t>$40, if the face value exceeds $300,</w:t>
      </w:r>
    </w:p>
    <w:p w14:paraId="57CE49F0" w14:textId="77777777" w:rsidR="003640D1" w:rsidRPr="003640D1" w:rsidRDefault="003640D1" w:rsidP="003640D1">
      <w:pPr>
        <w:numPr>
          <w:ilvl w:val="0"/>
          <w:numId w:val="12"/>
        </w:numPr>
        <w:spacing w:after="200" w:line="276" w:lineRule="auto"/>
        <w:contextualSpacing/>
        <w:jc w:val="both"/>
        <w:rPr>
          <w:rFonts w:eastAsiaTheme="minorHAnsi"/>
          <w:szCs w:val="22"/>
        </w:rPr>
      </w:pPr>
      <w:r w:rsidRPr="003640D1">
        <w:rPr>
          <w:rFonts w:eastAsiaTheme="minorHAnsi"/>
          <w:szCs w:val="22"/>
        </w:rPr>
        <w:t>or 5 percent of the face amount of the check, whichever is greater.</w:t>
      </w:r>
    </w:p>
    <w:p w14:paraId="1FF75834" w14:textId="77777777" w:rsidR="003640D1" w:rsidRDefault="003640D1" w:rsidP="003640D1">
      <w:pPr>
        <w:jc w:val="both"/>
        <w:rPr>
          <w:rFonts w:ascii="Arial" w:eastAsiaTheme="minorHAnsi" w:hAnsi="Arial" w:cs="Arial"/>
          <w:b/>
          <w:szCs w:val="22"/>
        </w:rPr>
      </w:pPr>
    </w:p>
    <w:p w14:paraId="6EFF7876" w14:textId="77777777" w:rsidR="003640D1" w:rsidRPr="003640D1" w:rsidRDefault="003640D1" w:rsidP="003640D1">
      <w:pPr>
        <w:spacing w:after="200" w:line="276" w:lineRule="auto"/>
        <w:jc w:val="center"/>
        <w:rPr>
          <w:rFonts w:ascii="Arial" w:eastAsiaTheme="minorHAnsi" w:hAnsi="Arial" w:cs="Arial"/>
          <w:bCs/>
          <w:iCs/>
          <w:szCs w:val="22"/>
        </w:rPr>
      </w:pPr>
      <w:r>
        <w:rPr>
          <w:rFonts w:ascii="Arial" w:eastAsiaTheme="minorHAnsi" w:hAnsi="Arial" w:cs="Arial"/>
          <w:b/>
          <w:iCs/>
          <w:szCs w:val="22"/>
        </w:rPr>
        <w:t>CONCLUSION</w:t>
      </w:r>
    </w:p>
    <w:p w14:paraId="59BD4233" w14:textId="745BB02D" w:rsidR="003640D1" w:rsidRPr="003640D1" w:rsidRDefault="00B609A2" w:rsidP="003640D1">
      <w:pPr>
        <w:spacing w:after="200"/>
        <w:jc w:val="both"/>
        <w:rPr>
          <w:rFonts w:ascii="Calibri" w:eastAsiaTheme="minorHAnsi" w:hAnsi="Calibri" w:cs="Calibri"/>
          <w:sz w:val="22"/>
          <w:szCs w:val="22"/>
        </w:rPr>
      </w:pPr>
      <w:r>
        <w:t xml:space="preserve">If the Commission approves staff’s recommendation in Issue 9, Issues 10 through 13 are moot. </w:t>
      </w:r>
      <w:r w:rsidR="003640D1" w:rsidRPr="003640D1">
        <w:rPr>
          <w:rFonts w:eastAsiaTheme="minorHAnsi"/>
          <w:szCs w:val="22"/>
        </w:rPr>
        <w:t xml:space="preserve">However, if the Commission approves EU’s application, based on the above, the appropriate miscellaneous service charges are shown on Schedule No. 5 and should be approved. </w:t>
      </w:r>
      <w:r w:rsidR="003640D1" w:rsidRPr="003640D1">
        <w:rPr>
          <w:rFonts w:eastAsiaTheme="minorHAnsi" w:cstheme="minorBidi"/>
          <w:szCs w:val="22"/>
        </w:rPr>
        <w:t xml:space="preserve">The Utility should file revised tariff sheets and a proposed customer notice to reflect the Commission-approved charges. The approved charges should be effective for services rendered on or after the stamped approval date on the tariff sheet provided customers have received notice pursuant to Rule 25-30.475(1), F.A.C. The Utility should provide proof of noticing within 10 days of rendering the approved notice. </w:t>
      </w:r>
    </w:p>
    <w:p w14:paraId="4CA177C4" w14:textId="77777777" w:rsidR="00F072E1" w:rsidRPr="00F072E1" w:rsidRDefault="00F072E1" w:rsidP="00F072E1">
      <w:pPr>
        <w:spacing w:after="240"/>
        <w:jc w:val="both"/>
      </w:pPr>
    </w:p>
    <w:p w14:paraId="697C80DA" w14:textId="77777777" w:rsidR="006E3F46" w:rsidRDefault="006E3F46">
      <w:pPr>
        <w:pStyle w:val="IssueHeading"/>
        <w:rPr>
          <w:vanish/>
          <w:specVanish/>
        </w:rPr>
      </w:pPr>
      <w:r w:rsidRPr="004C3641">
        <w:rPr>
          <w:b w:val="0"/>
          <w:i w:val="0"/>
        </w:rPr>
        <w:br w:type="page"/>
      </w:r>
      <w:r w:rsidRPr="004C3641">
        <w:t xml:space="preserve">Issue </w:t>
      </w:r>
      <w:fldSimple w:instr=" SEQ Issue \* MERGEFORMAT ">
        <w:r w:rsidR="0028227E">
          <w:rPr>
            <w:noProof/>
          </w:rPr>
          <w:t>13</w:t>
        </w:r>
      </w:fldSimple>
      <w:r w:rsidRPr="004C3641">
        <w:t>:</w:t>
      </w:r>
      <w:r>
        <w:fldChar w:fldCharType="begin"/>
      </w:r>
      <w:r>
        <w:instrText xml:space="preserve"> TC "</w:instrText>
      </w:r>
      <w:bookmarkStart w:id="28" w:name="_Toc104278783"/>
      <w:r w:rsidR="00D25E9A">
        <w:instrText xml:space="preserve">Issue </w:instrText>
      </w:r>
      <w:r>
        <w:fldChar w:fldCharType="begin"/>
      </w:r>
      <w:r>
        <w:instrText xml:space="preserve"> SEQ issue \c </w:instrText>
      </w:r>
      <w:r>
        <w:fldChar w:fldCharType="separate"/>
      </w:r>
      <w:r w:rsidR="0028227E">
        <w:rPr>
          <w:noProof/>
        </w:rPr>
        <w:instrText>13</w:instrText>
      </w:r>
      <w:r>
        <w:fldChar w:fldCharType="end"/>
      </w:r>
      <w:r w:rsidR="00D25E9A">
        <w:instrText xml:space="preserve"> – Initial Customer Deposits</w:instrText>
      </w:r>
      <w:bookmarkEnd w:id="28"/>
      <w:r>
        <w:tab/>
        <w:instrText xml:space="preserve">" \l 1 </w:instrText>
      </w:r>
      <w:r>
        <w:fldChar w:fldCharType="end"/>
      </w:r>
      <w:r>
        <w:t> </w:t>
      </w:r>
    </w:p>
    <w:p w14:paraId="6868258D" w14:textId="77777777" w:rsidR="006E3F46" w:rsidRDefault="006E3F46">
      <w:pPr>
        <w:pStyle w:val="BodyText"/>
      </w:pPr>
      <w:r>
        <w:t> </w:t>
      </w:r>
      <w:r w:rsidR="00BB75C9" w:rsidRPr="00DA500F">
        <w:rPr>
          <w:bCs/>
        </w:rPr>
        <w:t>What are the appropriate initial customer deposits for Environmental Utilities?</w:t>
      </w:r>
    </w:p>
    <w:p w14:paraId="7E7583CF" w14:textId="77777777" w:rsidR="006E3F46" w:rsidRPr="004C3641" w:rsidRDefault="006E3F46">
      <w:pPr>
        <w:pStyle w:val="IssueSubsectionHeading"/>
        <w:rPr>
          <w:vanish/>
          <w:specVanish/>
        </w:rPr>
      </w:pPr>
      <w:r w:rsidRPr="004C3641">
        <w:t>Recommendation: </w:t>
      </w:r>
    </w:p>
    <w:p w14:paraId="7D4EAA7C" w14:textId="5E399E26" w:rsidR="003640D1" w:rsidRPr="003640D1" w:rsidRDefault="00B609A2" w:rsidP="003640D1">
      <w:pPr>
        <w:jc w:val="both"/>
        <w:rPr>
          <w:rFonts w:eastAsiaTheme="minorHAnsi"/>
          <w:szCs w:val="22"/>
        </w:rPr>
      </w:pPr>
      <w:r>
        <w:t xml:space="preserve">If the Commission approves staff’s recommendation in Issue 9, Issues 10 through 13 are moot. </w:t>
      </w:r>
      <w:r w:rsidR="003640D1" w:rsidRPr="003640D1">
        <w:rPr>
          <w:rFonts w:eastAsiaTheme="minorHAnsi"/>
          <w:szCs w:val="22"/>
        </w:rPr>
        <w:t>However, if the Commission approves EU’s application, the appropriate initial customer deposit is $380 for wastewater for the residential 5/8 inch x 3/4 inch meter size. The initial customer deposits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 (Bruce)</w:t>
      </w:r>
    </w:p>
    <w:p w14:paraId="4DEF54DA" w14:textId="77777777" w:rsidR="00521536" w:rsidRDefault="006E3F46" w:rsidP="00521536">
      <w:pPr>
        <w:pStyle w:val="BodyText"/>
        <w:spacing w:after="0"/>
      </w:pPr>
      <w:r>
        <w:t xml:space="preserve"> </w:t>
      </w:r>
    </w:p>
    <w:p w14:paraId="71970822" w14:textId="77777777" w:rsidR="00521536" w:rsidRDefault="00521536" w:rsidP="00521536">
      <w:pPr>
        <w:pStyle w:val="BodyText"/>
        <w:spacing w:after="0"/>
        <w:rPr>
          <w:rFonts w:ascii="Arial" w:hAnsi="Arial" w:cs="Arial"/>
          <w:b/>
        </w:rPr>
      </w:pPr>
      <w:r w:rsidRPr="006E3F46">
        <w:rPr>
          <w:rFonts w:ascii="Arial" w:hAnsi="Arial" w:cs="Arial"/>
          <w:b/>
        </w:rPr>
        <w:t>Position of the Parties</w:t>
      </w:r>
    </w:p>
    <w:p w14:paraId="4A1FF17E" w14:textId="77777777" w:rsidR="00521536" w:rsidRDefault="00521536" w:rsidP="00521536">
      <w:pPr>
        <w:jc w:val="both"/>
        <w:rPr>
          <w:bCs/>
        </w:rPr>
      </w:pPr>
    </w:p>
    <w:p w14:paraId="46805367" w14:textId="77777777" w:rsidR="00CD3DE9" w:rsidRPr="00DD5009" w:rsidRDefault="00CD3DE9" w:rsidP="00CD3DE9">
      <w:pPr>
        <w:jc w:val="both"/>
        <w:rPr>
          <w:bCs/>
        </w:rPr>
      </w:pPr>
      <w:r w:rsidRPr="00DE4013">
        <w:rPr>
          <w:rFonts w:ascii="Arial" w:hAnsi="Arial" w:cs="Arial"/>
          <w:b/>
          <w:bCs/>
        </w:rPr>
        <w:t>EU</w:t>
      </w:r>
      <w:r w:rsidRPr="00BB75C9">
        <w:rPr>
          <w:b/>
          <w:bCs/>
        </w:rPr>
        <w:t>:</w:t>
      </w:r>
      <w:r w:rsidR="00DD5009" w:rsidRPr="00DD5009">
        <w:t xml:space="preserve"> </w:t>
      </w:r>
      <w:r w:rsidR="00DD5009" w:rsidRPr="0039048B">
        <w:t xml:space="preserve">The customer deposit should be equal to the </w:t>
      </w:r>
      <w:r w:rsidR="00DD5009">
        <w:t xml:space="preserve">estimated </w:t>
      </w:r>
      <w:r w:rsidR="00DD5009" w:rsidRPr="0039048B">
        <w:t>average charge for wastewater service for two months</w:t>
      </w:r>
      <w:r w:rsidR="00DD5009">
        <w:t xml:space="preserve"> pursuant to Rule 25-30.311(7), F.A.C</w:t>
      </w:r>
      <w:r w:rsidR="00DD5009" w:rsidRPr="0039048B">
        <w:t>, based upon the approved final rates.</w:t>
      </w:r>
      <w:r w:rsidR="00DD5009">
        <w:rPr>
          <w:b/>
          <w:bCs/>
        </w:rPr>
        <w:t xml:space="preserve"> </w:t>
      </w:r>
    </w:p>
    <w:p w14:paraId="440C6E16" w14:textId="77777777" w:rsidR="00CD3DE9" w:rsidRDefault="00CD3DE9" w:rsidP="00CD3DE9">
      <w:pPr>
        <w:jc w:val="both"/>
        <w:rPr>
          <w:bCs/>
        </w:rPr>
      </w:pPr>
    </w:p>
    <w:p w14:paraId="2BE80967" w14:textId="77777777" w:rsidR="00CD3DE9" w:rsidRPr="00DD5009" w:rsidRDefault="00CD3DE9" w:rsidP="00DD5009">
      <w:pPr>
        <w:jc w:val="both"/>
        <w:rPr>
          <w:bCs/>
        </w:rPr>
      </w:pPr>
      <w:r w:rsidRPr="00DE4013">
        <w:rPr>
          <w:rFonts w:ascii="Arial" w:hAnsi="Arial" w:cs="Arial"/>
          <w:b/>
          <w:bCs/>
        </w:rPr>
        <w:t>OPC</w:t>
      </w:r>
      <w:r w:rsidRPr="00BB75C9">
        <w:rPr>
          <w:b/>
          <w:bCs/>
        </w:rPr>
        <w:t>:</w:t>
      </w:r>
      <w:r w:rsidR="00DD5009">
        <w:rPr>
          <w:b/>
          <w:bCs/>
        </w:rPr>
        <w:t xml:space="preserve"> </w:t>
      </w:r>
      <w:r w:rsidR="00DD5009" w:rsidRPr="003012D8">
        <w:rPr>
          <w:bCs/>
        </w:rPr>
        <w:t>The appropriate initial customer deposit is equal to two months of the average residential bill.</w:t>
      </w:r>
    </w:p>
    <w:p w14:paraId="7FBD6BDD" w14:textId="77777777" w:rsidR="00CD3DE9" w:rsidRDefault="00CD3DE9" w:rsidP="00CD3DE9">
      <w:pPr>
        <w:jc w:val="both"/>
        <w:rPr>
          <w:bCs/>
        </w:rPr>
      </w:pPr>
    </w:p>
    <w:p w14:paraId="20DFE703" w14:textId="77777777" w:rsidR="00CD3DE9" w:rsidRPr="00811E58" w:rsidRDefault="00CD3DE9" w:rsidP="00CD3DE9">
      <w:pPr>
        <w:jc w:val="both"/>
        <w:rPr>
          <w:bCs/>
        </w:rPr>
      </w:pPr>
      <w:r w:rsidRPr="00DE4013">
        <w:rPr>
          <w:rFonts w:ascii="Arial" w:hAnsi="Arial" w:cs="Arial"/>
          <w:b/>
          <w:bCs/>
        </w:rPr>
        <w:t>PIE</w:t>
      </w:r>
      <w:r w:rsidRPr="00BB75C9">
        <w:rPr>
          <w:b/>
          <w:bCs/>
        </w:rPr>
        <w:t>:</w:t>
      </w:r>
      <w:r w:rsidR="00811E58">
        <w:rPr>
          <w:b/>
          <w:bCs/>
        </w:rPr>
        <w:t xml:space="preserve"> </w:t>
      </w:r>
      <w:r w:rsidR="00811E58">
        <w:t>PIE has no position on this issue.</w:t>
      </w:r>
    </w:p>
    <w:p w14:paraId="48AE1CF4" w14:textId="77777777" w:rsidR="00CD3DE9" w:rsidRDefault="00CD3DE9" w:rsidP="00CD3DE9">
      <w:pPr>
        <w:jc w:val="both"/>
        <w:rPr>
          <w:bCs/>
        </w:rPr>
      </w:pPr>
    </w:p>
    <w:p w14:paraId="5A99A5B0" w14:textId="77777777" w:rsidR="00CD3DE9" w:rsidRPr="00811E58" w:rsidRDefault="00CD3DE9" w:rsidP="00CD3DE9">
      <w:pPr>
        <w:tabs>
          <w:tab w:val="left" w:pos="0"/>
        </w:tabs>
        <w:ind w:left="1530" w:hanging="1530"/>
        <w:jc w:val="both"/>
        <w:rPr>
          <w:bCs/>
        </w:rPr>
      </w:pPr>
      <w:r w:rsidRPr="00DE4013">
        <w:rPr>
          <w:rFonts w:ascii="Arial" w:hAnsi="Arial" w:cs="Arial"/>
          <w:b/>
          <w:bCs/>
        </w:rPr>
        <w:t>LC</w:t>
      </w:r>
      <w:r w:rsidRPr="00CD3DE9">
        <w:rPr>
          <w:b/>
          <w:bCs/>
        </w:rPr>
        <w:t>:</w:t>
      </w:r>
      <w:r w:rsidR="00811E58">
        <w:rPr>
          <w:b/>
          <w:bCs/>
        </w:rPr>
        <w:t xml:space="preserve"> </w:t>
      </w:r>
      <w:r w:rsidR="00D2016F" w:rsidRPr="00542E0D">
        <w:t>Undetermined.</w:t>
      </w:r>
    </w:p>
    <w:p w14:paraId="5376441A" w14:textId="77777777" w:rsidR="00521536" w:rsidRPr="006E3F46" w:rsidRDefault="00521536" w:rsidP="00521536">
      <w:pPr>
        <w:pStyle w:val="BodyText"/>
        <w:spacing w:after="0"/>
      </w:pPr>
    </w:p>
    <w:p w14:paraId="7B1F7A40" w14:textId="77777777" w:rsidR="003B57AB" w:rsidRPr="004C3641" w:rsidRDefault="003B57AB" w:rsidP="003B57AB">
      <w:pPr>
        <w:pStyle w:val="IssueSubsectionHeading"/>
        <w:rPr>
          <w:vanish/>
          <w:specVanish/>
        </w:rPr>
      </w:pPr>
      <w:r w:rsidRPr="004C3641">
        <w:t>Staff Analysis: </w:t>
      </w:r>
    </w:p>
    <w:p w14:paraId="01A1DD2B" w14:textId="77777777" w:rsidR="003B57AB" w:rsidRDefault="003B57AB" w:rsidP="003B57AB">
      <w:pPr>
        <w:pStyle w:val="BodyText"/>
      </w:pPr>
      <w:r>
        <w:t> </w:t>
      </w:r>
    </w:p>
    <w:p w14:paraId="39AE6E19" w14:textId="77777777" w:rsidR="0095668F" w:rsidRDefault="005833F0" w:rsidP="0095668F">
      <w:pPr>
        <w:pStyle w:val="BodyText"/>
        <w:spacing w:after="0"/>
        <w:jc w:val="center"/>
        <w:rPr>
          <w:rFonts w:ascii="Arial" w:hAnsi="Arial" w:cs="Arial"/>
          <w:b/>
        </w:rPr>
      </w:pPr>
      <w:r>
        <w:rPr>
          <w:rFonts w:ascii="Arial" w:hAnsi="Arial" w:cs="Arial"/>
          <w:b/>
        </w:rPr>
        <w:t>PARTIES’ ARGUMENTS</w:t>
      </w:r>
    </w:p>
    <w:p w14:paraId="73C286C1" w14:textId="77777777" w:rsidR="003640D1" w:rsidRPr="003640D1" w:rsidRDefault="003640D1" w:rsidP="003640D1">
      <w:pPr>
        <w:rPr>
          <w:rFonts w:ascii="Arial" w:eastAsiaTheme="minorHAnsi" w:hAnsi="Arial" w:cs="Arial"/>
          <w:szCs w:val="22"/>
        </w:rPr>
      </w:pPr>
      <w:r w:rsidRPr="003640D1">
        <w:rPr>
          <w:rFonts w:ascii="Arial" w:eastAsiaTheme="minorHAnsi" w:hAnsi="Arial" w:cs="Arial"/>
          <w:b/>
          <w:szCs w:val="22"/>
        </w:rPr>
        <w:t>EU</w:t>
      </w:r>
    </w:p>
    <w:p w14:paraId="08B87EF8" w14:textId="00ADFB8A" w:rsidR="003640D1" w:rsidRPr="003640D1" w:rsidRDefault="003640D1" w:rsidP="003640D1">
      <w:pPr>
        <w:jc w:val="both"/>
        <w:rPr>
          <w:rFonts w:eastAsiaTheme="minorHAnsi"/>
          <w:szCs w:val="22"/>
        </w:rPr>
      </w:pPr>
      <w:r w:rsidRPr="003640D1">
        <w:rPr>
          <w:rFonts w:eastAsiaTheme="minorHAnsi"/>
          <w:szCs w:val="22"/>
        </w:rPr>
        <w:t>EU contends that its proposed customer deposit is pursuant to Rule 25-30.311(7), F.A.C. The Utility proclaimed that the customer deposit of $380 is a fall-out of its final rates and is based on the average customer bill of $178.78. (EU BR 13; EXH 3</w:t>
      </w:r>
      <w:r w:rsidR="00C56017">
        <w:rPr>
          <w:rFonts w:eastAsiaTheme="minorHAnsi"/>
          <w:szCs w:val="22"/>
        </w:rPr>
        <w:t xml:space="preserve"> BSP 72</w:t>
      </w:r>
      <w:r w:rsidRPr="003640D1">
        <w:rPr>
          <w:rFonts w:eastAsiaTheme="minorHAnsi"/>
          <w:szCs w:val="22"/>
        </w:rPr>
        <w:t>; EXH 7</w:t>
      </w:r>
      <w:r w:rsidR="00C56017">
        <w:rPr>
          <w:rFonts w:eastAsiaTheme="minorHAnsi"/>
          <w:szCs w:val="22"/>
        </w:rPr>
        <w:t xml:space="preserve"> BSP 160</w:t>
      </w:r>
      <w:r w:rsidRPr="003640D1">
        <w:rPr>
          <w:rFonts w:eastAsiaTheme="minorHAnsi"/>
          <w:szCs w:val="22"/>
        </w:rPr>
        <w:t>)</w:t>
      </w:r>
    </w:p>
    <w:p w14:paraId="28EBB674" w14:textId="77777777" w:rsidR="003640D1" w:rsidRPr="003640D1" w:rsidRDefault="003640D1" w:rsidP="003640D1">
      <w:pPr>
        <w:rPr>
          <w:rFonts w:eastAsiaTheme="minorHAnsi"/>
          <w:szCs w:val="22"/>
        </w:rPr>
      </w:pPr>
    </w:p>
    <w:p w14:paraId="75C3491E" w14:textId="77777777" w:rsidR="003640D1" w:rsidRPr="003640D1" w:rsidRDefault="003640D1" w:rsidP="003640D1">
      <w:pPr>
        <w:rPr>
          <w:rFonts w:ascii="Arial" w:eastAsiaTheme="minorHAnsi" w:hAnsi="Arial" w:cs="Arial"/>
          <w:b/>
          <w:szCs w:val="22"/>
        </w:rPr>
      </w:pPr>
      <w:r w:rsidRPr="003640D1">
        <w:rPr>
          <w:rFonts w:ascii="Arial" w:eastAsiaTheme="minorHAnsi" w:hAnsi="Arial" w:cs="Arial"/>
          <w:b/>
          <w:szCs w:val="22"/>
        </w:rPr>
        <w:t>OPC</w:t>
      </w:r>
    </w:p>
    <w:p w14:paraId="5FD900F4" w14:textId="77777777" w:rsidR="003640D1" w:rsidRPr="003640D1" w:rsidRDefault="003640D1" w:rsidP="003640D1">
      <w:pPr>
        <w:jc w:val="both"/>
        <w:rPr>
          <w:rFonts w:eastAsiaTheme="minorHAnsi"/>
          <w:szCs w:val="22"/>
        </w:rPr>
      </w:pPr>
      <w:r w:rsidRPr="003640D1">
        <w:rPr>
          <w:rFonts w:eastAsiaTheme="minorHAnsi"/>
          <w:szCs w:val="22"/>
        </w:rPr>
        <w:t>OPC asserted that if the certificate is granted the customer deposits should be up to twice the average monthly bill as calculated by the Utility which is accordance with Commission precedent. (EXH 22; OPC BR 9)</w:t>
      </w:r>
    </w:p>
    <w:p w14:paraId="230670A0" w14:textId="77777777" w:rsidR="003640D1" w:rsidRPr="003640D1" w:rsidRDefault="003640D1" w:rsidP="003640D1">
      <w:pPr>
        <w:jc w:val="both"/>
        <w:rPr>
          <w:rFonts w:eastAsiaTheme="minorHAnsi"/>
          <w:szCs w:val="22"/>
        </w:rPr>
      </w:pPr>
    </w:p>
    <w:p w14:paraId="01CDB661" w14:textId="77777777" w:rsidR="003640D1" w:rsidRPr="003640D1" w:rsidRDefault="003640D1" w:rsidP="003640D1">
      <w:pPr>
        <w:rPr>
          <w:rFonts w:ascii="Arial" w:eastAsiaTheme="minorHAnsi" w:hAnsi="Arial" w:cs="Arial"/>
          <w:b/>
          <w:szCs w:val="22"/>
        </w:rPr>
      </w:pPr>
      <w:r w:rsidRPr="003640D1">
        <w:rPr>
          <w:rFonts w:ascii="Arial" w:eastAsiaTheme="minorHAnsi" w:hAnsi="Arial" w:cs="Arial"/>
          <w:b/>
          <w:szCs w:val="22"/>
        </w:rPr>
        <w:t>LC</w:t>
      </w:r>
    </w:p>
    <w:p w14:paraId="4BDA4B34" w14:textId="77777777" w:rsidR="003640D1" w:rsidRPr="003640D1" w:rsidRDefault="003640D1" w:rsidP="003640D1">
      <w:pPr>
        <w:jc w:val="both"/>
        <w:rPr>
          <w:rFonts w:eastAsiaTheme="minorHAnsi"/>
          <w:szCs w:val="22"/>
        </w:rPr>
      </w:pPr>
      <w:r w:rsidRPr="003640D1">
        <w:rPr>
          <w:rFonts w:eastAsiaTheme="minorHAnsi"/>
          <w:szCs w:val="22"/>
        </w:rPr>
        <w:t xml:space="preserve">Intervenor Cotherman argued, due to the undocumented costs of the construction and installation of the proposed project, </w:t>
      </w:r>
      <w:r w:rsidR="007D2194">
        <w:rPr>
          <w:rFonts w:eastAsiaTheme="minorHAnsi"/>
          <w:szCs w:val="22"/>
        </w:rPr>
        <w:t xml:space="preserve">the </w:t>
      </w:r>
      <w:r w:rsidRPr="003640D1">
        <w:rPr>
          <w:rFonts w:eastAsiaTheme="minorHAnsi"/>
          <w:szCs w:val="22"/>
        </w:rPr>
        <w:t>initial customer deposit cannot be accurately analyzed. (LC BR 28)</w:t>
      </w:r>
    </w:p>
    <w:p w14:paraId="1083EAEE" w14:textId="77777777" w:rsidR="003640D1" w:rsidRPr="003640D1" w:rsidRDefault="003640D1" w:rsidP="003640D1">
      <w:pPr>
        <w:jc w:val="both"/>
        <w:rPr>
          <w:rFonts w:eastAsiaTheme="minorHAnsi"/>
          <w:szCs w:val="22"/>
        </w:rPr>
      </w:pPr>
    </w:p>
    <w:p w14:paraId="663B8E78" w14:textId="77777777" w:rsidR="006108AC" w:rsidRDefault="006108AC">
      <w:pPr>
        <w:rPr>
          <w:rFonts w:ascii="Arial" w:eastAsiaTheme="minorHAnsi" w:hAnsi="Arial" w:cs="Arial"/>
          <w:b/>
          <w:szCs w:val="22"/>
        </w:rPr>
        <w:sectPr w:rsidR="006108AC" w:rsidSect="006108AC">
          <w:pgSz w:w="12240" w:h="15840" w:code="1"/>
          <w:pgMar w:top="1584" w:right="1440" w:bottom="1440" w:left="1440" w:header="720" w:footer="720" w:gutter="0"/>
          <w:cols w:space="720"/>
          <w:formProt w:val="0"/>
          <w:docGrid w:linePitch="360"/>
        </w:sectPr>
      </w:pPr>
    </w:p>
    <w:p w14:paraId="19E29780" w14:textId="77777777" w:rsidR="003640D1" w:rsidRPr="003640D1" w:rsidRDefault="003640D1" w:rsidP="003640D1">
      <w:pPr>
        <w:spacing w:after="200" w:line="276" w:lineRule="auto"/>
        <w:jc w:val="center"/>
        <w:rPr>
          <w:rFonts w:ascii="Arial" w:eastAsiaTheme="minorHAnsi" w:hAnsi="Arial" w:cs="Arial"/>
          <w:b/>
          <w:szCs w:val="22"/>
        </w:rPr>
      </w:pPr>
      <w:r w:rsidRPr="003640D1">
        <w:rPr>
          <w:rFonts w:ascii="Arial" w:eastAsiaTheme="minorHAnsi" w:hAnsi="Arial" w:cs="Arial"/>
          <w:b/>
          <w:szCs w:val="22"/>
        </w:rPr>
        <w:t>ANALYSIS</w:t>
      </w:r>
    </w:p>
    <w:p w14:paraId="24DAD627" w14:textId="2B51E1A0" w:rsidR="003640D1" w:rsidRPr="003640D1" w:rsidRDefault="003640D1" w:rsidP="003640D1">
      <w:pPr>
        <w:jc w:val="both"/>
        <w:rPr>
          <w:rFonts w:eastAsiaTheme="minorHAnsi"/>
          <w:szCs w:val="22"/>
        </w:rPr>
      </w:pPr>
      <w:r w:rsidRPr="003640D1">
        <w:rPr>
          <w:rFonts w:eastAsiaTheme="minorHAnsi"/>
          <w:szCs w:val="22"/>
        </w:rPr>
        <w:t>EU requested customer deposits of $180 for its wastewater system. Rule 25-30.311, F.A.C., contains criteria for collecting, administering, and refunding customer deposits. Rule 25-30.311(1), F.A.C., requires that each company’s tariff contain its specific criteria for determining the amount of initial deposits. Customer deposits are designed to minimize the exposure of bad debt expense for the Utility and, ultimately, the general body of ratepayers. In addition, collection of customer deposits is consistent with one of the</w:t>
      </w:r>
      <w:r w:rsidR="00B5146E">
        <w:rPr>
          <w:rFonts w:eastAsiaTheme="minorHAnsi"/>
          <w:szCs w:val="22"/>
        </w:rPr>
        <w:t xml:space="preserve"> fundamental principles of rate</w:t>
      </w:r>
      <w:r w:rsidRPr="003640D1">
        <w:rPr>
          <w:rFonts w:eastAsiaTheme="minorHAnsi"/>
          <w:szCs w:val="22"/>
        </w:rPr>
        <w:t>making, ensuring that the cost of providing service is recovered from the cost-causer.</w:t>
      </w:r>
    </w:p>
    <w:p w14:paraId="7A566909" w14:textId="77777777" w:rsidR="003640D1" w:rsidRPr="003640D1" w:rsidRDefault="003640D1" w:rsidP="003640D1">
      <w:pPr>
        <w:jc w:val="both"/>
        <w:rPr>
          <w:rFonts w:eastAsiaTheme="minorHAnsi"/>
          <w:szCs w:val="22"/>
        </w:rPr>
      </w:pPr>
    </w:p>
    <w:p w14:paraId="60087A6D" w14:textId="7949BCE1" w:rsidR="003640D1" w:rsidRPr="003640D1" w:rsidRDefault="003640D1" w:rsidP="003640D1">
      <w:pPr>
        <w:jc w:val="both"/>
        <w:rPr>
          <w:rFonts w:eastAsiaTheme="minorHAnsi"/>
          <w:szCs w:val="22"/>
        </w:rPr>
      </w:pPr>
      <w:r w:rsidRPr="003640D1">
        <w:rPr>
          <w:rFonts w:eastAsiaTheme="minorHAnsi"/>
          <w:szCs w:val="22"/>
        </w:rPr>
        <w:t>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It is Commission practice to set initial customer deposits equal to two months bills based on the average consumption for a 12-month period for each class of customers.</w:t>
      </w:r>
      <w:r w:rsidRPr="003640D1">
        <w:rPr>
          <w:rFonts w:eastAsiaTheme="minorHAnsi"/>
          <w:szCs w:val="22"/>
          <w:vertAlign w:val="superscript"/>
        </w:rPr>
        <w:footnoteReference w:id="24"/>
      </w:r>
      <w:r w:rsidRPr="003640D1">
        <w:rPr>
          <w:rFonts w:eastAsiaTheme="minorHAnsi"/>
          <w:szCs w:val="22"/>
        </w:rPr>
        <w:t xml:space="preserve"> OPC agrees that it is Commission precedent that customer deposits are equal to two months average bills. (OPC BR 9) Intervenor Cotherman does not believe the rates are substantiated and thus, the initial customer deposit cannot be analyzed. (LC BR 28) Staff has reviewed the financial information provided. </w:t>
      </w:r>
      <w:r w:rsidRPr="003640D1">
        <w:rPr>
          <w:rFonts w:eastAsiaTheme="minorHAnsi" w:cstheme="minorBidi"/>
          <w:color w:val="000000"/>
          <w:szCs w:val="22"/>
        </w:rPr>
        <w:t>Based on the staff recommended wastewater rates and average residential demand of 2,737 gallons,</w:t>
      </w:r>
      <w:r w:rsidRPr="003640D1">
        <w:rPr>
          <w:rFonts w:eastAsiaTheme="minorHAnsi"/>
          <w:szCs w:val="22"/>
        </w:rPr>
        <w:t xml:space="preserve"> the average residential monthly bill is $190, with a resulting initial customer deposit of $380 based on the </w:t>
      </w:r>
      <w:r w:rsidR="00B5146E">
        <w:rPr>
          <w:rFonts w:eastAsiaTheme="minorHAnsi"/>
          <w:szCs w:val="22"/>
        </w:rPr>
        <w:t>2</w:t>
      </w:r>
      <w:r w:rsidRPr="003640D1">
        <w:rPr>
          <w:rFonts w:eastAsiaTheme="minorHAnsi"/>
          <w:szCs w:val="22"/>
        </w:rPr>
        <w:t xml:space="preserve">-month period. </w:t>
      </w:r>
    </w:p>
    <w:p w14:paraId="404D80B0" w14:textId="77777777" w:rsidR="003640D1" w:rsidRPr="003640D1" w:rsidRDefault="003640D1" w:rsidP="003640D1">
      <w:pPr>
        <w:jc w:val="both"/>
        <w:rPr>
          <w:rFonts w:eastAsiaTheme="minorHAnsi"/>
          <w:szCs w:val="22"/>
        </w:rPr>
      </w:pPr>
    </w:p>
    <w:p w14:paraId="784EB8A6" w14:textId="77777777" w:rsidR="003640D1" w:rsidRDefault="003640D1" w:rsidP="003640D1">
      <w:pPr>
        <w:jc w:val="center"/>
        <w:rPr>
          <w:rFonts w:ascii="Arial" w:eastAsiaTheme="minorHAnsi" w:hAnsi="Arial" w:cs="Arial"/>
          <w:b/>
          <w:szCs w:val="22"/>
        </w:rPr>
      </w:pPr>
      <w:r w:rsidRPr="003640D1">
        <w:rPr>
          <w:rFonts w:ascii="Arial" w:eastAsiaTheme="minorHAnsi" w:hAnsi="Arial" w:cs="Arial"/>
          <w:b/>
          <w:szCs w:val="22"/>
        </w:rPr>
        <w:t>CONCLUSION</w:t>
      </w:r>
    </w:p>
    <w:p w14:paraId="7F0EBAE7" w14:textId="77777777" w:rsidR="003640D1" w:rsidRPr="003640D1" w:rsidRDefault="003640D1" w:rsidP="003640D1">
      <w:pPr>
        <w:jc w:val="center"/>
        <w:rPr>
          <w:rFonts w:ascii="Arial" w:eastAsiaTheme="minorHAnsi" w:hAnsi="Arial" w:cs="Arial"/>
          <w:b/>
          <w:szCs w:val="22"/>
        </w:rPr>
      </w:pPr>
    </w:p>
    <w:p w14:paraId="732520D5" w14:textId="29DC52BC" w:rsidR="003640D1" w:rsidRPr="003640D1" w:rsidRDefault="00B609A2" w:rsidP="003640D1">
      <w:pPr>
        <w:spacing w:after="200"/>
        <w:jc w:val="both"/>
        <w:rPr>
          <w:rFonts w:eastAsiaTheme="minorHAnsi"/>
          <w:szCs w:val="22"/>
        </w:rPr>
      </w:pPr>
      <w:r>
        <w:t xml:space="preserve">If the Commission approves staff’s recommendation in Issue 9, Issues 10 through 13 are moot. </w:t>
      </w:r>
      <w:r w:rsidR="003640D1" w:rsidRPr="003640D1">
        <w:rPr>
          <w:rFonts w:eastAsiaTheme="minorHAnsi"/>
          <w:szCs w:val="22"/>
        </w:rPr>
        <w:t xml:space="preserve">However, if the Commission approves EU’s application, based on the above, the appropriate initial customer deposit is $380 for wastewater for the residential 5/8 inch x 3/4 inch meter size. The initial customer deposit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 </w:t>
      </w:r>
    </w:p>
    <w:p w14:paraId="72698163" w14:textId="77777777" w:rsidR="003640D1" w:rsidRPr="003640D1" w:rsidRDefault="003640D1" w:rsidP="003640D1">
      <w:pPr>
        <w:jc w:val="both"/>
        <w:rPr>
          <w:rFonts w:eastAsiaTheme="minorHAnsi"/>
          <w:szCs w:val="22"/>
        </w:rPr>
      </w:pPr>
    </w:p>
    <w:p w14:paraId="5495B677" w14:textId="77777777" w:rsidR="003B57AB" w:rsidRPr="003B57AB" w:rsidRDefault="003B57AB" w:rsidP="003B57AB">
      <w:pPr>
        <w:pStyle w:val="BodyText"/>
        <w:spacing w:after="0"/>
      </w:pPr>
    </w:p>
    <w:p w14:paraId="0E85C4AE" w14:textId="77777777" w:rsidR="006E3F46" w:rsidRDefault="006E3F46">
      <w:pPr>
        <w:pStyle w:val="IssueHeading"/>
        <w:rPr>
          <w:vanish/>
          <w:specVanish/>
        </w:rPr>
      </w:pPr>
      <w:r w:rsidRPr="004C3641">
        <w:rPr>
          <w:b w:val="0"/>
          <w:i w:val="0"/>
        </w:rPr>
        <w:br w:type="page"/>
      </w:r>
      <w:r w:rsidRPr="004C3641">
        <w:t xml:space="preserve">Issue </w:t>
      </w:r>
      <w:fldSimple w:instr=" SEQ Issue \* MERGEFORMAT ">
        <w:r w:rsidR="0028227E">
          <w:rPr>
            <w:noProof/>
          </w:rPr>
          <w:t>14</w:t>
        </w:r>
      </w:fldSimple>
      <w:r w:rsidRPr="004C3641">
        <w:t>:</w:t>
      </w:r>
      <w:r>
        <w:fldChar w:fldCharType="begin"/>
      </w:r>
      <w:r>
        <w:instrText xml:space="preserve"> TC "</w:instrText>
      </w:r>
      <w:bookmarkStart w:id="29" w:name="_Toc104278784"/>
      <w:r w:rsidR="00D25E9A">
        <w:instrText xml:space="preserve">Issue </w:instrText>
      </w:r>
      <w:r>
        <w:fldChar w:fldCharType="begin"/>
      </w:r>
      <w:r>
        <w:instrText xml:space="preserve"> SEQ issue \c </w:instrText>
      </w:r>
      <w:r>
        <w:fldChar w:fldCharType="separate"/>
      </w:r>
      <w:r w:rsidR="0028227E">
        <w:rPr>
          <w:noProof/>
        </w:rPr>
        <w:instrText>14</w:instrText>
      </w:r>
      <w:r>
        <w:fldChar w:fldCharType="end"/>
      </w:r>
      <w:r w:rsidR="00D25E9A">
        <w:instrText xml:space="preserve"> – Docket Closure</w:instrText>
      </w:r>
      <w:bookmarkEnd w:id="29"/>
      <w:r>
        <w:tab/>
        <w:instrText xml:space="preserve">" \l 1 </w:instrText>
      </w:r>
      <w:r>
        <w:fldChar w:fldCharType="end"/>
      </w:r>
      <w:r>
        <w:t> </w:t>
      </w:r>
    </w:p>
    <w:p w14:paraId="3CD70BB2" w14:textId="77777777" w:rsidR="006E3F46" w:rsidRDefault="006E3F46" w:rsidP="00BD72E5">
      <w:pPr>
        <w:pStyle w:val="BodyText"/>
        <w:spacing w:after="0"/>
      </w:pPr>
      <w:r>
        <w:t> Should this docket be closed?</w:t>
      </w:r>
    </w:p>
    <w:p w14:paraId="21BABD24" w14:textId="77777777" w:rsidR="00BD72E5" w:rsidRDefault="00BD72E5" w:rsidP="00BD72E5">
      <w:pPr>
        <w:pStyle w:val="IssueSubsectionHeading"/>
        <w:spacing w:after="0"/>
      </w:pPr>
    </w:p>
    <w:p w14:paraId="20E88641" w14:textId="31659966" w:rsidR="006E3F46" w:rsidRPr="004C3641" w:rsidRDefault="006E3F46" w:rsidP="00BD72E5">
      <w:pPr>
        <w:pStyle w:val="IssueSubsectionHeading"/>
        <w:spacing w:after="0"/>
        <w:rPr>
          <w:vanish/>
          <w:specVanish/>
        </w:rPr>
      </w:pPr>
      <w:r w:rsidRPr="004C3641">
        <w:t>Recommendation: </w:t>
      </w:r>
    </w:p>
    <w:p w14:paraId="5A90658B" w14:textId="325A69D7" w:rsidR="00B609A2" w:rsidRPr="00B609A2" w:rsidRDefault="00B609A2" w:rsidP="00BD72E5">
      <w:pPr>
        <w:jc w:val="both"/>
        <w:rPr>
          <w:rFonts w:eastAsiaTheme="minorHAnsi" w:cstheme="minorBidi"/>
          <w:szCs w:val="22"/>
        </w:rPr>
      </w:pPr>
      <w:r w:rsidRPr="00B609A2">
        <w:rPr>
          <w:rFonts w:eastAsiaTheme="minorHAnsi" w:cstheme="minorBidi"/>
          <w:color w:val="000000"/>
          <w:szCs w:val="22"/>
        </w:rPr>
        <w:t>If staff’s recommendation on Issue 9 is approved, this docket should be closed. If the Commission approves</w:t>
      </w:r>
      <w:r w:rsidRPr="00B609A2">
        <w:rPr>
          <w:rFonts w:eastAsiaTheme="minorHAnsi" w:cstheme="minorBidi"/>
          <w:szCs w:val="22"/>
        </w:rPr>
        <w:t xml:space="preserve"> EU’s request for certification, the Utility should be required </w:t>
      </w:r>
      <w:r>
        <w:rPr>
          <w:rFonts w:eastAsiaTheme="minorHAnsi" w:cstheme="minorBidi"/>
          <w:szCs w:val="22"/>
        </w:rPr>
        <w:t xml:space="preserve">to </w:t>
      </w:r>
      <w:r w:rsidRPr="00B609A2">
        <w:rPr>
          <w:rFonts w:eastAsiaTheme="minorHAnsi" w:cstheme="minorBidi"/>
          <w:szCs w:val="22"/>
        </w:rPr>
        <w:t>file an amended territory description and map within 30 days of the issuance of the Commission’s order, and this docket should remain open for the parties and Commission to address the amended territory description and map.</w:t>
      </w:r>
      <w:r w:rsidRPr="00B609A2">
        <w:rPr>
          <w:rFonts w:eastAsiaTheme="minorHAnsi" w:cstheme="minorBidi"/>
          <w:color w:val="000000"/>
          <w:szCs w:val="22"/>
        </w:rPr>
        <w:t xml:space="preserve"> </w:t>
      </w:r>
      <w:r w:rsidRPr="00B609A2">
        <w:rPr>
          <w:rFonts w:eastAsiaTheme="minorHAnsi" w:cstheme="minorBidi"/>
          <w:szCs w:val="22"/>
        </w:rPr>
        <w:t>(Crawford, Sandy)</w:t>
      </w:r>
    </w:p>
    <w:p w14:paraId="66B8C03B" w14:textId="77777777" w:rsidR="00BD72E5" w:rsidRDefault="00BD72E5" w:rsidP="00662F10">
      <w:pPr>
        <w:pStyle w:val="BodyText"/>
        <w:spacing w:after="0"/>
        <w:rPr>
          <w:rFonts w:ascii="Arial" w:hAnsi="Arial" w:cs="Arial"/>
          <w:b/>
        </w:rPr>
      </w:pPr>
    </w:p>
    <w:p w14:paraId="5952C125" w14:textId="03F84697" w:rsidR="00662F10" w:rsidRPr="00A30BB4" w:rsidRDefault="00662F10" w:rsidP="00662F10">
      <w:pPr>
        <w:pStyle w:val="BodyText"/>
        <w:spacing w:after="0"/>
        <w:rPr>
          <w:rFonts w:ascii="Arial" w:hAnsi="Arial" w:cs="Arial"/>
          <w:b/>
        </w:rPr>
      </w:pPr>
      <w:r w:rsidRPr="00A30BB4">
        <w:rPr>
          <w:rFonts w:ascii="Arial" w:hAnsi="Arial" w:cs="Arial"/>
          <w:b/>
        </w:rPr>
        <w:t>Position of the Parties</w:t>
      </w:r>
    </w:p>
    <w:p w14:paraId="56C89DB4" w14:textId="77777777" w:rsidR="00662F10" w:rsidRDefault="00662F10" w:rsidP="00662F10">
      <w:pPr>
        <w:jc w:val="both"/>
        <w:rPr>
          <w:bCs/>
        </w:rPr>
      </w:pPr>
    </w:p>
    <w:p w14:paraId="6956E67E" w14:textId="77777777" w:rsidR="00781AAF" w:rsidRDefault="00662F10" w:rsidP="00781AAF">
      <w:pPr>
        <w:pStyle w:val="BodyText"/>
        <w:spacing w:after="0"/>
      </w:pPr>
      <w:r>
        <w:rPr>
          <w:rFonts w:ascii="Arial" w:hAnsi="Arial" w:cs="Arial"/>
          <w:b/>
          <w:bCs/>
        </w:rPr>
        <w:t>EU</w:t>
      </w:r>
      <w:r w:rsidRPr="00CE6C6D">
        <w:rPr>
          <w:rFonts w:ascii="Arial" w:hAnsi="Arial" w:cs="Arial"/>
          <w:b/>
          <w:bCs/>
        </w:rPr>
        <w:t>:</w:t>
      </w:r>
      <w:r>
        <w:rPr>
          <w:b/>
          <w:bCs/>
        </w:rPr>
        <w:t xml:space="preserve"> </w:t>
      </w:r>
      <w:r w:rsidR="00781AAF">
        <w:t>No post-hearing position was provided in its brief.</w:t>
      </w:r>
    </w:p>
    <w:p w14:paraId="45D56363" w14:textId="77777777" w:rsidR="00781AAF" w:rsidRDefault="00781AAF" w:rsidP="00781AAF">
      <w:pPr>
        <w:jc w:val="both"/>
        <w:rPr>
          <w:bCs/>
        </w:rPr>
      </w:pPr>
    </w:p>
    <w:p w14:paraId="2652B139" w14:textId="77777777" w:rsidR="00781AAF" w:rsidRDefault="00781AAF" w:rsidP="00781AAF">
      <w:pPr>
        <w:pStyle w:val="BodyText"/>
        <w:spacing w:after="0"/>
      </w:pPr>
      <w:r>
        <w:rPr>
          <w:rFonts w:ascii="Arial" w:hAnsi="Arial" w:cs="Arial"/>
          <w:b/>
          <w:bCs/>
        </w:rPr>
        <w:t>OPC</w:t>
      </w:r>
      <w:r w:rsidRPr="00CE6C6D">
        <w:rPr>
          <w:rFonts w:ascii="Arial" w:hAnsi="Arial" w:cs="Arial"/>
          <w:b/>
          <w:bCs/>
        </w:rPr>
        <w:t>:</w:t>
      </w:r>
      <w:r w:rsidRPr="00662F10">
        <w:t xml:space="preserve"> </w:t>
      </w:r>
      <w:r w:rsidRPr="003012D8">
        <w:t>If the Commission denies the application for new certificate, the docket should be closed upon expiration of the 30-day appeal period. If the Commission grants the certificate, the docket should remain open until invoices supporting the collection system buildout are submitted.</w:t>
      </w:r>
    </w:p>
    <w:p w14:paraId="4D658C88" w14:textId="77777777" w:rsidR="00781AAF" w:rsidRDefault="00781AAF" w:rsidP="00781AAF">
      <w:pPr>
        <w:pStyle w:val="BodyText"/>
        <w:spacing w:after="0"/>
      </w:pPr>
    </w:p>
    <w:p w14:paraId="4BCD196B" w14:textId="77777777" w:rsidR="00781AAF" w:rsidRDefault="00781AAF" w:rsidP="00781AAF">
      <w:pPr>
        <w:pStyle w:val="BodyText"/>
        <w:spacing w:after="0"/>
      </w:pPr>
      <w:r>
        <w:rPr>
          <w:rFonts w:ascii="Arial" w:hAnsi="Arial" w:cs="Arial"/>
          <w:b/>
          <w:bCs/>
        </w:rPr>
        <w:t>PIE</w:t>
      </w:r>
      <w:r w:rsidRPr="00CE6C6D">
        <w:rPr>
          <w:rFonts w:ascii="Arial" w:hAnsi="Arial" w:cs="Arial"/>
          <w:b/>
          <w:bCs/>
        </w:rPr>
        <w:t>:</w:t>
      </w:r>
      <w:r>
        <w:rPr>
          <w:b/>
          <w:bCs/>
        </w:rPr>
        <w:t xml:space="preserve"> </w:t>
      </w:r>
      <w:r>
        <w:t>Yes, the docket should be closed.</w:t>
      </w:r>
    </w:p>
    <w:p w14:paraId="1654F9D0" w14:textId="77777777" w:rsidR="00781AAF" w:rsidRDefault="00781AAF" w:rsidP="00781AAF">
      <w:pPr>
        <w:pStyle w:val="BodyText"/>
        <w:spacing w:after="0"/>
      </w:pPr>
    </w:p>
    <w:p w14:paraId="55004F2B" w14:textId="77777777" w:rsidR="00781AAF" w:rsidRDefault="00781AAF" w:rsidP="00781AAF">
      <w:pPr>
        <w:pStyle w:val="BodyText"/>
        <w:spacing w:after="0"/>
      </w:pPr>
      <w:r>
        <w:rPr>
          <w:rFonts w:ascii="Arial" w:hAnsi="Arial" w:cs="Arial"/>
          <w:b/>
          <w:bCs/>
        </w:rPr>
        <w:t>LC</w:t>
      </w:r>
      <w:r w:rsidRPr="00CE6C6D">
        <w:rPr>
          <w:rFonts w:ascii="Arial" w:hAnsi="Arial" w:cs="Arial"/>
          <w:b/>
          <w:bCs/>
        </w:rPr>
        <w:t>:</w:t>
      </w:r>
      <w:r>
        <w:rPr>
          <w:b/>
          <w:bCs/>
        </w:rPr>
        <w:t xml:space="preserve"> </w:t>
      </w:r>
      <w:r w:rsidR="00C13ECE" w:rsidRPr="00542E0D">
        <w:t>Yes. The applicant has not provided adequate information with</w:t>
      </w:r>
      <w:r w:rsidR="00C13ECE">
        <w:t xml:space="preserve"> </w:t>
      </w:r>
      <w:r w:rsidR="00C13ECE" w:rsidRPr="00542E0D">
        <w:t>supporting documentation to warrant the granting of certification for the proposed service area. EU has not demonstrated the need for service required for certification, nor the financial and technical abilities to accomplish the project.</w:t>
      </w:r>
    </w:p>
    <w:p w14:paraId="07E9FDB7" w14:textId="77777777" w:rsidR="00781AAF" w:rsidRDefault="00781AAF" w:rsidP="00781AAF">
      <w:pPr>
        <w:pStyle w:val="BodyText"/>
        <w:spacing w:after="0"/>
      </w:pPr>
    </w:p>
    <w:p w14:paraId="36B707D5" w14:textId="77777777" w:rsidR="00662F10" w:rsidRPr="004C3641" w:rsidRDefault="00662F10" w:rsidP="00662F10">
      <w:pPr>
        <w:pStyle w:val="IssueSubsectionHeading"/>
        <w:rPr>
          <w:vanish/>
          <w:specVanish/>
        </w:rPr>
      </w:pPr>
      <w:r w:rsidRPr="004C3641">
        <w:t>Staff Analysis: </w:t>
      </w:r>
    </w:p>
    <w:p w14:paraId="26B4529E" w14:textId="77777777" w:rsidR="00662F10" w:rsidRDefault="00662F10" w:rsidP="00662F10">
      <w:pPr>
        <w:pStyle w:val="BodyText"/>
        <w:spacing w:after="0"/>
      </w:pPr>
    </w:p>
    <w:p w14:paraId="13361D59" w14:textId="77777777" w:rsidR="00662F10" w:rsidRDefault="00662F10" w:rsidP="00662F10">
      <w:pPr>
        <w:pStyle w:val="BodyText"/>
        <w:spacing w:after="0"/>
        <w:jc w:val="center"/>
        <w:rPr>
          <w:rFonts w:ascii="Arial" w:hAnsi="Arial" w:cs="Arial"/>
          <w:b/>
        </w:rPr>
      </w:pPr>
      <w:r>
        <w:rPr>
          <w:rFonts w:ascii="Arial" w:hAnsi="Arial" w:cs="Arial"/>
          <w:b/>
        </w:rPr>
        <w:t>PARTIES’ ARGUMENTS</w:t>
      </w:r>
    </w:p>
    <w:p w14:paraId="7CEE2017" w14:textId="77777777" w:rsidR="0028227E" w:rsidRDefault="0028227E" w:rsidP="0028227E">
      <w:pPr>
        <w:jc w:val="both"/>
        <w:rPr>
          <w:rFonts w:ascii="Arial" w:hAnsi="Arial" w:cs="Arial"/>
          <w:b/>
          <w:bCs/>
        </w:rPr>
      </w:pPr>
      <w:r w:rsidRPr="0028227E">
        <w:rPr>
          <w:rFonts w:ascii="Arial" w:hAnsi="Arial" w:cs="Arial"/>
          <w:b/>
          <w:bCs/>
        </w:rPr>
        <w:t>EU</w:t>
      </w:r>
    </w:p>
    <w:p w14:paraId="56521FBE" w14:textId="77777777" w:rsidR="0028227E" w:rsidRPr="0028227E" w:rsidRDefault="0028227E" w:rsidP="0028227E">
      <w:pPr>
        <w:jc w:val="both"/>
      </w:pPr>
      <w:r w:rsidRPr="0028227E">
        <w:t>No post-hearing position was provided in its brief</w:t>
      </w:r>
      <w:r w:rsidRPr="0028227E">
        <w:rPr>
          <w:color w:val="000000"/>
        </w:rPr>
        <w:t xml:space="preserve">. </w:t>
      </w:r>
    </w:p>
    <w:p w14:paraId="2798B2F0" w14:textId="77777777" w:rsidR="0028227E" w:rsidRPr="0028227E" w:rsidRDefault="0028227E" w:rsidP="0028227E">
      <w:pPr>
        <w:jc w:val="both"/>
        <w:rPr>
          <w:bCs/>
        </w:rPr>
      </w:pPr>
    </w:p>
    <w:p w14:paraId="28155EC8" w14:textId="77777777" w:rsidR="0028227E" w:rsidRDefault="0028227E" w:rsidP="0028227E">
      <w:pPr>
        <w:jc w:val="both"/>
        <w:rPr>
          <w:b/>
          <w:bCs/>
        </w:rPr>
      </w:pPr>
      <w:r w:rsidRPr="0028227E">
        <w:rPr>
          <w:b/>
          <w:bCs/>
        </w:rPr>
        <w:t>OPC</w:t>
      </w:r>
    </w:p>
    <w:p w14:paraId="56E1DDF8" w14:textId="77777777" w:rsidR="0028227E" w:rsidRPr="0028227E" w:rsidRDefault="0028227E" w:rsidP="0028227E">
      <w:pPr>
        <w:jc w:val="both"/>
        <w:rPr>
          <w:bCs/>
        </w:rPr>
      </w:pPr>
      <w:r w:rsidRPr="0028227E">
        <w:rPr>
          <w:bCs/>
        </w:rPr>
        <w:t>If the Commission denies the application for new certificate, the docket should be closed upon expiration of the deadline to appeal. If the Commission grants the certificate, the docket should remain open until invoices supporting the collection system buildout are submitted.</w:t>
      </w:r>
    </w:p>
    <w:p w14:paraId="320D5F97" w14:textId="77777777" w:rsidR="0028227E" w:rsidRPr="0028227E" w:rsidRDefault="0028227E" w:rsidP="0028227E">
      <w:pPr>
        <w:jc w:val="both"/>
      </w:pPr>
    </w:p>
    <w:p w14:paraId="06C176C3" w14:textId="42D9A9B2" w:rsidR="0028227E" w:rsidRDefault="0028227E" w:rsidP="0028227E">
      <w:pPr>
        <w:jc w:val="both"/>
        <w:rPr>
          <w:b/>
        </w:rPr>
      </w:pPr>
      <w:r w:rsidRPr="0028227E">
        <w:rPr>
          <w:b/>
        </w:rPr>
        <w:t>LC</w:t>
      </w:r>
    </w:p>
    <w:p w14:paraId="7A549CF4" w14:textId="77777777" w:rsidR="00BD72E5" w:rsidRDefault="0028227E" w:rsidP="00BD72E5">
      <w:pPr>
        <w:jc w:val="both"/>
      </w:pPr>
      <w:r w:rsidRPr="0028227E">
        <w:t>The applicant has not provided adequate information with supporting documentation to warrant the granting of certification for the proposed service area. EU has not demonstrated the need for service required for certification, nor the financial and technical abilities to accomplish the project.</w:t>
      </w:r>
    </w:p>
    <w:p w14:paraId="2DDE943D" w14:textId="77777777" w:rsidR="00BD72E5" w:rsidRDefault="00BD72E5" w:rsidP="00BD72E5">
      <w:pPr>
        <w:jc w:val="both"/>
      </w:pPr>
    </w:p>
    <w:p w14:paraId="50846FDD" w14:textId="7B9C906A" w:rsidR="00662F10" w:rsidRDefault="00662F10" w:rsidP="00BD72E5">
      <w:pPr>
        <w:jc w:val="center"/>
        <w:rPr>
          <w:rFonts w:ascii="Arial" w:hAnsi="Arial" w:cs="Arial"/>
          <w:b/>
        </w:rPr>
      </w:pPr>
      <w:r w:rsidRPr="004756CD">
        <w:rPr>
          <w:rFonts w:ascii="Arial" w:hAnsi="Arial" w:cs="Arial"/>
          <w:b/>
        </w:rPr>
        <w:t>ANA</w:t>
      </w:r>
      <w:r>
        <w:rPr>
          <w:rFonts w:ascii="Arial" w:hAnsi="Arial" w:cs="Arial"/>
          <w:b/>
        </w:rPr>
        <w:t>L</w:t>
      </w:r>
      <w:r w:rsidRPr="004756CD">
        <w:rPr>
          <w:rFonts w:ascii="Arial" w:hAnsi="Arial" w:cs="Arial"/>
          <w:b/>
        </w:rPr>
        <w:t>YSIS</w:t>
      </w:r>
    </w:p>
    <w:p w14:paraId="405D393B" w14:textId="77777777" w:rsidR="00BD72E5" w:rsidRPr="004756CD" w:rsidRDefault="00BD72E5" w:rsidP="00BD72E5">
      <w:pPr>
        <w:jc w:val="center"/>
        <w:rPr>
          <w:rFonts w:ascii="Arial" w:hAnsi="Arial" w:cs="Arial"/>
          <w:b/>
        </w:rPr>
      </w:pPr>
    </w:p>
    <w:p w14:paraId="11C6BFC4" w14:textId="1436C90D" w:rsidR="00B609A2" w:rsidRDefault="00B609A2" w:rsidP="00662F10">
      <w:pPr>
        <w:pStyle w:val="BodyText"/>
      </w:pPr>
      <w:r w:rsidRPr="00496A9D">
        <w:rPr>
          <w:color w:val="000000"/>
        </w:rPr>
        <w:t>If staff’s recommendation on Issue 9 is approved, this docket should be closed upon the issuance of the final order. If the Commission approves</w:t>
      </w:r>
      <w:r w:rsidRPr="00496A9D">
        <w:t xml:space="preserve"> EU’s request for certification, the Utility should be required</w:t>
      </w:r>
      <w:r>
        <w:t xml:space="preserve"> to</w:t>
      </w:r>
      <w:r w:rsidRPr="00496A9D">
        <w:t xml:space="preserve"> file an amended territory description and map within 30 days of the issuance of the Commission’s order, and this docket should remain open for the parties and Commission to address the amended territory description and map</w:t>
      </w:r>
      <w:r>
        <w:t>.</w:t>
      </w:r>
    </w:p>
    <w:p w14:paraId="2DB0149C" w14:textId="77777777" w:rsidR="00F915FE" w:rsidRDefault="00F915FE" w:rsidP="00E275D8">
      <w:pPr>
        <w:pStyle w:val="BodyText"/>
        <w:sectPr w:rsidR="00F915FE" w:rsidSect="006108AC">
          <w:pgSz w:w="12240" w:h="15840" w:code="1"/>
          <w:pgMar w:top="1584" w:right="1440" w:bottom="1440" w:left="1440" w:header="720" w:footer="720" w:gutter="0"/>
          <w:cols w:space="720"/>
          <w:formProt w:val="0"/>
          <w:docGrid w:linePitch="360"/>
        </w:sectPr>
      </w:pPr>
    </w:p>
    <w:p w14:paraId="5713602A" w14:textId="77777777" w:rsidR="00F915FE" w:rsidRDefault="00410424" w:rsidP="00E275D8">
      <w:pPr>
        <w:pStyle w:val="BodyText"/>
      </w:pPr>
      <w:r>
        <w:fldChar w:fldCharType="begin"/>
      </w:r>
      <w:r>
        <w:instrText xml:space="preserve"> TC "</w:instrText>
      </w:r>
      <w:bookmarkStart w:id="30" w:name="_Toc104278785"/>
      <w:r>
        <w:instrText>Schedule No. 1-A – Wastewater Rate Base</w:instrText>
      </w:r>
      <w:bookmarkEnd w:id="30"/>
      <w:r>
        <w:instrText xml:space="preserve">" \l 1 </w:instrText>
      </w:r>
      <w:r>
        <w:fldChar w:fldCharType="end"/>
      </w:r>
    </w:p>
    <w:p w14:paraId="1D5D0DA4" w14:textId="77777777" w:rsidR="00F915FE" w:rsidRDefault="00F915FE" w:rsidP="00E275D8">
      <w:pPr>
        <w:pStyle w:val="BodyText"/>
      </w:pPr>
    </w:p>
    <w:tbl>
      <w:tblPr>
        <w:tblW w:w="8692" w:type="dxa"/>
        <w:jc w:val="center"/>
        <w:tblLook w:val="04A0" w:firstRow="1" w:lastRow="0" w:firstColumn="1" w:lastColumn="0" w:noHBand="0" w:noVBand="1"/>
      </w:tblPr>
      <w:tblGrid>
        <w:gridCol w:w="436"/>
        <w:gridCol w:w="3601"/>
        <w:gridCol w:w="1596"/>
        <w:gridCol w:w="1581"/>
        <w:gridCol w:w="1587"/>
      </w:tblGrid>
      <w:tr w:rsidR="00F915FE" w14:paraId="01926F54" w14:textId="77777777" w:rsidTr="00F915FE">
        <w:trPr>
          <w:trHeight w:val="300"/>
          <w:jc w:val="center"/>
        </w:trPr>
        <w:tc>
          <w:tcPr>
            <w:tcW w:w="3928" w:type="dxa"/>
            <w:gridSpan w:val="2"/>
            <w:tcBorders>
              <w:top w:val="single" w:sz="4" w:space="0" w:color="auto"/>
              <w:left w:val="single" w:sz="4" w:space="0" w:color="auto"/>
              <w:bottom w:val="nil"/>
              <w:right w:val="nil"/>
            </w:tcBorders>
            <w:shd w:val="clear" w:color="000000" w:fill="FFFFFF"/>
            <w:noWrap/>
            <w:vAlign w:val="bottom"/>
            <w:hideMark/>
          </w:tcPr>
          <w:p w14:paraId="15E11303" w14:textId="77777777" w:rsidR="00F915FE" w:rsidRDefault="00F915FE" w:rsidP="00410424">
            <w:pPr>
              <w:rPr>
                <w:rFonts w:ascii="Arial" w:hAnsi="Arial" w:cs="Arial"/>
                <w:b/>
                <w:bCs/>
              </w:rPr>
            </w:pPr>
            <w:r>
              <w:rPr>
                <w:rFonts w:ascii="Arial" w:hAnsi="Arial" w:cs="Arial"/>
                <w:b/>
                <w:bCs/>
              </w:rPr>
              <w:t>Environmental Utilities, LLC</w:t>
            </w:r>
          </w:p>
        </w:tc>
        <w:tc>
          <w:tcPr>
            <w:tcW w:w="1596" w:type="dxa"/>
            <w:tcBorders>
              <w:top w:val="single" w:sz="4" w:space="0" w:color="auto"/>
              <w:left w:val="nil"/>
              <w:bottom w:val="nil"/>
              <w:right w:val="nil"/>
            </w:tcBorders>
            <w:shd w:val="clear" w:color="000000" w:fill="FFFFFF"/>
            <w:noWrap/>
            <w:vAlign w:val="bottom"/>
            <w:hideMark/>
          </w:tcPr>
          <w:p w14:paraId="76A32A09" w14:textId="77777777" w:rsidR="00F915FE" w:rsidRDefault="00F915FE" w:rsidP="00410424">
            <w:pPr>
              <w:rPr>
                <w:rFonts w:ascii="Courier New" w:hAnsi="Courier New" w:cs="Courier New"/>
                <w:b/>
                <w:bCs/>
                <w:color w:val="000000"/>
              </w:rPr>
            </w:pPr>
            <w:r>
              <w:rPr>
                <w:rFonts w:ascii="Courier New" w:hAnsi="Courier New" w:cs="Courier New"/>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14:paraId="6C909434" w14:textId="77777777" w:rsidR="00F915FE" w:rsidRDefault="00F915FE" w:rsidP="00410424">
            <w:pPr>
              <w:jc w:val="right"/>
              <w:rPr>
                <w:rFonts w:ascii="Arial" w:hAnsi="Arial" w:cs="Arial"/>
                <w:b/>
                <w:bCs/>
              </w:rPr>
            </w:pPr>
            <w:r>
              <w:rPr>
                <w:rFonts w:ascii="Arial" w:hAnsi="Arial" w:cs="Arial"/>
                <w:b/>
                <w:bCs/>
              </w:rPr>
              <w:t>Schedule No. 1-A</w:t>
            </w:r>
          </w:p>
        </w:tc>
      </w:tr>
      <w:tr w:rsidR="00F915FE" w14:paraId="667E6673" w14:textId="77777777" w:rsidTr="00F915FE">
        <w:trPr>
          <w:trHeight w:val="300"/>
          <w:jc w:val="center"/>
        </w:trPr>
        <w:tc>
          <w:tcPr>
            <w:tcW w:w="5524" w:type="dxa"/>
            <w:gridSpan w:val="3"/>
            <w:tcBorders>
              <w:top w:val="nil"/>
              <w:left w:val="single" w:sz="4" w:space="0" w:color="auto"/>
              <w:bottom w:val="nil"/>
              <w:right w:val="nil"/>
            </w:tcBorders>
            <w:shd w:val="clear" w:color="000000" w:fill="FFFFFF"/>
            <w:noWrap/>
            <w:vAlign w:val="bottom"/>
            <w:hideMark/>
          </w:tcPr>
          <w:p w14:paraId="69C5944C" w14:textId="77777777" w:rsidR="00F915FE" w:rsidRDefault="00F915FE" w:rsidP="00410424">
            <w:pPr>
              <w:rPr>
                <w:rFonts w:ascii="Arial" w:hAnsi="Arial" w:cs="Arial"/>
                <w:b/>
                <w:bCs/>
              </w:rPr>
            </w:pPr>
            <w:r>
              <w:rPr>
                <w:rFonts w:ascii="Arial" w:hAnsi="Arial" w:cs="Arial"/>
                <w:b/>
                <w:bCs/>
              </w:rPr>
              <w:t>Schedule of Wastewater Rate Base</w:t>
            </w:r>
          </w:p>
        </w:tc>
        <w:tc>
          <w:tcPr>
            <w:tcW w:w="3168" w:type="dxa"/>
            <w:gridSpan w:val="2"/>
            <w:tcBorders>
              <w:top w:val="nil"/>
              <w:left w:val="nil"/>
              <w:bottom w:val="nil"/>
              <w:right w:val="single" w:sz="4" w:space="0" w:color="000000"/>
            </w:tcBorders>
            <w:shd w:val="clear" w:color="000000" w:fill="FFFFFF"/>
            <w:noWrap/>
            <w:vAlign w:val="bottom"/>
            <w:hideMark/>
          </w:tcPr>
          <w:p w14:paraId="5BD71CF2" w14:textId="77777777" w:rsidR="00F915FE" w:rsidRDefault="00690DF0" w:rsidP="00410424">
            <w:pPr>
              <w:jc w:val="right"/>
              <w:rPr>
                <w:rFonts w:ascii="Arial" w:hAnsi="Arial" w:cs="Arial"/>
                <w:b/>
                <w:bCs/>
              </w:rPr>
            </w:pPr>
            <w:r>
              <w:rPr>
                <w:rFonts w:ascii="Arial" w:hAnsi="Arial" w:cs="Arial"/>
                <w:b/>
                <w:bCs/>
              </w:rPr>
              <w:t xml:space="preserve">DN </w:t>
            </w:r>
            <w:r w:rsidR="00F915FE">
              <w:rPr>
                <w:rFonts w:ascii="Arial" w:hAnsi="Arial" w:cs="Arial"/>
                <w:b/>
                <w:bCs/>
              </w:rPr>
              <w:t>20200226-SU</w:t>
            </w:r>
          </w:p>
        </w:tc>
      </w:tr>
      <w:tr w:rsidR="00F915FE" w14:paraId="719C11D8" w14:textId="77777777" w:rsidTr="00F915FE">
        <w:trPr>
          <w:trHeight w:val="300"/>
          <w:jc w:val="center"/>
        </w:trPr>
        <w:tc>
          <w:tcPr>
            <w:tcW w:w="3928" w:type="dxa"/>
            <w:gridSpan w:val="2"/>
            <w:tcBorders>
              <w:top w:val="nil"/>
              <w:left w:val="single" w:sz="4" w:space="0" w:color="auto"/>
              <w:bottom w:val="single" w:sz="4" w:space="0" w:color="auto"/>
              <w:right w:val="nil"/>
            </w:tcBorders>
            <w:shd w:val="clear" w:color="000000" w:fill="FFFFFF"/>
            <w:noWrap/>
            <w:vAlign w:val="bottom"/>
            <w:hideMark/>
          </w:tcPr>
          <w:p w14:paraId="1A2D3142" w14:textId="77777777" w:rsidR="00F915FE" w:rsidRDefault="00F915FE" w:rsidP="00410424">
            <w:pPr>
              <w:rPr>
                <w:rFonts w:ascii="Arial" w:hAnsi="Arial" w:cs="Arial"/>
                <w:b/>
                <w:bCs/>
              </w:rPr>
            </w:pPr>
            <w:r>
              <w:rPr>
                <w:rFonts w:ascii="Arial" w:hAnsi="Arial" w:cs="Arial"/>
                <w:b/>
                <w:bCs/>
              </w:rPr>
              <w:t>Projected at 80% Capacity</w:t>
            </w:r>
          </w:p>
        </w:tc>
        <w:tc>
          <w:tcPr>
            <w:tcW w:w="1596" w:type="dxa"/>
            <w:tcBorders>
              <w:top w:val="nil"/>
              <w:left w:val="nil"/>
              <w:bottom w:val="nil"/>
              <w:right w:val="nil"/>
            </w:tcBorders>
            <w:shd w:val="clear" w:color="000000" w:fill="FFFFFF"/>
            <w:noWrap/>
            <w:vAlign w:val="bottom"/>
            <w:hideMark/>
          </w:tcPr>
          <w:p w14:paraId="52C75E88" w14:textId="77777777" w:rsidR="00F915FE" w:rsidRDefault="00F915FE" w:rsidP="00410424">
            <w:pPr>
              <w:rPr>
                <w:rFonts w:ascii="Courier New" w:hAnsi="Courier New" w:cs="Courier New"/>
                <w:b/>
                <w:bCs/>
                <w:color w:val="000000"/>
              </w:rPr>
            </w:pPr>
            <w:r>
              <w:rPr>
                <w:rFonts w:ascii="Courier New" w:hAnsi="Courier New" w:cs="Courier New"/>
                <w:b/>
                <w:bCs/>
                <w:color w:val="000000"/>
              </w:rPr>
              <w:t> </w:t>
            </w:r>
          </w:p>
        </w:tc>
        <w:tc>
          <w:tcPr>
            <w:tcW w:w="1581" w:type="dxa"/>
            <w:tcBorders>
              <w:top w:val="nil"/>
              <w:left w:val="nil"/>
              <w:bottom w:val="nil"/>
              <w:right w:val="nil"/>
            </w:tcBorders>
            <w:shd w:val="clear" w:color="000000" w:fill="FFFFFF"/>
            <w:noWrap/>
            <w:vAlign w:val="bottom"/>
            <w:hideMark/>
          </w:tcPr>
          <w:p w14:paraId="45827207" w14:textId="77777777" w:rsidR="00F915FE" w:rsidRDefault="00F915FE" w:rsidP="00410424">
            <w:pPr>
              <w:rPr>
                <w:rFonts w:ascii="Courier New" w:hAnsi="Courier New" w:cs="Courier New"/>
                <w:b/>
                <w:bCs/>
                <w:color w:val="000000"/>
              </w:rPr>
            </w:pPr>
            <w:r>
              <w:rPr>
                <w:rFonts w:ascii="Courier New" w:hAnsi="Courier New" w:cs="Courier New"/>
                <w:b/>
                <w:bCs/>
                <w:color w:val="000000"/>
              </w:rPr>
              <w:t> </w:t>
            </w:r>
          </w:p>
        </w:tc>
        <w:tc>
          <w:tcPr>
            <w:tcW w:w="1587" w:type="dxa"/>
            <w:tcBorders>
              <w:top w:val="nil"/>
              <w:left w:val="nil"/>
              <w:bottom w:val="nil"/>
              <w:right w:val="single" w:sz="4" w:space="0" w:color="auto"/>
            </w:tcBorders>
            <w:shd w:val="clear" w:color="000000" w:fill="FFFFFF"/>
            <w:noWrap/>
            <w:vAlign w:val="bottom"/>
            <w:hideMark/>
          </w:tcPr>
          <w:p w14:paraId="385D6297" w14:textId="77777777" w:rsidR="00F915FE" w:rsidRDefault="00F915FE" w:rsidP="00410424">
            <w:pPr>
              <w:rPr>
                <w:rFonts w:ascii="Arial" w:hAnsi="Arial" w:cs="Arial"/>
                <w:b/>
                <w:bCs/>
              </w:rPr>
            </w:pPr>
            <w:r>
              <w:rPr>
                <w:rFonts w:ascii="Arial" w:hAnsi="Arial" w:cs="Arial"/>
                <w:b/>
                <w:bCs/>
              </w:rPr>
              <w:t> </w:t>
            </w:r>
          </w:p>
        </w:tc>
      </w:tr>
      <w:tr w:rsidR="00F915FE" w14:paraId="684727C2"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0B658741" w14:textId="77777777" w:rsidR="00F915FE" w:rsidRDefault="00F915FE" w:rsidP="00410424">
            <w:pPr>
              <w:rPr>
                <w:sz w:val="22"/>
                <w:szCs w:val="22"/>
              </w:rPr>
            </w:pPr>
            <w:r>
              <w:rPr>
                <w:sz w:val="22"/>
                <w:szCs w:val="22"/>
              </w:rPr>
              <w:t> </w:t>
            </w:r>
          </w:p>
        </w:tc>
        <w:tc>
          <w:tcPr>
            <w:tcW w:w="3601" w:type="dxa"/>
            <w:vMerge w:val="restart"/>
            <w:tcBorders>
              <w:top w:val="nil"/>
              <w:left w:val="nil"/>
              <w:bottom w:val="nil"/>
              <w:right w:val="nil"/>
            </w:tcBorders>
            <w:shd w:val="clear" w:color="000000" w:fill="FFFFFF"/>
            <w:noWrap/>
            <w:vAlign w:val="center"/>
            <w:hideMark/>
          </w:tcPr>
          <w:p w14:paraId="51027EC9" w14:textId="77777777" w:rsidR="00F915FE" w:rsidRDefault="00F915FE" w:rsidP="00410424">
            <w:pPr>
              <w:jc w:val="center"/>
              <w:rPr>
                <w:b/>
                <w:bCs/>
                <w:sz w:val="22"/>
                <w:szCs w:val="22"/>
              </w:rPr>
            </w:pPr>
            <w:r>
              <w:rPr>
                <w:b/>
                <w:bCs/>
                <w:sz w:val="22"/>
                <w:szCs w:val="22"/>
              </w:rPr>
              <w:t>Description</w:t>
            </w:r>
          </w:p>
        </w:tc>
        <w:tc>
          <w:tcPr>
            <w:tcW w:w="1596" w:type="dxa"/>
            <w:tcBorders>
              <w:top w:val="single" w:sz="4" w:space="0" w:color="auto"/>
              <w:left w:val="nil"/>
              <w:bottom w:val="nil"/>
              <w:right w:val="nil"/>
            </w:tcBorders>
            <w:shd w:val="clear" w:color="000000" w:fill="FFFFFF"/>
            <w:noWrap/>
            <w:vAlign w:val="bottom"/>
            <w:hideMark/>
          </w:tcPr>
          <w:p w14:paraId="67C6CB5F" w14:textId="77777777" w:rsidR="00F915FE" w:rsidRDefault="00F915FE" w:rsidP="00410424">
            <w:pPr>
              <w:jc w:val="center"/>
              <w:rPr>
                <w:b/>
                <w:bCs/>
                <w:sz w:val="22"/>
                <w:szCs w:val="22"/>
              </w:rPr>
            </w:pPr>
            <w:r>
              <w:rPr>
                <w:b/>
                <w:bCs/>
                <w:sz w:val="22"/>
                <w:szCs w:val="22"/>
              </w:rPr>
              <w:t>Test Year</w:t>
            </w:r>
          </w:p>
        </w:tc>
        <w:tc>
          <w:tcPr>
            <w:tcW w:w="1581" w:type="dxa"/>
            <w:tcBorders>
              <w:top w:val="single" w:sz="4" w:space="0" w:color="auto"/>
              <w:left w:val="nil"/>
              <w:bottom w:val="nil"/>
              <w:right w:val="nil"/>
            </w:tcBorders>
            <w:shd w:val="clear" w:color="000000" w:fill="FFFFFF"/>
            <w:noWrap/>
            <w:vAlign w:val="bottom"/>
            <w:hideMark/>
          </w:tcPr>
          <w:p w14:paraId="5074D9FF" w14:textId="77777777" w:rsidR="00F915FE" w:rsidRDefault="00F915FE" w:rsidP="00410424">
            <w:pPr>
              <w:jc w:val="center"/>
              <w:rPr>
                <w:b/>
                <w:bCs/>
                <w:sz w:val="22"/>
                <w:szCs w:val="22"/>
              </w:rPr>
            </w:pPr>
            <w:r>
              <w:rPr>
                <w:b/>
                <w:bCs/>
                <w:sz w:val="22"/>
                <w:szCs w:val="22"/>
              </w:rPr>
              <w:t>Staff</w:t>
            </w:r>
          </w:p>
        </w:tc>
        <w:tc>
          <w:tcPr>
            <w:tcW w:w="1587" w:type="dxa"/>
            <w:tcBorders>
              <w:top w:val="single" w:sz="4" w:space="0" w:color="auto"/>
              <w:left w:val="nil"/>
              <w:bottom w:val="nil"/>
              <w:right w:val="single" w:sz="4" w:space="0" w:color="auto"/>
            </w:tcBorders>
            <w:shd w:val="clear" w:color="000000" w:fill="FFFFFF"/>
            <w:noWrap/>
            <w:vAlign w:val="bottom"/>
            <w:hideMark/>
          </w:tcPr>
          <w:p w14:paraId="2DDBE75A" w14:textId="77777777" w:rsidR="00F915FE" w:rsidRDefault="00F915FE" w:rsidP="00410424">
            <w:pPr>
              <w:jc w:val="center"/>
              <w:rPr>
                <w:b/>
                <w:bCs/>
                <w:sz w:val="22"/>
                <w:szCs w:val="22"/>
              </w:rPr>
            </w:pPr>
            <w:r>
              <w:rPr>
                <w:b/>
                <w:bCs/>
                <w:sz w:val="22"/>
                <w:szCs w:val="22"/>
              </w:rPr>
              <w:t>Staff</w:t>
            </w:r>
          </w:p>
        </w:tc>
      </w:tr>
      <w:tr w:rsidR="00F915FE" w14:paraId="1452897F"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0CCD22EF" w14:textId="77777777" w:rsidR="00F915FE" w:rsidRDefault="00F915FE" w:rsidP="00410424">
            <w:pPr>
              <w:rPr>
                <w:sz w:val="22"/>
                <w:szCs w:val="22"/>
              </w:rPr>
            </w:pPr>
            <w:r>
              <w:rPr>
                <w:sz w:val="22"/>
                <w:szCs w:val="22"/>
              </w:rPr>
              <w:t> </w:t>
            </w:r>
          </w:p>
        </w:tc>
        <w:tc>
          <w:tcPr>
            <w:tcW w:w="3601" w:type="dxa"/>
            <w:vMerge/>
            <w:tcBorders>
              <w:top w:val="nil"/>
              <w:left w:val="nil"/>
              <w:bottom w:val="nil"/>
              <w:right w:val="nil"/>
            </w:tcBorders>
            <w:vAlign w:val="center"/>
            <w:hideMark/>
          </w:tcPr>
          <w:p w14:paraId="34C1DC0E" w14:textId="77777777" w:rsidR="00F915FE" w:rsidRDefault="00F915FE" w:rsidP="00410424">
            <w:pPr>
              <w:rPr>
                <w:b/>
                <w:bCs/>
                <w:sz w:val="22"/>
                <w:szCs w:val="22"/>
              </w:rPr>
            </w:pPr>
          </w:p>
        </w:tc>
        <w:tc>
          <w:tcPr>
            <w:tcW w:w="1596" w:type="dxa"/>
            <w:tcBorders>
              <w:top w:val="nil"/>
              <w:left w:val="nil"/>
              <w:bottom w:val="nil"/>
              <w:right w:val="nil"/>
            </w:tcBorders>
            <w:shd w:val="clear" w:color="000000" w:fill="FFFFFF"/>
            <w:noWrap/>
            <w:vAlign w:val="bottom"/>
            <w:hideMark/>
          </w:tcPr>
          <w:p w14:paraId="0C23C587" w14:textId="77777777" w:rsidR="00F915FE" w:rsidRDefault="00F915FE" w:rsidP="00410424">
            <w:pPr>
              <w:jc w:val="center"/>
              <w:rPr>
                <w:b/>
                <w:bCs/>
                <w:sz w:val="22"/>
                <w:szCs w:val="22"/>
              </w:rPr>
            </w:pPr>
            <w:r>
              <w:rPr>
                <w:b/>
                <w:bCs/>
                <w:sz w:val="22"/>
                <w:szCs w:val="22"/>
              </w:rPr>
              <w:t>Per</w:t>
            </w:r>
          </w:p>
        </w:tc>
        <w:tc>
          <w:tcPr>
            <w:tcW w:w="1581" w:type="dxa"/>
            <w:tcBorders>
              <w:top w:val="nil"/>
              <w:left w:val="nil"/>
              <w:bottom w:val="nil"/>
              <w:right w:val="nil"/>
            </w:tcBorders>
            <w:shd w:val="clear" w:color="000000" w:fill="FFFFFF"/>
            <w:noWrap/>
            <w:vAlign w:val="bottom"/>
            <w:hideMark/>
          </w:tcPr>
          <w:p w14:paraId="535D879C" w14:textId="77777777" w:rsidR="00F915FE" w:rsidRDefault="00F915FE" w:rsidP="00410424">
            <w:pPr>
              <w:jc w:val="center"/>
              <w:rPr>
                <w:b/>
                <w:bCs/>
                <w:sz w:val="22"/>
                <w:szCs w:val="22"/>
              </w:rPr>
            </w:pPr>
            <w:r>
              <w:rPr>
                <w:b/>
                <w:bCs/>
                <w:sz w:val="22"/>
                <w:szCs w:val="22"/>
              </w:rPr>
              <w:t>Adjust-</w:t>
            </w:r>
          </w:p>
        </w:tc>
        <w:tc>
          <w:tcPr>
            <w:tcW w:w="1587" w:type="dxa"/>
            <w:tcBorders>
              <w:top w:val="nil"/>
              <w:left w:val="nil"/>
              <w:bottom w:val="nil"/>
              <w:right w:val="single" w:sz="4" w:space="0" w:color="auto"/>
            </w:tcBorders>
            <w:shd w:val="clear" w:color="000000" w:fill="FFFFFF"/>
            <w:noWrap/>
            <w:vAlign w:val="bottom"/>
            <w:hideMark/>
          </w:tcPr>
          <w:p w14:paraId="46285505" w14:textId="77777777" w:rsidR="00F915FE" w:rsidRDefault="00F915FE" w:rsidP="00410424">
            <w:pPr>
              <w:jc w:val="center"/>
              <w:rPr>
                <w:b/>
                <w:bCs/>
                <w:sz w:val="22"/>
                <w:szCs w:val="22"/>
              </w:rPr>
            </w:pPr>
            <w:r>
              <w:rPr>
                <w:b/>
                <w:bCs/>
                <w:sz w:val="22"/>
                <w:szCs w:val="22"/>
              </w:rPr>
              <w:t>Adjusted</w:t>
            </w:r>
          </w:p>
        </w:tc>
      </w:tr>
      <w:tr w:rsidR="00F915FE" w14:paraId="76DE213B"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3D717719" w14:textId="77777777" w:rsidR="00F915FE" w:rsidRDefault="00F915FE" w:rsidP="00410424">
            <w:pPr>
              <w:rPr>
                <w:sz w:val="22"/>
                <w:szCs w:val="22"/>
              </w:rPr>
            </w:pPr>
            <w:r>
              <w:rPr>
                <w:sz w:val="22"/>
                <w:szCs w:val="22"/>
              </w:rPr>
              <w:t> </w:t>
            </w:r>
          </w:p>
        </w:tc>
        <w:tc>
          <w:tcPr>
            <w:tcW w:w="3601" w:type="dxa"/>
            <w:vMerge/>
            <w:tcBorders>
              <w:top w:val="nil"/>
              <w:left w:val="nil"/>
              <w:bottom w:val="nil"/>
              <w:right w:val="nil"/>
            </w:tcBorders>
            <w:vAlign w:val="center"/>
            <w:hideMark/>
          </w:tcPr>
          <w:p w14:paraId="44F2C922" w14:textId="77777777" w:rsidR="00F915FE" w:rsidRDefault="00F915FE" w:rsidP="00410424">
            <w:pPr>
              <w:rPr>
                <w:b/>
                <w:bCs/>
                <w:sz w:val="22"/>
                <w:szCs w:val="22"/>
              </w:rPr>
            </w:pPr>
          </w:p>
        </w:tc>
        <w:tc>
          <w:tcPr>
            <w:tcW w:w="1596" w:type="dxa"/>
            <w:tcBorders>
              <w:top w:val="nil"/>
              <w:left w:val="nil"/>
              <w:bottom w:val="nil"/>
              <w:right w:val="nil"/>
            </w:tcBorders>
            <w:shd w:val="clear" w:color="000000" w:fill="FFFFFF"/>
            <w:noWrap/>
            <w:vAlign w:val="bottom"/>
            <w:hideMark/>
          </w:tcPr>
          <w:p w14:paraId="311AE908" w14:textId="77777777" w:rsidR="00F915FE" w:rsidRDefault="00F915FE" w:rsidP="00410424">
            <w:pPr>
              <w:jc w:val="center"/>
              <w:rPr>
                <w:b/>
                <w:bCs/>
                <w:sz w:val="22"/>
                <w:szCs w:val="22"/>
              </w:rPr>
            </w:pPr>
            <w:r>
              <w:rPr>
                <w:b/>
                <w:bCs/>
                <w:sz w:val="22"/>
                <w:szCs w:val="22"/>
              </w:rPr>
              <w:t>Utility</w:t>
            </w:r>
          </w:p>
        </w:tc>
        <w:tc>
          <w:tcPr>
            <w:tcW w:w="1581" w:type="dxa"/>
            <w:tcBorders>
              <w:top w:val="nil"/>
              <w:left w:val="nil"/>
              <w:bottom w:val="nil"/>
              <w:right w:val="nil"/>
            </w:tcBorders>
            <w:shd w:val="clear" w:color="000000" w:fill="FFFFFF"/>
            <w:noWrap/>
            <w:vAlign w:val="bottom"/>
            <w:hideMark/>
          </w:tcPr>
          <w:p w14:paraId="706A9CEA" w14:textId="77777777" w:rsidR="00F915FE" w:rsidRDefault="00F915FE" w:rsidP="00410424">
            <w:pPr>
              <w:jc w:val="center"/>
              <w:rPr>
                <w:b/>
                <w:bCs/>
                <w:sz w:val="22"/>
                <w:szCs w:val="22"/>
              </w:rPr>
            </w:pPr>
            <w:r>
              <w:rPr>
                <w:b/>
                <w:bCs/>
                <w:sz w:val="22"/>
                <w:szCs w:val="22"/>
              </w:rPr>
              <w:t>ments</w:t>
            </w:r>
          </w:p>
        </w:tc>
        <w:tc>
          <w:tcPr>
            <w:tcW w:w="1587" w:type="dxa"/>
            <w:tcBorders>
              <w:top w:val="nil"/>
              <w:left w:val="nil"/>
              <w:bottom w:val="nil"/>
              <w:right w:val="single" w:sz="4" w:space="0" w:color="auto"/>
            </w:tcBorders>
            <w:shd w:val="clear" w:color="000000" w:fill="FFFFFF"/>
            <w:noWrap/>
            <w:vAlign w:val="bottom"/>
            <w:hideMark/>
          </w:tcPr>
          <w:p w14:paraId="4512A203" w14:textId="77777777" w:rsidR="00F915FE" w:rsidRDefault="00F915FE" w:rsidP="00410424">
            <w:pPr>
              <w:jc w:val="center"/>
              <w:rPr>
                <w:b/>
                <w:bCs/>
                <w:sz w:val="22"/>
                <w:szCs w:val="22"/>
              </w:rPr>
            </w:pPr>
            <w:r>
              <w:rPr>
                <w:b/>
                <w:bCs/>
                <w:sz w:val="22"/>
                <w:szCs w:val="22"/>
              </w:rPr>
              <w:t>Test Year</w:t>
            </w:r>
          </w:p>
        </w:tc>
      </w:tr>
      <w:tr w:rsidR="00F915FE" w14:paraId="2BE7B85C" w14:textId="77777777" w:rsidTr="00F915FE">
        <w:trPr>
          <w:trHeight w:val="300"/>
          <w:jc w:val="center"/>
        </w:trPr>
        <w:tc>
          <w:tcPr>
            <w:tcW w:w="327" w:type="dxa"/>
            <w:tcBorders>
              <w:top w:val="single" w:sz="4" w:space="0" w:color="000000"/>
              <w:left w:val="single" w:sz="4" w:space="0" w:color="auto"/>
              <w:bottom w:val="nil"/>
              <w:right w:val="nil"/>
            </w:tcBorders>
            <w:shd w:val="clear" w:color="000000" w:fill="FFFFFF"/>
            <w:noWrap/>
            <w:vAlign w:val="bottom"/>
            <w:hideMark/>
          </w:tcPr>
          <w:p w14:paraId="42ADD3F6" w14:textId="77777777" w:rsidR="00F915FE" w:rsidRDefault="00F915FE" w:rsidP="00410424">
            <w:pPr>
              <w:rPr>
                <w:sz w:val="22"/>
                <w:szCs w:val="22"/>
              </w:rPr>
            </w:pPr>
            <w:r>
              <w:rPr>
                <w:sz w:val="22"/>
                <w:szCs w:val="22"/>
              </w:rPr>
              <w:t> </w:t>
            </w:r>
          </w:p>
        </w:tc>
        <w:tc>
          <w:tcPr>
            <w:tcW w:w="3601" w:type="dxa"/>
            <w:tcBorders>
              <w:top w:val="single" w:sz="4" w:space="0" w:color="000000"/>
              <w:left w:val="nil"/>
              <w:bottom w:val="nil"/>
              <w:right w:val="nil"/>
            </w:tcBorders>
            <w:shd w:val="clear" w:color="000000" w:fill="FFFFFF"/>
            <w:noWrap/>
            <w:vAlign w:val="bottom"/>
            <w:hideMark/>
          </w:tcPr>
          <w:p w14:paraId="21A96434" w14:textId="77777777" w:rsidR="00F915FE" w:rsidRDefault="00F915FE" w:rsidP="00410424">
            <w:pPr>
              <w:rPr>
                <w:color w:val="000000"/>
                <w:sz w:val="22"/>
                <w:szCs w:val="22"/>
              </w:rPr>
            </w:pPr>
            <w:r>
              <w:rPr>
                <w:color w:val="000000"/>
                <w:sz w:val="22"/>
                <w:szCs w:val="22"/>
              </w:rPr>
              <w:t> </w:t>
            </w:r>
          </w:p>
        </w:tc>
        <w:tc>
          <w:tcPr>
            <w:tcW w:w="1596" w:type="dxa"/>
            <w:tcBorders>
              <w:top w:val="single" w:sz="4" w:space="0" w:color="000000"/>
              <w:left w:val="nil"/>
              <w:bottom w:val="nil"/>
              <w:right w:val="nil"/>
            </w:tcBorders>
            <w:shd w:val="clear" w:color="000000" w:fill="FFFFFF"/>
            <w:noWrap/>
            <w:vAlign w:val="bottom"/>
            <w:hideMark/>
          </w:tcPr>
          <w:p w14:paraId="7A75DE94" w14:textId="77777777" w:rsidR="00F915FE" w:rsidRDefault="00F915FE" w:rsidP="00410424">
            <w:pPr>
              <w:rPr>
                <w:color w:val="000000"/>
                <w:sz w:val="22"/>
                <w:szCs w:val="22"/>
              </w:rPr>
            </w:pPr>
            <w:r>
              <w:rPr>
                <w:color w:val="000000"/>
                <w:sz w:val="22"/>
                <w:szCs w:val="22"/>
              </w:rPr>
              <w:t> </w:t>
            </w:r>
          </w:p>
        </w:tc>
        <w:tc>
          <w:tcPr>
            <w:tcW w:w="1581" w:type="dxa"/>
            <w:tcBorders>
              <w:top w:val="single" w:sz="4" w:space="0" w:color="000000"/>
              <w:left w:val="nil"/>
              <w:bottom w:val="nil"/>
              <w:right w:val="nil"/>
            </w:tcBorders>
            <w:shd w:val="clear" w:color="000000" w:fill="FFFFFF"/>
            <w:noWrap/>
            <w:vAlign w:val="bottom"/>
            <w:hideMark/>
          </w:tcPr>
          <w:p w14:paraId="16E8BCBE" w14:textId="77777777" w:rsidR="00F915FE" w:rsidRDefault="00F915FE" w:rsidP="00410424">
            <w:pPr>
              <w:rPr>
                <w:color w:val="000000"/>
                <w:sz w:val="22"/>
                <w:szCs w:val="22"/>
              </w:rPr>
            </w:pPr>
            <w:r>
              <w:rPr>
                <w:color w:val="000000"/>
                <w:sz w:val="22"/>
                <w:szCs w:val="22"/>
              </w:rPr>
              <w:t> </w:t>
            </w:r>
          </w:p>
        </w:tc>
        <w:tc>
          <w:tcPr>
            <w:tcW w:w="1587" w:type="dxa"/>
            <w:tcBorders>
              <w:top w:val="single" w:sz="4" w:space="0" w:color="000000"/>
              <w:left w:val="nil"/>
              <w:bottom w:val="nil"/>
              <w:right w:val="single" w:sz="4" w:space="0" w:color="auto"/>
            </w:tcBorders>
            <w:shd w:val="clear" w:color="000000" w:fill="FFFFFF"/>
            <w:noWrap/>
            <w:vAlign w:val="bottom"/>
            <w:hideMark/>
          </w:tcPr>
          <w:p w14:paraId="799D8AEE" w14:textId="77777777" w:rsidR="00F915FE" w:rsidRDefault="00F915FE" w:rsidP="00410424">
            <w:pPr>
              <w:rPr>
                <w:sz w:val="22"/>
                <w:szCs w:val="22"/>
              </w:rPr>
            </w:pPr>
            <w:r>
              <w:rPr>
                <w:sz w:val="22"/>
                <w:szCs w:val="22"/>
              </w:rPr>
              <w:t> </w:t>
            </w:r>
          </w:p>
        </w:tc>
      </w:tr>
      <w:tr w:rsidR="00F915FE" w14:paraId="53B91B23"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73986A79" w14:textId="77777777" w:rsidR="00F915FE" w:rsidRDefault="00F915FE" w:rsidP="00410424">
            <w:pP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14:paraId="3939A7FB" w14:textId="77777777" w:rsidR="00F915FE" w:rsidRDefault="00F915FE" w:rsidP="0041042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73EE241E" w14:textId="77777777" w:rsidR="00F915FE" w:rsidRDefault="00F915FE" w:rsidP="00410424">
            <w:pPr>
              <w:rPr>
                <w:color w:val="000000"/>
                <w:sz w:val="22"/>
                <w:szCs w:val="22"/>
              </w:rPr>
            </w:pPr>
            <w:r>
              <w:rPr>
                <w:color w:val="000000"/>
                <w:sz w:val="22"/>
                <w:szCs w:val="22"/>
              </w:rPr>
              <w:t> </w:t>
            </w:r>
          </w:p>
        </w:tc>
        <w:tc>
          <w:tcPr>
            <w:tcW w:w="1581" w:type="dxa"/>
            <w:tcBorders>
              <w:top w:val="nil"/>
              <w:left w:val="nil"/>
              <w:bottom w:val="nil"/>
              <w:right w:val="nil"/>
            </w:tcBorders>
            <w:shd w:val="clear" w:color="000000" w:fill="FFFFFF"/>
            <w:noWrap/>
            <w:vAlign w:val="bottom"/>
            <w:hideMark/>
          </w:tcPr>
          <w:p w14:paraId="11EC8E3C" w14:textId="77777777" w:rsidR="00F915FE" w:rsidRDefault="00F915FE" w:rsidP="00410424">
            <w:pPr>
              <w:rPr>
                <w:color w:val="000000"/>
                <w:sz w:val="22"/>
                <w:szCs w:val="22"/>
              </w:rPr>
            </w:pPr>
            <w:r>
              <w:rPr>
                <w:color w:val="000000"/>
                <w:sz w:val="22"/>
                <w:szCs w:val="22"/>
              </w:rPr>
              <w:t> </w:t>
            </w:r>
          </w:p>
        </w:tc>
        <w:tc>
          <w:tcPr>
            <w:tcW w:w="1587" w:type="dxa"/>
            <w:tcBorders>
              <w:top w:val="nil"/>
              <w:left w:val="nil"/>
              <w:bottom w:val="nil"/>
              <w:right w:val="single" w:sz="4" w:space="0" w:color="auto"/>
            </w:tcBorders>
            <w:shd w:val="clear" w:color="000000" w:fill="FFFFFF"/>
            <w:noWrap/>
            <w:vAlign w:val="bottom"/>
            <w:hideMark/>
          </w:tcPr>
          <w:p w14:paraId="3B1946AC" w14:textId="77777777" w:rsidR="00F915FE" w:rsidRDefault="00F915FE" w:rsidP="00410424">
            <w:pPr>
              <w:rPr>
                <w:sz w:val="22"/>
                <w:szCs w:val="22"/>
              </w:rPr>
            </w:pPr>
            <w:r>
              <w:rPr>
                <w:sz w:val="22"/>
                <w:szCs w:val="22"/>
              </w:rPr>
              <w:t> </w:t>
            </w:r>
          </w:p>
        </w:tc>
      </w:tr>
      <w:tr w:rsidR="00F915FE" w14:paraId="0089F882"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7F52E1B5" w14:textId="77777777" w:rsidR="00F915FE" w:rsidRDefault="00F915FE" w:rsidP="00410424">
            <w:pPr>
              <w:jc w:val="center"/>
              <w:rPr>
                <w:sz w:val="22"/>
                <w:szCs w:val="22"/>
              </w:rPr>
            </w:pPr>
            <w:r>
              <w:rPr>
                <w:sz w:val="22"/>
                <w:szCs w:val="22"/>
              </w:rPr>
              <w:t>1</w:t>
            </w:r>
          </w:p>
        </w:tc>
        <w:tc>
          <w:tcPr>
            <w:tcW w:w="3601" w:type="dxa"/>
            <w:tcBorders>
              <w:top w:val="nil"/>
              <w:left w:val="nil"/>
              <w:bottom w:val="nil"/>
              <w:right w:val="nil"/>
            </w:tcBorders>
            <w:shd w:val="clear" w:color="000000" w:fill="FFFFFF"/>
            <w:noWrap/>
            <w:vAlign w:val="bottom"/>
            <w:hideMark/>
          </w:tcPr>
          <w:p w14:paraId="29A9CE59" w14:textId="77777777" w:rsidR="00F915FE" w:rsidRDefault="00F915FE" w:rsidP="00410424">
            <w:pPr>
              <w:rPr>
                <w:sz w:val="22"/>
                <w:szCs w:val="22"/>
              </w:rPr>
            </w:pPr>
            <w:r>
              <w:rPr>
                <w:sz w:val="22"/>
                <w:szCs w:val="22"/>
              </w:rPr>
              <w:t>Plant in Service</w:t>
            </w:r>
          </w:p>
        </w:tc>
        <w:tc>
          <w:tcPr>
            <w:tcW w:w="1596" w:type="dxa"/>
            <w:tcBorders>
              <w:top w:val="nil"/>
              <w:left w:val="nil"/>
              <w:bottom w:val="nil"/>
              <w:right w:val="nil"/>
            </w:tcBorders>
            <w:shd w:val="clear" w:color="000000" w:fill="FFFFFF"/>
            <w:noWrap/>
            <w:vAlign w:val="bottom"/>
            <w:hideMark/>
          </w:tcPr>
          <w:p w14:paraId="725DEDE4" w14:textId="77777777" w:rsidR="00F915FE" w:rsidRDefault="00F915FE" w:rsidP="00410424">
            <w:pPr>
              <w:jc w:val="right"/>
              <w:rPr>
                <w:sz w:val="22"/>
                <w:szCs w:val="22"/>
              </w:rPr>
            </w:pPr>
            <w:r>
              <w:rPr>
                <w:sz w:val="22"/>
                <w:szCs w:val="22"/>
              </w:rPr>
              <w:t xml:space="preserve">$21,958,148 </w:t>
            </w:r>
          </w:p>
        </w:tc>
        <w:tc>
          <w:tcPr>
            <w:tcW w:w="1581" w:type="dxa"/>
            <w:tcBorders>
              <w:top w:val="nil"/>
              <w:left w:val="nil"/>
              <w:bottom w:val="nil"/>
              <w:right w:val="nil"/>
            </w:tcBorders>
            <w:shd w:val="clear" w:color="000000" w:fill="FFFFFF"/>
            <w:noWrap/>
            <w:vAlign w:val="bottom"/>
            <w:hideMark/>
          </w:tcPr>
          <w:p w14:paraId="187C4190" w14:textId="77777777" w:rsidR="00F915FE" w:rsidRDefault="00F915FE" w:rsidP="00410424">
            <w:pPr>
              <w:jc w:val="right"/>
              <w:rPr>
                <w:sz w:val="22"/>
                <w:szCs w:val="22"/>
              </w:rPr>
            </w:pPr>
            <w:r>
              <w:rPr>
                <w:sz w:val="22"/>
                <w:szCs w:val="22"/>
              </w:rPr>
              <w:t>($2,864,138)</w:t>
            </w:r>
          </w:p>
        </w:tc>
        <w:tc>
          <w:tcPr>
            <w:tcW w:w="1587" w:type="dxa"/>
            <w:tcBorders>
              <w:top w:val="nil"/>
              <w:left w:val="nil"/>
              <w:bottom w:val="nil"/>
              <w:right w:val="single" w:sz="4" w:space="0" w:color="auto"/>
            </w:tcBorders>
            <w:shd w:val="clear" w:color="000000" w:fill="FFFFFF"/>
            <w:noWrap/>
            <w:vAlign w:val="bottom"/>
            <w:hideMark/>
          </w:tcPr>
          <w:p w14:paraId="71EBDCFE" w14:textId="77777777" w:rsidR="00F915FE" w:rsidRDefault="00F915FE" w:rsidP="00410424">
            <w:pPr>
              <w:jc w:val="right"/>
              <w:rPr>
                <w:sz w:val="22"/>
                <w:szCs w:val="22"/>
              </w:rPr>
            </w:pPr>
            <w:r>
              <w:rPr>
                <w:sz w:val="22"/>
                <w:szCs w:val="22"/>
              </w:rPr>
              <w:t xml:space="preserve">$19,094,010 </w:t>
            </w:r>
          </w:p>
        </w:tc>
      </w:tr>
      <w:tr w:rsidR="00F915FE" w14:paraId="47EE7CCF"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480F4CFF" w14:textId="77777777" w:rsidR="00F915FE" w:rsidRDefault="00F915FE" w:rsidP="00410424">
            <w:pPr>
              <w:jc w:val="cente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14:paraId="0E09AE34" w14:textId="77777777" w:rsidR="00F915FE" w:rsidRDefault="00F915FE" w:rsidP="0041042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246CBE7C" w14:textId="77777777" w:rsidR="00F915FE" w:rsidRDefault="00F915FE" w:rsidP="00410424">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14:paraId="7AD45A5C" w14:textId="77777777" w:rsidR="00F915FE" w:rsidRDefault="00F915FE" w:rsidP="00410424">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14:paraId="3F9B67EB" w14:textId="77777777" w:rsidR="00F915FE" w:rsidRDefault="00F915FE" w:rsidP="00410424">
            <w:pPr>
              <w:rPr>
                <w:sz w:val="22"/>
                <w:szCs w:val="22"/>
              </w:rPr>
            </w:pPr>
            <w:r>
              <w:rPr>
                <w:sz w:val="22"/>
                <w:szCs w:val="22"/>
              </w:rPr>
              <w:t> </w:t>
            </w:r>
          </w:p>
        </w:tc>
      </w:tr>
      <w:tr w:rsidR="00F915FE" w14:paraId="5FBD0AC1"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2336F442" w14:textId="77777777" w:rsidR="00F915FE" w:rsidRDefault="00F915FE" w:rsidP="00410424">
            <w:pPr>
              <w:jc w:val="center"/>
              <w:rPr>
                <w:sz w:val="22"/>
                <w:szCs w:val="22"/>
              </w:rPr>
            </w:pPr>
            <w:r>
              <w:rPr>
                <w:sz w:val="22"/>
                <w:szCs w:val="22"/>
              </w:rPr>
              <w:t>2</w:t>
            </w:r>
          </w:p>
        </w:tc>
        <w:tc>
          <w:tcPr>
            <w:tcW w:w="3601" w:type="dxa"/>
            <w:tcBorders>
              <w:top w:val="nil"/>
              <w:left w:val="nil"/>
              <w:bottom w:val="nil"/>
              <w:right w:val="nil"/>
            </w:tcBorders>
            <w:shd w:val="clear" w:color="000000" w:fill="FFFFFF"/>
            <w:noWrap/>
            <w:vAlign w:val="bottom"/>
            <w:hideMark/>
          </w:tcPr>
          <w:p w14:paraId="0E454067" w14:textId="77777777" w:rsidR="00F915FE" w:rsidRDefault="00F915FE" w:rsidP="00410424">
            <w:pPr>
              <w:rPr>
                <w:sz w:val="22"/>
                <w:szCs w:val="22"/>
              </w:rPr>
            </w:pPr>
            <w:r>
              <w:rPr>
                <w:sz w:val="22"/>
                <w:szCs w:val="22"/>
              </w:rPr>
              <w:t>Land and Land Rights</w:t>
            </w:r>
          </w:p>
        </w:tc>
        <w:tc>
          <w:tcPr>
            <w:tcW w:w="1596" w:type="dxa"/>
            <w:tcBorders>
              <w:top w:val="nil"/>
              <w:left w:val="nil"/>
              <w:bottom w:val="nil"/>
              <w:right w:val="nil"/>
            </w:tcBorders>
            <w:shd w:val="clear" w:color="000000" w:fill="FFFFFF"/>
            <w:noWrap/>
            <w:vAlign w:val="bottom"/>
            <w:hideMark/>
          </w:tcPr>
          <w:p w14:paraId="11C45A48" w14:textId="77777777" w:rsidR="00F915FE" w:rsidRDefault="00F915FE" w:rsidP="00410424">
            <w:pPr>
              <w:jc w:val="right"/>
              <w:rPr>
                <w:sz w:val="22"/>
                <w:szCs w:val="22"/>
              </w:rPr>
            </w:pPr>
            <w:r>
              <w:rPr>
                <w:sz w:val="22"/>
                <w:szCs w:val="22"/>
              </w:rPr>
              <w:t xml:space="preserve">0 </w:t>
            </w:r>
          </w:p>
        </w:tc>
        <w:tc>
          <w:tcPr>
            <w:tcW w:w="1581" w:type="dxa"/>
            <w:tcBorders>
              <w:top w:val="nil"/>
              <w:left w:val="nil"/>
              <w:bottom w:val="nil"/>
              <w:right w:val="nil"/>
            </w:tcBorders>
            <w:shd w:val="clear" w:color="000000" w:fill="FFFFFF"/>
            <w:noWrap/>
            <w:vAlign w:val="bottom"/>
            <w:hideMark/>
          </w:tcPr>
          <w:p w14:paraId="34C82BBD" w14:textId="77777777" w:rsidR="00F915FE" w:rsidRDefault="00F915FE" w:rsidP="00410424">
            <w:pPr>
              <w:jc w:val="right"/>
              <w:rPr>
                <w:sz w:val="22"/>
                <w:szCs w:val="22"/>
              </w:rPr>
            </w:pPr>
            <w:r>
              <w:rPr>
                <w:sz w:val="22"/>
                <w:szCs w:val="22"/>
              </w:rPr>
              <w:t xml:space="preserve">800,000 </w:t>
            </w:r>
          </w:p>
        </w:tc>
        <w:tc>
          <w:tcPr>
            <w:tcW w:w="1587" w:type="dxa"/>
            <w:tcBorders>
              <w:top w:val="nil"/>
              <w:left w:val="nil"/>
              <w:bottom w:val="nil"/>
              <w:right w:val="single" w:sz="4" w:space="0" w:color="auto"/>
            </w:tcBorders>
            <w:shd w:val="clear" w:color="000000" w:fill="FFFFFF"/>
            <w:noWrap/>
            <w:vAlign w:val="bottom"/>
            <w:hideMark/>
          </w:tcPr>
          <w:p w14:paraId="7E42B23F" w14:textId="77777777" w:rsidR="00F915FE" w:rsidRDefault="00F915FE" w:rsidP="00410424">
            <w:pPr>
              <w:jc w:val="right"/>
              <w:rPr>
                <w:sz w:val="22"/>
                <w:szCs w:val="22"/>
              </w:rPr>
            </w:pPr>
            <w:r>
              <w:rPr>
                <w:sz w:val="22"/>
                <w:szCs w:val="22"/>
              </w:rPr>
              <w:t xml:space="preserve">800,000 </w:t>
            </w:r>
          </w:p>
        </w:tc>
      </w:tr>
      <w:tr w:rsidR="00F915FE" w14:paraId="0B00BE79"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72526F4B" w14:textId="77777777" w:rsidR="00F915FE" w:rsidRDefault="00F915FE" w:rsidP="00410424">
            <w:pPr>
              <w:jc w:val="cente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14:paraId="5F8480A3" w14:textId="77777777" w:rsidR="00F915FE" w:rsidRDefault="00F915FE" w:rsidP="0041042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7947D8BC" w14:textId="77777777" w:rsidR="00F915FE" w:rsidRDefault="00F915FE" w:rsidP="00410424">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14:paraId="5452973C" w14:textId="77777777" w:rsidR="00F915FE" w:rsidRDefault="00F915FE" w:rsidP="00410424">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14:paraId="7F80CB35" w14:textId="77777777" w:rsidR="00F915FE" w:rsidRDefault="00F915FE" w:rsidP="00410424">
            <w:pPr>
              <w:rPr>
                <w:sz w:val="22"/>
                <w:szCs w:val="22"/>
              </w:rPr>
            </w:pPr>
            <w:r>
              <w:rPr>
                <w:sz w:val="22"/>
                <w:szCs w:val="22"/>
              </w:rPr>
              <w:t> </w:t>
            </w:r>
          </w:p>
        </w:tc>
      </w:tr>
      <w:tr w:rsidR="00F915FE" w14:paraId="1E47A043"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3697D224" w14:textId="77777777" w:rsidR="00F915FE" w:rsidRDefault="00F915FE" w:rsidP="00410424">
            <w:pPr>
              <w:jc w:val="center"/>
              <w:rPr>
                <w:sz w:val="22"/>
                <w:szCs w:val="22"/>
              </w:rPr>
            </w:pPr>
            <w:r>
              <w:rPr>
                <w:sz w:val="22"/>
                <w:szCs w:val="22"/>
              </w:rPr>
              <w:t>5</w:t>
            </w:r>
          </w:p>
        </w:tc>
        <w:tc>
          <w:tcPr>
            <w:tcW w:w="3601" w:type="dxa"/>
            <w:tcBorders>
              <w:top w:val="nil"/>
              <w:left w:val="nil"/>
              <w:bottom w:val="nil"/>
              <w:right w:val="nil"/>
            </w:tcBorders>
            <w:shd w:val="clear" w:color="000000" w:fill="FFFFFF"/>
            <w:noWrap/>
            <w:vAlign w:val="bottom"/>
            <w:hideMark/>
          </w:tcPr>
          <w:p w14:paraId="79659307" w14:textId="77777777" w:rsidR="00F915FE" w:rsidRDefault="00F915FE" w:rsidP="00410424">
            <w:pPr>
              <w:rPr>
                <w:sz w:val="22"/>
                <w:szCs w:val="22"/>
              </w:rPr>
            </w:pPr>
            <w:r>
              <w:rPr>
                <w:sz w:val="22"/>
                <w:szCs w:val="22"/>
              </w:rPr>
              <w:t>Accumulated Depreciation</w:t>
            </w:r>
          </w:p>
        </w:tc>
        <w:tc>
          <w:tcPr>
            <w:tcW w:w="1596" w:type="dxa"/>
            <w:tcBorders>
              <w:top w:val="nil"/>
              <w:left w:val="nil"/>
              <w:bottom w:val="nil"/>
              <w:right w:val="nil"/>
            </w:tcBorders>
            <w:shd w:val="clear" w:color="000000" w:fill="FFFFFF"/>
            <w:noWrap/>
            <w:vAlign w:val="bottom"/>
            <w:hideMark/>
          </w:tcPr>
          <w:p w14:paraId="48C67F95" w14:textId="77777777" w:rsidR="00F915FE" w:rsidRDefault="00F915FE" w:rsidP="00410424">
            <w:pPr>
              <w:jc w:val="right"/>
              <w:rPr>
                <w:sz w:val="22"/>
                <w:szCs w:val="22"/>
              </w:rPr>
            </w:pPr>
            <w:r>
              <w:rPr>
                <w:sz w:val="22"/>
                <w:szCs w:val="22"/>
              </w:rPr>
              <w:t>(6,731,961)</w:t>
            </w:r>
          </w:p>
        </w:tc>
        <w:tc>
          <w:tcPr>
            <w:tcW w:w="1581" w:type="dxa"/>
            <w:tcBorders>
              <w:top w:val="nil"/>
              <w:left w:val="nil"/>
              <w:bottom w:val="nil"/>
              <w:right w:val="nil"/>
            </w:tcBorders>
            <w:shd w:val="clear" w:color="000000" w:fill="FFFFFF"/>
            <w:noWrap/>
            <w:vAlign w:val="bottom"/>
            <w:hideMark/>
          </w:tcPr>
          <w:p w14:paraId="021963B4" w14:textId="77777777" w:rsidR="00F915FE" w:rsidRDefault="00F915FE" w:rsidP="00410424">
            <w:pPr>
              <w:jc w:val="right"/>
              <w:rPr>
                <w:sz w:val="22"/>
                <w:szCs w:val="22"/>
              </w:rPr>
            </w:pPr>
            <w:r>
              <w:rPr>
                <w:sz w:val="22"/>
                <w:szCs w:val="22"/>
              </w:rPr>
              <w:t>(1,946,766)</w:t>
            </w:r>
          </w:p>
        </w:tc>
        <w:tc>
          <w:tcPr>
            <w:tcW w:w="1587" w:type="dxa"/>
            <w:tcBorders>
              <w:top w:val="nil"/>
              <w:left w:val="nil"/>
              <w:bottom w:val="nil"/>
              <w:right w:val="single" w:sz="4" w:space="0" w:color="auto"/>
            </w:tcBorders>
            <w:shd w:val="clear" w:color="000000" w:fill="FFFFFF"/>
            <w:noWrap/>
            <w:vAlign w:val="bottom"/>
            <w:hideMark/>
          </w:tcPr>
          <w:p w14:paraId="2312AB70" w14:textId="77777777" w:rsidR="00F915FE" w:rsidRDefault="00F915FE" w:rsidP="00410424">
            <w:pPr>
              <w:jc w:val="right"/>
              <w:rPr>
                <w:sz w:val="22"/>
                <w:szCs w:val="22"/>
              </w:rPr>
            </w:pPr>
            <w:r>
              <w:rPr>
                <w:sz w:val="22"/>
                <w:szCs w:val="22"/>
              </w:rPr>
              <w:t>(8,678,727)</w:t>
            </w:r>
          </w:p>
        </w:tc>
      </w:tr>
      <w:tr w:rsidR="00F915FE" w14:paraId="67DA9620"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3CDBFA24" w14:textId="77777777" w:rsidR="00F915FE" w:rsidRDefault="00F915FE" w:rsidP="00410424">
            <w:pPr>
              <w:jc w:val="cente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14:paraId="5E17FBB6" w14:textId="77777777" w:rsidR="00F915FE" w:rsidRDefault="00F915FE" w:rsidP="0041042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59205DA4" w14:textId="77777777" w:rsidR="00F915FE" w:rsidRDefault="00F915FE" w:rsidP="00410424">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14:paraId="49B54554" w14:textId="77777777" w:rsidR="00F915FE" w:rsidRDefault="00F915FE" w:rsidP="00410424">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14:paraId="4A317ECF" w14:textId="77777777" w:rsidR="00F915FE" w:rsidRDefault="00F915FE" w:rsidP="00410424">
            <w:pPr>
              <w:rPr>
                <w:sz w:val="22"/>
                <w:szCs w:val="22"/>
              </w:rPr>
            </w:pPr>
            <w:r>
              <w:rPr>
                <w:sz w:val="22"/>
                <w:szCs w:val="22"/>
              </w:rPr>
              <w:t> </w:t>
            </w:r>
          </w:p>
        </w:tc>
      </w:tr>
      <w:tr w:rsidR="00F915FE" w14:paraId="7F55E77B"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47BE3C0A" w14:textId="77777777" w:rsidR="00F915FE" w:rsidRDefault="00F915FE" w:rsidP="00410424">
            <w:pPr>
              <w:jc w:val="center"/>
              <w:rPr>
                <w:sz w:val="22"/>
                <w:szCs w:val="22"/>
              </w:rPr>
            </w:pPr>
            <w:r>
              <w:rPr>
                <w:sz w:val="22"/>
                <w:szCs w:val="22"/>
              </w:rPr>
              <w:t>6</w:t>
            </w:r>
          </w:p>
        </w:tc>
        <w:tc>
          <w:tcPr>
            <w:tcW w:w="3601" w:type="dxa"/>
            <w:tcBorders>
              <w:top w:val="nil"/>
              <w:left w:val="nil"/>
              <w:bottom w:val="nil"/>
              <w:right w:val="nil"/>
            </w:tcBorders>
            <w:shd w:val="clear" w:color="000000" w:fill="FFFFFF"/>
            <w:noWrap/>
            <w:vAlign w:val="bottom"/>
            <w:hideMark/>
          </w:tcPr>
          <w:p w14:paraId="6812337B" w14:textId="77777777" w:rsidR="00F915FE" w:rsidRDefault="00F915FE" w:rsidP="00410424">
            <w:pPr>
              <w:rPr>
                <w:sz w:val="22"/>
                <w:szCs w:val="22"/>
              </w:rPr>
            </w:pPr>
            <w:r>
              <w:rPr>
                <w:sz w:val="22"/>
                <w:szCs w:val="22"/>
              </w:rPr>
              <w:t>CIAC</w:t>
            </w:r>
          </w:p>
        </w:tc>
        <w:tc>
          <w:tcPr>
            <w:tcW w:w="1596" w:type="dxa"/>
            <w:tcBorders>
              <w:top w:val="nil"/>
              <w:left w:val="nil"/>
              <w:bottom w:val="nil"/>
              <w:right w:val="nil"/>
            </w:tcBorders>
            <w:shd w:val="clear" w:color="000000" w:fill="FFFFFF"/>
            <w:noWrap/>
            <w:vAlign w:val="bottom"/>
            <w:hideMark/>
          </w:tcPr>
          <w:p w14:paraId="1D4DEC73" w14:textId="77777777" w:rsidR="00F915FE" w:rsidRDefault="00F915FE" w:rsidP="00410424">
            <w:pPr>
              <w:jc w:val="right"/>
              <w:rPr>
                <w:sz w:val="22"/>
                <w:szCs w:val="22"/>
              </w:rPr>
            </w:pPr>
            <w:r>
              <w:rPr>
                <w:sz w:val="22"/>
                <w:szCs w:val="22"/>
              </w:rPr>
              <w:t>(13,079,845)</w:t>
            </w:r>
          </w:p>
        </w:tc>
        <w:tc>
          <w:tcPr>
            <w:tcW w:w="1581" w:type="dxa"/>
            <w:tcBorders>
              <w:top w:val="nil"/>
              <w:left w:val="nil"/>
              <w:bottom w:val="nil"/>
              <w:right w:val="nil"/>
            </w:tcBorders>
            <w:shd w:val="clear" w:color="000000" w:fill="FFFFFF"/>
            <w:noWrap/>
            <w:vAlign w:val="bottom"/>
            <w:hideMark/>
          </w:tcPr>
          <w:p w14:paraId="5174A76E" w14:textId="77777777" w:rsidR="00F915FE" w:rsidRDefault="00F915FE" w:rsidP="00410424">
            <w:pPr>
              <w:jc w:val="right"/>
              <w:rPr>
                <w:sz w:val="22"/>
                <w:szCs w:val="22"/>
              </w:rPr>
            </w:pPr>
            <w:r>
              <w:rPr>
                <w:sz w:val="22"/>
                <w:szCs w:val="22"/>
              </w:rPr>
              <w:t xml:space="preserve">(162,263) </w:t>
            </w:r>
          </w:p>
        </w:tc>
        <w:tc>
          <w:tcPr>
            <w:tcW w:w="1587" w:type="dxa"/>
            <w:tcBorders>
              <w:top w:val="nil"/>
              <w:left w:val="nil"/>
              <w:bottom w:val="nil"/>
              <w:right w:val="single" w:sz="4" w:space="0" w:color="auto"/>
            </w:tcBorders>
            <w:shd w:val="clear" w:color="000000" w:fill="FFFFFF"/>
            <w:noWrap/>
            <w:vAlign w:val="bottom"/>
            <w:hideMark/>
          </w:tcPr>
          <w:p w14:paraId="034814E3" w14:textId="77777777" w:rsidR="00F915FE" w:rsidRDefault="00F915FE" w:rsidP="00410424">
            <w:pPr>
              <w:jc w:val="right"/>
              <w:rPr>
                <w:sz w:val="22"/>
                <w:szCs w:val="22"/>
              </w:rPr>
            </w:pPr>
            <w:r>
              <w:rPr>
                <w:sz w:val="22"/>
                <w:szCs w:val="22"/>
              </w:rPr>
              <w:t>(13,242,108)</w:t>
            </w:r>
          </w:p>
        </w:tc>
      </w:tr>
      <w:tr w:rsidR="00F915FE" w14:paraId="19E5AEC5"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1D9E6189" w14:textId="77777777" w:rsidR="00F915FE" w:rsidRDefault="00F915FE" w:rsidP="00410424">
            <w:pPr>
              <w:jc w:val="cente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14:paraId="601074F2" w14:textId="77777777" w:rsidR="00F915FE" w:rsidRDefault="00F915FE" w:rsidP="0041042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7263603F" w14:textId="77777777" w:rsidR="00F915FE" w:rsidRDefault="00F915FE" w:rsidP="00410424">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14:paraId="69704626" w14:textId="77777777" w:rsidR="00F915FE" w:rsidRDefault="00F915FE" w:rsidP="00410424">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14:paraId="134003FD" w14:textId="77777777" w:rsidR="00F915FE" w:rsidRDefault="00F915FE" w:rsidP="00410424">
            <w:pPr>
              <w:rPr>
                <w:sz w:val="22"/>
                <w:szCs w:val="22"/>
              </w:rPr>
            </w:pPr>
            <w:r>
              <w:rPr>
                <w:sz w:val="22"/>
                <w:szCs w:val="22"/>
              </w:rPr>
              <w:t> </w:t>
            </w:r>
          </w:p>
        </w:tc>
      </w:tr>
      <w:tr w:rsidR="00F915FE" w14:paraId="50733438"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1B6E7557" w14:textId="77777777" w:rsidR="00F915FE" w:rsidRDefault="00F915FE" w:rsidP="00410424">
            <w:pPr>
              <w:jc w:val="center"/>
              <w:rPr>
                <w:sz w:val="22"/>
                <w:szCs w:val="22"/>
              </w:rPr>
            </w:pPr>
            <w:r>
              <w:rPr>
                <w:sz w:val="22"/>
                <w:szCs w:val="22"/>
              </w:rPr>
              <w:t>7</w:t>
            </w:r>
          </w:p>
        </w:tc>
        <w:tc>
          <w:tcPr>
            <w:tcW w:w="3601" w:type="dxa"/>
            <w:tcBorders>
              <w:top w:val="nil"/>
              <w:left w:val="nil"/>
              <w:bottom w:val="nil"/>
              <w:right w:val="nil"/>
            </w:tcBorders>
            <w:shd w:val="clear" w:color="000000" w:fill="FFFFFF"/>
            <w:noWrap/>
            <w:vAlign w:val="bottom"/>
            <w:hideMark/>
          </w:tcPr>
          <w:p w14:paraId="77983FCD" w14:textId="77777777" w:rsidR="00F915FE" w:rsidRDefault="00F915FE" w:rsidP="00410424">
            <w:pPr>
              <w:rPr>
                <w:sz w:val="22"/>
                <w:szCs w:val="22"/>
              </w:rPr>
            </w:pPr>
            <w:r>
              <w:rPr>
                <w:sz w:val="22"/>
                <w:szCs w:val="22"/>
              </w:rPr>
              <w:t>Amortization of CIAC</w:t>
            </w:r>
          </w:p>
        </w:tc>
        <w:tc>
          <w:tcPr>
            <w:tcW w:w="1596" w:type="dxa"/>
            <w:tcBorders>
              <w:top w:val="nil"/>
              <w:left w:val="nil"/>
              <w:bottom w:val="nil"/>
              <w:right w:val="nil"/>
            </w:tcBorders>
            <w:shd w:val="clear" w:color="000000" w:fill="FFFFFF"/>
            <w:noWrap/>
            <w:vAlign w:val="bottom"/>
            <w:hideMark/>
          </w:tcPr>
          <w:p w14:paraId="26D49A54" w14:textId="77777777" w:rsidR="00F915FE" w:rsidRDefault="00F915FE" w:rsidP="00410424">
            <w:pPr>
              <w:jc w:val="right"/>
              <w:rPr>
                <w:sz w:val="22"/>
                <w:szCs w:val="22"/>
              </w:rPr>
            </w:pPr>
            <w:r>
              <w:rPr>
                <w:sz w:val="22"/>
                <w:szCs w:val="22"/>
              </w:rPr>
              <w:t xml:space="preserve">4,124,751 </w:t>
            </w:r>
          </w:p>
        </w:tc>
        <w:tc>
          <w:tcPr>
            <w:tcW w:w="1581" w:type="dxa"/>
            <w:tcBorders>
              <w:top w:val="nil"/>
              <w:left w:val="nil"/>
              <w:bottom w:val="nil"/>
              <w:right w:val="nil"/>
            </w:tcBorders>
            <w:shd w:val="clear" w:color="000000" w:fill="FFFFFF"/>
            <w:noWrap/>
            <w:vAlign w:val="bottom"/>
            <w:hideMark/>
          </w:tcPr>
          <w:p w14:paraId="45314FEC" w14:textId="77777777" w:rsidR="00F915FE" w:rsidRDefault="00F915FE" w:rsidP="00410424">
            <w:pPr>
              <w:jc w:val="right"/>
              <w:rPr>
                <w:sz w:val="22"/>
                <w:szCs w:val="22"/>
              </w:rPr>
            </w:pPr>
            <w:r>
              <w:rPr>
                <w:sz w:val="22"/>
                <w:szCs w:val="22"/>
              </w:rPr>
              <w:t>51,170</w:t>
            </w:r>
          </w:p>
        </w:tc>
        <w:tc>
          <w:tcPr>
            <w:tcW w:w="1587" w:type="dxa"/>
            <w:tcBorders>
              <w:top w:val="nil"/>
              <w:left w:val="nil"/>
              <w:bottom w:val="nil"/>
              <w:right w:val="single" w:sz="4" w:space="0" w:color="auto"/>
            </w:tcBorders>
            <w:shd w:val="clear" w:color="000000" w:fill="FFFFFF"/>
            <w:noWrap/>
            <w:vAlign w:val="bottom"/>
            <w:hideMark/>
          </w:tcPr>
          <w:p w14:paraId="0FD3EE8C" w14:textId="77777777" w:rsidR="00F915FE" w:rsidRDefault="00F915FE" w:rsidP="00410424">
            <w:pPr>
              <w:jc w:val="right"/>
              <w:rPr>
                <w:sz w:val="22"/>
                <w:szCs w:val="22"/>
              </w:rPr>
            </w:pPr>
            <w:r>
              <w:rPr>
                <w:sz w:val="22"/>
                <w:szCs w:val="22"/>
              </w:rPr>
              <w:t xml:space="preserve">4,175,921 </w:t>
            </w:r>
          </w:p>
        </w:tc>
      </w:tr>
      <w:tr w:rsidR="00F915FE" w14:paraId="6DC0E597"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6EA72D7F" w14:textId="77777777" w:rsidR="00F915FE" w:rsidRDefault="00F915FE" w:rsidP="00410424">
            <w:pPr>
              <w:jc w:val="cente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14:paraId="1E894338" w14:textId="77777777" w:rsidR="00F915FE" w:rsidRDefault="00F915FE" w:rsidP="0041042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12E48C58" w14:textId="77777777" w:rsidR="00F915FE" w:rsidRDefault="00F915FE" w:rsidP="00410424">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14:paraId="64E8CD01" w14:textId="77777777" w:rsidR="00F915FE" w:rsidRDefault="00F915FE" w:rsidP="00410424">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14:paraId="520D92AD" w14:textId="77777777" w:rsidR="00F915FE" w:rsidRDefault="00F915FE" w:rsidP="00410424">
            <w:pPr>
              <w:rPr>
                <w:sz w:val="22"/>
                <w:szCs w:val="22"/>
              </w:rPr>
            </w:pPr>
            <w:r>
              <w:rPr>
                <w:sz w:val="22"/>
                <w:szCs w:val="22"/>
              </w:rPr>
              <w:t> </w:t>
            </w:r>
          </w:p>
        </w:tc>
      </w:tr>
      <w:tr w:rsidR="00F915FE" w14:paraId="62E78BC4"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1C34BD88" w14:textId="77777777" w:rsidR="00F915FE" w:rsidRDefault="00F915FE" w:rsidP="00410424">
            <w:pPr>
              <w:jc w:val="center"/>
              <w:rPr>
                <w:sz w:val="22"/>
                <w:szCs w:val="22"/>
              </w:rPr>
            </w:pPr>
            <w:r>
              <w:rPr>
                <w:sz w:val="22"/>
                <w:szCs w:val="22"/>
              </w:rPr>
              <w:t>10</w:t>
            </w:r>
          </w:p>
        </w:tc>
        <w:tc>
          <w:tcPr>
            <w:tcW w:w="3601" w:type="dxa"/>
            <w:tcBorders>
              <w:top w:val="nil"/>
              <w:left w:val="nil"/>
              <w:bottom w:val="nil"/>
              <w:right w:val="nil"/>
            </w:tcBorders>
            <w:shd w:val="clear" w:color="000000" w:fill="FFFFFF"/>
            <w:noWrap/>
            <w:vAlign w:val="bottom"/>
            <w:hideMark/>
          </w:tcPr>
          <w:p w14:paraId="2E57BEA2" w14:textId="77777777" w:rsidR="00F915FE" w:rsidRDefault="00F915FE" w:rsidP="00410424">
            <w:pPr>
              <w:rPr>
                <w:sz w:val="22"/>
                <w:szCs w:val="22"/>
              </w:rPr>
            </w:pPr>
            <w:r>
              <w:rPr>
                <w:sz w:val="22"/>
                <w:szCs w:val="22"/>
              </w:rPr>
              <w:t>Working Capital Allowance</w:t>
            </w:r>
          </w:p>
        </w:tc>
        <w:tc>
          <w:tcPr>
            <w:tcW w:w="1596" w:type="dxa"/>
            <w:tcBorders>
              <w:top w:val="nil"/>
              <w:left w:val="nil"/>
              <w:bottom w:val="nil"/>
              <w:right w:val="nil"/>
            </w:tcBorders>
            <w:shd w:val="clear" w:color="000000" w:fill="FFFFFF"/>
            <w:noWrap/>
            <w:vAlign w:val="bottom"/>
            <w:hideMark/>
          </w:tcPr>
          <w:p w14:paraId="7739177A" w14:textId="77777777" w:rsidR="00F915FE" w:rsidRDefault="00F915FE" w:rsidP="00410424">
            <w:pPr>
              <w:jc w:val="right"/>
              <w:rPr>
                <w:sz w:val="22"/>
                <w:szCs w:val="22"/>
                <w:u w:val="single"/>
              </w:rPr>
            </w:pPr>
            <w:r>
              <w:rPr>
                <w:sz w:val="22"/>
                <w:szCs w:val="22"/>
                <w:u w:val="single"/>
              </w:rPr>
              <w:t xml:space="preserve">174,443 </w:t>
            </w:r>
          </w:p>
        </w:tc>
        <w:tc>
          <w:tcPr>
            <w:tcW w:w="1581" w:type="dxa"/>
            <w:tcBorders>
              <w:top w:val="nil"/>
              <w:left w:val="nil"/>
              <w:bottom w:val="nil"/>
              <w:right w:val="nil"/>
            </w:tcBorders>
            <w:shd w:val="clear" w:color="000000" w:fill="FFFFFF"/>
            <w:noWrap/>
            <w:vAlign w:val="bottom"/>
            <w:hideMark/>
          </w:tcPr>
          <w:p w14:paraId="6446A039" w14:textId="77777777" w:rsidR="00F915FE" w:rsidRDefault="00F915FE" w:rsidP="00410424">
            <w:pPr>
              <w:jc w:val="right"/>
              <w:rPr>
                <w:sz w:val="22"/>
                <w:szCs w:val="22"/>
                <w:u w:val="single"/>
              </w:rPr>
            </w:pPr>
            <w:r>
              <w:rPr>
                <w:sz w:val="22"/>
                <w:szCs w:val="22"/>
                <w:u w:val="single"/>
              </w:rPr>
              <w:t>5,026</w:t>
            </w:r>
          </w:p>
        </w:tc>
        <w:tc>
          <w:tcPr>
            <w:tcW w:w="1587" w:type="dxa"/>
            <w:tcBorders>
              <w:top w:val="nil"/>
              <w:left w:val="nil"/>
              <w:bottom w:val="nil"/>
              <w:right w:val="single" w:sz="4" w:space="0" w:color="auto"/>
            </w:tcBorders>
            <w:shd w:val="clear" w:color="000000" w:fill="FFFFFF"/>
            <w:noWrap/>
            <w:vAlign w:val="bottom"/>
            <w:hideMark/>
          </w:tcPr>
          <w:p w14:paraId="047DA31F" w14:textId="77777777" w:rsidR="00F915FE" w:rsidRDefault="00F915FE" w:rsidP="00410424">
            <w:pPr>
              <w:jc w:val="right"/>
              <w:rPr>
                <w:sz w:val="22"/>
                <w:szCs w:val="22"/>
                <w:u w:val="single"/>
              </w:rPr>
            </w:pPr>
            <w:r>
              <w:rPr>
                <w:sz w:val="22"/>
                <w:szCs w:val="22"/>
                <w:u w:val="single"/>
              </w:rPr>
              <w:t xml:space="preserve">179,469 </w:t>
            </w:r>
          </w:p>
        </w:tc>
      </w:tr>
      <w:tr w:rsidR="00F915FE" w14:paraId="471ED984" w14:textId="77777777" w:rsidTr="00F915FE">
        <w:trPr>
          <w:trHeight w:val="300"/>
          <w:jc w:val="center"/>
        </w:trPr>
        <w:tc>
          <w:tcPr>
            <w:tcW w:w="327" w:type="dxa"/>
            <w:tcBorders>
              <w:top w:val="nil"/>
              <w:left w:val="single" w:sz="4" w:space="0" w:color="auto"/>
              <w:bottom w:val="nil"/>
              <w:right w:val="nil"/>
            </w:tcBorders>
            <w:shd w:val="clear" w:color="000000" w:fill="FFFFFF"/>
            <w:noWrap/>
            <w:vAlign w:val="bottom"/>
            <w:hideMark/>
          </w:tcPr>
          <w:p w14:paraId="67E9BE2F" w14:textId="77777777" w:rsidR="00F915FE" w:rsidRDefault="00F915FE" w:rsidP="00410424">
            <w:pPr>
              <w:rPr>
                <w:sz w:val="22"/>
                <w:szCs w:val="22"/>
              </w:rPr>
            </w:pPr>
            <w:r>
              <w:rPr>
                <w:sz w:val="22"/>
                <w:szCs w:val="22"/>
              </w:rPr>
              <w:t> </w:t>
            </w:r>
          </w:p>
        </w:tc>
        <w:tc>
          <w:tcPr>
            <w:tcW w:w="3601" w:type="dxa"/>
            <w:tcBorders>
              <w:top w:val="nil"/>
              <w:left w:val="nil"/>
              <w:bottom w:val="nil"/>
              <w:right w:val="nil"/>
            </w:tcBorders>
            <w:shd w:val="clear" w:color="000000" w:fill="FFFFFF"/>
            <w:noWrap/>
            <w:vAlign w:val="bottom"/>
            <w:hideMark/>
          </w:tcPr>
          <w:p w14:paraId="0D320511" w14:textId="77777777" w:rsidR="00F915FE" w:rsidRDefault="00F915FE" w:rsidP="00410424">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52F9178B" w14:textId="77777777" w:rsidR="00F915FE" w:rsidRDefault="00F915FE" w:rsidP="00410424">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14:paraId="39091C71" w14:textId="77777777" w:rsidR="00F915FE" w:rsidRDefault="00F915FE" w:rsidP="00410424">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14:paraId="2D94F8F0" w14:textId="77777777" w:rsidR="00F915FE" w:rsidRDefault="00F915FE" w:rsidP="00410424">
            <w:pPr>
              <w:rPr>
                <w:sz w:val="22"/>
                <w:szCs w:val="22"/>
              </w:rPr>
            </w:pPr>
            <w:r>
              <w:rPr>
                <w:sz w:val="22"/>
                <w:szCs w:val="22"/>
              </w:rPr>
              <w:t> </w:t>
            </w:r>
          </w:p>
        </w:tc>
      </w:tr>
      <w:tr w:rsidR="00F915FE" w14:paraId="5A0919F5" w14:textId="77777777" w:rsidTr="00F915FE">
        <w:trPr>
          <w:trHeight w:val="300"/>
          <w:jc w:val="center"/>
        </w:trPr>
        <w:tc>
          <w:tcPr>
            <w:tcW w:w="327" w:type="dxa"/>
            <w:tcBorders>
              <w:top w:val="nil"/>
              <w:left w:val="single" w:sz="4" w:space="0" w:color="auto"/>
              <w:right w:val="nil"/>
            </w:tcBorders>
            <w:shd w:val="clear" w:color="000000" w:fill="FFFFFF"/>
            <w:noWrap/>
            <w:vAlign w:val="bottom"/>
            <w:hideMark/>
          </w:tcPr>
          <w:p w14:paraId="058B7DFD" w14:textId="77777777" w:rsidR="00F915FE" w:rsidRDefault="00F915FE" w:rsidP="00410424">
            <w:pPr>
              <w:jc w:val="center"/>
              <w:rPr>
                <w:sz w:val="22"/>
                <w:szCs w:val="22"/>
              </w:rPr>
            </w:pPr>
            <w:r>
              <w:rPr>
                <w:sz w:val="22"/>
                <w:szCs w:val="22"/>
              </w:rPr>
              <w:t>11</w:t>
            </w:r>
          </w:p>
        </w:tc>
        <w:tc>
          <w:tcPr>
            <w:tcW w:w="3601" w:type="dxa"/>
            <w:tcBorders>
              <w:top w:val="nil"/>
              <w:left w:val="nil"/>
              <w:right w:val="nil"/>
            </w:tcBorders>
            <w:shd w:val="clear" w:color="000000" w:fill="FFFFFF"/>
            <w:noWrap/>
            <w:vAlign w:val="bottom"/>
            <w:hideMark/>
          </w:tcPr>
          <w:p w14:paraId="536D0F00" w14:textId="77777777" w:rsidR="00F915FE" w:rsidRDefault="00F915FE" w:rsidP="00410424">
            <w:pPr>
              <w:rPr>
                <w:b/>
                <w:bCs/>
                <w:sz w:val="22"/>
                <w:szCs w:val="22"/>
              </w:rPr>
            </w:pPr>
            <w:r>
              <w:rPr>
                <w:b/>
                <w:bCs/>
                <w:sz w:val="22"/>
                <w:szCs w:val="22"/>
              </w:rPr>
              <w:t>Rate Base</w:t>
            </w:r>
          </w:p>
        </w:tc>
        <w:tc>
          <w:tcPr>
            <w:tcW w:w="1596" w:type="dxa"/>
            <w:tcBorders>
              <w:top w:val="nil"/>
              <w:left w:val="nil"/>
              <w:right w:val="nil"/>
            </w:tcBorders>
            <w:shd w:val="clear" w:color="auto" w:fill="auto"/>
            <w:noWrap/>
            <w:vAlign w:val="bottom"/>
            <w:hideMark/>
          </w:tcPr>
          <w:p w14:paraId="19E566C4" w14:textId="77777777" w:rsidR="00F915FE" w:rsidRDefault="00F915FE" w:rsidP="00410424">
            <w:pPr>
              <w:jc w:val="right"/>
              <w:rPr>
                <w:sz w:val="22"/>
                <w:szCs w:val="22"/>
                <w:u w:val="double"/>
              </w:rPr>
            </w:pPr>
            <w:r>
              <w:rPr>
                <w:sz w:val="22"/>
                <w:szCs w:val="22"/>
                <w:u w:val="double"/>
              </w:rPr>
              <w:t xml:space="preserve">$6,445,536 </w:t>
            </w:r>
          </w:p>
        </w:tc>
        <w:tc>
          <w:tcPr>
            <w:tcW w:w="1581" w:type="dxa"/>
            <w:tcBorders>
              <w:top w:val="nil"/>
              <w:left w:val="nil"/>
              <w:right w:val="nil"/>
            </w:tcBorders>
            <w:shd w:val="clear" w:color="000000" w:fill="FFFFFF"/>
            <w:noWrap/>
            <w:vAlign w:val="bottom"/>
            <w:hideMark/>
          </w:tcPr>
          <w:p w14:paraId="10A43909" w14:textId="77777777" w:rsidR="00F915FE" w:rsidRDefault="00F915FE" w:rsidP="00410424">
            <w:pPr>
              <w:jc w:val="right"/>
              <w:rPr>
                <w:sz w:val="22"/>
                <w:szCs w:val="22"/>
                <w:u w:val="double"/>
              </w:rPr>
            </w:pPr>
            <w:r>
              <w:rPr>
                <w:sz w:val="22"/>
                <w:szCs w:val="22"/>
                <w:u w:val="double"/>
              </w:rPr>
              <w:t>($4,117,820)</w:t>
            </w:r>
          </w:p>
        </w:tc>
        <w:tc>
          <w:tcPr>
            <w:tcW w:w="1587" w:type="dxa"/>
            <w:tcBorders>
              <w:top w:val="nil"/>
              <w:left w:val="nil"/>
              <w:right w:val="single" w:sz="4" w:space="0" w:color="auto"/>
            </w:tcBorders>
            <w:shd w:val="clear" w:color="000000" w:fill="FFFFFF"/>
            <w:noWrap/>
            <w:vAlign w:val="bottom"/>
            <w:hideMark/>
          </w:tcPr>
          <w:p w14:paraId="072CBADB" w14:textId="77777777" w:rsidR="00F915FE" w:rsidRDefault="00F915FE" w:rsidP="00410424">
            <w:pPr>
              <w:jc w:val="right"/>
              <w:rPr>
                <w:sz w:val="22"/>
                <w:szCs w:val="22"/>
                <w:u w:val="double"/>
              </w:rPr>
            </w:pPr>
            <w:r>
              <w:rPr>
                <w:sz w:val="22"/>
                <w:szCs w:val="22"/>
                <w:u w:val="double"/>
              </w:rPr>
              <w:t xml:space="preserve">$2,328,564 </w:t>
            </w:r>
          </w:p>
        </w:tc>
      </w:tr>
      <w:tr w:rsidR="00F915FE" w14:paraId="3D43DE26" w14:textId="77777777" w:rsidTr="00F915FE">
        <w:trPr>
          <w:trHeight w:val="300"/>
          <w:jc w:val="center"/>
        </w:trPr>
        <w:tc>
          <w:tcPr>
            <w:tcW w:w="327" w:type="dxa"/>
            <w:tcBorders>
              <w:top w:val="nil"/>
              <w:left w:val="single" w:sz="4" w:space="0" w:color="auto"/>
              <w:bottom w:val="single" w:sz="4" w:space="0" w:color="auto"/>
              <w:right w:val="nil"/>
            </w:tcBorders>
            <w:shd w:val="clear" w:color="000000" w:fill="FFFFFF"/>
            <w:noWrap/>
            <w:vAlign w:val="bottom"/>
          </w:tcPr>
          <w:p w14:paraId="2A35A0E6" w14:textId="77777777" w:rsidR="00F915FE" w:rsidRDefault="00F915FE" w:rsidP="00410424">
            <w:pPr>
              <w:jc w:val="center"/>
              <w:rPr>
                <w:sz w:val="22"/>
                <w:szCs w:val="22"/>
              </w:rPr>
            </w:pPr>
          </w:p>
        </w:tc>
        <w:tc>
          <w:tcPr>
            <w:tcW w:w="3601" w:type="dxa"/>
            <w:tcBorders>
              <w:top w:val="nil"/>
              <w:left w:val="nil"/>
              <w:bottom w:val="single" w:sz="4" w:space="0" w:color="auto"/>
              <w:right w:val="nil"/>
            </w:tcBorders>
            <w:shd w:val="clear" w:color="000000" w:fill="FFFFFF"/>
            <w:noWrap/>
            <w:vAlign w:val="bottom"/>
          </w:tcPr>
          <w:p w14:paraId="666A69AD" w14:textId="77777777" w:rsidR="00F915FE" w:rsidRDefault="00F915FE" w:rsidP="00410424">
            <w:pPr>
              <w:rPr>
                <w:b/>
                <w:bCs/>
                <w:sz w:val="22"/>
                <w:szCs w:val="22"/>
              </w:rPr>
            </w:pPr>
          </w:p>
        </w:tc>
        <w:tc>
          <w:tcPr>
            <w:tcW w:w="1596" w:type="dxa"/>
            <w:tcBorders>
              <w:top w:val="nil"/>
              <w:left w:val="nil"/>
              <w:bottom w:val="single" w:sz="4" w:space="0" w:color="auto"/>
              <w:right w:val="nil"/>
            </w:tcBorders>
            <w:shd w:val="clear" w:color="auto" w:fill="auto"/>
            <w:noWrap/>
            <w:vAlign w:val="bottom"/>
          </w:tcPr>
          <w:p w14:paraId="1B64EEB0" w14:textId="77777777" w:rsidR="00F915FE" w:rsidRDefault="00F915FE" w:rsidP="00410424">
            <w:pPr>
              <w:jc w:val="right"/>
              <w:rPr>
                <w:sz w:val="22"/>
                <w:szCs w:val="22"/>
                <w:u w:val="double"/>
              </w:rPr>
            </w:pPr>
          </w:p>
        </w:tc>
        <w:tc>
          <w:tcPr>
            <w:tcW w:w="1581" w:type="dxa"/>
            <w:tcBorders>
              <w:top w:val="nil"/>
              <w:left w:val="nil"/>
              <w:bottom w:val="single" w:sz="4" w:space="0" w:color="auto"/>
              <w:right w:val="nil"/>
            </w:tcBorders>
            <w:shd w:val="clear" w:color="000000" w:fill="FFFFFF"/>
            <w:noWrap/>
            <w:vAlign w:val="bottom"/>
          </w:tcPr>
          <w:p w14:paraId="0A258B71" w14:textId="77777777" w:rsidR="00F915FE" w:rsidRDefault="00F915FE" w:rsidP="00410424">
            <w:pPr>
              <w:jc w:val="right"/>
              <w:rPr>
                <w:sz w:val="22"/>
                <w:szCs w:val="22"/>
                <w:u w:val="double"/>
              </w:rPr>
            </w:pPr>
          </w:p>
        </w:tc>
        <w:tc>
          <w:tcPr>
            <w:tcW w:w="1587" w:type="dxa"/>
            <w:tcBorders>
              <w:top w:val="nil"/>
              <w:left w:val="nil"/>
              <w:bottom w:val="single" w:sz="4" w:space="0" w:color="auto"/>
              <w:right w:val="single" w:sz="4" w:space="0" w:color="auto"/>
            </w:tcBorders>
            <w:shd w:val="clear" w:color="000000" w:fill="FFFFFF"/>
            <w:noWrap/>
            <w:vAlign w:val="bottom"/>
          </w:tcPr>
          <w:p w14:paraId="5D6315B0" w14:textId="77777777" w:rsidR="00F915FE" w:rsidRDefault="00F915FE" w:rsidP="00410424">
            <w:pPr>
              <w:jc w:val="right"/>
              <w:rPr>
                <w:sz w:val="22"/>
                <w:szCs w:val="22"/>
                <w:u w:val="double"/>
              </w:rPr>
            </w:pPr>
          </w:p>
        </w:tc>
      </w:tr>
    </w:tbl>
    <w:p w14:paraId="6FAE3024" w14:textId="77777777" w:rsidR="00F915FE" w:rsidRDefault="00F915FE" w:rsidP="00E275D8">
      <w:pPr>
        <w:pStyle w:val="BodyText"/>
      </w:pPr>
    </w:p>
    <w:p w14:paraId="0879DB34" w14:textId="77777777" w:rsidR="00410424" w:rsidRDefault="00410424" w:rsidP="00E275D8">
      <w:pPr>
        <w:pStyle w:val="BodyText"/>
      </w:pPr>
    </w:p>
    <w:p w14:paraId="45DB12C3" w14:textId="77777777" w:rsidR="00410424" w:rsidRDefault="00410424" w:rsidP="00E275D8">
      <w:pPr>
        <w:pStyle w:val="BodyText"/>
      </w:pPr>
    </w:p>
    <w:p w14:paraId="006B9783" w14:textId="77777777" w:rsidR="00410424" w:rsidRDefault="00410424" w:rsidP="00E275D8">
      <w:pPr>
        <w:pStyle w:val="BodyText"/>
        <w:sectPr w:rsidR="00410424" w:rsidSect="0068481F">
          <w:headerReference w:type="default" r:id="rId13"/>
          <w:footerReference w:type="default" r:id="rId14"/>
          <w:pgSz w:w="12240" w:h="15840" w:code="1"/>
          <w:pgMar w:top="1584" w:right="1440" w:bottom="1440" w:left="1440" w:header="720" w:footer="720" w:gutter="0"/>
          <w:cols w:space="720"/>
          <w:formProt w:val="0"/>
          <w:docGrid w:linePitch="360"/>
        </w:sectPr>
      </w:pPr>
      <w:bookmarkStart w:id="31" w:name="_GoBack"/>
    </w:p>
    <w:bookmarkEnd w:id="31"/>
    <w:p w14:paraId="3AA039CF" w14:textId="77777777" w:rsidR="00410424" w:rsidRDefault="00410424" w:rsidP="00410424">
      <w:pPr>
        <w:pStyle w:val="BodyText"/>
      </w:pPr>
      <w:r>
        <w:fldChar w:fldCharType="begin"/>
      </w:r>
      <w:r>
        <w:instrText xml:space="preserve"> TC "</w:instrText>
      </w:r>
      <w:bookmarkStart w:id="32" w:name="_Toc104278786"/>
      <w:r>
        <w:instrText>Schedule No. 1-B – Adjustments to Rate Base</w:instrText>
      </w:r>
      <w:bookmarkEnd w:id="32"/>
      <w:r>
        <w:instrText xml:space="preserve">" \l 1 </w:instrText>
      </w:r>
      <w:r>
        <w:fldChar w:fldCharType="end"/>
      </w:r>
    </w:p>
    <w:p w14:paraId="2FD67D0A" w14:textId="77777777" w:rsidR="00410424" w:rsidRDefault="00410424" w:rsidP="00E275D8">
      <w:pPr>
        <w:pStyle w:val="BodyText"/>
      </w:pPr>
    </w:p>
    <w:tbl>
      <w:tblPr>
        <w:tblW w:w="9888" w:type="dxa"/>
        <w:jc w:val="center"/>
        <w:tblLook w:val="04A0" w:firstRow="1" w:lastRow="0" w:firstColumn="1" w:lastColumn="0" w:noHBand="0" w:noVBand="1"/>
      </w:tblPr>
      <w:tblGrid>
        <w:gridCol w:w="272"/>
        <w:gridCol w:w="6291"/>
        <w:gridCol w:w="3042"/>
        <w:gridCol w:w="283"/>
      </w:tblGrid>
      <w:tr w:rsidR="00410424" w14:paraId="58D50AD1" w14:textId="77777777" w:rsidTr="00410424">
        <w:trPr>
          <w:trHeight w:val="300"/>
          <w:jc w:val="center"/>
        </w:trPr>
        <w:tc>
          <w:tcPr>
            <w:tcW w:w="6563" w:type="dxa"/>
            <w:gridSpan w:val="2"/>
            <w:tcBorders>
              <w:top w:val="single" w:sz="4" w:space="0" w:color="auto"/>
              <w:left w:val="single" w:sz="4" w:space="0" w:color="auto"/>
              <w:bottom w:val="nil"/>
              <w:right w:val="nil"/>
            </w:tcBorders>
            <w:shd w:val="clear" w:color="000000" w:fill="FFFFFF"/>
            <w:noWrap/>
            <w:vAlign w:val="bottom"/>
            <w:hideMark/>
          </w:tcPr>
          <w:p w14:paraId="5287A879" w14:textId="77777777" w:rsidR="00410424" w:rsidRDefault="00410424" w:rsidP="00410424">
            <w:pPr>
              <w:rPr>
                <w:rFonts w:ascii="Arial" w:hAnsi="Arial" w:cs="Arial"/>
                <w:b/>
                <w:bCs/>
              </w:rPr>
            </w:pPr>
            <w:bookmarkStart w:id="33" w:name="RANGE!B5:E27"/>
            <w:r>
              <w:rPr>
                <w:rFonts w:ascii="Arial" w:hAnsi="Arial" w:cs="Arial"/>
                <w:b/>
                <w:bCs/>
              </w:rPr>
              <w:t>Environmental Utilities, LLC</w:t>
            </w:r>
            <w:bookmarkEnd w:id="33"/>
          </w:p>
        </w:tc>
        <w:tc>
          <w:tcPr>
            <w:tcW w:w="3325" w:type="dxa"/>
            <w:gridSpan w:val="2"/>
            <w:tcBorders>
              <w:top w:val="single" w:sz="4" w:space="0" w:color="auto"/>
              <w:left w:val="nil"/>
              <w:bottom w:val="nil"/>
              <w:right w:val="single" w:sz="4" w:space="0" w:color="auto"/>
            </w:tcBorders>
            <w:shd w:val="clear" w:color="000000" w:fill="FFFFFF"/>
            <w:noWrap/>
            <w:vAlign w:val="bottom"/>
            <w:hideMark/>
          </w:tcPr>
          <w:p w14:paraId="3956FA81" w14:textId="77777777" w:rsidR="00410424" w:rsidRDefault="00410424" w:rsidP="00410424">
            <w:pPr>
              <w:jc w:val="right"/>
              <w:rPr>
                <w:rFonts w:ascii="Arial" w:hAnsi="Arial" w:cs="Arial"/>
                <w:b/>
                <w:bCs/>
              </w:rPr>
            </w:pPr>
            <w:r>
              <w:rPr>
                <w:rFonts w:ascii="Arial" w:hAnsi="Arial" w:cs="Arial"/>
                <w:b/>
                <w:bCs/>
              </w:rPr>
              <w:t>Schedule No. 1-B</w:t>
            </w:r>
          </w:p>
        </w:tc>
      </w:tr>
      <w:tr w:rsidR="00410424" w14:paraId="3C7D2A7E" w14:textId="77777777" w:rsidTr="00410424">
        <w:trPr>
          <w:trHeight w:val="300"/>
          <w:jc w:val="center"/>
        </w:trPr>
        <w:tc>
          <w:tcPr>
            <w:tcW w:w="6563" w:type="dxa"/>
            <w:gridSpan w:val="2"/>
            <w:tcBorders>
              <w:top w:val="nil"/>
              <w:left w:val="single" w:sz="4" w:space="0" w:color="auto"/>
              <w:bottom w:val="nil"/>
              <w:right w:val="nil"/>
            </w:tcBorders>
            <w:shd w:val="clear" w:color="000000" w:fill="FFFFFF"/>
            <w:noWrap/>
            <w:vAlign w:val="bottom"/>
            <w:hideMark/>
          </w:tcPr>
          <w:p w14:paraId="000CD99C" w14:textId="77777777" w:rsidR="00410424" w:rsidRDefault="00410424" w:rsidP="00410424">
            <w:pPr>
              <w:rPr>
                <w:rFonts w:ascii="Arial" w:hAnsi="Arial" w:cs="Arial"/>
                <w:b/>
                <w:bCs/>
              </w:rPr>
            </w:pPr>
            <w:r>
              <w:rPr>
                <w:rFonts w:ascii="Arial" w:hAnsi="Arial" w:cs="Arial"/>
                <w:b/>
                <w:bCs/>
              </w:rPr>
              <w:t>Adjustments to Rate Base</w:t>
            </w:r>
          </w:p>
        </w:tc>
        <w:tc>
          <w:tcPr>
            <w:tcW w:w="3325" w:type="dxa"/>
            <w:gridSpan w:val="2"/>
            <w:tcBorders>
              <w:top w:val="nil"/>
              <w:left w:val="nil"/>
              <w:bottom w:val="nil"/>
              <w:right w:val="single" w:sz="4" w:space="0" w:color="auto"/>
            </w:tcBorders>
            <w:shd w:val="clear" w:color="000000" w:fill="FFFFFF"/>
            <w:noWrap/>
            <w:vAlign w:val="bottom"/>
            <w:hideMark/>
          </w:tcPr>
          <w:p w14:paraId="0804D572" w14:textId="77777777" w:rsidR="00410424" w:rsidRDefault="00690DF0" w:rsidP="00410424">
            <w:pPr>
              <w:jc w:val="right"/>
              <w:rPr>
                <w:rFonts w:ascii="Arial" w:hAnsi="Arial" w:cs="Arial"/>
                <w:b/>
                <w:bCs/>
              </w:rPr>
            </w:pPr>
            <w:r>
              <w:rPr>
                <w:rFonts w:ascii="Arial" w:hAnsi="Arial" w:cs="Arial"/>
                <w:b/>
                <w:bCs/>
              </w:rPr>
              <w:t xml:space="preserve">DN </w:t>
            </w:r>
            <w:r w:rsidR="00410424">
              <w:rPr>
                <w:rFonts w:ascii="Arial" w:hAnsi="Arial" w:cs="Arial"/>
                <w:b/>
                <w:bCs/>
              </w:rPr>
              <w:t>20200226-SU</w:t>
            </w:r>
          </w:p>
        </w:tc>
      </w:tr>
      <w:tr w:rsidR="00410424" w14:paraId="7F677745" w14:textId="77777777" w:rsidTr="00410424">
        <w:trPr>
          <w:trHeight w:val="300"/>
          <w:jc w:val="center"/>
        </w:trPr>
        <w:tc>
          <w:tcPr>
            <w:tcW w:w="6563" w:type="dxa"/>
            <w:gridSpan w:val="2"/>
            <w:tcBorders>
              <w:top w:val="nil"/>
              <w:left w:val="single" w:sz="4" w:space="0" w:color="auto"/>
              <w:bottom w:val="single" w:sz="4" w:space="0" w:color="auto"/>
              <w:right w:val="nil"/>
            </w:tcBorders>
            <w:shd w:val="clear" w:color="000000" w:fill="FFFFFF"/>
            <w:noWrap/>
            <w:vAlign w:val="bottom"/>
            <w:hideMark/>
          </w:tcPr>
          <w:p w14:paraId="28D3EE1F" w14:textId="77777777" w:rsidR="00410424" w:rsidRDefault="00410424" w:rsidP="00410424">
            <w:pPr>
              <w:rPr>
                <w:rFonts w:ascii="Arial" w:hAnsi="Arial" w:cs="Arial"/>
                <w:b/>
                <w:bCs/>
              </w:rPr>
            </w:pPr>
            <w:r>
              <w:rPr>
                <w:rFonts w:ascii="Arial" w:hAnsi="Arial" w:cs="Arial"/>
                <w:b/>
                <w:bCs/>
              </w:rPr>
              <w:t>Projected at 80% Capacity</w:t>
            </w:r>
          </w:p>
        </w:tc>
        <w:tc>
          <w:tcPr>
            <w:tcW w:w="3042" w:type="dxa"/>
            <w:tcBorders>
              <w:top w:val="nil"/>
              <w:left w:val="nil"/>
              <w:bottom w:val="nil"/>
              <w:right w:val="nil"/>
            </w:tcBorders>
            <w:shd w:val="clear" w:color="000000" w:fill="FFFFFF"/>
            <w:noWrap/>
            <w:vAlign w:val="bottom"/>
            <w:hideMark/>
          </w:tcPr>
          <w:p w14:paraId="6562F46D" w14:textId="77777777" w:rsidR="00410424" w:rsidRDefault="00410424" w:rsidP="00410424">
            <w:pPr>
              <w:jc w:val="right"/>
              <w:rPr>
                <w:rFonts w:ascii="Arial" w:hAnsi="Arial" w:cs="Arial"/>
                <w:b/>
                <w:bCs/>
              </w:rPr>
            </w:pPr>
            <w:r>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14:paraId="2047D949" w14:textId="77777777" w:rsidR="00410424" w:rsidRDefault="00410424" w:rsidP="00410424">
            <w:pPr>
              <w:rPr>
                <w:rFonts w:ascii="Arial" w:hAnsi="Arial" w:cs="Arial"/>
                <w:b/>
                <w:bCs/>
              </w:rPr>
            </w:pPr>
            <w:r>
              <w:rPr>
                <w:rFonts w:ascii="Arial" w:hAnsi="Arial" w:cs="Arial"/>
                <w:b/>
                <w:bCs/>
              </w:rPr>
              <w:t> </w:t>
            </w:r>
          </w:p>
        </w:tc>
      </w:tr>
      <w:tr w:rsidR="00410424" w14:paraId="4B708A6F"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3F578349" w14:textId="77777777" w:rsidR="00410424" w:rsidRDefault="00410424" w:rsidP="00410424">
            <w:pPr>
              <w:rPr>
                <w:rFonts w:ascii="Arial" w:hAnsi="Arial" w:cs="Arial"/>
                <w:sz w:val="20"/>
                <w:szCs w:val="20"/>
              </w:rPr>
            </w:pPr>
            <w:r>
              <w:rPr>
                <w:rFonts w:ascii="Arial" w:hAnsi="Arial" w:cs="Arial"/>
                <w:sz w:val="20"/>
                <w:szCs w:val="20"/>
              </w:rPr>
              <w:t> </w:t>
            </w:r>
          </w:p>
        </w:tc>
        <w:tc>
          <w:tcPr>
            <w:tcW w:w="6291" w:type="dxa"/>
            <w:tcBorders>
              <w:top w:val="nil"/>
              <w:left w:val="nil"/>
              <w:bottom w:val="nil"/>
              <w:right w:val="nil"/>
            </w:tcBorders>
            <w:shd w:val="clear" w:color="000000" w:fill="FFFFFF"/>
            <w:noWrap/>
            <w:vAlign w:val="bottom"/>
            <w:hideMark/>
          </w:tcPr>
          <w:p w14:paraId="1B544CAE" w14:textId="77777777" w:rsidR="00410424" w:rsidRDefault="00410424" w:rsidP="00410424">
            <w:pPr>
              <w:rPr>
                <w:rFonts w:ascii="Arial" w:hAnsi="Arial" w:cs="Arial"/>
                <w:sz w:val="20"/>
                <w:szCs w:val="20"/>
              </w:rPr>
            </w:pPr>
            <w:r>
              <w:rPr>
                <w:rFonts w:ascii="Arial" w:hAnsi="Arial" w:cs="Arial"/>
                <w:sz w:val="20"/>
                <w:szCs w:val="20"/>
              </w:rPr>
              <w:t> </w:t>
            </w:r>
          </w:p>
        </w:tc>
        <w:tc>
          <w:tcPr>
            <w:tcW w:w="3042" w:type="dxa"/>
            <w:tcBorders>
              <w:top w:val="single" w:sz="4" w:space="0" w:color="000000"/>
              <w:left w:val="nil"/>
              <w:bottom w:val="nil"/>
              <w:right w:val="nil"/>
            </w:tcBorders>
            <w:shd w:val="clear" w:color="000000" w:fill="FFFFFF"/>
            <w:noWrap/>
            <w:vAlign w:val="center"/>
            <w:hideMark/>
          </w:tcPr>
          <w:p w14:paraId="0C0E7BCB" w14:textId="77777777" w:rsidR="00410424" w:rsidRDefault="00410424" w:rsidP="00410424">
            <w:pPr>
              <w:jc w:val="center"/>
              <w:rPr>
                <w:rFonts w:ascii="Arial" w:hAnsi="Arial" w:cs="Arial"/>
                <w:sz w:val="20"/>
                <w:szCs w:val="20"/>
              </w:rPr>
            </w:pPr>
            <w:r>
              <w:rPr>
                <w:rFonts w:ascii="Arial" w:hAnsi="Arial" w:cs="Arial"/>
                <w:sz w:val="20"/>
                <w:szCs w:val="20"/>
              </w:rPr>
              <w:t> </w:t>
            </w:r>
          </w:p>
        </w:tc>
        <w:tc>
          <w:tcPr>
            <w:tcW w:w="283" w:type="dxa"/>
            <w:tcBorders>
              <w:top w:val="single" w:sz="4" w:space="0" w:color="000000"/>
              <w:left w:val="nil"/>
              <w:bottom w:val="nil"/>
              <w:right w:val="single" w:sz="4" w:space="0" w:color="auto"/>
            </w:tcBorders>
            <w:shd w:val="clear" w:color="000000" w:fill="FFFFFF"/>
            <w:noWrap/>
            <w:vAlign w:val="bottom"/>
            <w:hideMark/>
          </w:tcPr>
          <w:p w14:paraId="22AFC04A" w14:textId="77777777" w:rsidR="00410424" w:rsidRDefault="00410424" w:rsidP="00410424">
            <w:pPr>
              <w:rPr>
                <w:rFonts w:ascii="Arial" w:hAnsi="Arial" w:cs="Arial"/>
                <w:sz w:val="20"/>
                <w:szCs w:val="20"/>
              </w:rPr>
            </w:pPr>
            <w:r>
              <w:rPr>
                <w:rFonts w:ascii="Arial" w:hAnsi="Arial" w:cs="Arial"/>
                <w:sz w:val="20"/>
                <w:szCs w:val="20"/>
              </w:rPr>
              <w:t> </w:t>
            </w:r>
          </w:p>
        </w:tc>
      </w:tr>
      <w:tr w:rsidR="00410424" w14:paraId="0915DF16"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377B9CF7" w14:textId="77777777" w:rsidR="00410424" w:rsidRDefault="00410424" w:rsidP="00410424">
            <w:pPr>
              <w:rPr>
                <w:rFonts w:ascii="Arial" w:hAnsi="Arial" w:cs="Arial"/>
                <w:sz w:val="20"/>
                <w:szCs w:val="20"/>
              </w:rPr>
            </w:pPr>
            <w:r>
              <w:rPr>
                <w:rFonts w:ascii="Arial" w:hAnsi="Arial" w:cs="Arial"/>
                <w:sz w:val="20"/>
                <w:szCs w:val="20"/>
              </w:rPr>
              <w:t> </w:t>
            </w:r>
          </w:p>
        </w:tc>
        <w:tc>
          <w:tcPr>
            <w:tcW w:w="6291" w:type="dxa"/>
            <w:tcBorders>
              <w:top w:val="nil"/>
              <w:left w:val="nil"/>
              <w:bottom w:val="nil"/>
              <w:right w:val="nil"/>
            </w:tcBorders>
            <w:shd w:val="clear" w:color="000000" w:fill="FFFFFF"/>
            <w:noWrap/>
            <w:vAlign w:val="bottom"/>
            <w:hideMark/>
          </w:tcPr>
          <w:p w14:paraId="1C418500" w14:textId="77777777" w:rsidR="00410424" w:rsidRDefault="00410424" w:rsidP="00410424">
            <w:pPr>
              <w:rPr>
                <w:b/>
                <w:bCs/>
                <w:sz w:val="22"/>
                <w:szCs w:val="22"/>
              </w:rPr>
            </w:pPr>
            <w:r>
              <w:rPr>
                <w:b/>
                <w:bCs/>
                <w:sz w:val="22"/>
                <w:szCs w:val="22"/>
              </w:rPr>
              <w:t>Explanation</w:t>
            </w:r>
          </w:p>
        </w:tc>
        <w:tc>
          <w:tcPr>
            <w:tcW w:w="3042" w:type="dxa"/>
            <w:tcBorders>
              <w:top w:val="nil"/>
              <w:left w:val="nil"/>
              <w:bottom w:val="nil"/>
              <w:right w:val="nil"/>
            </w:tcBorders>
            <w:shd w:val="clear" w:color="000000" w:fill="FFFFFF"/>
            <w:noWrap/>
            <w:vAlign w:val="center"/>
            <w:hideMark/>
          </w:tcPr>
          <w:p w14:paraId="18981F9A" w14:textId="77777777" w:rsidR="00410424" w:rsidRDefault="00410424" w:rsidP="00410424">
            <w:pPr>
              <w:jc w:val="center"/>
              <w:rPr>
                <w:b/>
                <w:bCs/>
                <w:sz w:val="22"/>
                <w:szCs w:val="22"/>
              </w:rPr>
            </w:pPr>
            <w:r>
              <w:rPr>
                <w:b/>
                <w:bCs/>
                <w:sz w:val="22"/>
                <w:szCs w:val="22"/>
              </w:rPr>
              <w:t xml:space="preserve">                              Wastewater</w:t>
            </w:r>
          </w:p>
        </w:tc>
        <w:tc>
          <w:tcPr>
            <w:tcW w:w="283" w:type="dxa"/>
            <w:tcBorders>
              <w:top w:val="nil"/>
              <w:left w:val="nil"/>
              <w:bottom w:val="nil"/>
              <w:right w:val="single" w:sz="4" w:space="0" w:color="auto"/>
            </w:tcBorders>
            <w:shd w:val="clear" w:color="000000" w:fill="FFFFFF"/>
            <w:noWrap/>
            <w:vAlign w:val="bottom"/>
            <w:hideMark/>
          </w:tcPr>
          <w:p w14:paraId="1F011F2E" w14:textId="77777777" w:rsidR="00410424" w:rsidRDefault="00410424" w:rsidP="00410424">
            <w:pPr>
              <w:jc w:val="center"/>
              <w:rPr>
                <w:rFonts w:ascii="Arial" w:hAnsi="Arial" w:cs="Arial"/>
                <w:sz w:val="20"/>
                <w:szCs w:val="20"/>
              </w:rPr>
            </w:pPr>
            <w:r>
              <w:rPr>
                <w:rFonts w:ascii="Arial" w:hAnsi="Arial" w:cs="Arial"/>
                <w:sz w:val="20"/>
                <w:szCs w:val="20"/>
              </w:rPr>
              <w:t> </w:t>
            </w:r>
          </w:p>
        </w:tc>
      </w:tr>
      <w:tr w:rsidR="00410424" w14:paraId="32F4B794" w14:textId="77777777" w:rsidTr="00410424">
        <w:trPr>
          <w:trHeight w:val="300"/>
          <w:jc w:val="center"/>
        </w:trPr>
        <w:tc>
          <w:tcPr>
            <w:tcW w:w="272" w:type="dxa"/>
            <w:tcBorders>
              <w:top w:val="nil"/>
              <w:left w:val="single" w:sz="4" w:space="0" w:color="auto"/>
              <w:bottom w:val="single" w:sz="4" w:space="0" w:color="auto"/>
              <w:right w:val="nil"/>
            </w:tcBorders>
            <w:shd w:val="clear" w:color="000000" w:fill="FFFFFF"/>
            <w:noWrap/>
            <w:vAlign w:val="bottom"/>
            <w:hideMark/>
          </w:tcPr>
          <w:p w14:paraId="271C0B63" w14:textId="77777777" w:rsidR="00410424" w:rsidRDefault="00410424" w:rsidP="00410424">
            <w:pPr>
              <w:rPr>
                <w:rFonts w:ascii="Arial" w:hAnsi="Arial" w:cs="Arial"/>
                <w:sz w:val="20"/>
                <w:szCs w:val="20"/>
              </w:rPr>
            </w:pPr>
            <w:r>
              <w:rPr>
                <w:rFonts w:ascii="Arial" w:hAnsi="Arial" w:cs="Arial"/>
                <w:sz w:val="20"/>
                <w:szCs w:val="20"/>
              </w:rPr>
              <w:t> </w:t>
            </w:r>
          </w:p>
        </w:tc>
        <w:tc>
          <w:tcPr>
            <w:tcW w:w="6291" w:type="dxa"/>
            <w:tcBorders>
              <w:top w:val="nil"/>
              <w:left w:val="nil"/>
              <w:bottom w:val="single" w:sz="4" w:space="0" w:color="auto"/>
              <w:right w:val="nil"/>
            </w:tcBorders>
            <w:shd w:val="clear" w:color="000000" w:fill="FFFFFF"/>
            <w:noWrap/>
            <w:vAlign w:val="bottom"/>
            <w:hideMark/>
          </w:tcPr>
          <w:p w14:paraId="79ED97DF" w14:textId="77777777" w:rsidR="00410424" w:rsidRDefault="00410424" w:rsidP="00410424">
            <w:pPr>
              <w:rPr>
                <w:rFonts w:ascii="Arial" w:hAnsi="Arial" w:cs="Arial"/>
                <w:sz w:val="20"/>
                <w:szCs w:val="20"/>
              </w:rPr>
            </w:pPr>
            <w:r>
              <w:rPr>
                <w:rFonts w:ascii="Arial" w:hAnsi="Arial" w:cs="Arial"/>
                <w:sz w:val="20"/>
                <w:szCs w:val="20"/>
              </w:rPr>
              <w:t> </w:t>
            </w:r>
          </w:p>
        </w:tc>
        <w:tc>
          <w:tcPr>
            <w:tcW w:w="3042" w:type="dxa"/>
            <w:tcBorders>
              <w:top w:val="nil"/>
              <w:left w:val="nil"/>
              <w:bottom w:val="single" w:sz="4" w:space="0" w:color="auto"/>
              <w:right w:val="nil"/>
            </w:tcBorders>
            <w:shd w:val="clear" w:color="000000" w:fill="FFFFFF"/>
            <w:noWrap/>
            <w:vAlign w:val="center"/>
            <w:hideMark/>
          </w:tcPr>
          <w:p w14:paraId="2AE84E15" w14:textId="77777777" w:rsidR="00410424" w:rsidRDefault="00410424" w:rsidP="00410424">
            <w:pPr>
              <w:jc w:val="center"/>
              <w:rPr>
                <w:rFonts w:ascii="Arial" w:hAnsi="Arial" w:cs="Arial"/>
                <w:sz w:val="20"/>
                <w:szCs w:val="20"/>
              </w:rPr>
            </w:pPr>
            <w:r>
              <w:rPr>
                <w:rFonts w:ascii="Arial" w:hAnsi="Arial" w:cs="Arial"/>
                <w:sz w:val="20"/>
                <w:szCs w:val="20"/>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2D085013" w14:textId="77777777" w:rsidR="00410424" w:rsidRDefault="00410424" w:rsidP="00410424">
            <w:pPr>
              <w:rPr>
                <w:rFonts w:ascii="Arial" w:hAnsi="Arial" w:cs="Arial"/>
                <w:sz w:val="20"/>
                <w:szCs w:val="20"/>
              </w:rPr>
            </w:pPr>
            <w:r>
              <w:rPr>
                <w:rFonts w:ascii="Arial" w:hAnsi="Arial" w:cs="Arial"/>
                <w:sz w:val="20"/>
                <w:szCs w:val="20"/>
              </w:rPr>
              <w:t> </w:t>
            </w:r>
          </w:p>
        </w:tc>
      </w:tr>
      <w:tr w:rsidR="00410424" w14:paraId="4096D5D8" w14:textId="77777777" w:rsidTr="00410424">
        <w:trPr>
          <w:trHeight w:val="300"/>
          <w:jc w:val="center"/>
        </w:trPr>
        <w:tc>
          <w:tcPr>
            <w:tcW w:w="272" w:type="dxa"/>
            <w:tcBorders>
              <w:top w:val="single" w:sz="4" w:space="0" w:color="auto"/>
              <w:left w:val="single" w:sz="4" w:space="0" w:color="auto"/>
              <w:bottom w:val="nil"/>
              <w:right w:val="nil"/>
            </w:tcBorders>
            <w:shd w:val="clear" w:color="000000" w:fill="FFFFFF"/>
            <w:noWrap/>
            <w:vAlign w:val="bottom"/>
            <w:hideMark/>
          </w:tcPr>
          <w:p w14:paraId="713377F6" w14:textId="77777777" w:rsidR="00410424" w:rsidRDefault="00410424" w:rsidP="00410424">
            <w:pPr>
              <w:jc w:val="center"/>
              <w:rPr>
                <w:sz w:val="22"/>
                <w:szCs w:val="22"/>
              </w:rPr>
            </w:pPr>
            <w:r>
              <w:rPr>
                <w:sz w:val="22"/>
                <w:szCs w:val="22"/>
              </w:rPr>
              <w:t> </w:t>
            </w:r>
          </w:p>
        </w:tc>
        <w:tc>
          <w:tcPr>
            <w:tcW w:w="6291" w:type="dxa"/>
            <w:tcBorders>
              <w:top w:val="single" w:sz="4" w:space="0" w:color="auto"/>
              <w:left w:val="nil"/>
              <w:bottom w:val="nil"/>
              <w:right w:val="nil"/>
            </w:tcBorders>
            <w:shd w:val="clear" w:color="000000" w:fill="FFFFFF"/>
            <w:noWrap/>
            <w:vAlign w:val="bottom"/>
            <w:hideMark/>
          </w:tcPr>
          <w:p w14:paraId="5E8E1858" w14:textId="77777777" w:rsidR="00410424" w:rsidRDefault="00410424" w:rsidP="00410424">
            <w:pPr>
              <w:rPr>
                <w:sz w:val="22"/>
                <w:szCs w:val="22"/>
              </w:rPr>
            </w:pPr>
            <w:r>
              <w:rPr>
                <w:sz w:val="22"/>
                <w:szCs w:val="22"/>
              </w:rPr>
              <w:t> </w:t>
            </w:r>
          </w:p>
        </w:tc>
        <w:tc>
          <w:tcPr>
            <w:tcW w:w="3042" w:type="dxa"/>
            <w:tcBorders>
              <w:top w:val="single" w:sz="4" w:space="0" w:color="auto"/>
              <w:left w:val="nil"/>
              <w:bottom w:val="nil"/>
              <w:right w:val="nil"/>
            </w:tcBorders>
            <w:shd w:val="clear" w:color="000000" w:fill="FFFFFF"/>
            <w:noWrap/>
            <w:vAlign w:val="bottom"/>
            <w:hideMark/>
          </w:tcPr>
          <w:p w14:paraId="0C48CB1A" w14:textId="77777777" w:rsidR="00410424" w:rsidRDefault="00410424" w:rsidP="00410424">
            <w:pPr>
              <w:rPr>
                <w:sz w:val="22"/>
                <w:szCs w:val="22"/>
              </w:rPr>
            </w:pPr>
            <w:r>
              <w:rPr>
                <w:sz w:val="22"/>
                <w:szCs w:val="22"/>
              </w:rPr>
              <w:t> </w:t>
            </w:r>
          </w:p>
        </w:tc>
        <w:tc>
          <w:tcPr>
            <w:tcW w:w="283" w:type="dxa"/>
            <w:tcBorders>
              <w:top w:val="single" w:sz="4" w:space="0" w:color="auto"/>
              <w:left w:val="nil"/>
              <w:bottom w:val="nil"/>
              <w:right w:val="single" w:sz="4" w:space="0" w:color="auto"/>
            </w:tcBorders>
            <w:shd w:val="clear" w:color="000000" w:fill="FFFFFF"/>
            <w:noWrap/>
            <w:vAlign w:val="bottom"/>
            <w:hideMark/>
          </w:tcPr>
          <w:p w14:paraId="5FA463D5" w14:textId="77777777" w:rsidR="00410424" w:rsidRDefault="00410424" w:rsidP="00410424">
            <w:pPr>
              <w:rPr>
                <w:sz w:val="22"/>
                <w:szCs w:val="22"/>
              </w:rPr>
            </w:pPr>
            <w:r>
              <w:rPr>
                <w:sz w:val="22"/>
                <w:szCs w:val="22"/>
              </w:rPr>
              <w:t> </w:t>
            </w:r>
          </w:p>
        </w:tc>
      </w:tr>
      <w:tr w:rsidR="00410424" w14:paraId="281520BE"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tcPr>
          <w:p w14:paraId="759695C8"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tcPr>
          <w:p w14:paraId="2CFD2373" w14:textId="77777777" w:rsidR="00410424" w:rsidRDefault="00410424" w:rsidP="00410424">
            <w:pPr>
              <w:rPr>
                <w:sz w:val="22"/>
                <w:szCs w:val="22"/>
              </w:rPr>
            </w:pPr>
            <w:r>
              <w:rPr>
                <w:b/>
                <w:bCs/>
                <w:sz w:val="22"/>
                <w:szCs w:val="22"/>
              </w:rPr>
              <w:t>Plant In Service</w:t>
            </w:r>
          </w:p>
        </w:tc>
        <w:tc>
          <w:tcPr>
            <w:tcW w:w="3042" w:type="dxa"/>
            <w:tcBorders>
              <w:top w:val="nil"/>
              <w:left w:val="nil"/>
              <w:bottom w:val="nil"/>
              <w:right w:val="nil"/>
            </w:tcBorders>
            <w:shd w:val="clear" w:color="000000" w:fill="FFFFFF"/>
            <w:noWrap/>
            <w:vAlign w:val="bottom"/>
          </w:tcPr>
          <w:p w14:paraId="0645CE1E" w14:textId="77777777" w:rsidR="00410424" w:rsidRDefault="00410424" w:rsidP="00410424">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tcPr>
          <w:p w14:paraId="3F01187C" w14:textId="77777777" w:rsidR="00410424" w:rsidRDefault="00410424" w:rsidP="00410424">
            <w:pPr>
              <w:rPr>
                <w:sz w:val="22"/>
                <w:szCs w:val="22"/>
              </w:rPr>
            </w:pPr>
            <w:r>
              <w:rPr>
                <w:sz w:val="22"/>
                <w:szCs w:val="22"/>
              </w:rPr>
              <w:t> </w:t>
            </w:r>
          </w:p>
        </w:tc>
      </w:tr>
      <w:tr w:rsidR="00410424" w14:paraId="62083AD4"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tcPr>
          <w:p w14:paraId="4D95EEBE"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tcPr>
          <w:p w14:paraId="0BF4C113" w14:textId="77777777" w:rsidR="00410424" w:rsidRDefault="00410424" w:rsidP="00410424">
            <w:pPr>
              <w:rPr>
                <w:sz w:val="22"/>
                <w:szCs w:val="22"/>
              </w:rPr>
            </w:pPr>
            <w:r>
              <w:rPr>
                <w:sz w:val="22"/>
                <w:szCs w:val="22"/>
              </w:rPr>
              <w:t xml:space="preserve">To reflect updated organization costs. </w:t>
            </w:r>
          </w:p>
        </w:tc>
        <w:tc>
          <w:tcPr>
            <w:tcW w:w="3042" w:type="dxa"/>
            <w:tcBorders>
              <w:top w:val="nil"/>
              <w:left w:val="nil"/>
              <w:right w:val="nil"/>
            </w:tcBorders>
            <w:shd w:val="clear" w:color="000000" w:fill="FFFFFF"/>
            <w:noWrap/>
            <w:vAlign w:val="bottom"/>
          </w:tcPr>
          <w:p w14:paraId="479FA568" w14:textId="77777777" w:rsidR="00410424" w:rsidRPr="00940128" w:rsidRDefault="00410424" w:rsidP="00410424">
            <w:pPr>
              <w:jc w:val="right"/>
              <w:rPr>
                <w:sz w:val="22"/>
                <w:szCs w:val="22"/>
                <w:u w:val="double"/>
              </w:rPr>
            </w:pPr>
            <w:r>
              <w:rPr>
                <w:sz w:val="22"/>
                <w:szCs w:val="22"/>
              </w:rPr>
              <w:t xml:space="preserve">                                   ($88,138)</w:t>
            </w:r>
          </w:p>
        </w:tc>
        <w:tc>
          <w:tcPr>
            <w:tcW w:w="283" w:type="dxa"/>
            <w:tcBorders>
              <w:top w:val="nil"/>
              <w:left w:val="nil"/>
              <w:bottom w:val="nil"/>
              <w:right w:val="single" w:sz="4" w:space="0" w:color="auto"/>
            </w:tcBorders>
            <w:shd w:val="clear" w:color="000000" w:fill="FFFFFF"/>
            <w:noWrap/>
            <w:vAlign w:val="bottom"/>
          </w:tcPr>
          <w:p w14:paraId="529966C3" w14:textId="77777777" w:rsidR="00410424" w:rsidRDefault="00410424" w:rsidP="00410424">
            <w:pPr>
              <w:rPr>
                <w:sz w:val="22"/>
                <w:szCs w:val="22"/>
              </w:rPr>
            </w:pPr>
            <w:r>
              <w:rPr>
                <w:sz w:val="22"/>
                <w:szCs w:val="22"/>
              </w:rPr>
              <w:t> </w:t>
            </w:r>
          </w:p>
        </w:tc>
      </w:tr>
      <w:tr w:rsidR="00410424" w14:paraId="0B1EE818"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tcPr>
          <w:p w14:paraId="70C5B7BF"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tcPr>
          <w:p w14:paraId="6C270755" w14:textId="77777777" w:rsidR="00410424" w:rsidRDefault="00410424" w:rsidP="00410424">
            <w:pPr>
              <w:rPr>
                <w:sz w:val="22"/>
                <w:szCs w:val="22"/>
              </w:rPr>
            </w:pPr>
            <w:r>
              <w:rPr>
                <w:sz w:val="22"/>
                <w:szCs w:val="22"/>
              </w:rPr>
              <w:t>To reflect the appropriate amount of pumping equipment.</w:t>
            </w:r>
          </w:p>
        </w:tc>
        <w:tc>
          <w:tcPr>
            <w:tcW w:w="3042" w:type="dxa"/>
            <w:tcBorders>
              <w:top w:val="nil"/>
              <w:left w:val="nil"/>
              <w:bottom w:val="nil"/>
              <w:right w:val="nil"/>
            </w:tcBorders>
            <w:shd w:val="clear" w:color="000000" w:fill="FFFFFF"/>
            <w:noWrap/>
            <w:vAlign w:val="bottom"/>
          </w:tcPr>
          <w:p w14:paraId="305125EA" w14:textId="77777777" w:rsidR="00410424" w:rsidRDefault="00410424" w:rsidP="00410424">
            <w:pPr>
              <w:jc w:val="right"/>
              <w:rPr>
                <w:sz w:val="22"/>
                <w:szCs w:val="22"/>
              </w:rPr>
            </w:pPr>
            <w:r>
              <w:rPr>
                <w:sz w:val="22"/>
                <w:szCs w:val="22"/>
              </w:rPr>
              <w:t xml:space="preserve">                               </w:t>
            </w:r>
            <w:r w:rsidRPr="00940128">
              <w:rPr>
                <w:sz w:val="22"/>
                <w:szCs w:val="22"/>
              </w:rPr>
              <w:t xml:space="preserve"> (1,976,000)</w:t>
            </w:r>
          </w:p>
        </w:tc>
        <w:tc>
          <w:tcPr>
            <w:tcW w:w="283" w:type="dxa"/>
            <w:tcBorders>
              <w:top w:val="nil"/>
              <w:left w:val="nil"/>
              <w:bottom w:val="nil"/>
              <w:right w:val="single" w:sz="4" w:space="0" w:color="auto"/>
            </w:tcBorders>
            <w:shd w:val="clear" w:color="000000" w:fill="FFFFFF"/>
            <w:noWrap/>
            <w:vAlign w:val="bottom"/>
          </w:tcPr>
          <w:p w14:paraId="34285A59" w14:textId="77777777" w:rsidR="00410424" w:rsidRDefault="00410424" w:rsidP="00410424">
            <w:pPr>
              <w:rPr>
                <w:sz w:val="22"/>
                <w:szCs w:val="22"/>
              </w:rPr>
            </w:pPr>
            <w:r>
              <w:rPr>
                <w:sz w:val="22"/>
                <w:szCs w:val="22"/>
              </w:rPr>
              <w:t> </w:t>
            </w:r>
          </w:p>
        </w:tc>
      </w:tr>
      <w:tr w:rsidR="00410424" w14:paraId="148258DA"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3BBA9971" w14:textId="77777777" w:rsidR="00410424" w:rsidRDefault="00410424" w:rsidP="00410424">
            <w:pPr>
              <w:jc w:val="center"/>
              <w:rPr>
                <w:sz w:val="22"/>
                <w:szCs w:val="22"/>
              </w:rPr>
            </w:pPr>
          </w:p>
        </w:tc>
        <w:tc>
          <w:tcPr>
            <w:tcW w:w="6291" w:type="dxa"/>
            <w:tcBorders>
              <w:top w:val="nil"/>
              <w:left w:val="nil"/>
              <w:bottom w:val="nil"/>
              <w:right w:val="nil"/>
            </w:tcBorders>
            <w:shd w:val="clear" w:color="000000" w:fill="FFFFFF"/>
            <w:noWrap/>
            <w:vAlign w:val="bottom"/>
            <w:hideMark/>
          </w:tcPr>
          <w:p w14:paraId="009D4ACA" w14:textId="77777777" w:rsidR="00410424" w:rsidRDefault="00410424" w:rsidP="00410424">
            <w:pPr>
              <w:rPr>
                <w:b/>
                <w:bCs/>
                <w:sz w:val="22"/>
                <w:szCs w:val="22"/>
              </w:rPr>
            </w:pPr>
            <w:r>
              <w:rPr>
                <w:sz w:val="22"/>
                <w:szCs w:val="22"/>
              </w:rPr>
              <w:t>To reclassify land balance included in UPIS</w:t>
            </w:r>
          </w:p>
        </w:tc>
        <w:tc>
          <w:tcPr>
            <w:tcW w:w="3042" w:type="dxa"/>
            <w:tcBorders>
              <w:top w:val="nil"/>
              <w:left w:val="nil"/>
              <w:bottom w:val="nil"/>
              <w:right w:val="nil"/>
            </w:tcBorders>
            <w:shd w:val="clear" w:color="000000" w:fill="FFFFFF"/>
            <w:noWrap/>
            <w:vAlign w:val="bottom"/>
            <w:hideMark/>
          </w:tcPr>
          <w:p w14:paraId="2D4AC67B" w14:textId="77777777" w:rsidR="00410424" w:rsidRDefault="00410424" w:rsidP="00410424">
            <w:pPr>
              <w:jc w:val="right"/>
              <w:rPr>
                <w:sz w:val="22"/>
                <w:szCs w:val="22"/>
              </w:rPr>
            </w:pPr>
            <w:r w:rsidRPr="00940128">
              <w:rPr>
                <w:sz w:val="22"/>
                <w:szCs w:val="22"/>
                <w:u w:val="single"/>
              </w:rPr>
              <w:t>(800,000)</w:t>
            </w:r>
          </w:p>
        </w:tc>
        <w:tc>
          <w:tcPr>
            <w:tcW w:w="283" w:type="dxa"/>
            <w:tcBorders>
              <w:top w:val="nil"/>
              <w:left w:val="nil"/>
              <w:bottom w:val="nil"/>
              <w:right w:val="single" w:sz="4" w:space="0" w:color="auto"/>
            </w:tcBorders>
            <w:shd w:val="clear" w:color="000000" w:fill="FFFFFF"/>
            <w:noWrap/>
            <w:vAlign w:val="bottom"/>
            <w:hideMark/>
          </w:tcPr>
          <w:p w14:paraId="28AD1EC6" w14:textId="77777777" w:rsidR="00410424" w:rsidRDefault="00410424" w:rsidP="00410424">
            <w:pPr>
              <w:rPr>
                <w:sz w:val="22"/>
                <w:szCs w:val="22"/>
              </w:rPr>
            </w:pPr>
          </w:p>
        </w:tc>
      </w:tr>
      <w:tr w:rsidR="00410424" w14:paraId="346A9D74"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679766E4"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hideMark/>
          </w:tcPr>
          <w:p w14:paraId="36532A28" w14:textId="77777777" w:rsidR="00410424" w:rsidRDefault="00410424" w:rsidP="00410424">
            <w:pPr>
              <w:rPr>
                <w:sz w:val="22"/>
                <w:szCs w:val="22"/>
              </w:rPr>
            </w:pPr>
            <w:r>
              <w:rPr>
                <w:b/>
                <w:sz w:val="22"/>
                <w:szCs w:val="22"/>
              </w:rPr>
              <w:t xml:space="preserve">   </w:t>
            </w:r>
            <w:r w:rsidRPr="00F1103B">
              <w:rPr>
                <w:b/>
                <w:sz w:val="22"/>
                <w:szCs w:val="22"/>
              </w:rPr>
              <w:t>Total </w:t>
            </w:r>
          </w:p>
        </w:tc>
        <w:tc>
          <w:tcPr>
            <w:tcW w:w="3042" w:type="dxa"/>
            <w:tcBorders>
              <w:left w:val="nil"/>
              <w:bottom w:val="nil"/>
              <w:right w:val="nil"/>
            </w:tcBorders>
            <w:shd w:val="clear" w:color="000000" w:fill="FFFFFF"/>
            <w:noWrap/>
            <w:vAlign w:val="bottom"/>
            <w:hideMark/>
          </w:tcPr>
          <w:p w14:paraId="2F85234A" w14:textId="77777777" w:rsidR="00410424" w:rsidRDefault="00410424" w:rsidP="00410424">
            <w:pPr>
              <w:jc w:val="right"/>
              <w:rPr>
                <w:sz w:val="22"/>
                <w:szCs w:val="22"/>
              </w:rPr>
            </w:pPr>
            <w:r>
              <w:rPr>
                <w:sz w:val="22"/>
                <w:szCs w:val="22"/>
              </w:rPr>
              <w:t xml:space="preserve">                              </w:t>
            </w:r>
            <w:r w:rsidRPr="00A147D9">
              <w:rPr>
                <w:sz w:val="22"/>
                <w:szCs w:val="22"/>
                <w:u w:val="double"/>
              </w:rPr>
              <w:t>($2</w:t>
            </w:r>
            <w:r>
              <w:rPr>
                <w:sz w:val="22"/>
                <w:szCs w:val="22"/>
                <w:u w:val="double"/>
              </w:rPr>
              <w:t>,8</w:t>
            </w:r>
            <w:r w:rsidRPr="00A147D9">
              <w:rPr>
                <w:sz w:val="22"/>
                <w:szCs w:val="22"/>
                <w:u w:val="double"/>
              </w:rPr>
              <w:t>64,138)</w:t>
            </w:r>
          </w:p>
        </w:tc>
        <w:tc>
          <w:tcPr>
            <w:tcW w:w="283" w:type="dxa"/>
            <w:tcBorders>
              <w:top w:val="nil"/>
              <w:left w:val="nil"/>
              <w:bottom w:val="nil"/>
              <w:right w:val="single" w:sz="4" w:space="0" w:color="auto"/>
            </w:tcBorders>
            <w:shd w:val="clear" w:color="000000" w:fill="FFFFFF"/>
            <w:noWrap/>
            <w:vAlign w:val="bottom"/>
            <w:hideMark/>
          </w:tcPr>
          <w:p w14:paraId="21A790CC" w14:textId="77777777" w:rsidR="00410424" w:rsidRDefault="00410424" w:rsidP="00410424">
            <w:pPr>
              <w:rPr>
                <w:sz w:val="22"/>
                <w:szCs w:val="22"/>
              </w:rPr>
            </w:pPr>
            <w:r>
              <w:rPr>
                <w:sz w:val="22"/>
                <w:szCs w:val="22"/>
              </w:rPr>
              <w:t> </w:t>
            </w:r>
          </w:p>
        </w:tc>
      </w:tr>
      <w:tr w:rsidR="00410424" w14:paraId="7A57BDB2"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tcPr>
          <w:p w14:paraId="79273F95" w14:textId="77777777" w:rsidR="00410424" w:rsidRDefault="00410424" w:rsidP="00410424">
            <w:pPr>
              <w:jc w:val="center"/>
              <w:rPr>
                <w:sz w:val="22"/>
                <w:szCs w:val="22"/>
              </w:rPr>
            </w:pPr>
          </w:p>
        </w:tc>
        <w:tc>
          <w:tcPr>
            <w:tcW w:w="6291" w:type="dxa"/>
            <w:tcBorders>
              <w:top w:val="nil"/>
              <w:left w:val="nil"/>
              <w:bottom w:val="nil"/>
              <w:right w:val="nil"/>
            </w:tcBorders>
            <w:shd w:val="clear" w:color="000000" w:fill="FFFFFF"/>
            <w:noWrap/>
            <w:vAlign w:val="bottom"/>
          </w:tcPr>
          <w:p w14:paraId="71BF2C2A" w14:textId="77777777" w:rsidR="00410424" w:rsidRDefault="00410424" w:rsidP="00410424">
            <w:pPr>
              <w:rPr>
                <w:b/>
                <w:sz w:val="22"/>
                <w:szCs w:val="22"/>
              </w:rPr>
            </w:pPr>
          </w:p>
        </w:tc>
        <w:tc>
          <w:tcPr>
            <w:tcW w:w="3042" w:type="dxa"/>
            <w:tcBorders>
              <w:left w:val="nil"/>
              <w:bottom w:val="nil"/>
              <w:right w:val="nil"/>
            </w:tcBorders>
            <w:shd w:val="clear" w:color="000000" w:fill="FFFFFF"/>
            <w:noWrap/>
            <w:vAlign w:val="bottom"/>
          </w:tcPr>
          <w:p w14:paraId="4E0E3CF8" w14:textId="77777777" w:rsidR="00410424" w:rsidRDefault="00410424" w:rsidP="00410424">
            <w:pPr>
              <w:jc w:val="right"/>
              <w:rPr>
                <w:sz w:val="22"/>
                <w:szCs w:val="22"/>
              </w:rPr>
            </w:pPr>
          </w:p>
        </w:tc>
        <w:tc>
          <w:tcPr>
            <w:tcW w:w="283" w:type="dxa"/>
            <w:tcBorders>
              <w:top w:val="nil"/>
              <w:left w:val="nil"/>
              <w:bottom w:val="nil"/>
              <w:right w:val="single" w:sz="4" w:space="0" w:color="auto"/>
            </w:tcBorders>
            <w:shd w:val="clear" w:color="000000" w:fill="FFFFFF"/>
            <w:noWrap/>
            <w:vAlign w:val="bottom"/>
          </w:tcPr>
          <w:p w14:paraId="1345DDB9" w14:textId="77777777" w:rsidR="00410424" w:rsidRDefault="00410424" w:rsidP="00410424">
            <w:pPr>
              <w:rPr>
                <w:sz w:val="22"/>
                <w:szCs w:val="22"/>
              </w:rPr>
            </w:pPr>
          </w:p>
        </w:tc>
      </w:tr>
      <w:tr w:rsidR="00410424" w14:paraId="3BF7F335"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tcPr>
          <w:p w14:paraId="13155E69" w14:textId="77777777" w:rsidR="00410424" w:rsidRDefault="00410424" w:rsidP="00410424">
            <w:pPr>
              <w:jc w:val="center"/>
              <w:rPr>
                <w:sz w:val="22"/>
                <w:szCs w:val="22"/>
              </w:rPr>
            </w:pPr>
          </w:p>
        </w:tc>
        <w:tc>
          <w:tcPr>
            <w:tcW w:w="6291" w:type="dxa"/>
            <w:tcBorders>
              <w:top w:val="nil"/>
              <w:left w:val="nil"/>
              <w:bottom w:val="nil"/>
              <w:right w:val="nil"/>
            </w:tcBorders>
            <w:shd w:val="clear" w:color="000000" w:fill="FFFFFF"/>
            <w:noWrap/>
            <w:vAlign w:val="bottom"/>
          </w:tcPr>
          <w:p w14:paraId="35D3A8A7" w14:textId="77777777" w:rsidR="00410424" w:rsidRDefault="00410424" w:rsidP="00410424">
            <w:pPr>
              <w:rPr>
                <w:b/>
                <w:sz w:val="22"/>
                <w:szCs w:val="22"/>
              </w:rPr>
            </w:pPr>
            <w:r w:rsidRPr="00940128">
              <w:rPr>
                <w:b/>
                <w:bCs/>
                <w:sz w:val="22"/>
                <w:szCs w:val="22"/>
              </w:rPr>
              <w:t>Land</w:t>
            </w:r>
          </w:p>
        </w:tc>
        <w:tc>
          <w:tcPr>
            <w:tcW w:w="3042" w:type="dxa"/>
            <w:tcBorders>
              <w:left w:val="nil"/>
              <w:bottom w:val="nil"/>
              <w:right w:val="nil"/>
            </w:tcBorders>
            <w:shd w:val="clear" w:color="000000" w:fill="FFFFFF"/>
            <w:noWrap/>
            <w:vAlign w:val="bottom"/>
          </w:tcPr>
          <w:p w14:paraId="13F9E596" w14:textId="77777777" w:rsidR="00410424" w:rsidRDefault="00410424" w:rsidP="00410424">
            <w:pPr>
              <w:jc w:val="right"/>
              <w:rPr>
                <w:sz w:val="22"/>
                <w:szCs w:val="22"/>
              </w:rPr>
            </w:pPr>
          </w:p>
        </w:tc>
        <w:tc>
          <w:tcPr>
            <w:tcW w:w="283" w:type="dxa"/>
            <w:tcBorders>
              <w:top w:val="nil"/>
              <w:left w:val="nil"/>
              <w:bottom w:val="nil"/>
              <w:right w:val="single" w:sz="4" w:space="0" w:color="auto"/>
            </w:tcBorders>
            <w:shd w:val="clear" w:color="000000" w:fill="FFFFFF"/>
            <w:noWrap/>
            <w:vAlign w:val="bottom"/>
          </w:tcPr>
          <w:p w14:paraId="74E979F0" w14:textId="77777777" w:rsidR="00410424" w:rsidRDefault="00410424" w:rsidP="00410424">
            <w:pPr>
              <w:rPr>
                <w:sz w:val="22"/>
                <w:szCs w:val="22"/>
              </w:rPr>
            </w:pPr>
          </w:p>
        </w:tc>
      </w:tr>
      <w:tr w:rsidR="00410424" w14:paraId="4D1194AD"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tcPr>
          <w:p w14:paraId="323A1E62" w14:textId="77777777" w:rsidR="00410424" w:rsidRDefault="00410424" w:rsidP="00410424">
            <w:pPr>
              <w:jc w:val="center"/>
              <w:rPr>
                <w:sz w:val="22"/>
                <w:szCs w:val="22"/>
              </w:rPr>
            </w:pPr>
          </w:p>
        </w:tc>
        <w:tc>
          <w:tcPr>
            <w:tcW w:w="6291" w:type="dxa"/>
            <w:tcBorders>
              <w:top w:val="nil"/>
              <w:left w:val="nil"/>
              <w:bottom w:val="nil"/>
              <w:right w:val="nil"/>
            </w:tcBorders>
            <w:shd w:val="clear" w:color="000000" w:fill="FFFFFF"/>
            <w:noWrap/>
            <w:vAlign w:val="bottom"/>
          </w:tcPr>
          <w:p w14:paraId="7AAC5F2E" w14:textId="77777777" w:rsidR="00410424" w:rsidRDefault="00410424" w:rsidP="00410424">
            <w:pPr>
              <w:rPr>
                <w:b/>
                <w:sz w:val="22"/>
                <w:szCs w:val="22"/>
              </w:rPr>
            </w:pPr>
            <w:r>
              <w:rPr>
                <w:sz w:val="22"/>
                <w:szCs w:val="22"/>
              </w:rPr>
              <w:t>To reclassify land balance included in UPIS</w:t>
            </w:r>
          </w:p>
        </w:tc>
        <w:tc>
          <w:tcPr>
            <w:tcW w:w="3042" w:type="dxa"/>
            <w:tcBorders>
              <w:left w:val="nil"/>
              <w:bottom w:val="nil"/>
              <w:right w:val="nil"/>
            </w:tcBorders>
            <w:shd w:val="clear" w:color="000000" w:fill="FFFFFF"/>
            <w:noWrap/>
            <w:vAlign w:val="bottom"/>
          </w:tcPr>
          <w:p w14:paraId="41CC4FC9" w14:textId="77777777" w:rsidR="00410424" w:rsidRDefault="00410424" w:rsidP="00410424">
            <w:pPr>
              <w:jc w:val="right"/>
              <w:rPr>
                <w:sz w:val="22"/>
                <w:szCs w:val="22"/>
              </w:rPr>
            </w:pPr>
            <w:r w:rsidRPr="00940128">
              <w:rPr>
                <w:sz w:val="22"/>
                <w:szCs w:val="22"/>
                <w:u w:val="double"/>
              </w:rPr>
              <w:t>$800,000</w:t>
            </w:r>
          </w:p>
        </w:tc>
        <w:tc>
          <w:tcPr>
            <w:tcW w:w="283" w:type="dxa"/>
            <w:tcBorders>
              <w:top w:val="nil"/>
              <w:left w:val="nil"/>
              <w:bottom w:val="nil"/>
              <w:right w:val="single" w:sz="4" w:space="0" w:color="auto"/>
            </w:tcBorders>
            <w:shd w:val="clear" w:color="000000" w:fill="FFFFFF"/>
            <w:noWrap/>
            <w:vAlign w:val="bottom"/>
          </w:tcPr>
          <w:p w14:paraId="561DB766" w14:textId="77777777" w:rsidR="00410424" w:rsidRDefault="00410424" w:rsidP="00410424">
            <w:pPr>
              <w:rPr>
                <w:sz w:val="22"/>
                <w:szCs w:val="22"/>
              </w:rPr>
            </w:pPr>
          </w:p>
        </w:tc>
      </w:tr>
      <w:tr w:rsidR="00410424" w14:paraId="63D6309C"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36819BC5"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hideMark/>
          </w:tcPr>
          <w:p w14:paraId="2541B620" w14:textId="77777777" w:rsidR="00410424" w:rsidRDefault="00410424" w:rsidP="00410424">
            <w:pPr>
              <w:rPr>
                <w:b/>
                <w:bCs/>
                <w:sz w:val="22"/>
                <w:szCs w:val="22"/>
              </w:rPr>
            </w:pPr>
          </w:p>
          <w:p w14:paraId="64F4B021" w14:textId="77777777" w:rsidR="00410424" w:rsidRDefault="00410424" w:rsidP="00410424">
            <w:pPr>
              <w:rPr>
                <w:sz w:val="22"/>
                <w:szCs w:val="22"/>
              </w:rPr>
            </w:pPr>
            <w:r>
              <w:rPr>
                <w:b/>
                <w:bCs/>
                <w:sz w:val="22"/>
                <w:szCs w:val="22"/>
              </w:rPr>
              <w:t>Accumulated Depreciation</w:t>
            </w:r>
          </w:p>
        </w:tc>
        <w:tc>
          <w:tcPr>
            <w:tcW w:w="3042" w:type="dxa"/>
            <w:tcBorders>
              <w:top w:val="nil"/>
              <w:left w:val="nil"/>
              <w:right w:val="nil"/>
            </w:tcBorders>
            <w:shd w:val="clear" w:color="000000" w:fill="FFFFFF"/>
            <w:noWrap/>
            <w:vAlign w:val="bottom"/>
            <w:hideMark/>
          </w:tcPr>
          <w:p w14:paraId="1A15DF45" w14:textId="77777777" w:rsidR="00410424" w:rsidRPr="00940128" w:rsidRDefault="00410424" w:rsidP="00410424">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54232884" w14:textId="77777777" w:rsidR="00410424" w:rsidRDefault="00410424" w:rsidP="00410424">
            <w:pPr>
              <w:rPr>
                <w:sz w:val="22"/>
                <w:szCs w:val="22"/>
              </w:rPr>
            </w:pPr>
            <w:r>
              <w:rPr>
                <w:sz w:val="22"/>
                <w:szCs w:val="22"/>
              </w:rPr>
              <w:t> </w:t>
            </w:r>
          </w:p>
        </w:tc>
      </w:tr>
      <w:tr w:rsidR="00410424" w14:paraId="40A5826D"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tcPr>
          <w:p w14:paraId="2B13B6A7"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tcPr>
          <w:p w14:paraId="2E52E050" w14:textId="77777777" w:rsidR="00410424" w:rsidRDefault="00410424" w:rsidP="00410424">
            <w:pPr>
              <w:rPr>
                <w:sz w:val="22"/>
                <w:szCs w:val="22"/>
              </w:rPr>
            </w:pPr>
            <w:r>
              <w:rPr>
                <w:sz w:val="22"/>
                <w:szCs w:val="22"/>
              </w:rPr>
              <w:t xml:space="preserve">To reflect updated organization costs. </w:t>
            </w:r>
          </w:p>
        </w:tc>
        <w:tc>
          <w:tcPr>
            <w:tcW w:w="3042" w:type="dxa"/>
            <w:tcBorders>
              <w:top w:val="nil"/>
              <w:left w:val="nil"/>
              <w:bottom w:val="nil"/>
              <w:right w:val="nil"/>
            </w:tcBorders>
            <w:shd w:val="clear" w:color="000000" w:fill="FFFFFF"/>
            <w:noWrap/>
            <w:vAlign w:val="bottom"/>
          </w:tcPr>
          <w:p w14:paraId="3C742704" w14:textId="77777777" w:rsidR="00410424" w:rsidRPr="00940128" w:rsidRDefault="00410424" w:rsidP="00410424">
            <w:pPr>
              <w:jc w:val="right"/>
              <w:rPr>
                <w:sz w:val="22"/>
                <w:szCs w:val="22"/>
                <w:u w:val="single"/>
              </w:rPr>
            </w:pPr>
            <w:r>
              <w:rPr>
                <w:sz w:val="22"/>
                <w:szCs w:val="22"/>
              </w:rPr>
              <w:t xml:space="preserve">                                      $22,035 </w:t>
            </w:r>
          </w:p>
        </w:tc>
        <w:tc>
          <w:tcPr>
            <w:tcW w:w="283" w:type="dxa"/>
            <w:tcBorders>
              <w:top w:val="nil"/>
              <w:left w:val="nil"/>
              <w:bottom w:val="nil"/>
              <w:right w:val="single" w:sz="4" w:space="0" w:color="auto"/>
            </w:tcBorders>
            <w:shd w:val="clear" w:color="000000" w:fill="FFFFFF"/>
            <w:noWrap/>
            <w:vAlign w:val="bottom"/>
          </w:tcPr>
          <w:p w14:paraId="4F09A902" w14:textId="77777777" w:rsidR="00410424" w:rsidRDefault="00410424" w:rsidP="00410424">
            <w:pPr>
              <w:rPr>
                <w:sz w:val="22"/>
                <w:szCs w:val="22"/>
              </w:rPr>
            </w:pPr>
            <w:r>
              <w:rPr>
                <w:sz w:val="22"/>
                <w:szCs w:val="22"/>
              </w:rPr>
              <w:t> </w:t>
            </w:r>
          </w:p>
        </w:tc>
      </w:tr>
      <w:tr w:rsidR="00410424" w14:paraId="75EEC3A7"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28895B21"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hideMark/>
          </w:tcPr>
          <w:p w14:paraId="3879B810" w14:textId="77777777" w:rsidR="00410424" w:rsidRPr="00F1103B" w:rsidRDefault="00410424" w:rsidP="00410424">
            <w:pPr>
              <w:rPr>
                <w:b/>
                <w:sz w:val="22"/>
                <w:szCs w:val="22"/>
              </w:rPr>
            </w:pPr>
            <w:r>
              <w:rPr>
                <w:sz w:val="22"/>
                <w:szCs w:val="22"/>
              </w:rPr>
              <w:t xml:space="preserve">To reflect appropriate asset life. </w:t>
            </w:r>
          </w:p>
        </w:tc>
        <w:tc>
          <w:tcPr>
            <w:tcW w:w="3042" w:type="dxa"/>
            <w:tcBorders>
              <w:top w:val="nil"/>
              <w:left w:val="nil"/>
              <w:right w:val="nil"/>
            </w:tcBorders>
            <w:shd w:val="clear" w:color="auto" w:fill="auto"/>
            <w:noWrap/>
            <w:vAlign w:val="bottom"/>
            <w:hideMark/>
          </w:tcPr>
          <w:p w14:paraId="309704B2" w14:textId="77777777" w:rsidR="00410424" w:rsidRDefault="00410424" w:rsidP="00410424">
            <w:pPr>
              <w:jc w:val="right"/>
              <w:rPr>
                <w:sz w:val="22"/>
                <w:szCs w:val="22"/>
              </w:rPr>
            </w:pPr>
            <w:r>
              <w:rPr>
                <w:sz w:val="22"/>
                <w:szCs w:val="22"/>
              </w:rPr>
              <w:t xml:space="preserve">                                </w:t>
            </w:r>
            <w:r w:rsidRPr="00F1103B">
              <w:rPr>
                <w:sz w:val="22"/>
                <w:szCs w:val="22"/>
                <w:u w:val="single"/>
              </w:rPr>
              <w:t>(</w:t>
            </w:r>
            <w:r>
              <w:rPr>
                <w:sz w:val="22"/>
                <w:szCs w:val="22"/>
                <w:u w:val="single"/>
              </w:rPr>
              <w:t>1,968,801</w:t>
            </w:r>
            <w:r w:rsidRPr="00F1103B">
              <w:rPr>
                <w:sz w:val="22"/>
                <w:szCs w:val="22"/>
                <w:u w:val="single"/>
              </w:rPr>
              <w:t>)</w:t>
            </w:r>
          </w:p>
        </w:tc>
        <w:tc>
          <w:tcPr>
            <w:tcW w:w="283" w:type="dxa"/>
            <w:tcBorders>
              <w:top w:val="nil"/>
              <w:left w:val="nil"/>
              <w:bottom w:val="nil"/>
              <w:right w:val="single" w:sz="4" w:space="0" w:color="auto"/>
            </w:tcBorders>
            <w:shd w:val="clear" w:color="000000" w:fill="FFFFFF"/>
            <w:noWrap/>
            <w:vAlign w:val="bottom"/>
            <w:hideMark/>
          </w:tcPr>
          <w:p w14:paraId="2C9BF410" w14:textId="77777777" w:rsidR="00410424" w:rsidRDefault="00410424" w:rsidP="00410424">
            <w:pPr>
              <w:rPr>
                <w:sz w:val="22"/>
                <w:szCs w:val="22"/>
              </w:rPr>
            </w:pPr>
            <w:r>
              <w:rPr>
                <w:sz w:val="22"/>
                <w:szCs w:val="22"/>
              </w:rPr>
              <w:t> </w:t>
            </w:r>
          </w:p>
        </w:tc>
      </w:tr>
      <w:tr w:rsidR="00410424" w14:paraId="5DF5D181"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63D4E68F"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hideMark/>
          </w:tcPr>
          <w:p w14:paraId="799DF6C1" w14:textId="77777777" w:rsidR="00410424" w:rsidRDefault="00410424" w:rsidP="00410424">
            <w:pPr>
              <w:rPr>
                <w:b/>
                <w:bCs/>
                <w:sz w:val="22"/>
                <w:szCs w:val="22"/>
              </w:rPr>
            </w:pPr>
            <w:r>
              <w:rPr>
                <w:sz w:val="22"/>
                <w:szCs w:val="22"/>
              </w:rPr>
              <w:t xml:space="preserve"> </w:t>
            </w:r>
            <w:r w:rsidRPr="00F1103B">
              <w:rPr>
                <w:b/>
                <w:sz w:val="22"/>
                <w:szCs w:val="22"/>
              </w:rPr>
              <w:t xml:space="preserve">  Total </w:t>
            </w:r>
          </w:p>
        </w:tc>
        <w:tc>
          <w:tcPr>
            <w:tcW w:w="3042" w:type="dxa"/>
            <w:tcBorders>
              <w:top w:val="nil"/>
              <w:left w:val="nil"/>
              <w:right w:val="nil"/>
            </w:tcBorders>
            <w:shd w:val="clear" w:color="000000" w:fill="FFFFFF"/>
            <w:noWrap/>
            <w:vAlign w:val="bottom"/>
            <w:hideMark/>
          </w:tcPr>
          <w:p w14:paraId="3C103F27" w14:textId="77777777" w:rsidR="00410424" w:rsidRDefault="00410424" w:rsidP="00410424">
            <w:pPr>
              <w:jc w:val="right"/>
              <w:rPr>
                <w:sz w:val="22"/>
                <w:szCs w:val="22"/>
              </w:rPr>
            </w:pPr>
            <w:r>
              <w:rPr>
                <w:sz w:val="22"/>
                <w:szCs w:val="22"/>
              </w:rPr>
              <w:t xml:space="preserve">                              </w:t>
            </w:r>
            <w:r w:rsidRPr="00A147D9">
              <w:rPr>
                <w:sz w:val="22"/>
                <w:szCs w:val="22"/>
                <w:u w:val="double"/>
              </w:rPr>
              <w:t>($1,946,766)</w:t>
            </w:r>
          </w:p>
        </w:tc>
        <w:tc>
          <w:tcPr>
            <w:tcW w:w="283" w:type="dxa"/>
            <w:tcBorders>
              <w:top w:val="nil"/>
              <w:left w:val="nil"/>
              <w:bottom w:val="nil"/>
              <w:right w:val="single" w:sz="4" w:space="0" w:color="auto"/>
            </w:tcBorders>
            <w:shd w:val="clear" w:color="000000" w:fill="FFFFFF"/>
            <w:noWrap/>
            <w:vAlign w:val="bottom"/>
            <w:hideMark/>
          </w:tcPr>
          <w:p w14:paraId="56538A84" w14:textId="77777777" w:rsidR="00410424" w:rsidRDefault="00410424" w:rsidP="00410424">
            <w:pPr>
              <w:rPr>
                <w:sz w:val="22"/>
                <w:szCs w:val="22"/>
              </w:rPr>
            </w:pPr>
            <w:r>
              <w:rPr>
                <w:sz w:val="22"/>
                <w:szCs w:val="22"/>
              </w:rPr>
              <w:t> </w:t>
            </w:r>
          </w:p>
        </w:tc>
      </w:tr>
      <w:tr w:rsidR="00410424" w14:paraId="6E7DBD18"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3A731CC1"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hideMark/>
          </w:tcPr>
          <w:p w14:paraId="6D22D840" w14:textId="77777777" w:rsidR="00410424" w:rsidRDefault="00410424" w:rsidP="00410424">
            <w:pPr>
              <w:rPr>
                <w:b/>
                <w:bCs/>
                <w:sz w:val="22"/>
                <w:szCs w:val="22"/>
              </w:rPr>
            </w:pPr>
          </w:p>
          <w:p w14:paraId="6CCEFBAB" w14:textId="77777777" w:rsidR="00410424" w:rsidRDefault="00410424" w:rsidP="00410424">
            <w:pPr>
              <w:rPr>
                <w:sz w:val="22"/>
                <w:szCs w:val="22"/>
              </w:rPr>
            </w:pPr>
            <w:r>
              <w:rPr>
                <w:b/>
                <w:bCs/>
                <w:sz w:val="22"/>
                <w:szCs w:val="22"/>
              </w:rPr>
              <w:t>CIAC</w:t>
            </w:r>
          </w:p>
        </w:tc>
        <w:tc>
          <w:tcPr>
            <w:tcW w:w="3042" w:type="dxa"/>
            <w:tcBorders>
              <w:left w:val="nil"/>
              <w:bottom w:val="nil"/>
              <w:right w:val="nil"/>
            </w:tcBorders>
            <w:shd w:val="clear" w:color="000000" w:fill="FFFFFF"/>
            <w:noWrap/>
            <w:vAlign w:val="bottom"/>
            <w:hideMark/>
          </w:tcPr>
          <w:p w14:paraId="5B99C907" w14:textId="77777777" w:rsidR="00410424" w:rsidRDefault="00410424" w:rsidP="00410424">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35C1FFC3" w14:textId="77777777" w:rsidR="00410424" w:rsidRDefault="00410424" w:rsidP="00410424">
            <w:pPr>
              <w:rPr>
                <w:sz w:val="22"/>
                <w:szCs w:val="22"/>
              </w:rPr>
            </w:pPr>
            <w:r>
              <w:rPr>
                <w:sz w:val="22"/>
                <w:szCs w:val="22"/>
              </w:rPr>
              <w:t> </w:t>
            </w:r>
          </w:p>
        </w:tc>
      </w:tr>
      <w:tr w:rsidR="00410424" w14:paraId="26451F08"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68CC3914"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hideMark/>
          </w:tcPr>
          <w:p w14:paraId="7DB69BBD" w14:textId="77777777" w:rsidR="00410424" w:rsidRDefault="00410424" w:rsidP="00410424">
            <w:pPr>
              <w:rPr>
                <w:sz w:val="22"/>
                <w:szCs w:val="22"/>
              </w:rPr>
            </w:pPr>
            <w:r>
              <w:rPr>
                <w:sz w:val="22"/>
                <w:szCs w:val="22"/>
              </w:rPr>
              <w:t>To reflect 80% of CIAC.</w:t>
            </w:r>
          </w:p>
        </w:tc>
        <w:tc>
          <w:tcPr>
            <w:tcW w:w="3042" w:type="dxa"/>
            <w:tcBorders>
              <w:top w:val="nil"/>
              <w:left w:val="nil"/>
              <w:bottom w:val="nil"/>
              <w:right w:val="nil"/>
            </w:tcBorders>
            <w:shd w:val="clear" w:color="000000" w:fill="FFFFFF"/>
            <w:noWrap/>
            <w:vAlign w:val="bottom"/>
            <w:hideMark/>
          </w:tcPr>
          <w:p w14:paraId="61819BF1" w14:textId="77777777" w:rsidR="00410424" w:rsidRDefault="00410424" w:rsidP="00410424">
            <w:pPr>
              <w:jc w:val="right"/>
              <w:rPr>
                <w:sz w:val="22"/>
                <w:szCs w:val="22"/>
              </w:rPr>
            </w:pPr>
            <w:r w:rsidRPr="00A147D9">
              <w:rPr>
                <w:sz w:val="22"/>
                <w:szCs w:val="22"/>
                <w:u w:val="double"/>
              </w:rPr>
              <w:t xml:space="preserve">($162,263) </w:t>
            </w:r>
          </w:p>
        </w:tc>
        <w:tc>
          <w:tcPr>
            <w:tcW w:w="283" w:type="dxa"/>
            <w:tcBorders>
              <w:top w:val="nil"/>
              <w:left w:val="nil"/>
              <w:bottom w:val="nil"/>
              <w:right w:val="single" w:sz="4" w:space="0" w:color="auto"/>
            </w:tcBorders>
            <w:shd w:val="clear" w:color="000000" w:fill="FFFFFF"/>
            <w:noWrap/>
            <w:vAlign w:val="bottom"/>
            <w:hideMark/>
          </w:tcPr>
          <w:p w14:paraId="4448572C" w14:textId="77777777" w:rsidR="00410424" w:rsidRDefault="00410424" w:rsidP="00410424">
            <w:pPr>
              <w:rPr>
                <w:sz w:val="22"/>
                <w:szCs w:val="22"/>
              </w:rPr>
            </w:pPr>
            <w:r>
              <w:rPr>
                <w:sz w:val="22"/>
                <w:szCs w:val="22"/>
              </w:rPr>
              <w:t> </w:t>
            </w:r>
          </w:p>
        </w:tc>
      </w:tr>
      <w:tr w:rsidR="00410424" w14:paraId="042F4A9D"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44C44CE6"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hideMark/>
          </w:tcPr>
          <w:p w14:paraId="39C6E8F9" w14:textId="77777777" w:rsidR="00410424" w:rsidRPr="00F1103B" w:rsidRDefault="00410424" w:rsidP="00410424">
            <w:pPr>
              <w:rPr>
                <w:b/>
                <w:sz w:val="22"/>
                <w:szCs w:val="22"/>
              </w:rPr>
            </w:pPr>
            <w:r>
              <w:rPr>
                <w:sz w:val="22"/>
                <w:szCs w:val="22"/>
              </w:rPr>
              <w:t> </w:t>
            </w:r>
          </w:p>
        </w:tc>
        <w:tc>
          <w:tcPr>
            <w:tcW w:w="3042" w:type="dxa"/>
            <w:tcBorders>
              <w:top w:val="nil"/>
              <w:left w:val="nil"/>
              <w:bottom w:val="nil"/>
              <w:right w:val="nil"/>
            </w:tcBorders>
            <w:shd w:val="clear" w:color="000000" w:fill="FFFFFF"/>
            <w:noWrap/>
            <w:vAlign w:val="bottom"/>
            <w:hideMark/>
          </w:tcPr>
          <w:p w14:paraId="1EE474FF" w14:textId="77777777" w:rsidR="00410424" w:rsidRDefault="00410424" w:rsidP="00410424">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3D691AA0" w14:textId="77777777" w:rsidR="00410424" w:rsidRDefault="00410424" w:rsidP="00410424">
            <w:pPr>
              <w:rPr>
                <w:sz w:val="22"/>
                <w:szCs w:val="22"/>
              </w:rPr>
            </w:pPr>
            <w:r>
              <w:rPr>
                <w:sz w:val="22"/>
                <w:szCs w:val="22"/>
              </w:rPr>
              <w:t> </w:t>
            </w:r>
          </w:p>
        </w:tc>
      </w:tr>
      <w:tr w:rsidR="00410424" w14:paraId="422752DF"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254E1E63"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hideMark/>
          </w:tcPr>
          <w:p w14:paraId="40F07C07" w14:textId="77777777" w:rsidR="00410424" w:rsidRDefault="00410424" w:rsidP="00410424">
            <w:pPr>
              <w:rPr>
                <w:b/>
                <w:bCs/>
                <w:sz w:val="22"/>
                <w:szCs w:val="22"/>
              </w:rPr>
            </w:pPr>
            <w:r>
              <w:rPr>
                <w:b/>
                <w:bCs/>
                <w:sz w:val="22"/>
                <w:szCs w:val="22"/>
              </w:rPr>
              <w:t>Accumulated Amortization of CIAC</w:t>
            </w:r>
          </w:p>
        </w:tc>
        <w:tc>
          <w:tcPr>
            <w:tcW w:w="3042" w:type="dxa"/>
            <w:tcBorders>
              <w:top w:val="nil"/>
              <w:left w:val="nil"/>
              <w:bottom w:val="nil"/>
              <w:right w:val="nil"/>
            </w:tcBorders>
            <w:shd w:val="clear" w:color="000000" w:fill="FFFFFF"/>
            <w:noWrap/>
            <w:vAlign w:val="bottom"/>
            <w:hideMark/>
          </w:tcPr>
          <w:p w14:paraId="64D2FDFE" w14:textId="77777777" w:rsidR="00410424" w:rsidRDefault="00410424" w:rsidP="00410424">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0D66F73B" w14:textId="77777777" w:rsidR="00410424" w:rsidRDefault="00410424" w:rsidP="00410424">
            <w:pPr>
              <w:rPr>
                <w:sz w:val="22"/>
                <w:szCs w:val="22"/>
              </w:rPr>
            </w:pPr>
            <w:r>
              <w:rPr>
                <w:sz w:val="22"/>
                <w:szCs w:val="22"/>
              </w:rPr>
              <w:t> </w:t>
            </w:r>
          </w:p>
        </w:tc>
      </w:tr>
      <w:tr w:rsidR="00410424" w14:paraId="6A14DFCE"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79A316F1"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hideMark/>
          </w:tcPr>
          <w:p w14:paraId="00B404E7" w14:textId="77777777" w:rsidR="00410424" w:rsidRDefault="00410424" w:rsidP="00410424">
            <w:pPr>
              <w:rPr>
                <w:sz w:val="22"/>
                <w:szCs w:val="22"/>
              </w:rPr>
            </w:pPr>
            <w:r>
              <w:rPr>
                <w:sz w:val="22"/>
                <w:szCs w:val="22"/>
              </w:rPr>
              <w:t>To reflect 80% of CIAC.</w:t>
            </w:r>
          </w:p>
        </w:tc>
        <w:tc>
          <w:tcPr>
            <w:tcW w:w="3042" w:type="dxa"/>
            <w:tcBorders>
              <w:top w:val="nil"/>
              <w:left w:val="nil"/>
              <w:bottom w:val="nil"/>
              <w:right w:val="nil"/>
            </w:tcBorders>
            <w:shd w:val="clear" w:color="000000" w:fill="FFFFFF"/>
            <w:noWrap/>
            <w:vAlign w:val="bottom"/>
            <w:hideMark/>
          </w:tcPr>
          <w:p w14:paraId="152CD462" w14:textId="77777777" w:rsidR="00410424" w:rsidRPr="00A147D9" w:rsidRDefault="00410424" w:rsidP="00410424">
            <w:pPr>
              <w:jc w:val="right"/>
              <w:rPr>
                <w:sz w:val="22"/>
                <w:szCs w:val="22"/>
                <w:u w:val="double"/>
              </w:rPr>
            </w:pPr>
            <w:r w:rsidRPr="00A147D9">
              <w:rPr>
                <w:sz w:val="22"/>
                <w:szCs w:val="22"/>
                <w:u w:val="double"/>
              </w:rPr>
              <w:t>$51,170</w:t>
            </w:r>
          </w:p>
        </w:tc>
        <w:tc>
          <w:tcPr>
            <w:tcW w:w="283" w:type="dxa"/>
            <w:tcBorders>
              <w:top w:val="nil"/>
              <w:left w:val="nil"/>
              <w:bottom w:val="nil"/>
              <w:right w:val="single" w:sz="4" w:space="0" w:color="auto"/>
            </w:tcBorders>
            <w:shd w:val="clear" w:color="000000" w:fill="FFFFFF"/>
            <w:noWrap/>
            <w:vAlign w:val="bottom"/>
            <w:hideMark/>
          </w:tcPr>
          <w:p w14:paraId="73DC6B7F" w14:textId="77777777" w:rsidR="00410424" w:rsidRDefault="00410424" w:rsidP="00410424">
            <w:pPr>
              <w:rPr>
                <w:sz w:val="22"/>
                <w:szCs w:val="22"/>
              </w:rPr>
            </w:pPr>
            <w:r>
              <w:rPr>
                <w:sz w:val="22"/>
                <w:szCs w:val="22"/>
              </w:rPr>
              <w:t> </w:t>
            </w:r>
          </w:p>
        </w:tc>
      </w:tr>
      <w:tr w:rsidR="00410424" w14:paraId="5E880381" w14:textId="77777777" w:rsidTr="00410424">
        <w:trPr>
          <w:trHeight w:val="300"/>
          <w:jc w:val="center"/>
        </w:trPr>
        <w:tc>
          <w:tcPr>
            <w:tcW w:w="272" w:type="dxa"/>
            <w:tcBorders>
              <w:top w:val="nil"/>
              <w:left w:val="single" w:sz="4" w:space="0" w:color="auto"/>
              <w:bottom w:val="nil"/>
              <w:right w:val="nil"/>
            </w:tcBorders>
            <w:shd w:val="clear" w:color="000000" w:fill="FFFFFF"/>
            <w:noWrap/>
            <w:vAlign w:val="bottom"/>
            <w:hideMark/>
          </w:tcPr>
          <w:p w14:paraId="3DDAE363" w14:textId="77777777" w:rsidR="00410424" w:rsidRDefault="00410424" w:rsidP="00410424">
            <w:pPr>
              <w:jc w:val="center"/>
              <w:rPr>
                <w:sz w:val="22"/>
                <w:szCs w:val="22"/>
              </w:rPr>
            </w:pPr>
            <w:r>
              <w:rPr>
                <w:sz w:val="22"/>
                <w:szCs w:val="22"/>
              </w:rPr>
              <w:t> </w:t>
            </w:r>
          </w:p>
        </w:tc>
        <w:tc>
          <w:tcPr>
            <w:tcW w:w="6291" w:type="dxa"/>
            <w:tcBorders>
              <w:top w:val="nil"/>
              <w:left w:val="nil"/>
              <w:bottom w:val="nil"/>
              <w:right w:val="nil"/>
            </w:tcBorders>
            <w:shd w:val="clear" w:color="000000" w:fill="FFFFFF"/>
            <w:noWrap/>
            <w:vAlign w:val="bottom"/>
            <w:hideMark/>
          </w:tcPr>
          <w:p w14:paraId="115228FB" w14:textId="77777777" w:rsidR="00410424" w:rsidRDefault="00410424" w:rsidP="00410424">
            <w:pPr>
              <w:rPr>
                <w:sz w:val="22"/>
                <w:szCs w:val="22"/>
              </w:rPr>
            </w:pPr>
            <w:r>
              <w:rPr>
                <w:sz w:val="22"/>
                <w:szCs w:val="22"/>
              </w:rPr>
              <w:t> </w:t>
            </w:r>
          </w:p>
        </w:tc>
        <w:tc>
          <w:tcPr>
            <w:tcW w:w="3042" w:type="dxa"/>
            <w:tcBorders>
              <w:top w:val="nil"/>
              <w:left w:val="nil"/>
              <w:right w:val="nil"/>
            </w:tcBorders>
            <w:shd w:val="clear" w:color="000000" w:fill="FFFFFF"/>
            <w:noWrap/>
            <w:vAlign w:val="bottom"/>
            <w:hideMark/>
          </w:tcPr>
          <w:p w14:paraId="17FADAC3" w14:textId="77777777" w:rsidR="00410424" w:rsidRDefault="00410424" w:rsidP="00410424">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0DA71973" w14:textId="77777777" w:rsidR="00410424" w:rsidRDefault="00410424" w:rsidP="00410424">
            <w:pPr>
              <w:rPr>
                <w:sz w:val="22"/>
                <w:szCs w:val="22"/>
              </w:rPr>
            </w:pPr>
            <w:r>
              <w:rPr>
                <w:sz w:val="22"/>
                <w:szCs w:val="22"/>
              </w:rPr>
              <w:t> </w:t>
            </w:r>
          </w:p>
        </w:tc>
      </w:tr>
      <w:tr w:rsidR="00410424" w14:paraId="2F4BD482" w14:textId="77777777" w:rsidTr="00410424">
        <w:trPr>
          <w:trHeight w:val="300"/>
          <w:jc w:val="center"/>
        </w:trPr>
        <w:tc>
          <w:tcPr>
            <w:tcW w:w="272" w:type="dxa"/>
            <w:tcBorders>
              <w:top w:val="nil"/>
              <w:left w:val="single" w:sz="4" w:space="0" w:color="auto"/>
              <w:right w:val="nil"/>
            </w:tcBorders>
            <w:shd w:val="clear" w:color="000000" w:fill="FFFFFF"/>
            <w:noWrap/>
            <w:vAlign w:val="bottom"/>
            <w:hideMark/>
          </w:tcPr>
          <w:p w14:paraId="22FB4495" w14:textId="77777777" w:rsidR="00410424" w:rsidRDefault="00410424" w:rsidP="00410424">
            <w:pPr>
              <w:jc w:val="center"/>
              <w:rPr>
                <w:sz w:val="22"/>
                <w:szCs w:val="22"/>
              </w:rPr>
            </w:pPr>
            <w:r>
              <w:rPr>
                <w:sz w:val="22"/>
                <w:szCs w:val="22"/>
              </w:rPr>
              <w:t> </w:t>
            </w:r>
          </w:p>
        </w:tc>
        <w:tc>
          <w:tcPr>
            <w:tcW w:w="6291" w:type="dxa"/>
            <w:tcBorders>
              <w:top w:val="nil"/>
              <w:left w:val="nil"/>
              <w:right w:val="nil"/>
            </w:tcBorders>
            <w:shd w:val="clear" w:color="000000" w:fill="FFFFFF"/>
            <w:noWrap/>
            <w:vAlign w:val="bottom"/>
            <w:hideMark/>
          </w:tcPr>
          <w:p w14:paraId="1C82BE01" w14:textId="77777777" w:rsidR="00410424" w:rsidRDefault="00410424" w:rsidP="00410424">
            <w:pPr>
              <w:rPr>
                <w:b/>
                <w:bCs/>
                <w:sz w:val="22"/>
                <w:szCs w:val="22"/>
              </w:rPr>
            </w:pPr>
            <w:r>
              <w:rPr>
                <w:b/>
                <w:bCs/>
                <w:sz w:val="22"/>
                <w:szCs w:val="22"/>
              </w:rPr>
              <w:t>Working Capital</w:t>
            </w:r>
          </w:p>
          <w:p w14:paraId="5EBFF6D7" w14:textId="77777777" w:rsidR="00410424" w:rsidRDefault="00410424" w:rsidP="00410424">
            <w:pPr>
              <w:rPr>
                <w:b/>
                <w:bCs/>
                <w:sz w:val="22"/>
                <w:szCs w:val="22"/>
              </w:rPr>
            </w:pPr>
            <w:r>
              <w:rPr>
                <w:bCs/>
                <w:sz w:val="22"/>
                <w:szCs w:val="22"/>
              </w:rPr>
              <w:t>To reflect corresponding adjustment to O&amp;M expense.</w:t>
            </w:r>
          </w:p>
        </w:tc>
        <w:tc>
          <w:tcPr>
            <w:tcW w:w="3042" w:type="dxa"/>
            <w:tcBorders>
              <w:top w:val="nil"/>
              <w:left w:val="nil"/>
              <w:right w:val="nil"/>
            </w:tcBorders>
            <w:shd w:val="clear" w:color="auto" w:fill="auto"/>
            <w:noWrap/>
            <w:vAlign w:val="bottom"/>
            <w:hideMark/>
          </w:tcPr>
          <w:p w14:paraId="056D8514" w14:textId="77777777" w:rsidR="00410424" w:rsidRPr="00A147D9" w:rsidRDefault="00410424" w:rsidP="00410424">
            <w:pPr>
              <w:jc w:val="right"/>
              <w:rPr>
                <w:sz w:val="22"/>
                <w:szCs w:val="22"/>
                <w:u w:val="double"/>
              </w:rPr>
            </w:pPr>
          </w:p>
          <w:p w14:paraId="5597041D" w14:textId="77777777" w:rsidR="00410424" w:rsidRDefault="00410424" w:rsidP="00410424">
            <w:pPr>
              <w:jc w:val="right"/>
              <w:rPr>
                <w:sz w:val="22"/>
                <w:szCs w:val="22"/>
              </w:rPr>
            </w:pPr>
            <w:r w:rsidRPr="00A147D9">
              <w:rPr>
                <w:sz w:val="22"/>
                <w:szCs w:val="22"/>
                <w:u w:val="double"/>
              </w:rPr>
              <w:t>$5,026</w:t>
            </w:r>
          </w:p>
        </w:tc>
        <w:tc>
          <w:tcPr>
            <w:tcW w:w="283" w:type="dxa"/>
            <w:tcBorders>
              <w:top w:val="nil"/>
              <w:left w:val="nil"/>
              <w:right w:val="single" w:sz="4" w:space="0" w:color="auto"/>
            </w:tcBorders>
            <w:shd w:val="clear" w:color="000000" w:fill="FFFFFF"/>
            <w:noWrap/>
            <w:vAlign w:val="bottom"/>
            <w:hideMark/>
          </w:tcPr>
          <w:p w14:paraId="1D85C10D" w14:textId="77777777" w:rsidR="00410424" w:rsidRDefault="00410424" w:rsidP="00410424">
            <w:pPr>
              <w:rPr>
                <w:sz w:val="22"/>
                <w:szCs w:val="22"/>
              </w:rPr>
            </w:pPr>
            <w:r>
              <w:rPr>
                <w:sz w:val="22"/>
                <w:szCs w:val="22"/>
              </w:rPr>
              <w:t> </w:t>
            </w:r>
          </w:p>
        </w:tc>
      </w:tr>
      <w:tr w:rsidR="00410424" w14:paraId="3DC97E9C" w14:textId="77777777" w:rsidTr="00410424">
        <w:trPr>
          <w:trHeight w:val="300"/>
          <w:jc w:val="center"/>
        </w:trPr>
        <w:tc>
          <w:tcPr>
            <w:tcW w:w="272" w:type="dxa"/>
            <w:tcBorders>
              <w:top w:val="nil"/>
              <w:left w:val="single" w:sz="4" w:space="0" w:color="auto"/>
              <w:bottom w:val="single" w:sz="4" w:space="0" w:color="auto"/>
              <w:right w:val="nil"/>
            </w:tcBorders>
            <w:shd w:val="clear" w:color="000000" w:fill="FFFFFF"/>
            <w:noWrap/>
            <w:vAlign w:val="bottom"/>
            <w:hideMark/>
          </w:tcPr>
          <w:p w14:paraId="0B244F54" w14:textId="77777777" w:rsidR="00410424" w:rsidRDefault="00410424" w:rsidP="00410424">
            <w:pPr>
              <w:jc w:val="center"/>
              <w:rPr>
                <w:sz w:val="22"/>
                <w:szCs w:val="22"/>
              </w:rPr>
            </w:pPr>
            <w:r>
              <w:rPr>
                <w:sz w:val="22"/>
                <w:szCs w:val="22"/>
              </w:rPr>
              <w:t> </w:t>
            </w:r>
          </w:p>
        </w:tc>
        <w:tc>
          <w:tcPr>
            <w:tcW w:w="6291" w:type="dxa"/>
            <w:tcBorders>
              <w:top w:val="nil"/>
              <w:left w:val="nil"/>
              <w:bottom w:val="single" w:sz="4" w:space="0" w:color="auto"/>
              <w:right w:val="nil"/>
            </w:tcBorders>
            <w:shd w:val="clear" w:color="000000" w:fill="FFFFFF"/>
            <w:noWrap/>
            <w:vAlign w:val="bottom"/>
            <w:hideMark/>
          </w:tcPr>
          <w:p w14:paraId="0B0403AA" w14:textId="77777777" w:rsidR="00410424" w:rsidRDefault="00410424" w:rsidP="00410424">
            <w:pPr>
              <w:rPr>
                <w:sz w:val="22"/>
                <w:szCs w:val="22"/>
              </w:rPr>
            </w:pPr>
            <w:r>
              <w:rPr>
                <w:sz w:val="22"/>
                <w:szCs w:val="22"/>
              </w:rPr>
              <w:t> </w:t>
            </w:r>
          </w:p>
        </w:tc>
        <w:tc>
          <w:tcPr>
            <w:tcW w:w="3042" w:type="dxa"/>
            <w:tcBorders>
              <w:top w:val="nil"/>
              <w:left w:val="nil"/>
              <w:bottom w:val="single" w:sz="4" w:space="0" w:color="auto"/>
              <w:right w:val="nil"/>
            </w:tcBorders>
            <w:shd w:val="clear" w:color="000000" w:fill="FFFFFF"/>
            <w:noWrap/>
            <w:vAlign w:val="bottom"/>
            <w:hideMark/>
          </w:tcPr>
          <w:p w14:paraId="340D4270" w14:textId="77777777" w:rsidR="00410424" w:rsidRDefault="00410424" w:rsidP="00410424">
            <w:pPr>
              <w:jc w:val="right"/>
              <w:rPr>
                <w:sz w:val="22"/>
                <w:szCs w:val="22"/>
              </w:rPr>
            </w:pPr>
            <w:r>
              <w:rPr>
                <w:rFonts w:ascii="Arial" w:hAnsi="Arial" w:cs="Arial"/>
                <w:color w:val="000000"/>
                <w:sz w:val="20"/>
                <w:szCs w:val="20"/>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7BBA8692" w14:textId="77777777" w:rsidR="00410424" w:rsidRDefault="00410424" w:rsidP="00410424">
            <w:pPr>
              <w:rPr>
                <w:sz w:val="22"/>
                <w:szCs w:val="22"/>
              </w:rPr>
            </w:pPr>
          </w:p>
        </w:tc>
      </w:tr>
    </w:tbl>
    <w:p w14:paraId="760AEBFA" w14:textId="77777777" w:rsidR="00410424" w:rsidRDefault="00410424" w:rsidP="00E275D8">
      <w:pPr>
        <w:pStyle w:val="BodyText"/>
      </w:pPr>
    </w:p>
    <w:p w14:paraId="1C0BD6B3" w14:textId="77777777" w:rsidR="00410424" w:rsidRDefault="00410424" w:rsidP="00E275D8">
      <w:pPr>
        <w:pStyle w:val="BodyText"/>
      </w:pPr>
    </w:p>
    <w:p w14:paraId="0D3854B1" w14:textId="77777777" w:rsidR="00410424" w:rsidRDefault="00410424" w:rsidP="00E275D8">
      <w:pPr>
        <w:pStyle w:val="BodyText"/>
      </w:pPr>
    </w:p>
    <w:p w14:paraId="4515BE9A" w14:textId="77777777" w:rsidR="00410424" w:rsidRDefault="00410424" w:rsidP="00E275D8">
      <w:pPr>
        <w:pStyle w:val="BodyText"/>
        <w:sectPr w:rsidR="00410424" w:rsidSect="0068481F">
          <w:headerReference w:type="default" r:id="rId15"/>
          <w:footerReference w:type="default" r:id="rId16"/>
          <w:pgSz w:w="12240" w:h="15840" w:code="1"/>
          <w:pgMar w:top="1584" w:right="1440" w:bottom="1440" w:left="1440" w:header="720" w:footer="720" w:gutter="0"/>
          <w:cols w:space="720"/>
          <w:formProt w:val="0"/>
          <w:docGrid w:linePitch="360"/>
        </w:sectPr>
      </w:pPr>
    </w:p>
    <w:tbl>
      <w:tblPr>
        <w:tblpPr w:leftFromText="180" w:rightFromText="180" w:horzAnchor="margin" w:tblpXSpec="center" w:tblpY="367"/>
        <w:tblW w:w="12997" w:type="dxa"/>
        <w:tblLook w:val="04A0" w:firstRow="1" w:lastRow="0" w:firstColumn="1" w:lastColumn="0" w:noHBand="0" w:noVBand="1"/>
      </w:tblPr>
      <w:tblGrid>
        <w:gridCol w:w="436"/>
        <w:gridCol w:w="2619"/>
        <w:gridCol w:w="1206"/>
        <w:gridCol w:w="1353"/>
        <w:gridCol w:w="1402"/>
        <w:gridCol w:w="1353"/>
        <w:gridCol w:w="1347"/>
        <w:gridCol w:w="1080"/>
        <w:gridCol w:w="1080"/>
        <w:gridCol w:w="1121"/>
      </w:tblGrid>
      <w:tr w:rsidR="00410424" w14:paraId="6A81AA34" w14:textId="77777777" w:rsidTr="00410424">
        <w:trPr>
          <w:trHeight w:val="249"/>
        </w:trPr>
        <w:tc>
          <w:tcPr>
            <w:tcW w:w="7016" w:type="dxa"/>
            <w:gridSpan w:val="5"/>
            <w:tcBorders>
              <w:top w:val="single" w:sz="4" w:space="0" w:color="auto"/>
              <w:left w:val="single" w:sz="4" w:space="0" w:color="auto"/>
              <w:bottom w:val="nil"/>
              <w:right w:val="nil"/>
            </w:tcBorders>
            <w:shd w:val="clear" w:color="000000" w:fill="FFFFFF"/>
            <w:noWrap/>
            <w:vAlign w:val="bottom"/>
            <w:hideMark/>
          </w:tcPr>
          <w:p w14:paraId="6E3DEB8A" w14:textId="77777777" w:rsidR="00410424" w:rsidRDefault="00410424" w:rsidP="00410424">
            <w:pPr>
              <w:rPr>
                <w:rFonts w:ascii="Arial" w:hAnsi="Arial" w:cs="Arial"/>
                <w:b/>
                <w:bCs/>
              </w:rPr>
            </w:pPr>
            <w:bookmarkStart w:id="34" w:name="RANGE!A4:J34"/>
            <w:r>
              <w:rPr>
                <w:rFonts w:ascii="Arial" w:hAnsi="Arial" w:cs="Arial"/>
                <w:b/>
                <w:bCs/>
              </w:rPr>
              <w:t>Environmental Utilities,</w:t>
            </w:r>
            <w:bookmarkEnd w:id="34"/>
            <w:r>
              <w:rPr>
                <w:rFonts w:ascii="Arial" w:hAnsi="Arial" w:cs="Arial"/>
                <w:b/>
                <w:bCs/>
              </w:rPr>
              <w:t xml:space="preserve"> LLC</w:t>
            </w:r>
          </w:p>
        </w:tc>
        <w:tc>
          <w:tcPr>
            <w:tcW w:w="1353" w:type="dxa"/>
            <w:tcBorders>
              <w:top w:val="single" w:sz="4" w:space="0" w:color="auto"/>
              <w:left w:val="nil"/>
              <w:bottom w:val="nil"/>
              <w:right w:val="nil"/>
            </w:tcBorders>
            <w:shd w:val="clear" w:color="000000" w:fill="FFFFFF"/>
            <w:noWrap/>
            <w:vAlign w:val="bottom"/>
            <w:hideMark/>
          </w:tcPr>
          <w:p w14:paraId="588205EB" w14:textId="77777777" w:rsidR="00410424" w:rsidRDefault="00410424" w:rsidP="00410424">
            <w:pPr>
              <w:rPr>
                <w:rFonts w:ascii="Arial" w:hAnsi="Arial" w:cs="Arial"/>
                <w:b/>
                <w:bCs/>
              </w:rPr>
            </w:pPr>
            <w:r>
              <w:rPr>
                <w:rFonts w:ascii="Arial" w:hAnsi="Arial" w:cs="Arial"/>
                <w:b/>
                <w:bCs/>
              </w:rPr>
              <w:t> </w:t>
            </w:r>
          </w:p>
        </w:tc>
        <w:tc>
          <w:tcPr>
            <w:tcW w:w="1347" w:type="dxa"/>
            <w:tcBorders>
              <w:top w:val="single" w:sz="4" w:space="0" w:color="auto"/>
              <w:left w:val="nil"/>
              <w:bottom w:val="nil"/>
              <w:right w:val="nil"/>
            </w:tcBorders>
            <w:shd w:val="clear" w:color="000000" w:fill="FFFFFF"/>
            <w:noWrap/>
            <w:vAlign w:val="bottom"/>
            <w:hideMark/>
          </w:tcPr>
          <w:p w14:paraId="0F29DAB8" w14:textId="77777777" w:rsidR="00410424" w:rsidRDefault="00410424" w:rsidP="00410424">
            <w:pPr>
              <w:rPr>
                <w:rFonts w:ascii="Arial" w:hAnsi="Arial" w:cs="Arial"/>
                <w:b/>
                <w:bCs/>
              </w:rPr>
            </w:pPr>
            <w:r>
              <w:rPr>
                <w:rFonts w:ascii="Arial" w:hAnsi="Arial" w:cs="Arial"/>
                <w:b/>
                <w:bCs/>
              </w:rPr>
              <w:t> </w:t>
            </w:r>
          </w:p>
        </w:tc>
        <w:tc>
          <w:tcPr>
            <w:tcW w:w="3281" w:type="dxa"/>
            <w:gridSpan w:val="3"/>
            <w:tcBorders>
              <w:top w:val="single" w:sz="4" w:space="0" w:color="auto"/>
              <w:left w:val="nil"/>
              <w:bottom w:val="nil"/>
              <w:right w:val="single" w:sz="4" w:space="0" w:color="000000"/>
            </w:tcBorders>
            <w:shd w:val="clear" w:color="000000" w:fill="FFFFFF"/>
            <w:noWrap/>
            <w:vAlign w:val="bottom"/>
            <w:hideMark/>
          </w:tcPr>
          <w:p w14:paraId="53B89039" w14:textId="77777777" w:rsidR="00410424" w:rsidRDefault="00410424" w:rsidP="00410424">
            <w:pPr>
              <w:jc w:val="right"/>
              <w:rPr>
                <w:rFonts w:ascii="Arial" w:hAnsi="Arial" w:cs="Arial"/>
                <w:b/>
                <w:bCs/>
              </w:rPr>
            </w:pPr>
            <w:r>
              <w:rPr>
                <w:rFonts w:ascii="Arial" w:hAnsi="Arial" w:cs="Arial"/>
                <w:b/>
                <w:bCs/>
              </w:rPr>
              <w:t>Schedule No. 2</w:t>
            </w:r>
          </w:p>
        </w:tc>
      </w:tr>
      <w:tr w:rsidR="00410424" w14:paraId="78BBD499" w14:textId="77777777" w:rsidTr="00410424">
        <w:trPr>
          <w:trHeight w:val="249"/>
        </w:trPr>
        <w:tc>
          <w:tcPr>
            <w:tcW w:w="5614" w:type="dxa"/>
            <w:gridSpan w:val="4"/>
            <w:tcBorders>
              <w:top w:val="nil"/>
              <w:left w:val="single" w:sz="4" w:space="0" w:color="auto"/>
              <w:bottom w:val="nil"/>
              <w:right w:val="nil"/>
            </w:tcBorders>
            <w:shd w:val="clear" w:color="000000" w:fill="FFFFFF"/>
            <w:noWrap/>
            <w:vAlign w:val="bottom"/>
            <w:hideMark/>
          </w:tcPr>
          <w:p w14:paraId="0B6B8262" w14:textId="77777777" w:rsidR="00410424" w:rsidRDefault="00410424" w:rsidP="00410424">
            <w:pPr>
              <w:rPr>
                <w:rFonts w:ascii="Arial" w:hAnsi="Arial" w:cs="Arial"/>
                <w:b/>
                <w:bCs/>
              </w:rPr>
            </w:pPr>
            <w:r>
              <w:rPr>
                <w:rFonts w:ascii="Arial" w:hAnsi="Arial" w:cs="Arial"/>
                <w:b/>
                <w:bCs/>
              </w:rPr>
              <w:t>Capital Structure</w:t>
            </w:r>
          </w:p>
        </w:tc>
        <w:tc>
          <w:tcPr>
            <w:tcW w:w="1402" w:type="dxa"/>
            <w:tcBorders>
              <w:top w:val="nil"/>
              <w:left w:val="nil"/>
              <w:bottom w:val="nil"/>
              <w:right w:val="nil"/>
            </w:tcBorders>
            <w:shd w:val="clear" w:color="000000" w:fill="FFFFFF"/>
            <w:noWrap/>
            <w:vAlign w:val="bottom"/>
            <w:hideMark/>
          </w:tcPr>
          <w:p w14:paraId="367595E3" w14:textId="77777777" w:rsidR="00410424" w:rsidRDefault="00410424" w:rsidP="00410424">
            <w:pPr>
              <w:rPr>
                <w:rFonts w:ascii="Arial" w:hAnsi="Arial" w:cs="Arial"/>
                <w:b/>
                <w:bCs/>
              </w:rPr>
            </w:pPr>
            <w:r>
              <w:rPr>
                <w:rFonts w:ascii="Arial" w:hAnsi="Arial" w:cs="Arial"/>
                <w:b/>
                <w:bCs/>
              </w:rPr>
              <w:t> </w:t>
            </w:r>
          </w:p>
        </w:tc>
        <w:tc>
          <w:tcPr>
            <w:tcW w:w="1353" w:type="dxa"/>
            <w:tcBorders>
              <w:top w:val="nil"/>
              <w:left w:val="nil"/>
              <w:bottom w:val="nil"/>
              <w:right w:val="nil"/>
            </w:tcBorders>
            <w:shd w:val="clear" w:color="000000" w:fill="FFFFFF"/>
            <w:noWrap/>
            <w:vAlign w:val="bottom"/>
            <w:hideMark/>
          </w:tcPr>
          <w:p w14:paraId="5803E65A" w14:textId="77777777" w:rsidR="00410424" w:rsidRDefault="00410424" w:rsidP="00410424">
            <w:pPr>
              <w:rPr>
                <w:rFonts w:ascii="Arial" w:hAnsi="Arial" w:cs="Arial"/>
                <w:b/>
                <w:bCs/>
              </w:rPr>
            </w:pPr>
            <w:r>
              <w:rPr>
                <w:rFonts w:ascii="Arial" w:hAnsi="Arial" w:cs="Arial"/>
                <w:b/>
                <w:bCs/>
              </w:rPr>
              <w:t> </w:t>
            </w:r>
          </w:p>
        </w:tc>
        <w:tc>
          <w:tcPr>
            <w:tcW w:w="1347" w:type="dxa"/>
            <w:tcBorders>
              <w:top w:val="nil"/>
              <w:left w:val="nil"/>
              <w:bottom w:val="nil"/>
              <w:right w:val="nil"/>
            </w:tcBorders>
            <w:shd w:val="clear" w:color="000000" w:fill="FFFFFF"/>
            <w:noWrap/>
            <w:vAlign w:val="bottom"/>
            <w:hideMark/>
          </w:tcPr>
          <w:p w14:paraId="28A8F013" w14:textId="77777777" w:rsidR="00410424" w:rsidRDefault="00410424" w:rsidP="00410424">
            <w:pPr>
              <w:rPr>
                <w:rFonts w:ascii="Arial" w:hAnsi="Arial" w:cs="Arial"/>
                <w:b/>
                <w:bCs/>
              </w:rPr>
            </w:pPr>
            <w:r>
              <w:rPr>
                <w:rFonts w:ascii="Arial" w:hAnsi="Arial" w:cs="Arial"/>
                <w:b/>
                <w:bCs/>
              </w:rPr>
              <w:t> </w:t>
            </w:r>
          </w:p>
        </w:tc>
        <w:tc>
          <w:tcPr>
            <w:tcW w:w="3281" w:type="dxa"/>
            <w:gridSpan w:val="3"/>
            <w:tcBorders>
              <w:top w:val="nil"/>
              <w:left w:val="nil"/>
              <w:bottom w:val="nil"/>
              <w:right w:val="single" w:sz="4" w:space="0" w:color="000000"/>
            </w:tcBorders>
            <w:shd w:val="clear" w:color="000000" w:fill="FFFFFF"/>
            <w:noWrap/>
            <w:vAlign w:val="bottom"/>
            <w:hideMark/>
          </w:tcPr>
          <w:p w14:paraId="740ED986" w14:textId="77777777" w:rsidR="00410424" w:rsidRDefault="00690DF0" w:rsidP="00410424">
            <w:pPr>
              <w:jc w:val="right"/>
              <w:rPr>
                <w:rFonts w:ascii="Arial" w:hAnsi="Arial" w:cs="Arial"/>
                <w:b/>
                <w:bCs/>
              </w:rPr>
            </w:pPr>
            <w:r>
              <w:rPr>
                <w:rFonts w:ascii="Arial" w:hAnsi="Arial" w:cs="Arial"/>
                <w:b/>
                <w:bCs/>
              </w:rPr>
              <w:t xml:space="preserve">DN </w:t>
            </w:r>
            <w:r w:rsidR="00410424">
              <w:rPr>
                <w:rFonts w:ascii="Arial" w:hAnsi="Arial" w:cs="Arial"/>
                <w:b/>
                <w:bCs/>
              </w:rPr>
              <w:t>20200226-SU</w:t>
            </w:r>
          </w:p>
        </w:tc>
      </w:tr>
      <w:tr w:rsidR="00410424" w14:paraId="6378B8CA" w14:textId="77777777" w:rsidTr="00410424">
        <w:trPr>
          <w:trHeight w:val="249"/>
        </w:trPr>
        <w:tc>
          <w:tcPr>
            <w:tcW w:w="5614" w:type="dxa"/>
            <w:gridSpan w:val="4"/>
            <w:tcBorders>
              <w:top w:val="nil"/>
              <w:left w:val="single" w:sz="4" w:space="0" w:color="auto"/>
              <w:bottom w:val="single" w:sz="4" w:space="0" w:color="auto"/>
              <w:right w:val="nil"/>
            </w:tcBorders>
            <w:shd w:val="clear" w:color="000000" w:fill="FFFFFF"/>
            <w:noWrap/>
            <w:vAlign w:val="bottom"/>
            <w:hideMark/>
          </w:tcPr>
          <w:p w14:paraId="58D7F993" w14:textId="77777777" w:rsidR="00410424" w:rsidRDefault="00410424" w:rsidP="00410424">
            <w:pPr>
              <w:rPr>
                <w:rFonts w:ascii="Arial" w:hAnsi="Arial" w:cs="Arial"/>
                <w:b/>
                <w:bCs/>
              </w:rPr>
            </w:pPr>
            <w:r>
              <w:rPr>
                <w:rFonts w:ascii="Arial" w:hAnsi="Arial" w:cs="Arial"/>
                <w:b/>
                <w:bCs/>
              </w:rPr>
              <w:t>Projected at 80% Capacity</w:t>
            </w:r>
          </w:p>
        </w:tc>
        <w:tc>
          <w:tcPr>
            <w:tcW w:w="1402" w:type="dxa"/>
            <w:tcBorders>
              <w:top w:val="nil"/>
              <w:left w:val="nil"/>
              <w:bottom w:val="nil"/>
              <w:right w:val="nil"/>
            </w:tcBorders>
            <w:shd w:val="clear" w:color="000000" w:fill="FFFFFF"/>
            <w:noWrap/>
            <w:vAlign w:val="bottom"/>
            <w:hideMark/>
          </w:tcPr>
          <w:p w14:paraId="708E7050" w14:textId="77777777" w:rsidR="00410424" w:rsidRDefault="00410424" w:rsidP="00410424">
            <w:pPr>
              <w:rPr>
                <w:rFonts w:ascii="Arial" w:hAnsi="Arial" w:cs="Arial"/>
                <w:b/>
                <w:bCs/>
              </w:rPr>
            </w:pPr>
            <w:r>
              <w:rPr>
                <w:rFonts w:ascii="Arial" w:hAnsi="Arial" w:cs="Arial"/>
                <w:b/>
                <w:bCs/>
              </w:rPr>
              <w:t> </w:t>
            </w:r>
          </w:p>
        </w:tc>
        <w:tc>
          <w:tcPr>
            <w:tcW w:w="1353" w:type="dxa"/>
            <w:tcBorders>
              <w:top w:val="nil"/>
              <w:left w:val="nil"/>
              <w:bottom w:val="nil"/>
              <w:right w:val="nil"/>
            </w:tcBorders>
            <w:shd w:val="clear" w:color="000000" w:fill="FFFFFF"/>
            <w:noWrap/>
            <w:vAlign w:val="bottom"/>
            <w:hideMark/>
          </w:tcPr>
          <w:p w14:paraId="2377AD31" w14:textId="77777777" w:rsidR="00410424" w:rsidRDefault="00410424" w:rsidP="00410424">
            <w:pPr>
              <w:rPr>
                <w:rFonts w:ascii="Arial" w:hAnsi="Arial" w:cs="Arial"/>
                <w:b/>
                <w:bCs/>
              </w:rPr>
            </w:pPr>
            <w:r>
              <w:rPr>
                <w:rFonts w:ascii="Arial" w:hAnsi="Arial" w:cs="Arial"/>
                <w:b/>
                <w:bCs/>
              </w:rPr>
              <w:t> </w:t>
            </w:r>
          </w:p>
        </w:tc>
        <w:tc>
          <w:tcPr>
            <w:tcW w:w="1347" w:type="dxa"/>
            <w:tcBorders>
              <w:top w:val="nil"/>
              <w:left w:val="nil"/>
              <w:bottom w:val="nil"/>
              <w:right w:val="nil"/>
            </w:tcBorders>
            <w:shd w:val="clear" w:color="000000" w:fill="FFFFFF"/>
            <w:noWrap/>
            <w:vAlign w:val="bottom"/>
            <w:hideMark/>
          </w:tcPr>
          <w:p w14:paraId="413BFBA8" w14:textId="77777777" w:rsidR="00410424" w:rsidRDefault="00410424" w:rsidP="00410424">
            <w:pPr>
              <w:rPr>
                <w:rFonts w:ascii="Arial" w:hAnsi="Arial" w:cs="Arial"/>
                <w:b/>
                <w:bCs/>
              </w:rPr>
            </w:pPr>
            <w:r>
              <w:rPr>
                <w:rFonts w:ascii="Arial" w:hAnsi="Arial" w:cs="Arial"/>
                <w:b/>
                <w:bCs/>
              </w:rPr>
              <w:t> </w:t>
            </w:r>
          </w:p>
        </w:tc>
        <w:tc>
          <w:tcPr>
            <w:tcW w:w="1080" w:type="dxa"/>
            <w:tcBorders>
              <w:top w:val="nil"/>
              <w:left w:val="nil"/>
              <w:bottom w:val="nil"/>
              <w:right w:val="nil"/>
            </w:tcBorders>
            <w:shd w:val="clear" w:color="000000" w:fill="FFFFFF"/>
            <w:noWrap/>
            <w:vAlign w:val="bottom"/>
            <w:hideMark/>
          </w:tcPr>
          <w:p w14:paraId="3532211E" w14:textId="77777777" w:rsidR="00410424" w:rsidRDefault="00410424" w:rsidP="00410424">
            <w:pPr>
              <w:rPr>
                <w:rFonts w:ascii="Arial" w:hAnsi="Arial" w:cs="Arial"/>
                <w:b/>
                <w:bCs/>
              </w:rPr>
            </w:pPr>
            <w:r>
              <w:rPr>
                <w:rFonts w:ascii="Arial" w:hAnsi="Arial" w:cs="Arial"/>
                <w:b/>
                <w:bCs/>
              </w:rPr>
              <w:t> </w:t>
            </w:r>
          </w:p>
        </w:tc>
        <w:tc>
          <w:tcPr>
            <w:tcW w:w="1080" w:type="dxa"/>
            <w:tcBorders>
              <w:top w:val="nil"/>
              <w:left w:val="nil"/>
              <w:bottom w:val="nil"/>
              <w:right w:val="nil"/>
            </w:tcBorders>
            <w:shd w:val="clear" w:color="000000" w:fill="FFFFFF"/>
            <w:noWrap/>
            <w:vAlign w:val="bottom"/>
            <w:hideMark/>
          </w:tcPr>
          <w:p w14:paraId="5F2D4181" w14:textId="77777777" w:rsidR="00410424" w:rsidRDefault="00410424" w:rsidP="00410424">
            <w:pPr>
              <w:rPr>
                <w:rFonts w:ascii="Arial" w:hAnsi="Arial" w:cs="Arial"/>
                <w:b/>
                <w:bCs/>
              </w:rPr>
            </w:pPr>
            <w:r>
              <w:rPr>
                <w:rFonts w:ascii="Arial" w:hAnsi="Arial" w:cs="Arial"/>
                <w:b/>
                <w:bCs/>
              </w:rPr>
              <w:t> </w:t>
            </w:r>
          </w:p>
        </w:tc>
        <w:tc>
          <w:tcPr>
            <w:tcW w:w="1121" w:type="dxa"/>
            <w:tcBorders>
              <w:top w:val="nil"/>
              <w:left w:val="nil"/>
              <w:bottom w:val="nil"/>
              <w:right w:val="single" w:sz="4" w:space="0" w:color="auto"/>
            </w:tcBorders>
            <w:shd w:val="clear" w:color="000000" w:fill="FFFFFF"/>
            <w:noWrap/>
            <w:vAlign w:val="bottom"/>
            <w:hideMark/>
          </w:tcPr>
          <w:p w14:paraId="6636E83F" w14:textId="77777777" w:rsidR="00410424" w:rsidRDefault="00410424" w:rsidP="00410424">
            <w:pPr>
              <w:rPr>
                <w:rFonts w:ascii="Arial" w:hAnsi="Arial" w:cs="Arial"/>
              </w:rPr>
            </w:pPr>
            <w:r>
              <w:rPr>
                <w:rFonts w:ascii="Arial" w:hAnsi="Arial" w:cs="Arial"/>
              </w:rPr>
              <w:t> </w:t>
            </w:r>
          </w:p>
        </w:tc>
      </w:tr>
      <w:tr w:rsidR="00410424" w14:paraId="32A09368" w14:textId="77777777" w:rsidTr="00410424">
        <w:trPr>
          <w:trHeight w:val="249"/>
        </w:trPr>
        <w:tc>
          <w:tcPr>
            <w:tcW w:w="436" w:type="dxa"/>
            <w:tcBorders>
              <w:top w:val="nil"/>
              <w:left w:val="single" w:sz="4" w:space="0" w:color="auto"/>
              <w:bottom w:val="nil"/>
              <w:right w:val="nil"/>
            </w:tcBorders>
            <w:shd w:val="clear" w:color="000000" w:fill="FFFFFF"/>
            <w:noWrap/>
            <w:vAlign w:val="center"/>
            <w:hideMark/>
          </w:tcPr>
          <w:p w14:paraId="2955F98C" w14:textId="77777777" w:rsidR="00410424" w:rsidRDefault="00410424" w:rsidP="00410424">
            <w:pPr>
              <w:rPr>
                <w:b/>
                <w:bCs/>
                <w:sz w:val="22"/>
                <w:szCs w:val="22"/>
              </w:rPr>
            </w:pPr>
            <w:r>
              <w:rPr>
                <w:b/>
                <w:bCs/>
                <w:sz w:val="22"/>
                <w:szCs w:val="22"/>
              </w:rPr>
              <w:t> </w:t>
            </w:r>
          </w:p>
        </w:tc>
        <w:tc>
          <w:tcPr>
            <w:tcW w:w="2619" w:type="dxa"/>
            <w:vMerge w:val="restart"/>
            <w:tcBorders>
              <w:top w:val="nil"/>
              <w:left w:val="nil"/>
              <w:bottom w:val="single" w:sz="4" w:space="0" w:color="000000"/>
              <w:right w:val="nil"/>
            </w:tcBorders>
            <w:shd w:val="clear" w:color="000000" w:fill="FFFFFF"/>
            <w:noWrap/>
            <w:vAlign w:val="center"/>
            <w:hideMark/>
          </w:tcPr>
          <w:p w14:paraId="6253335E" w14:textId="77777777" w:rsidR="00410424" w:rsidRDefault="00410424" w:rsidP="00410424">
            <w:pPr>
              <w:jc w:val="center"/>
              <w:rPr>
                <w:b/>
                <w:bCs/>
                <w:sz w:val="22"/>
                <w:szCs w:val="22"/>
              </w:rPr>
            </w:pPr>
            <w:r>
              <w:rPr>
                <w:b/>
                <w:bCs/>
                <w:sz w:val="22"/>
                <w:szCs w:val="22"/>
              </w:rPr>
              <w:t>Description</w:t>
            </w:r>
          </w:p>
        </w:tc>
        <w:tc>
          <w:tcPr>
            <w:tcW w:w="1206" w:type="dxa"/>
            <w:vMerge w:val="restart"/>
            <w:tcBorders>
              <w:top w:val="single" w:sz="4" w:space="0" w:color="auto"/>
              <w:left w:val="nil"/>
              <w:bottom w:val="single" w:sz="4" w:space="0" w:color="000000"/>
              <w:right w:val="nil"/>
            </w:tcBorders>
            <w:shd w:val="clear" w:color="000000" w:fill="FFFFFF"/>
            <w:vAlign w:val="center"/>
            <w:hideMark/>
          </w:tcPr>
          <w:p w14:paraId="2CE6903D" w14:textId="77777777" w:rsidR="00410424" w:rsidRDefault="00410424" w:rsidP="00410424">
            <w:pPr>
              <w:jc w:val="center"/>
              <w:rPr>
                <w:b/>
                <w:bCs/>
                <w:sz w:val="22"/>
                <w:szCs w:val="22"/>
              </w:rPr>
            </w:pPr>
            <w:r>
              <w:rPr>
                <w:b/>
                <w:bCs/>
                <w:sz w:val="22"/>
                <w:szCs w:val="22"/>
              </w:rPr>
              <w:t>Total           Capital</w:t>
            </w:r>
          </w:p>
        </w:tc>
        <w:tc>
          <w:tcPr>
            <w:tcW w:w="1353" w:type="dxa"/>
            <w:tcBorders>
              <w:top w:val="single" w:sz="4" w:space="0" w:color="auto"/>
              <w:left w:val="nil"/>
              <w:bottom w:val="nil"/>
              <w:right w:val="nil"/>
            </w:tcBorders>
            <w:shd w:val="clear" w:color="000000" w:fill="FFFFFF"/>
            <w:noWrap/>
            <w:vAlign w:val="center"/>
            <w:hideMark/>
          </w:tcPr>
          <w:p w14:paraId="24384E00" w14:textId="77777777" w:rsidR="00410424" w:rsidRDefault="00410424" w:rsidP="00410424">
            <w:pPr>
              <w:jc w:val="center"/>
              <w:rPr>
                <w:b/>
                <w:bCs/>
                <w:sz w:val="22"/>
                <w:szCs w:val="22"/>
              </w:rPr>
            </w:pPr>
            <w:r>
              <w:rPr>
                <w:b/>
                <w:bCs/>
                <w:sz w:val="22"/>
                <w:szCs w:val="22"/>
              </w:rPr>
              <w:t>Specific</w:t>
            </w:r>
          </w:p>
        </w:tc>
        <w:tc>
          <w:tcPr>
            <w:tcW w:w="1402" w:type="dxa"/>
            <w:tcBorders>
              <w:top w:val="single" w:sz="4" w:space="0" w:color="auto"/>
              <w:left w:val="nil"/>
              <w:bottom w:val="nil"/>
              <w:right w:val="nil"/>
            </w:tcBorders>
            <w:shd w:val="clear" w:color="000000" w:fill="FFFFFF"/>
            <w:noWrap/>
            <w:vAlign w:val="center"/>
            <w:hideMark/>
          </w:tcPr>
          <w:p w14:paraId="1F1527AD" w14:textId="77777777" w:rsidR="00410424" w:rsidRDefault="00410424" w:rsidP="00410424">
            <w:pPr>
              <w:jc w:val="center"/>
              <w:rPr>
                <w:b/>
                <w:bCs/>
                <w:sz w:val="22"/>
                <w:szCs w:val="22"/>
              </w:rPr>
            </w:pPr>
            <w:r>
              <w:rPr>
                <w:b/>
                <w:bCs/>
                <w:sz w:val="22"/>
                <w:szCs w:val="22"/>
              </w:rPr>
              <w:t>Subtotal</w:t>
            </w:r>
          </w:p>
        </w:tc>
        <w:tc>
          <w:tcPr>
            <w:tcW w:w="1353" w:type="dxa"/>
            <w:tcBorders>
              <w:top w:val="single" w:sz="4" w:space="0" w:color="auto"/>
              <w:left w:val="nil"/>
              <w:bottom w:val="nil"/>
              <w:right w:val="nil"/>
            </w:tcBorders>
            <w:shd w:val="clear" w:color="000000" w:fill="FFFFFF"/>
            <w:noWrap/>
            <w:vAlign w:val="center"/>
            <w:hideMark/>
          </w:tcPr>
          <w:p w14:paraId="099FCAE1" w14:textId="64B65A55" w:rsidR="00410424" w:rsidRDefault="00410424" w:rsidP="00410424">
            <w:pPr>
              <w:jc w:val="center"/>
              <w:rPr>
                <w:b/>
                <w:bCs/>
                <w:sz w:val="22"/>
                <w:szCs w:val="22"/>
              </w:rPr>
            </w:pPr>
            <w:r>
              <w:rPr>
                <w:b/>
                <w:bCs/>
                <w:sz w:val="22"/>
                <w:szCs w:val="22"/>
              </w:rPr>
              <w:t>Pro</w:t>
            </w:r>
            <w:r w:rsidR="00F00810">
              <w:rPr>
                <w:b/>
                <w:bCs/>
                <w:sz w:val="22"/>
                <w:szCs w:val="22"/>
              </w:rPr>
              <w:t xml:space="preserve"> </w:t>
            </w:r>
            <w:r>
              <w:rPr>
                <w:b/>
                <w:bCs/>
                <w:sz w:val="22"/>
                <w:szCs w:val="22"/>
              </w:rPr>
              <w:t>rata</w:t>
            </w:r>
          </w:p>
        </w:tc>
        <w:tc>
          <w:tcPr>
            <w:tcW w:w="1347" w:type="dxa"/>
            <w:tcBorders>
              <w:top w:val="single" w:sz="4" w:space="0" w:color="auto"/>
              <w:left w:val="nil"/>
              <w:bottom w:val="nil"/>
              <w:right w:val="nil"/>
            </w:tcBorders>
            <w:shd w:val="clear" w:color="000000" w:fill="FFFFFF"/>
            <w:noWrap/>
            <w:vAlign w:val="center"/>
            <w:hideMark/>
          </w:tcPr>
          <w:p w14:paraId="5236C199" w14:textId="77777777" w:rsidR="00410424" w:rsidRDefault="00410424" w:rsidP="00410424">
            <w:pPr>
              <w:jc w:val="center"/>
              <w:rPr>
                <w:b/>
                <w:bCs/>
                <w:sz w:val="22"/>
                <w:szCs w:val="22"/>
              </w:rPr>
            </w:pPr>
            <w:r>
              <w:rPr>
                <w:b/>
                <w:bCs/>
                <w:sz w:val="22"/>
                <w:szCs w:val="22"/>
              </w:rPr>
              <w:t>Capital</w:t>
            </w:r>
          </w:p>
        </w:tc>
        <w:tc>
          <w:tcPr>
            <w:tcW w:w="1080" w:type="dxa"/>
            <w:vMerge w:val="restart"/>
            <w:tcBorders>
              <w:top w:val="single" w:sz="4" w:space="0" w:color="auto"/>
              <w:left w:val="nil"/>
              <w:bottom w:val="single" w:sz="4" w:space="0" w:color="000000"/>
              <w:right w:val="nil"/>
            </w:tcBorders>
            <w:shd w:val="clear" w:color="000000" w:fill="FFFFFF"/>
            <w:noWrap/>
            <w:vAlign w:val="center"/>
            <w:hideMark/>
          </w:tcPr>
          <w:p w14:paraId="19ADFCB3" w14:textId="77777777" w:rsidR="00410424" w:rsidRDefault="00410424" w:rsidP="00410424">
            <w:pPr>
              <w:jc w:val="center"/>
              <w:rPr>
                <w:b/>
                <w:bCs/>
                <w:sz w:val="22"/>
                <w:szCs w:val="22"/>
              </w:rPr>
            </w:pPr>
            <w:r>
              <w:rPr>
                <w:b/>
                <w:bCs/>
                <w:sz w:val="22"/>
                <w:szCs w:val="22"/>
              </w:rPr>
              <w:t>Ratio</w:t>
            </w:r>
          </w:p>
        </w:tc>
        <w:tc>
          <w:tcPr>
            <w:tcW w:w="1080" w:type="dxa"/>
            <w:vMerge w:val="restart"/>
            <w:tcBorders>
              <w:top w:val="single" w:sz="4" w:space="0" w:color="auto"/>
              <w:left w:val="nil"/>
              <w:bottom w:val="single" w:sz="4" w:space="0" w:color="000000"/>
              <w:right w:val="nil"/>
            </w:tcBorders>
            <w:shd w:val="clear" w:color="000000" w:fill="FFFFFF"/>
            <w:vAlign w:val="center"/>
            <w:hideMark/>
          </w:tcPr>
          <w:p w14:paraId="42C42B01" w14:textId="77777777" w:rsidR="00410424" w:rsidRDefault="00410424" w:rsidP="00410424">
            <w:pPr>
              <w:jc w:val="center"/>
              <w:rPr>
                <w:b/>
                <w:bCs/>
                <w:sz w:val="22"/>
                <w:szCs w:val="22"/>
              </w:rPr>
            </w:pPr>
            <w:r>
              <w:rPr>
                <w:b/>
                <w:bCs/>
                <w:sz w:val="22"/>
                <w:szCs w:val="22"/>
              </w:rPr>
              <w:t>Cost Rate</w:t>
            </w:r>
          </w:p>
        </w:tc>
        <w:tc>
          <w:tcPr>
            <w:tcW w:w="1121" w:type="dxa"/>
            <w:vMerge w:val="restart"/>
            <w:tcBorders>
              <w:top w:val="single" w:sz="4" w:space="0" w:color="auto"/>
              <w:left w:val="nil"/>
              <w:bottom w:val="single" w:sz="4" w:space="0" w:color="000000"/>
              <w:right w:val="single" w:sz="4" w:space="0" w:color="auto"/>
            </w:tcBorders>
            <w:shd w:val="clear" w:color="000000" w:fill="FFFFFF"/>
            <w:vAlign w:val="center"/>
            <w:hideMark/>
          </w:tcPr>
          <w:p w14:paraId="7AB2A63E" w14:textId="77777777" w:rsidR="00410424" w:rsidRDefault="00410424" w:rsidP="00410424">
            <w:pPr>
              <w:jc w:val="center"/>
              <w:rPr>
                <w:b/>
                <w:bCs/>
                <w:sz w:val="22"/>
                <w:szCs w:val="22"/>
              </w:rPr>
            </w:pPr>
            <w:r>
              <w:rPr>
                <w:b/>
                <w:bCs/>
                <w:sz w:val="22"/>
                <w:szCs w:val="22"/>
              </w:rPr>
              <w:t>Weighted Cost</w:t>
            </w:r>
          </w:p>
        </w:tc>
      </w:tr>
      <w:tr w:rsidR="00410424" w14:paraId="3E5BC6B5" w14:textId="77777777" w:rsidTr="00410424">
        <w:trPr>
          <w:trHeight w:val="249"/>
        </w:trPr>
        <w:tc>
          <w:tcPr>
            <w:tcW w:w="436" w:type="dxa"/>
            <w:tcBorders>
              <w:top w:val="nil"/>
              <w:left w:val="single" w:sz="4" w:space="0" w:color="auto"/>
              <w:bottom w:val="nil"/>
              <w:right w:val="nil"/>
            </w:tcBorders>
            <w:shd w:val="clear" w:color="000000" w:fill="FFFFFF"/>
            <w:noWrap/>
            <w:vAlign w:val="center"/>
            <w:hideMark/>
          </w:tcPr>
          <w:p w14:paraId="5543D26C" w14:textId="77777777" w:rsidR="00410424" w:rsidRDefault="00410424" w:rsidP="00410424">
            <w:pPr>
              <w:rPr>
                <w:b/>
                <w:bCs/>
                <w:sz w:val="22"/>
                <w:szCs w:val="22"/>
              </w:rPr>
            </w:pPr>
            <w:r>
              <w:rPr>
                <w:b/>
                <w:bCs/>
                <w:sz w:val="22"/>
                <w:szCs w:val="22"/>
              </w:rPr>
              <w:t> </w:t>
            </w:r>
          </w:p>
        </w:tc>
        <w:tc>
          <w:tcPr>
            <w:tcW w:w="2619" w:type="dxa"/>
            <w:vMerge/>
            <w:tcBorders>
              <w:top w:val="nil"/>
              <w:left w:val="nil"/>
              <w:bottom w:val="single" w:sz="4" w:space="0" w:color="000000"/>
              <w:right w:val="nil"/>
            </w:tcBorders>
            <w:vAlign w:val="center"/>
            <w:hideMark/>
          </w:tcPr>
          <w:p w14:paraId="25EC6AAD" w14:textId="77777777" w:rsidR="00410424" w:rsidRDefault="00410424" w:rsidP="00410424">
            <w:pPr>
              <w:rPr>
                <w:b/>
                <w:bCs/>
                <w:sz w:val="22"/>
                <w:szCs w:val="22"/>
              </w:rPr>
            </w:pPr>
          </w:p>
        </w:tc>
        <w:tc>
          <w:tcPr>
            <w:tcW w:w="1206" w:type="dxa"/>
            <w:vMerge/>
            <w:tcBorders>
              <w:top w:val="single" w:sz="4" w:space="0" w:color="auto"/>
              <w:left w:val="nil"/>
              <w:bottom w:val="single" w:sz="4" w:space="0" w:color="000000"/>
              <w:right w:val="nil"/>
            </w:tcBorders>
            <w:vAlign w:val="center"/>
            <w:hideMark/>
          </w:tcPr>
          <w:p w14:paraId="79C548D5" w14:textId="77777777" w:rsidR="00410424" w:rsidRDefault="00410424" w:rsidP="00410424">
            <w:pPr>
              <w:rPr>
                <w:b/>
                <w:bCs/>
                <w:sz w:val="22"/>
                <w:szCs w:val="22"/>
              </w:rPr>
            </w:pPr>
          </w:p>
        </w:tc>
        <w:tc>
          <w:tcPr>
            <w:tcW w:w="1353" w:type="dxa"/>
            <w:tcBorders>
              <w:top w:val="nil"/>
              <w:left w:val="nil"/>
              <w:bottom w:val="nil"/>
              <w:right w:val="nil"/>
            </w:tcBorders>
            <w:shd w:val="clear" w:color="000000" w:fill="FFFFFF"/>
            <w:noWrap/>
            <w:vAlign w:val="center"/>
            <w:hideMark/>
          </w:tcPr>
          <w:p w14:paraId="2088195A" w14:textId="77777777" w:rsidR="00410424" w:rsidRDefault="00410424" w:rsidP="00410424">
            <w:pPr>
              <w:jc w:val="center"/>
              <w:rPr>
                <w:b/>
                <w:bCs/>
                <w:sz w:val="22"/>
                <w:szCs w:val="22"/>
              </w:rPr>
            </w:pPr>
            <w:r>
              <w:rPr>
                <w:b/>
                <w:bCs/>
                <w:sz w:val="22"/>
                <w:szCs w:val="22"/>
              </w:rPr>
              <w:t>Adjust-</w:t>
            </w:r>
          </w:p>
        </w:tc>
        <w:tc>
          <w:tcPr>
            <w:tcW w:w="1402" w:type="dxa"/>
            <w:tcBorders>
              <w:top w:val="nil"/>
              <w:left w:val="nil"/>
              <w:bottom w:val="nil"/>
              <w:right w:val="nil"/>
            </w:tcBorders>
            <w:shd w:val="clear" w:color="000000" w:fill="FFFFFF"/>
            <w:noWrap/>
            <w:vAlign w:val="center"/>
            <w:hideMark/>
          </w:tcPr>
          <w:p w14:paraId="204162D8" w14:textId="77777777" w:rsidR="00410424" w:rsidRDefault="00410424" w:rsidP="00410424">
            <w:pPr>
              <w:jc w:val="center"/>
              <w:rPr>
                <w:b/>
                <w:bCs/>
                <w:sz w:val="22"/>
                <w:szCs w:val="22"/>
              </w:rPr>
            </w:pPr>
            <w:r>
              <w:rPr>
                <w:b/>
                <w:bCs/>
                <w:sz w:val="22"/>
                <w:szCs w:val="22"/>
              </w:rPr>
              <w:t>Adjusted</w:t>
            </w:r>
          </w:p>
        </w:tc>
        <w:tc>
          <w:tcPr>
            <w:tcW w:w="1353" w:type="dxa"/>
            <w:tcBorders>
              <w:top w:val="nil"/>
              <w:left w:val="nil"/>
              <w:bottom w:val="nil"/>
              <w:right w:val="nil"/>
            </w:tcBorders>
            <w:shd w:val="clear" w:color="000000" w:fill="FFFFFF"/>
            <w:noWrap/>
            <w:vAlign w:val="center"/>
            <w:hideMark/>
          </w:tcPr>
          <w:p w14:paraId="0779C772" w14:textId="77777777" w:rsidR="00410424" w:rsidRDefault="00410424" w:rsidP="00410424">
            <w:pPr>
              <w:jc w:val="center"/>
              <w:rPr>
                <w:b/>
                <w:bCs/>
                <w:sz w:val="22"/>
                <w:szCs w:val="22"/>
              </w:rPr>
            </w:pPr>
            <w:r>
              <w:rPr>
                <w:b/>
                <w:bCs/>
                <w:sz w:val="22"/>
                <w:szCs w:val="22"/>
              </w:rPr>
              <w:t>Adjust-</w:t>
            </w:r>
          </w:p>
        </w:tc>
        <w:tc>
          <w:tcPr>
            <w:tcW w:w="1347" w:type="dxa"/>
            <w:tcBorders>
              <w:top w:val="nil"/>
              <w:left w:val="nil"/>
              <w:bottom w:val="nil"/>
              <w:right w:val="nil"/>
            </w:tcBorders>
            <w:shd w:val="clear" w:color="000000" w:fill="FFFFFF"/>
            <w:noWrap/>
            <w:vAlign w:val="center"/>
            <w:hideMark/>
          </w:tcPr>
          <w:p w14:paraId="65E5251F" w14:textId="77777777" w:rsidR="00410424" w:rsidRDefault="00410424" w:rsidP="00410424">
            <w:pPr>
              <w:jc w:val="center"/>
              <w:rPr>
                <w:b/>
                <w:bCs/>
                <w:sz w:val="22"/>
                <w:szCs w:val="22"/>
              </w:rPr>
            </w:pPr>
            <w:r>
              <w:rPr>
                <w:b/>
                <w:bCs/>
                <w:sz w:val="22"/>
                <w:szCs w:val="22"/>
              </w:rPr>
              <w:t>Reconciled</w:t>
            </w:r>
          </w:p>
        </w:tc>
        <w:tc>
          <w:tcPr>
            <w:tcW w:w="1080" w:type="dxa"/>
            <w:vMerge/>
            <w:tcBorders>
              <w:top w:val="single" w:sz="4" w:space="0" w:color="auto"/>
              <w:left w:val="nil"/>
              <w:bottom w:val="single" w:sz="4" w:space="0" w:color="000000"/>
              <w:right w:val="nil"/>
            </w:tcBorders>
            <w:vAlign w:val="center"/>
            <w:hideMark/>
          </w:tcPr>
          <w:p w14:paraId="22CE05C2" w14:textId="77777777" w:rsidR="00410424" w:rsidRDefault="00410424" w:rsidP="00410424">
            <w:pPr>
              <w:rPr>
                <w:b/>
                <w:bCs/>
                <w:sz w:val="22"/>
                <w:szCs w:val="22"/>
              </w:rPr>
            </w:pPr>
          </w:p>
        </w:tc>
        <w:tc>
          <w:tcPr>
            <w:tcW w:w="1080" w:type="dxa"/>
            <w:vMerge/>
            <w:tcBorders>
              <w:top w:val="single" w:sz="4" w:space="0" w:color="auto"/>
              <w:left w:val="nil"/>
              <w:bottom w:val="single" w:sz="4" w:space="0" w:color="000000"/>
              <w:right w:val="nil"/>
            </w:tcBorders>
            <w:vAlign w:val="center"/>
            <w:hideMark/>
          </w:tcPr>
          <w:p w14:paraId="54BFA1BE" w14:textId="77777777" w:rsidR="00410424" w:rsidRDefault="00410424" w:rsidP="00410424">
            <w:pPr>
              <w:rPr>
                <w:b/>
                <w:bCs/>
                <w:sz w:val="22"/>
                <w:szCs w:val="22"/>
              </w:rPr>
            </w:pPr>
          </w:p>
        </w:tc>
        <w:tc>
          <w:tcPr>
            <w:tcW w:w="1121" w:type="dxa"/>
            <w:vMerge/>
            <w:tcBorders>
              <w:top w:val="single" w:sz="4" w:space="0" w:color="auto"/>
              <w:left w:val="nil"/>
              <w:bottom w:val="single" w:sz="4" w:space="0" w:color="000000"/>
              <w:right w:val="single" w:sz="4" w:space="0" w:color="auto"/>
            </w:tcBorders>
            <w:vAlign w:val="center"/>
            <w:hideMark/>
          </w:tcPr>
          <w:p w14:paraId="56ACCDB0" w14:textId="77777777" w:rsidR="00410424" w:rsidRDefault="00410424" w:rsidP="00410424">
            <w:pPr>
              <w:rPr>
                <w:b/>
                <w:bCs/>
                <w:sz w:val="22"/>
                <w:szCs w:val="22"/>
              </w:rPr>
            </w:pPr>
          </w:p>
        </w:tc>
      </w:tr>
      <w:tr w:rsidR="00410424" w14:paraId="2C6AFD82" w14:textId="77777777" w:rsidTr="00410424">
        <w:trPr>
          <w:trHeight w:val="249"/>
        </w:trPr>
        <w:tc>
          <w:tcPr>
            <w:tcW w:w="436" w:type="dxa"/>
            <w:tcBorders>
              <w:top w:val="nil"/>
              <w:left w:val="single" w:sz="4" w:space="0" w:color="auto"/>
              <w:bottom w:val="single" w:sz="4" w:space="0" w:color="auto"/>
              <w:right w:val="nil"/>
            </w:tcBorders>
            <w:shd w:val="clear" w:color="000000" w:fill="FFFFFF"/>
            <w:noWrap/>
            <w:vAlign w:val="center"/>
            <w:hideMark/>
          </w:tcPr>
          <w:p w14:paraId="61E2EB90" w14:textId="77777777" w:rsidR="00410424" w:rsidRDefault="00410424" w:rsidP="00410424">
            <w:pPr>
              <w:rPr>
                <w:b/>
                <w:bCs/>
                <w:sz w:val="22"/>
                <w:szCs w:val="22"/>
              </w:rPr>
            </w:pPr>
            <w:r>
              <w:rPr>
                <w:b/>
                <w:bCs/>
                <w:sz w:val="22"/>
                <w:szCs w:val="22"/>
              </w:rPr>
              <w:t> </w:t>
            </w:r>
          </w:p>
        </w:tc>
        <w:tc>
          <w:tcPr>
            <w:tcW w:w="2619" w:type="dxa"/>
            <w:vMerge/>
            <w:tcBorders>
              <w:top w:val="nil"/>
              <w:left w:val="nil"/>
              <w:bottom w:val="single" w:sz="4" w:space="0" w:color="000000"/>
              <w:right w:val="nil"/>
            </w:tcBorders>
            <w:vAlign w:val="center"/>
            <w:hideMark/>
          </w:tcPr>
          <w:p w14:paraId="5973DD09" w14:textId="77777777" w:rsidR="00410424" w:rsidRDefault="00410424" w:rsidP="00410424">
            <w:pPr>
              <w:rPr>
                <w:b/>
                <w:bCs/>
                <w:sz w:val="22"/>
                <w:szCs w:val="22"/>
              </w:rPr>
            </w:pPr>
          </w:p>
        </w:tc>
        <w:tc>
          <w:tcPr>
            <w:tcW w:w="1206" w:type="dxa"/>
            <w:vMerge/>
            <w:tcBorders>
              <w:top w:val="single" w:sz="4" w:space="0" w:color="auto"/>
              <w:left w:val="nil"/>
              <w:bottom w:val="single" w:sz="4" w:space="0" w:color="000000"/>
              <w:right w:val="nil"/>
            </w:tcBorders>
            <w:vAlign w:val="center"/>
            <w:hideMark/>
          </w:tcPr>
          <w:p w14:paraId="4CF3876C" w14:textId="77777777" w:rsidR="00410424" w:rsidRDefault="00410424" w:rsidP="00410424">
            <w:pPr>
              <w:rPr>
                <w:b/>
                <w:bCs/>
                <w:sz w:val="22"/>
                <w:szCs w:val="22"/>
              </w:rPr>
            </w:pPr>
          </w:p>
        </w:tc>
        <w:tc>
          <w:tcPr>
            <w:tcW w:w="1353" w:type="dxa"/>
            <w:tcBorders>
              <w:top w:val="nil"/>
              <w:left w:val="nil"/>
              <w:bottom w:val="single" w:sz="4" w:space="0" w:color="auto"/>
              <w:right w:val="nil"/>
            </w:tcBorders>
            <w:shd w:val="clear" w:color="000000" w:fill="FFFFFF"/>
            <w:noWrap/>
            <w:vAlign w:val="center"/>
            <w:hideMark/>
          </w:tcPr>
          <w:p w14:paraId="359F1C51" w14:textId="77777777" w:rsidR="00410424" w:rsidRDefault="00410424" w:rsidP="00410424">
            <w:pPr>
              <w:jc w:val="center"/>
              <w:rPr>
                <w:b/>
                <w:bCs/>
                <w:sz w:val="22"/>
                <w:szCs w:val="22"/>
              </w:rPr>
            </w:pPr>
            <w:r>
              <w:rPr>
                <w:b/>
                <w:bCs/>
                <w:sz w:val="22"/>
                <w:szCs w:val="22"/>
              </w:rPr>
              <w:t>ments</w:t>
            </w:r>
          </w:p>
        </w:tc>
        <w:tc>
          <w:tcPr>
            <w:tcW w:w="1402" w:type="dxa"/>
            <w:tcBorders>
              <w:top w:val="nil"/>
              <w:left w:val="nil"/>
              <w:bottom w:val="single" w:sz="4" w:space="0" w:color="auto"/>
              <w:right w:val="nil"/>
            </w:tcBorders>
            <w:shd w:val="clear" w:color="000000" w:fill="FFFFFF"/>
            <w:noWrap/>
            <w:vAlign w:val="center"/>
            <w:hideMark/>
          </w:tcPr>
          <w:p w14:paraId="340E2059" w14:textId="77777777" w:rsidR="00410424" w:rsidRDefault="00410424" w:rsidP="00410424">
            <w:pPr>
              <w:jc w:val="center"/>
              <w:rPr>
                <w:b/>
                <w:bCs/>
                <w:sz w:val="22"/>
                <w:szCs w:val="22"/>
              </w:rPr>
            </w:pPr>
            <w:r>
              <w:rPr>
                <w:b/>
                <w:bCs/>
                <w:sz w:val="22"/>
                <w:szCs w:val="22"/>
              </w:rPr>
              <w:t>Capital</w:t>
            </w:r>
          </w:p>
        </w:tc>
        <w:tc>
          <w:tcPr>
            <w:tcW w:w="1353" w:type="dxa"/>
            <w:tcBorders>
              <w:top w:val="nil"/>
              <w:left w:val="nil"/>
              <w:bottom w:val="single" w:sz="4" w:space="0" w:color="auto"/>
              <w:right w:val="nil"/>
            </w:tcBorders>
            <w:shd w:val="clear" w:color="000000" w:fill="FFFFFF"/>
            <w:noWrap/>
            <w:vAlign w:val="center"/>
            <w:hideMark/>
          </w:tcPr>
          <w:p w14:paraId="1CFBD6C4" w14:textId="77777777" w:rsidR="00410424" w:rsidRDefault="00410424" w:rsidP="00410424">
            <w:pPr>
              <w:jc w:val="center"/>
              <w:rPr>
                <w:b/>
                <w:bCs/>
                <w:sz w:val="22"/>
                <w:szCs w:val="22"/>
              </w:rPr>
            </w:pPr>
            <w:r>
              <w:rPr>
                <w:b/>
                <w:bCs/>
                <w:sz w:val="22"/>
                <w:szCs w:val="22"/>
              </w:rPr>
              <w:t>ments</w:t>
            </w:r>
          </w:p>
        </w:tc>
        <w:tc>
          <w:tcPr>
            <w:tcW w:w="1347" w:type="dxa"/>
            <w:tcBorders>
              <w:top w:val="nil"/>
              <w:left w:val="nil"/>
              <w:bottom w:val="single" w:sz="4" w:space="0" w:color="auto"/>
              <w:right w:val="nil"/>
            </w:tcBorders>
            <w:shd w:val="clear" w:color="000000" w:fill="FFFFFF"/>
            <w:noWrap/>
            <w:vAlign w:val="center"/>
            <w:hideMark/>
          </w:tcPr>
          <w:p w14:paraId="046AEE48" w14:textId="77777777" w:rsidR="00410424" w:rsidRDefault="00410424" w:rsidP="00410424">
            <w:pPr>
              <w:jc w:val="center"/>
              <w:rPr>
                <w:b/>
                <w:bCs/>
                <w:sz w:val="22"/>
                <w:szCs w:val="22"/>
              </w:rPr>
            </w:pPr>
            <w:r>
              <w:rPr>
                <w:b/>
                <w:bCs/>
                <w:sz w:val="22"/>
                <w:szCs w:val="22"/>
              </w:rPr>
              <w:t>to Rate Base</w:t>
            </w:r>
          </w:p>
        </w:tc>
        <w:tc>
          <w:tcPr>
            <w:tcW w:w="1080" w:type="dxa"/>
            <w:vMerge/>
            <w:tcBorders>
              <w:top w:val="single" w:sz="4" w:space="0" w:color="auto"/>
              <w:left w:val="nil"/>
              <w:bottom w:val="single" w:sz="4" w:space="0" w:color="000000"/>
              <w:right w:val="nil"/>
            </w:tcBorders>
            <w:vAlign w:val="center"/>
            <w:hideMark/>
          </w:tcPr>
          <w:p w14:paraId="1543E1CD" w14:textId="77777777" w:rsidR="00410424" w:rsidRDefault="00410424" w:rsidP="00410424">
            <w:pPr>
              <w:rPr>
                <w:b/>
                <w:bCs/>
                <w:sz w:val="22"/>
                <w:szCs w:val="22"/>
              </w:rPr>
            </w:pPr>
          </w:p>
        </w:tc>
        <w:tc>
          <w:tcPr>
            <w:tcW w:w="1080" w:type="dxa"/>
            <w:vMerge/>
            <w:tcBorders>
              <w:top w:val="single" w:sz="4" w:space="0" w:color="auto"/>
              <w:left w:val="nil"/>
              <w:bottom w:val="single" w:sz="4" w:space="0" w:color="000000"/>
              <w:right w:val="nil"/>
            </w:tcBorders>
            <w:vAlign w:val="center"/>
            <w:hideMark/>
          </w:tcPr>
          <w:p w14:paraId="683A3E4D" w14:textId="77777777" w:rsidR="00410424" w:rsidRDefault="00410424" w:rsidP="00410424">
            <w:pPr>
              <w:rPr>
                <w:b/>
                <w:bCs/>
                <w:sz w:val="22"/>
                <w:szCs w:val="22"/>
              </w:rPr>
            </w:pPr>
          </w:p>
        </w:tc>
        <w:tc>
          <w:tcPr>
            <w:tcW w:w="1121" w:type="dxa"/>
            <w:vMerge/>
            <w:tcBorders>
              <w:top w:val="single" w:sz="4" w:space="0" w:color="auto"/>
              <w:left w:val="nil"/>
              <w:bottom w:val="single" w:sz="4" w:space="0" w:color="000000"/>
              <w:right w:val="single" w:sz="4" w:space="0" w:color="auto"/>
            </w:tcBorders>
            <w:vAlign w:val="center"/>
            <w:hideMark/>
          </w:tcPr>
          <w:p w14:paraId="1D74FF18" w14:textId="77777777" w:rsidR="00410424" w:rsidRDefault="00410424" w:rsidP="00410424">
            <w:pPr>
              <w:rPr>
                <w:b/>
                <w:bCs/>
                <w:sz w:val="22"/>
                <w:szCs w:val="22"/>
              </w:rPr>
            </w:pPr>
          </w:p>
        </w:tc>
      </w:tr>
      <w:tr w:rsidR="00410424" w14:paraId="31D3471F" w14:textId="77777777" w:rsidTr="00410424">
        <w:trPr>
          <w:trHeight w:val="249"/>
        </w:trPr>
        <w:tc>
          <w:tcPr>
            <w:tcW w:w="436" w:type="dxa"/>
            <w:tcBorders>
              <w:top w:val="nil"/>
              <w:left w:val="single" w:sz="4" w:space="0" w:color="auto"/>
              <w:bottom w:val="nil"/>
              <w:right w:val="nil"/>
            </w:tcBorders>
            <w:shd w:val="clear" w:color="000000" w:fill="FFFFFF"/>
            <w:noWrap/>
            <w:vAlign w:val="center"/>
            <w:hideMark/>
          </w:tcPr>
          <w:p w14:paraId="1F8C2A23" w14:textId="77777777" w:rsidR="00410424" w:rsidRDefault="00410424" w:rsidP="00410424">
            <w:pPr>
              <w:rPr>
                <w:b/>
                <w:bCs/>
                <w:sz w:val="22"/>
                <w:szCs w:val="22"/>
              </w:rPr>
            </w:pPr>
            <w:r>
              <w:rPr>
                <w:b/>
                <w:bCs/>
                <w:sz w:val="22"/>
                <w:szCs w:val="22"/>
              </w:rPr>
              <w:t> </w:t>
            </w:r>
          </w:p>
        </w:tc>
        <w:tc>
          <w:tcPr>
            <w:tcW w:w="2619" w:type="dxa"/>
            <w:tcBorders>
              <w:top w:val="nil"/>
              <w:left w:val="nil"/>
              <w:bottom w:val="nil"/>
              <w:right w:val="nil"/>
            </w:tcBorders>
            <w:shd w:val="clear" w:color="000000" w:fill="FFFFFF"/>
            <w:noWrap/>
            <w:vAlign w:val="center"/>
            <w:hideMark/>
          </w:tcPr>
          <w:p w14:paraId="5F39463F" w14:textId="77777777" w:rsidR="00410424" w:rsidRDefault="00410424" w:rsidP="00410424">
            <w:pPr>
              <w:rPr>
                <w:rFonts w:ascii="Arial" w:hAnsi="Arial" w:cs="Arial"/>
              </w:rPr>
            </w:pPr>
            <w:r>
              <w:rPr>
                <w:rFonts w:ascii="Arial" w:hAnsi="Arial" w:cs="Arial"/>
              </w:rPr>
              <w:t> </w:t>
            </w:r>
          </w:p>
        </w:tc>
        <w:tc>
          <w:tcPr>
            <w:tcW w:w="1206" w:type="dxa"/>
            <w:tcBorders>
              <w:top w:val="nil"/>
              <w:left w:val="nil"/>
              <w:bottom w:val="nil"/>
              <w:right w:val="nil"/>
            </w:tcBorders>
            <w:shd w:val="clear" w:color="000000" w:fill="FFFFFF"/>
            <w:vAlign w:val="center"/>
            <w:hideMark/>
          </w:tcPr>
          <w:p w14:paraId="3348CE4E" w14:textId="77777777" w:rsidR="00410424" w:rsidRDefault="00410424" w:rsidP="00410424">
            <w:pPr>
              <w:rPr>
                <w:rFonts w:ascii="Arial" w:hAnsi="Arial" w:cs="Arial"/>
              </w:rPr>
            </w:pPr>
            <w:r>
              <w:rPr>
                <w:rFonts w:ascii="Arial" w:hAnsi="Arial" w:cs="Arial"/>
              </w:rPr>
              <w:t> </w:t>
            </w:r>
          </w:p>
        </w:tc>
        <w:tc>
          <w:tcPr>
            <w:tcW w:w="1353" w:type="dxa"/>
            <w:tcBorders>
              <w:top w:val="nil"/>
              <w:left w:val="nil"/>
              <w:bottom w:val="nil"/>
              <w:right w:val="nil"/>
            </w:tcBorders>
            <w:shd w:val="clear" w:color="000000" w:fill="FFFFFF"/>
            <w:noWrap/>
            <w:vAlign w:val="center"/>
            <w:hideMark/>
          </w:tcPr>
          <w:p w14:paraId="0B1F6400" w14:textId="77777777" w:rsidR="00410424" w:rsidRDefault="00410424" w:rsidP="00410424">
            <w:pPr>
              <w:jc w:val="center"/>
              <w:rPr>
                <w:b/>
                <w:bCs/>
                <w:sz w:val="22"/>
                <w:szCs w:val="22"/>
              </w:rPr>
            </w:pPr>
            <w:r>
              <w:rPr>
                <w:b/>
                <w:bCs/>
                <w:sz w:val="22"/>
                <w:szCs w:val="22"/>
              </w:rPr>
              <w:t> </w:t>
            </w:r>
          </w:p>
        </w:tc>
        <w:tc>
          <w:tcPr>
            <w:tcW w:w="1402" w:type="dxa"/>
            <w:tcBorders>
              <w:top w:val="nil"/>
              <w:left w:val="nil"/>
              <w:bottom w:val="nil"/>
              <w:right w:val="nil"/>
            </w:tcBorders>
            <w:shd w:val="clear" w:color="000000" w:fill="FFFFFF"/>
            <w:noWrap/>
            <w:vAlign w:val="center"/>
            <w:hideMark/>
          </w:tcPr>
          <w:p w14:paraId="4E4C096C" w14:textId="77777777" w:rsidR="00410424" w:rsidRDefault="00410424" w:rsidP="00410424">
            <w:pPr>
              <w:jc w:val="center"/>
              <w:rPr>
                <w:b/>
                <w:bCs/>
                <w:sz w:val="22"/>
                <w:szCs w:val="22"/>
              </w:rPr>
            </w:pPr>
            <w:r>
              <w:rPr>
                <w:b/>
                <w:bCs/>
                <w:sz w:val="22"/>
                <w:szCs w:val="22"/>
              </w:rPr>
              <w:t> </w:t>
            </w:r>
          </w:p>
        </w:tc>
        <w:tc>
          <w:tcPr>
            <w:tcW w:w="1353" w:type="dxa"/>
            <w:tcBorders>
              <w:top w:val="nil"/>
              <w:left w:val="nil"/>
              <w:bottom w:val="nil"/>
              <w:right w:val="nil"/>
            </w:tcBorders>
            <w:shd w:val="clear" w:color="000000" w:fill="FFFFFF"/>
            <w:noWrap/>
            <w:vAlign w:val="center"/>
            <w:hideMark/>
          </w:tcPr>
          <w:p w14:paraId="561261A1" w14:textId="77777777" w:rsidR="00410424" w:rsidRDefault="00410424" w:rsidP="00410424">
            <w:pPr>
              <w:jc w:val="center"/>
              <w:rPr>
                <w:b/>
                <w:bCs/>
                <w:sz w:val="22"/>
                <w:szCs w:val="22"/>
              </w:rPr>
            </w:pPr>
            <w:r>
              <w:rPr>
                <w:b/>
                <w:bCs/>
                <w:sz w:val="22"/>
                <w:szCs w:val="22"/>
              </w:rPr>
              <w:t> </w:t>
            </w:r>
          </w:p>
        </w:tc>
        <w:tc>
          <w:tcPr>
            <w:tcW w:w="1347" w:type="dxa"/>
            <w:tcBorders>
              <w:top w:val="nil"/>
              <w:left w:val="nil"/>
              <w:bottom w:val="nil"/>
              <w:right w:val="nil"/>
            </w:tcBorders>
            <w:shd w:val="clear" w:color="000000" w:fill="FFFFFF"/>
            <w:noWrap/>
            <w:vAlign w:val="center"/>
            <w:hideMark/>
          </w:tcPr>
          <w:p w14:paraId="1A383ED3" w14:textId="77777777" w:rsidR="00410424" w:rsidRDefault="00410424" w:rsidP="00410424">
            <w:pPr>
              <w:jc w:val="center"/>
              <w:rPr>
                <w:b/>
                <w:bCs/>
                <w:sz w:val="22"/>
                <w:szCs w:val="22"/>
              </w:rPr>
            </w:pPr>
            <w:r>
              <w:rPr>
                <w:b/>
                <w:bCs/>
                <w:sz w:val="22"/>
                <w:szCs w:val="22"/>
              </w:rPr>
              <w:t> </w:t>
            </w:r>
          </w:p>
        </w:tc>
        <w:tc>
          <w:tcPr>
            <w:tcW w:w="1080" w:type="dxa"/>
            <w:tcBorders>
              <w:top w:val="nil"/>
              <w:left w:val="nil"/>
              <w:bottom w:val="nil"/>
              <w:right w:val="nil"/>
            </w:tcBorders>
            <w:shd w:val="clear" w:color="000000" w:fill="FFFFFF"/>
            <w:noWrap/>
            <w:vAlign w:val="center"/>
            <w:hideMark/>
          </w:tcPr>
          <w:p w14:paraId="7ACED640" w14:textId="77777777" w:rsidR="00410424" w:rsidRDefault="00410424" w:rsidP="00410424">
            <w:pPr>
              <w:rPr>
                <w:rFonts w:ascii="Arial" w:hAnsi="Arial" w:cs="Arial"/>
              </w:rPr>
            </w:pPr>
            <w:r>
              <w:rPr>
                <w:rFonts w:ascii="Arial" w:hAnsi="Arial" w:cs="Arial"/>
              </w:rPr>
              <w:t> </w:t>
            </w:r>
          </w:p>
        </w:tc>
        <w:tc>
          <w:tcPr>
            <w:tcW w:w="1080" w:type="dxa"/>
            <w:tcBorders>
              <w:top w:val="nil"/>
              <w:left w:val="nil"/>
              <w:bottom w:val="nil"/>
              <w:right w:val="nil"/>
            </w:tcBorders>
            <w:shd w:val="clear" w:color="000000" w:fill="FFFFFF"/>
            <w:vAlign w:val="center"/>
            <w:hideMark/>
          </w:tcPr>
          <w:p w14:paraId="6BFE5EE4" w14:textId="77777777" w:rsidR="00410424" w:rsidRDefault="00410424" w:rsidP="00410424">
            <w:pPr>
              <w:rPr>
                <w:rFonts w:ascii="Arial" w:hAnsi="Arial" w:cs="Arial"/>
              </w:rPr>
            </w:pPr>
            <w:r>
              <w:rPr>
                <w:rFonts w:ascii="Arial" w:hAnsi="Arial" w:cs="Arial"/>
              </w:rPr>
              <w:t> </w:t>
            </w:r>
          </w:p>
        </w:tc>
        <w:tc>
          <w:tcPr>
            <w:tcW w:w="1121" w:type="dxa"/>
            <w:tcBorders>
              <w:top w:val="nil"/>
              <w:left w:val="nil"/>
              <w:bottom w:val="nil"/>
              <w:right w:val="single" w:sz="4" w:space="0" w:color="auto"/>
            </w:tcBorders>
            <w:shd w:val="clear" w:color="000000" w:fill="FFFFFF"/>
            <w:vAlign w:val="center"/>
            <w:hideMark/>
          </w:tcPr>
          <w:p w14:paraId="188B4498" w14:textId="77777777" w:rsidR="00410424" w:rsidRDefault="00410424" w:rsidP="00410424">
            <w:pPr>
              <w:rPr>
                <w:rFonts w:ascii="Arial" w:hAnsi="Arial" w:cs="Arial"/>
              </w:rPr>
            </w:pPr>
            <w:r>
              <w:rPr>
                <w:rFonts w:ascii="Arial" w:hAnsi="Arial" w:cs="Arial"/>
              </w:rPr>
              <w:t> </w:t>
            </w:r>
          </w:p>
        </w:tc>
      </w:tr>
      <w:tr w:rsidR="00410424" w14:paraId="013493A2" w14:textId="77777777" w:rsidTr="00410424">
        <w:trPr>
          <w:trHeight w:val="249"/>
        </w:trPr>
        <w:tc>
          <w:tcPr>
            <w:tcW w:w="3055" w:type="dxa"/>
            <w:gridSpan w:val="2"/>
            <w:tcBorders>
              <w:top w:val="nil"/>
              <w:left w:val="single" w:sz="4" w:space="0" w:color="auto"/>
              <w:bottom w:val="nil"/>
              <w:right w:val="nil"/>
            </w:tcBorders>
            <w:shd w:val="clear" w:color="000000" w:fill="FFFFFF"/>
            <w:noWrap/>
            <w:vAlign w:val="bottom"/>
            <w:hideMark/>
          </w:tcPr>
          <w:p w14:paraId="115C4A2E" w14:textId="77777777" w:rsidR="00410424" w:rsidRDefault="00410424" w:rsidP="00410424">
            <w:pPr>
              <w:rPr>
                <w:b/>
                <w:bCs/>
                <w:sz w:val="22"/>
                <w:szCs w:val="22"/>
              </w:rPr>
            </w:pPr>
            <w:r>
              <w:rPr>
                <w:b/>
                <w:bCs/>
                <w:sz w:val="22"/>
                <w:szCs w:val="22"/>
              </w:rPr>
              <w:t>Per Utility</w:t>
            </w:r>
          </w:p>
        </w:tc>
        <w:tc>
          <w:tcPr>
            <w:tcW w:w="1206" w:type="dxa"/>
            <w:tcBorders>
              <w:top w:val="nil"/>
              <w:left w:val="nil"/>
              <w:bottom w:val="nil"/>
              <w:right w:val="nil"/>
            </w:tcBorders>
            <w:shd w:val="clear" w:color="000000" w:fill="FFFFFF"/>
            <w:noWrap/>
            <w:vAlign w:val="bottom"/>
            <w:hideMark/>
          </w:tcPr>
          <w:p w14:paraId="1C9678FE" w14:textId="77777777" w:rsidR="00410424" w:rsidRDefault="00410424" w:rsidP="00410424">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53AC572D" w14:textId="77777777" w:rsidR="00410424" w:rsidRDefault="00410424" w:rsidP="00410424">
            <w:pPr>
              <w:rPr>
                <w:color w:val="000000"/>
                <w:sz w:val="22"/>
                <w:szCs w:val="22"/>
              </w:rPr>
            </w:pPr>
            <w:r>
              <w:rPr>
                <w:color w:val="000000"/>
                <w:sz w:val="22"/>
                <w:szCs w:val="22"/>
              </w:rPr>
              <w:t> </w:t>
            </w:r>
          </w:p>
        </w:tc>
        <w:tc>
          <w:tcPr>
            <w:tcW w:w="1402" w:type="dxa"/>
            <w:tcBorders>
              <w:top w:val="nil"/>
              <w:left w:val="nil"/>
              <w:bottom w:val="nil"/>
              <w:right w:val="nil"/>
            </w:tcBorders>
            <w:shd w:val="clear" w:color="000000" w:fill="FFFFFF"/>
            <w:noWrap/>
            <w:vAlign w:val="bottom"/>
            <w:hideMark/>
          </w:tcPr>
          <w:p w14:paraId="15994E50" w14:textId="77777777" w:rsidR="00410424" w:rsidRDefault="00410424" w:rsidP="00410424">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355E1B4B" w14:textId="77777777" w:rsidR="00410424" w:rsidRDefault="00410424" w:rsidP="00410424">
            <w:pPr>
              <w:rPr>
                <w:color w:val="000000"/>
                <w:sz w:val="22"/>
                <w:szCs w:val="22"/>
              </w:rPr>
            </w:pPr>
            <w:r>
              <w:rPr>
                <w:color w:val="000000"/>
                <w:sz w:val="22"/>
                <w:szCs w:val="22"/>
              </w:rPr>
              <w:t> </w:t>
            </w:r>
          </w:p>
        </w:tc>
        <w:tc>
          <w:tcPr>
            <w:tcW w:w="1347" w:type="dxa"/>
            <w:tcBorders>
              <w:top w:val="nil"/>
              <w:left w:val="nil"/>
              <w:bottom w:val="nil"/>
              <w:right w:val="nil"/>
            </w:tcBorders>
            <w:shd w:val="clear" w:color="000000" w:fill="FFFFFF"/>
            <w:noWrap/>
            <w:vAlign w:val="bottom"/>
            <w:hideMark/>
          </w:tcPr>
          <w:p w14:paraId="7649E9FA" w14:textId="77777777" w:rsidR="00410424" w:rsidRDefault="00410424" w:rsidP="00410424">
            <w:pPr>
              <w:rPr>
                <w:color w:val="000000"/>
                <w:sz w:val="22"/>
                <w:szCs w:val="22"/>
              </w:rPr>
            </w:pPr>
            <w:r>
              <w:rPr>
                <w:color w:val="000000"/>
                <w:sz w:val="22"/>
                <w:szCs w:val="22"/>
              </w:rPr>
              <w:t> </w:t>
            </w:r>
          </w:p>
        </w:tc>
        <w:tc>
          <w:tcPr>
            <w:tcW w:w="1080" w:type="dxa"/>
            <w:tcBorders>
              <w:top w:val="nil"/>
              <w:left w:val="nil"/>
              <w:bottom w:val="nil"/>
              <w:right w:val="nil"/>
            </w:tcBorders>
            <w:shd w:val="clear" w:color="000000" w:fill="FFFFFF"/>
            <w:noWrap/>
            <w:vAlign w:val="bottom"/>
            <w:hideMark/>
          </w:tcPr>
          <w:p w14:paraId="0CA224F1" w14:textId="77777777" w:rsidR="00410424" w:rsidRDefault="00410424" w:rsidP="00410424">
            <w:pPr>
              <w:rPr>
                <w:color w:val="000000"/>
                <w:sz w:val="22"/>
                <w:szCs w:val="22"/>
              </w:rPr>
            </w:pPr>
            <w:r>
              <w:rPr>
                <w:color w:val="000000"/>
                <w:sz w:val="22"/>
                <w:szCs w:val="22"/>
              </w:rPr>
              <w:t> </w:t>
            </w:r>
          </w:p>
        </w:tc>
        <w:tc>
          <w:tcPr>
            <w:tcW w:w="1080" w:type="dxa"/>
            <w:tcBorders>
              <w:top w:val="nil"/>
              <w:left w:val="nil"/>
              <w:bottom w:val="nil"/>
              <w:right w:val="nil"/>
            </w:tcBorders>
            <w:shd w:val="clear" w:color="000000" w:fill="FFFFFF"/>
            <w:noWrap/>
            <w:vAlign w:val="bottom"/>
            <w:hideMark/>
          </w:tcPr>
          <w:p w14:paraId="436FF49D" w14:textId="77777777" w:rsidR="00410424" w:rsidRDefault="00410424" w:rsidP="00410424">
            <w:pPr>
              <w:rPr>
                <w:color w:val="000000"/>
                <w:sz w:val="22"/>
                <w:szCs w:val="22"/>
              </w:rPr>
            </w:pPr>
            <w:r>
              <w:rPr>
                <w:color w:val="000000"/>
                <w:sz w:val="22"/>
                <w:szCs w:val="22"/>
              </w:rPr>
              <w:t> </w:t>
            </w:r>
          </w:p>
        </w:tc>
        <w:tc>
          <w:tcPr>
            <w:tcW w:w="1121" w:type="dxa"/>
            <w:tcBorders>
              <w:top w:val="nil"/>
              <w:left w:val="nil"/>
              <w:bottom w:val="nil"/>
              <w:right w:val="single" w:sz="4" w:space="0" w:color="auto"/>
            </w:tcBorders>
            <w:shd w:val="clear" w:color="000000" w:fill="FFFFFF"/>
            <w:noWrap/>
            <w:vAlign w:val="bottom"/>
            <w:hideMark/>
          </w:tcPr>
          <w:p w14:paraId="3907F451" w14:textId="77777777" w:rsidR="00410424" w:rsidRDefault="00410424" w:rsidP="00410424">
            <w:pPr>
              <w:rPr>
                <w:sz w:val="22"/>
                <w:szCs w:val="22"/>
              </w:rPr>
            </w:pPr>
            <w:r>
              <w:rPr>
                <w:sz w:val="22"/>
                <w:szCs w:val="22"/>
              </w:rPr>
              <w:t> </w:t>
            </w:r>
          </w:p>
        </w:tc>
      </w:tr>
      <w:tr w:rsidR="00410424" w14:paraId="108E45B6"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591056E9" w14:textId="77777777" w:rsidR="00410424" w:rsidRDefault="00410424" w:rsidP="00410424">
            <w:pPr>
              <w:jc w:val="center"/>
              <w:rPr>
                <w:sz w:val="22"/>
                <w:szCs w:val="22"/>
              </w:rPr>
            </w:pPr>
            <w:r>
              <w:rPr>
                <w:sz w:val="22"/>
                <w:szCs w:val="22"/>
              </w:rPr>
              <w:t>1</w:t>
            </w:r>
          </w:p>
        </w:tc>
        <w:tc>
          <w:tcPr>
            <w:tcW w:w="2619" w:type="dxa"/>
            <w:tcBorders>
              <w:top w:val="nil"/>
              <w:left w:val="nil"/>
              <w:bottom w:val="nil"/>
              <w:right w:val="nil"/>
            </w:tcBorders>
            <w:shd w:val="clear" w:color="000000" w:fill="FFFFFF"/>
            <w:noWrap/>
            <w:vAlign w:val="bottom"/>
            <w:hideMark/>
          </w:tcPr>
          <w:p w14:paraId="62E3172A" w14:textId="77777777" w:rsidR="00410424" w:rsidRDefault="00410424" w:rsidP="00410424">
            <w:pPr>
              <w:rPr>
                <w:sz w:val="22"/>
                <w:szCs w:val="22"/>
              </w:rPr>
            </w:pPr>
            <w:r>
              <w:rPr>
                <w:sz w:val="22"/>
                <w:szCs w:val="22"/>
              </w:rPr>
              <w:t>Long-Term Debt</w:t>
            </w:r>
          </w:p>
        </w:tc>
        <w:tc>
          <w:tcPr>
            <w:tcW w:w="1206" w:type="dxa"/>
            <w:tcBorders>
              <w:top w:val="nil"/>
              <w:left w:val="nil"/>
              <w:bottom w:val="nil"/>
              <w:right w:val="nil"/>
            </w:tcBorders>
            <w:shd w:val="clear" w:color="000000" w:fill="FFFFFF"/>
            <w:noWrap/>
            <w:vAlign w:val="bottom"/>
            <w:hideMark/>
          </w:tcPr>
          <w:p w14:paraId="3CFC887D"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3F0D0245" w14:textId="77777777" w:rsidR="00410424" w:rsidRDefault="00410424" w:rsidP="00410424">
            <w:pPr>
              <w:jc w:val="right"/>
              <w:rPr>
                <w:sz w:val="22"/>
                <w:szCs w:val="22"/>
              </w:rPr>
            </w:pPr>
            <w:r>
              <w:rPr>
                <w:sz w:val="22"/>
                <w:szCs w:val="22"/>
              </w:rPr>
              <w:t xml:space="preserve">$0 </w:t>
            </w:r>
          </w:p>
        </w:tc>
        <w:tc>
          <w:tcPr>
            <w:tcW w:w="1402" w:type="dxa"/>
            <w:tcBorders>
              <w:top w:val="nil"/>
              <w:left w:val="nil"/>
              <w:bottom w:val="nil"/>
              <w:right w:val="nil"/>
            </w:tcBorders>
            <w:shd w:val="clear" w:color="000000" w:fill="FFFFFF"/>
            <w:noWrap/>
            <w:vAlign w:val="bottom"/>
            <w:hideMark/>
          </w:tcPr>
          <w:p w14:paraId="711CE941"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7D2D5ACB" w14:textId="77777777" w:rsidR="00410424" w:rsidRDefault="00410424" w:rsidP="00410424">
            <w:pPr>
              <w:jc w:val="right"/>
              <w:rPr>
                <w:sz w:val="22"/>
                <w:szCs w:val="22"/>
              </w:rPr>
            </w:pPr>
            <w:r>
              <w:rPr>
                <w:sz w:val="22"/>
                <w:szCs w:val="22"/>
              </w:rPr>
              <w:t xml:space="preserve">$0 </w:t>
            </w:r>
          </w:p>
        </w:tc>
        <w:tc>
          <w:tcPr>
            <w:tcW w:w="1347" w:type="dxa"/>
            <w:tcBorders>
              <w:top w:val="nil"/>
              <w:left w:val="nil"/>
              <w:bottom w:val="nil"/>
              <w:right w:val="nil"/>
            </w:tcBorders>
            <w:shd w:val="clear" w:color="000000" w:fill="FFFFFF"/>
            <w:noWrap/>
            <w:vAlign w:val="bottom"/>
            <w:hideMark/>
          </w:tcPr>
          <w:p w14:paraId="50012B6F" w14:textId="77777777" w:rsidR="00410424" w:rsidRDefault="00410424" w:rsidP="00410424">
            <w:pPr>
              <w:jc w:val="right"/>
              <w:rPr>
                <w:sz w:val="22"/>
                <w:szCs w:val="22"/>
              </w:rPr>
            </w:pPr>
            <w:r>
              <w:rPr>
                <w:sz w:val="22"/>
                <w:szCs w:val="22"/>
              </w:rPr>
              <w:t xml:space="preserve">$0 </w:t>
            </w:r>
          </w:p>
        </w:tc>
        <w:tc>
          <w:tcPr>
            <w:tcW w:w="1080" w:type="dxa"/>
            <w:tcBorders>
              <w:top w:val="nil"/>
              <w:left w:val="nil"/>
              <w:bottom w:val="nil"/>
              <w:right w:val="nil"/>
            </w:tcBorders>
            <w:shd w:val="clear" w:color="000000" w:fill="FFFFFF"/>
            <w:noWrap/>
            <w:vAlign w:val="bottom"/>
            <w:hideMark/>
          </w:tcPr>
          <w:p w14:paraId="57EC2DBF" w14:textId="77777777" w:rsidR="00410424" w:rsidRDefault="00410424" w:rsidP="00410424">
            <w:pPr>
              <w:jc w:val="right"/>
              <w:rPr>
                <w:sz w:val="22"/>
                <w:szCs w:val="22"/>
              </w:rPr>
            </w:pPr>
            <w:r>
              <w:rPr>
                <w:sz w:val="22"/>
                <w:szCs w:val="22"/>
              </w:rPr>
              <w:t>0.00%</w:t>
            </w:r>
          </w:p>
        </w:tc>
        <w:tc>
          <w:tcPr>
            <w:tcW w:w="1080" w:type="dxa"/>
            <w:tcBorders>
              <w:top w:val="nil"/>
              <w:left w:val="nil"/>
              <w:bottom w:val="nil"/>
              <w:right w:val="nil"/>
            </w:tcBorders>
            <w:shd w:val="clear" w:color="000000" w:fill="FFFFFF"/>
            <w:noWrap/>
            <w:vAlign w:val="bottom"/>
            <w:hideMark/>
          </w:tcPr>
          <w:p w14:paraId="1AA3CBDC" w14:textId="77777777" w:rsidR="00410424" w:rsidRDefault="00410424" w:rsidP="00410424">
            <w:pPr>
              <w:jc w:val="right"/>
              <w:rPr>
                <w:sz w:val="22"/>
                <w:szCs w:val="22"/>
              </w:rPr>
            </w:pPr>
            <w:r>
              <w:rPr>
                <w:sz w:val="22"/>
                <w:szCs w:val="22"/>
              </w:rPr>
              <w:t>0.00%</w:t>
            </w:r>
          </w:p>
        </w:tc>
        <w:tc>
          <w:tcPr>
            <w:tcW w:w="1121" w:type="dxa"/>
            <w:tcBorders>
              <w:top w:val="nil"/>
              <w:left w:val="nil"/>
              <w:bottom w:val="nil"/>
              <w:right w:val="single" w:sz="4" w:space="0" w:color="auto"/>
            </w:tcBorders>
            <w:shd w:val="clear" w:color="000000" w:fill="FFFFFF"/>
            <w:noWrap/>
            <w:vAlign w:val="bottom"/>
            <w:hideMark/>
          </w:tcPr>
          <w:p w14:paraId="18D077BD" w14:textId="77777777" w:rsidR="00410424" w:rsidRDefault="00410424" w:rsidP="00410424">
            <w:pPr>
              <w:jc w:val="right"/>
              <w:rPr>
                <w:sz w:val="22"/>
                <w:szCs w:val="22"/>
              </w:rPr>
            </w:pPr>
            <w:r>
              <w:rPr>
                <w:sz w:val="22"/>
                <w:szCs w:val="22"/>
              </w:rPr>
              <w:t>0.00%</w:t>
            </w:r>
          </w:p>
        </w:tc>
      </w:tr>
      <w:tr w:rsidR="00410424" w14:paraId="3AF3E9D1"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3D150580" w14:textId="77777777" w:rsidR="00410424" w:rsidRDefault="00410424" w:rsidP="00410424">
            <w:pPr>
              <w:jc w:val="center"/>
              <w:rPr>
                <w:sz w:val="22"/>
                <w:szCs w:val="22"/>
              </w:rPr>
            </w:pPr>
            <w:r>
              <w:rPr>
                <w:sz w:val="22"/>
                <w:szCs w:val="22"/>
              </w:rPr>
              <w:t>2</w:t>
            </w:r>
          </w:p>
        </w:tc>
        <w:tc>
          <w:tcPr>
            <w:tcW w:w="2619" w:type="dxa"/>
            <w:tcBorders>
              <w:top w:val="nil"/>
              <w:left w:val="nil"/>
              <w:bottom w:val="nil"/>
              <w:right w:val="nil"/>
            </w:tcBorders>
            <w:shd w:val="clear" w:color="000000" w:fill="FFFFFF"/>
            <w:noWrap/>
            <w:vAlign w:val="bottom"/>
            <w:hideMark/>
          </w:tcPr>
          <w:p w14:paraId="6A80C3AF" w14:textId="77777777" w:rsidR="00410424" w:rsidRDefault="00410424" w:rsidP="00410424">
            <w:pPr>
              <w:rPr>
                <w:sz w:val="22"/>
                <w:szCs w:val="22"/>
              </w:rPr>
            </w:pPr>
            <w:r>
              <w:rPr>
                <w:sz w:val="22"/>
                <w:szCs w:val="22"/>
              </w:rPr>
              <w:t>Short-Term Debt</w:t>
            </w:r>
          </w:p>
        </w:tc>
        <w:tc>
          <w:tcPr>
            <w:tcW w:w="1206" w:type="dxa"/>
            <w:tcBorders>
              <w:top w:val="nil"/>
              <w:left w:val="nil"/>
              <w:bottom w:val="nil"/>
              <w:right w:val="nil"/>
            </w:tcBorders>
            <w:shd w:val="clear" w:color="000000" w:fill="FFFFFF"/>
            <w:noWrap/>
            <w:vAlign w:val="bottom"/>
            <w:hideMark/>
          </w:tcPr>
          <w:p w14:paraId="68DFF5A6"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72DFE2C7" w14:textId="77777777" w:rsidR="00410424" w:rsidRDefault="00410424" w:rsidP="00410424">
            <w:pPr>
              <w:jc w:val="right"/>
              <w:rPr>
                <w:sz w:val="22"/>
                <w:szCs w:val="22"/>
              </w:rPr>
            </w:pPr>
            <w:r>
              <w:rPr>
                <w:sz w:val="22"/>
                <w:szCs w:val="22"/>
              </w:rPr>
              <w:t xml:space="preserve">0 </w:t>
            </w:r>
          </w:p>
        </w:tc>
        <w:tc>
          <w:tcPr>
            <w:tcW w:w="1402" w:type="dxa"/>
            <w:tcBorders>
              <w:top w:val="nil"/>
              <w:left w:val="nil"/>
              <w:bottom w:val="nil"/>
              <w:right w:val="nil"/>
            </w:tcBorders>
            <w:shd w:val="clear" w:color="000000" w:fill="FFFFFF"/>
            <w:noWrap/>
            <w:vAlign w:val="bottom"/>
            <w:hideMark/>
          </w:tcPr>
          <w:p w14:paraId="120BE7B4"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6DC49E28" w14:textId="77777777" w:rsidR="00410424" w:rsidRDefault="00410424" w:rsidP="00410424">
            <w:pPr>
              <w:jc w:val="right"/>
              <w:rPr>
                <w:sz w:val="22"/>
                <w:szCs w:val="22"/>
              </w:rPr>
            </w:pPr>
            <w:r>
              <w:rPr>
                <w:sz w:val="22"/>
                <w:szCs w:val="22"/>
              </w:rPr>
              <w:t xml:space="preserve">0 </w:t>
            </w:r>
          </w:p>
        </w:tc>
        <w:tc>
          <w:tcPr>
            <w:tcW w:w="1347" w:type="dxa"/>
            <w:tcBorders>
              <w:top w:val="nil"/>
              <w:left w:val="nil"/>
              <w:bottom w:val="nil"/>
              <w:right w:val="nil"/>
            </w:tcBorders>
            <w:shd w:val="clear" w:color="000000" w:fill="FFFFFF"/>
            <w:noWrap/>
            <w:vAlign w:val="bottom"/>
            <w:hideMark/>
          </w:tcPr>
          <w:p w14:paraId="2AF46675" w14:textId="77777777" w:rsidR="00410424" w:rsidRDefault="00410424" w:rsidP="00410424">
            <w:pPr>
              <w:jc w:val="right"/>
              <w:rPr>
                <w:sz w:val="22"/>
                <w:szCs w:val="22"/>
              </w:rPr>
            </w:pPr>
            <w:r>
              <w:rPr>
                <w:sz w:val="22"/>
                <w:szCs w:val="22"/>
              </w:rPr>
              <w:t xml:space="preserve">0 </w:t>
            </w:r>
          </w:p>
        </w:tc>
        <w:tc>
          <w:tcPr>
            <w:tcW w:w="1080" w:type="dxa"/>
            <w:tcBorders>
              <w:top w:val="nil"/>
              <w:left w:val="nil"/>
              <w:bottom w:val="nil"/>
              <w:right w:val="nil"/>
            </w:tcBorders>
            <w:shd w:val="clear" w:color="000000" w:fill="FFFFFF"/>
            <w:noWrap/>
            <w:vAlign w:val="bottom"/>
            <w:hideMark/>
          </w:tcPr>
          <w:p w14:paraId="7D0B6F24" w14:textId="77777777" w:rsidR="00410424" w:rsidRDefault="00410424" w:rsidP="00410424">
            <w:pPr>
              <w:jc w:val="right"/>
              <w:rPr>
                <w:sz w:val="22"/>
                <w:szCs w:val="22"/>
              </w:rPr>
            </w:pPr>
            <w:r>
              <w:rPr>
                <w:sz w:val="22"/>
                <w:szCs w:val="22"/>
              </w:rPr>
              <w:t>0.00%</w:t>
            </w:r>
          </w:p>
        </w:tc>
        <w:tc>
          <w:tcPr>
            <w:tcW w:w="1080" w:type="dxa"/>
            <w:tcBorders>
              <w:top w:val="nil"/>
              <w:left w:val="nil"/>
              <w:bottom w:val="nil"/>
              <w:right w:val="nil"/>
            </w:tcBorders>
            <w:shd w:val="clear" w:color="000000" w:fill="FFFFFF"/>
            <w:noWrap/>
            <w:vAlign w:val="bottom"/>
            <w:hideMark/>
          </w:tcPr>
          <w:p w14:paraId="3AB3B3B6" w14:textId="77777777" w:rsidR="00410424" w:rsidRDefault="00410424" w:rsidP="00410424">
            <w:pPr>
              <w:jc w:val="right"/>
              <w:rPr>
                <w:sz w:val="22"/>
                <w:szCs w:val="22"/>
              </w:rPr>
            </w:pPr>
            <w:r>
              <w:rPr>
                <w:sz w:val="22"/>
                <w:szCs w:val="22"/>
              </w:rPr>
              <w:t>0.00%</w:t>
            </w:r>
          </w:p>
        </w:tc>
        <w:tc>
          <w:tcPr>
            <w:tcW w:w="1121" w:type="dxa"/>
            <w:tcBorders>
              <w:top w:val="nil"/>
              <w:left w:val="nil"/>
              <w:bottom w:val="nil"/>
              <w:right w:val="single" w:sz="4" w:space="0" w:color="auto"/>
            </w:tcBorders>
            <w:shd w:val="clear" w:color="000000" w:fill="FFFFFF"/>
            <w:noWrap/>
            <w:vAlign w:val="bottom"/>
            <w:hideMark/>
          </w:tcPr>
          <w:p w14:paraId="1B021BDF" w14:textId="77777777" w:rsidR="00410424" w:rsidRDefault="00410424" w:rsidP="00410424">
            <w:pPr>
              <w:jc w:val="right"/>
              <w:rPr>
                <w:sz w:val="22"/>
                <w:szCs w:val="22"/>
              </w:rPr>
            </w:pPr>
            <w:r>
              <w:rPr>
                <w:sz w:val="22"/>
                <w:szCs w:val="22"/>
              </w:rPr>
              <w:t>0.00%</w:t>
            </w:r>
          </w:p>
        </w:tc>
      </w:tr>
      <w:tr w:rsidR="00410424" w14:paraId="0905CCE0"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3A5DCC6B" w14:textId="77777777" w:rsidR="00410424" w:rsidRDefault="00410424" w:rsidP="00410424">
            <w:pPr>
              <w:jc w:val="center"/>
              <w:rPr>
                <w:sz w:val="22"/>
                <w:szCs w:val="22"/>
              </w:rPr>
            </w:pPr>
            <w:r>
              <w:rPr>
                <w:sz w:val="22"/>
                <w:szCs w:val="22"/>
              </w:rPr>
              <w:t>3</w:t>
            </w:r>
          </w:p>
        </w:tc>
        <w:tc>
          <w:tcPr>
            <w:tcW w:w="2619" w:type="dxa"/>
            <w:tcBorders>
              <w:top w:val="nil"/>
              <w:left w:val="nil"/>
              <w:bottom w:val="nil"/>
              <w:right w:val="nil"/>
            </w:tcBorders>
            <w:shd w:val="clear" w:color="000000" w:fill="FFFFFF"/>
            <w:noWrap/>
            <w:vAlign w:val="bottom"/>
            <w:hideMark/>
          </w:tcPr>
          <w:p w14:paraId="3B780860" w14:textId="77777777" w:rsidR="00410424" w:rsidRDefault="00410424" w:rsidP="00410424">
            <w:pPr>
              <w:rPr>
                <w:sz w:val="22"/>
                <w:szCs w:val="22"/>
              </w:rPr>
            </w:pPr>
            <w:r>
              <w:rPr>
                <w:sz w:val="22"/>
                <w:szCs w:val="22"/>
              </w:rPr>
              <w:t>Preferred Stock</w:t>
            </w:r>
          </w:p>
        </w:tc>
        <w:tc>
          <w:tcPr>
            <w:tcW w:w="1206" w:type="dxa"/>
            <w:tcBorders>
              <w:top w:val="nil"/>
              <w:left w:val="nil"/>
              <w:bottom w:val="nil"/>
              <w:right w:val="nil"/>
            </w:tcBorders>
            <w:shd w:val="clear" w:color="000000" w:fill="FFFFFF"/>
            <w:noWrap/>
            <w:vAlign w:val="bottom"/>
            <w:hideMark/>
          </w:tcPr>
          <w:p w14:paraId="06E62D1C"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475D43AB" w14:textId="77777777" w:rsidR="00410424" w:rsidRDefault="00410424" w:rsidP="00410424">
            <w:pPr>
              <w:jc w:val="right"/>
              <w:rPr>
                <w:sz w:val="22"/>
                <w:szCs w:val="22"/>
              </w:rPr>
            </w:pPr>
            <w:r>
              <w:rPr>
                <w:sz w:val="22"/>
                <w:szCs w:val="22"/>
              </w:rPr>
              <w:t xml:space="preserve">0 </w:t>
            </w:r>
          </w:p>
        </w:tc>
        <w:tc>
          <w:tcPr>
            <w:tcW w:w="1402" w:type="dxa"/>
            <w:tcBorders>
              <w:top w:val="nil"/>
              <w:left w:val="nil"/>
              <w:bottom w:val="nil"/>
              <w:right w:val="nil"/>
            </w:tcBorders>
            <w:shd w:val="clear" w:color="000000" w:fill="FFFFFF"/>
            <w:noWrap/>
            <w:vAlign w:val="bottom"/>
            <w:hideMark/>
          </w:tcPr>
          <w:p w14:paraId="5FF9CF4F"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0D9301E3" w14:textId="77777777" w:rsidR="00410424" w:rsidRDefault="00410424" w:rsidP="00410424">
            <w:pPr>
              <w:jc w:val="right"/>
              <w:rPr>
                <w:sz w:val="22"/>
                <w:szCs w:val="22"/>
              </w:rPr>
            </w:pPr>
            <w:r>
              <w:rPr>
                <w:sz w:val="22"/>
                <w:szCs w:val="22"/>
              </w:rPr>
              <w:t xml:space="preserve">0 </w:t>
            </w:r>
          </w:p>
        </w:tc>
        <w:tc>
          <w:tcPr>
            <w:tcW w:w="1347" w:type="dxa"/>
            <w:tcBorders>
              <w:top w:val="nil"/>
              <w:left w:val="nil"/>
              <w:bottom w:val="nil"/>
              <w:right w:val="nil"/>
            </w:tcBorders>
            <w:shd w:val="clear" w:color="000000" w:fill="FFFFFF"/>
            <w:noWrap/>
            <w:vAlign w:val="bottom"/>
            <w:hideMark/>
          </w:tcPr>
          <w:p w14:paraId="5BBC226D" w14:textId="77777777" w:rsidR="00410424" w:rsidRDefault="00410424" w:rsidP="00410424">
            <w:pPr>
              <w:jc w:val="right"/>
              <w:rPr>
                <w:sz w:val="22"/>
                <w:szCs w:val="22"/>
              </w:rPr>
            </w:pPr>
            <w:r>
              <w:rPr>
                <w:sz w:val="22"/>
                <w:szCs w:val="22"/>
              </w:rPr>
              <w:t xml:space="preserve">0 </w:t>
            </w:r>
          </w:p>
        </w:tc>
        <w:tc>
          <w:tcPr>
            <w:tcW w:w="1080" w:type="dxa"/>
            <w:tcBorders>
              <w:top w:val="nil"/>
              <w:left w:val="nil"/>
              <w:bottom w:val="nil"/>
              <w:right w:val="nil"/>
            </w:tcBorders>
            <w:shd w:val="clear" w:color="000000" w:fill="FFFFFF"/>
            <w:noWrap/>
            <w:vAlign w:val="bottom"/>
            <w:hideMark/>
          </w:tcPr>
          <w:p w14:paraId="5B819BF1" w14:textId="77777777" w:rsidR="00410424" w:rsidRDefault="00410424" w:rsidP="00410424">
            <w:pPr>
              <w:jc w:val="right"/>
              <w:rPr>
                <w:sz w:val="22"/>
                <w:szCs w:val="22"/>
              </w:rPr>
            </w:pPr>
            <w:r>
              <w:rPr>
                <w:sz w:val="22"/>
                <w:szCs w:val="22"/>
              </w:rPr>
              <w:t>0.00%</w:t>
            </w:r>
          </w:p>
        </w:tc>
        <w:tc>
          <w:tcPr>
            <w:tcW w:w="1080" w:type="dxa"/>
            <w:tcBorders>
              <w:top w:val="nil"/>
              <w:left w:val="nil"/>
              <w:bottom w:val="nil"/>
              <w:right w:val="nil"/>
            </w:tcBorders>
            <w:shd w:val="clear" w:color="000000" w:fill="FFFFFF"/>
            <w:noWrap/>
            <w:vAlign w:val="bottom"/>
            <w:hideMark/>
          </w:tcPr>
          <w:p w14:paraId="16485F6B" w14:textId="77777777" w:rsidR="00410424" w:rsidRDefault="00410424" w:rsidP="00410424">
            <w:pPr>
              <w:jc w:val="right"/>
              <w:rPr>
                <w:sz w:val="22"/>
                <w:szCs w:val="22"/>
              </w:rPr>
            </w:pPr>
            <w:r>
              <w:rPr>
                <w:sz w:val="22"/>
                <w:szCs w:val="22"/>
              </w:rPr>
              <w:t>0.00%</w:t>
            </w:r>
          </w:p>
        </w:tc>
        <w:tc>
          <w:tcPr>
            <w:tcW w:w="1121" w:type="dxa"/>
            <w:tcBorders>
              <w:top w:val="nil"/>
              <w:left w:val="nil"/>
              <w:bottom w:val="nil"/>
              <w:right w:val="single" w:sz="4" w:space="0" w:color="auto"/>
            </w:tcBorders>
            <w:shd w:val="clear" w:color="000000" w:fill="FFFFFF"/>
            <w:noWrap/>
            <w:vAlign w:val="bottom"/>
            <w:hideMark/>
          </w:tcPr>
          <w:p w14:paraId="718150CD" w14:textId="77777777" w:rsidR="00410424" w:rsidRDefault="00410424" w:rsidP="00410424">
            <w:pPr>
              <w:jc w:val="right"/>
              <w:rPr>
                <w:sz w:val="22"/>
                <w:szCs w:val="22"/>
              </w:rPr>
            </w:pPr>
            <w:r>
              <w:rPr>
                <w:sz w:val="22"/>
                <w:szCs w:val="22"/>
              </w:rPr>
              <w:t>0.00%</w:t>
            </w:r>
          </w:p>
        </w:tc>
      </w:tr>
      <w:tr w:rsidR="00410424" w14:paraId="1506410A"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3E915F5A" w14:textId="77777777" w:rsidR="00410424" w:rsidRDefault="00410424" w:rsidP="00410424">
            <w:pPr>
              <w:jc w:val="center"/>
              <w:rPr>
                <w:sz w:val="22"/>
                <w:szCs w:val="22"/>
              </w:rPr>
            </w:pPr>
            <w:r>
              <w:rPr>
                <w:sz w:val="22"/>
                <w:szCs w:val="22"/>
              </w:rPr>
              <w:t>4</w:t>
            </w:r>
          </w:p>
        </w:tc>
        <w:tc>
          <w:tcPr>
            <w:tcW w:w="2619" w:type="dxa"/>
            <w:tcBorders>
              <w:top w:val="nil"/>
              <w:left w:val="nil"/>
              <w:bottom w:val="nil"/>
              <w:right w:val="nil"/>
            </w:tcBorders>
            <w:shd w:val="clear" w:color="000000" w:fill="FFFFFF"/>
            <w:noWrap/>
            <w:vAlign w:val="bottom"/>
            <w:hideMark/>
          </w:tcPr>
          <w:p w14:paraId="6A03DF74" w14:textId="77777777" w:rsidR="00410424" w:rsidRDefault="00410424" w:rsidP="00410424">
            <w:pPr>
              <w:rPr>
                <w:sz w:val="22"/>
                <w:szCs w:val="22"/>
              </w:rPr>
            </w:pPr>
            <w:r>
              <w:rPr>
                <w:sz w:val="22"/>
                <w:szCs w:val="22"/>
              </w:rPr>
              <w:t>Common Equity</w:t>
            </w:r>
          </w:p>
        </w:tc>
        <w:tc>
          <w:tcPr>
            <w:tcW w:w="1206" w:type="dxa"/>
            <w:tcBorders>
              <w:top w:val="nil"/>
              <w:left w:val="nil"/>
              <w:bottom w:val="nil"/>
              <w:right w:val="nil"/>
            </w:tcBorders>
            <w:shd w:val="clear" w:color="000000" w:fill="FFFFFF"/>
            <w:noWrap/>
            <w:vAlign w:val="bottom"/>
            <w:hideMark/>
          </w:tcPr>
          <w:p w14:paraId="31A0443A" w14:textId="77777777" w:rsidR="00410424" w:rsidRDefault="00410424" w:rsidP="00410424">
            <w:pPr>
              <w:jc w:val="right"/>
              <w:rPr>
                <w:sz w:val="22"/>
                <w:szCs w:val="22"/>
              </w:rPr>
            </w:pPr>
            <w:r>
              <w:rPr>
                <w:sz w:val="22"/>
                <w:szCs w:val="22"/>
              </w:rPr>
              <w:t xml:space="preserve">3,399,206 </w:t>
            </w:r>
          </w:p>
        </w:tc>
        <w:tc>
          <w:tcPr>
            <w:tcW w:w="1353" w:type="dxa"/>
            <w:tcBorders>
              <w:top w:val="nil"/>
              <w:left w:val="nil"/>
              <w:bottom w:val="nil"/>
              <w:right w:val="nil"/>
            </w:tcBorders>
            <w:shd w:val="clear" w:color="000000" w:fill="FFFFFF"/>
            <w:noWrap/>
            <w:vAlign w:val="bottom"/>
            <w:hideMark/>
          </w:tcPr>
          <w:p w14:paraId="6C662BCD" w14:textId="77777777" w:rsidR="00410424" w:rsidRDefault="00410424" w:rsidP="00410424">
            <w:pPr>
              <w:jc w:val="right"/>
              <w:rPr>
                <w:sz w:val="22"/>
                <w:szCs w:val="22"/>
              </w:rPr>
            </w:pPr>
            <w:r>
              <w:rPr>
                <w:sz w:val="22"/>
                <w:szCs w:val="22"/>
              </w:rPr>
              <w:t xml:space="preserve">0 </w:t>
            </w:r>
          </w:p>
        </w:tc>
        <w:tc>
          <w:tcPr>
            <w:tcW w:w="1402" w:type="dxa"/>
            <w:tcBorders>
              <w:top w:val="nil"/>
              <w:left w:val="nil"/>
              <w:bottom w:val="nil"/>
              <w:right w:val="nil"/>
            </w:tcBorders>
            <w:shd w:val="clear" w:color="000000" w:fill="FFFFFF"/>
            <w:noWrap/>
            <w:vAlign w:val="bottom"/>
            <w:hideMark/>
          </w:tcPr>
          <w:p w14:paraId="26AB434C" w14:textId="77777777" w:rsidR="00410424" w:rsidRDefault="00410424" w:rsidP="00410424">
            <w:pPr>
              <w:jc w:val="right"/>
              <w:rPr>
                <w:sz w:val="22"/>
                <w:szCs w:val="22"/>
              </w:rPr>
            </w:pPr>
            <w:r>
              <w:rPr>
                <w:sz w:val="22"/>
                <w:szCs w:val="22"/>
              </w:rPr>
              <w:t xml:space="preserve">3,399,206 </w:t>
            </w:r>
          </w:p>
        </w:tc>
        <w:tc>
          <w:tcPr>
            <w:tcW w:w="1353" w:type="dxa"/>
            <w:tcBorders>
              <w:top w:val="nil"/>
              <w:left w:val="nil"/>
              <w:bottom w:val="nil"/>
              <w:right w:val="nil"/>
            </w:tcBorders>
            <w:shd w:val="clear" w:color="000000" w:fill="FFFFFF"/>
            <w:noWrap/>
            <w:vAlign w:val="bottom"/>
            <w:hideMark/>
          </w:tcPr>
          <w:p w14:paraId="13417CC6" w14:textId="77777777" w:rsidR="00410424" w:rsidRDefault="00410424" w:rsidP="00410424">
            <w:pPr>
              <w:jc w:val="right"/>
              <w:rPr>
                <w:sz w:val="22"/>
                <w:szCs w:val="22"/>
              </w:rPr>
            </w:pPr>
            <w:r>
              <w:rPr>
                <w:sz w:val="22"/>
                <w:szCs w:val="22"/>
              </w:rPr>
              <w:t xml:space="preserve">0 </w:t>
            </w:r>
          </w:p>
        </w:tc>
        <w:tc>
          <w:tcPr>
            <w:tcW w:w="1347" w:type="dxa"/>
            <w:tcBorders>
              <w:top w:val="nil"/>
              <w:left w:val="nil"/>
              <w:bottom w:val="nil"/>
              <w:right w:val="nil"/>
            </w:tcBorders>
            <w:shd w:val="clear" w:color="000000" w:fill="FFFFFF"/>
            <w:noWrap/>
            <w:vAlign w:val="bottom"/>
            <w:hideMark/>
          </w:tcPr>
          <w:p w14:paraId="525C7A51" w14:textId="77777777" w:rsidR="00410424" w:rsidRDefault="00410424" w:rsidP="00410424">
            <w:pPr>
              <w:jc w:val="right"/>
              <w:rPr>
                <w:sz w:val="22"/>
                <w:szCs w:val="22"/>
              </w:rPr>
            </w:pPr>
            <w:r>
              <w:rPr>
                <w:sz w:val="22"/>
                <w:szCs w:val="22"/>
              </w:rPr>
              <w:t xml:space="preserve">3,399,206 </w:t>
            </w:r>
          </w:p>
        </w:tc>
        <w:tc>
          <w:tcPr>
            <w:tcW w:w="1080" w:type="dxa"/>
            <w:tcBorders>
              <w:top w:val="nil"/>
              <w:left w:val="nil"/>
              <w:bottom w:val="nil"/>
              <w:right w:val="nil"/>
            </w:tcBorders>
            <w:shd w:val="clear" w:color="000000" w:fill="FFFFFF"/>
            <w:noWrap/>
            <w:vAlign w:val="bottom"/>
            <w:hideMark/>
          </w:tcPr>
          <w:p w14:paraId="40CD4CB8" w14:textId="77777777" w:rsidR="00410424" w:rsidRDefault="00410424" w:rsidP="00410424">
            <w:pPr>
              <w:jc w:val="right"/>
              <w:rPr>
                <w:sz w:val="22"/>
                <w:szCs w:val="22"/>
              </w:rPr>
            </w:pPr>
            <w:r>
              <w:rPr>
                <w:sz w:val="22"/>
                <w:szCs w:val="22"/>
              </w:rPr>
              <w:t>52.73%</w:t>
            </w:r>
          </w:p>
        </w:tc>
        <w:tc>
          <w:tcPr>
            <w:tcW w:w="1080" w:type="dxa"/>
            <w:tcBorders>
              <w:top w:val="nil"/>
              <w:left w:val="nil"/>
              <w:bottom w:val="nil"/>
              <w:right w:val="nil"/>
            </w:tcBorders>
            <w:shd w:val="clear" w:color="auto" w:fill="auto"/>
            <w:noWrap/>
            <w:vAlign w:val="bottom"/>
            <w:hideMark/>
          </w:tcPr>
          <w:p w14:paraId="1F04F9C6" w14:textId="77777777" w:rsidR="00410424" w:rsidRDefault="00410424" w:rsidP="00410424">
            <w:pPr>
              <w:jc w:val="right"/>
              <w:rPr>
                <w:sz w:val="22"/>
                <w:szCs w:val="22"/>
              </w:rPr>
            </w:pPr>
            <w:r>
              <w:rPr>
                <w:sz w:val="22"/>
                <w:szCs w:val="22"/>
              </w:rPr>
              <w:t>7.09%</w:t>
            </w:r>
          </w:p>
        </w:tc>
        <w:tc>
          <w:tcPr>
            <w:tcW w:w="1121" w:type="dxa"/>
            <w:tcBorders>
              <w:top w:val="nil"/>
              <w:left w:val="nil"/>
              <w:bottom w:val="nil"/>
              <w:right w:val="single" w:sz="4" w:space="0" w:color="auto"/>
            </w:tcBorders>
            <w:shd w:val="clear" w:color="000000" w:fill="FFFFFF"/>
            <w:noWrap/>
            <w:vAlign w:val="bottom"/>
            <w:hideMark/>
          </w:tcPr>
          <w:p w14:paraId="1CEEECFC" w14:textId="77777777" w:rsidR="00410424" w:rsidRDefault="00410424" w:rsidP="00410424">
            <w:pPr>
              <w:jc w:val="right"/>
              <w:rPr>
                <w:sz w:val="22"/>
                <w:szCs w:val="22"/>
              </w:rPr>
            </w:pPr>
            <w:r>
              <w:rPr>
                <w:sz w:val="22"/>
                <w:szCs w:val="22"/>
              </w:rPr>
              <w:t>3.74%</w:t>
            </w:r>
          </w:p>
        </w:tc>
      </w:tr>
      <w:tr w:rsidR="00410424" w14:paraId="534ABBC0"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2BF9C6AB" w14:textId="77777777" w:rsidR="00410424" w:rsidRDefault="00410424" w:rsidP="00410424">
            <w:pPr>
              <w:jc w:val="center"/>
              <w:rPr>
                <w:sz w:val="22"/>
                <w:szCs w:val="22"/>
              </w:rPr>
            </w:pPr>
            <w:r>
              <w:rPr>
                <w:sz w:val="22"/>
                <w:szCs w:val="22"/>
              </w:rPr>
              <w:t>5</w:t>
            </w:r>
          </w:p>
        </w:tc>
        <w:tc>
          <w:tcPr>
            <w:tcW w:w="2619" w:type="dxa"/>
            <w:tcBorders>
              <w:top w:val="nil"/>
              <w:left w:val="nil"/>
              <w:bottom w:val="nil"/>
              <w:right w:val="nil"/>
            </w:tcBorders>
            <w:shd w:val="clear" w:color="000000" w:fill="FFFFFF"/>
            <w:noWrap/>
            <w:vAlign w:val="bottom"/>
            <w:hideMark/>
          </w:tcPr>
          <w:p w14:paraId="28476424" w14:textId="77777777" w:rsidR="00410424" w:rsidRDefault="00410424" w:rsidP="00410424">
            <w:pPr>
              <w:rPr>
                <w:sz w:val="22"/>
                <w:szCs w:val="22"/>
              </w:rPr>
            </w:pPr>
            <w:r>
              <w:rPr>
                <w:sz w:val="22"/>
                <w:szCs w:val="22"/>
              </w:rPr>
              <w:t>Customer Deposits</w:t>
            </w:r>
          </w:p>
        </w:tc>
        <w:tc>
          <w:tcPr>
            <w:tcW w:w="1206" w:type="dxa"/>
            <w:tcBorders>
              <w:top w:val="nil"/>
              <w:left w:val="nil"/>
              <w:bottom w:val="nil"/>
              <w:right w:val="nil"/>
            </w:tcBorders>
            <w:shd w:val="clear" w:color="000000" w:fill="FFFFFF"/>
            <w:noWrap/>
            <w:vAlign w:val="bottom"/>
            <w:hideMark/>
          </w:tcPr>
          <w:p w14:paraId="55D980A2" w14:textId="77777777" w:rsidR="00410424" w:rsidRDefault="00410424" w:rsidP="00410424">
            <w:pPr>
              <w:jc w:val="right"/>
              <w:rPr>
                <w:sz w:val="22"/>
                <w:szCs w:val="22"/>
              </w:rPr>
            </w:pPr>
            <w:r>
              <w:rPr>
                <w:sz w:val="22"/>
                <w:szCs w:val="22"/>
              </w:rPr>
              <w:t xml:space="preserve">6,420 </w:t>
            </w:r>
          </w:p>
        </w:tc>
        <w:tc>
          <w:tcPr>
            <w:tcW w:w="1353" w:type="dxa"/>
            <w:tcBorders>
              <w:top w:val="nil"/>
              <w:left w:val="nil"/>
              <w:bottom w:val="nil"/>
              <w:right w:val="nil"/>
            </w:tcBorders>
            <w:shd w:val="clear" w:color="000000" w:fill="FFFFFF"/>
            <w:noWrap/>
            <w:vAlign w:val="bottom"/>
            <w:hideMark/>
          </w:tcPr>
          <w:p w14:paraId="1428B29A" w14:textId="77777777" w:rsidR="00410424" w:rsidRDefault="00410424" w:rsidP="00410424">
            <w:pPr>
              <w:jc w:val="right"/>
              <w:rPr>
                <w:sz w:val="22"/>
                <w:szCs w:val="22"/>
              </w:rPr>
            </w:pPr>
            <w:r>
              <w:rPr>
                <w:sz w:val="22"/>
                <w:szCs w:val="22"/>
              </w:rPr>
              <w:t xml:space="preserve">0 </w:t>
            </w:r>
          </w:p>
        </w:tc>
        <w:tc>
          <w:tcPr>
            <w:tcW w:w="1402" w:type="dxa"/>
            <w:tcBorders>
              <w:top w:val="nil"/>
              <w:left w:val="nil"/>
              <w:bottom w:val="nil"/>
              <w:right w:val="nil"/>
            </w:tcBorders>
            <w:shd w:val="clear" w:color="000000" w:fill="FFFFFF"/>
            <w:noWrap/>
            <w:vAlign w:val="bottom"/>
            <w:hideMark/>
          </w:tcPr>
          <w:p w14:paraId="78587910" w14:textId="77777777" w:rsidR="00410424" w:rsidRDefault="00410424" w:rsidP="00410424">
            <w:pPr>
              <w:jc w:val="right"/>
              <w:rPr>
                <w:sz w:val="22"/>
                <w:szCs w:val="22"/>
              </w:rPr>
            </w:pPr>
            <w:r>
              <w:rPr>
                <w:sz w:val="22"/>
                <w:szCs w:val="22"/>
              </w:rPr>
              <w:t xml:space="preserve">6,420 </w:t>
            </w:r>
          </w:p>
        </w:tc>
        <w:tc>
          <w:tcPr>
            <w:tcW w:w="1353" w:type="dxa"/>
            <w:tcBorders>
              <w:top w:val="nil"/>
              <w:left w:val="nil"/>
              <w:bottom w:val="nil"/>
              <w:right w:val="nil"/>
            </w:tcBorders>
            <w:shd w:val="clear" w:color="000000" w:fill="FFFFFF"/>
            <w:noWrap/>
            <w:vAlign w:val="bottom"/>
            <w:hideMark/>
          </w:tcPr>
          <w:p w14:paraId="752940B6" w14:textId="77777777" w:rsidR="00410424" w:rsidRDefault="00410424" w:rsidP="00410424">
            <w:pPr>
              <w:jc w:val="right"/>
              <w:rPr>
                <w:sz w:val="22"/>
                <w:szCs w:val="22"/>
              </w:rPr>
            </w:pPr>
            <w:r>
              <w:rPr>
                <w:sz w:val="22"/>
                <w:szCs w:val="22"/>
              </w:rPr>
              <w:t xml:space="preserve">0 </w:t>
            </w:r>
          </w:p>
        </w:tc>
        <w:tc>
          <w:tcPr>
            <w:tcW w:w="1347" w:type="dxa"/>
            <w:tcBorders>
              <w:top w:val="nil"/>
              <w:left w:val="nil"/>
              <w:bottom w:val="nil"/>
              <w:right w:val="nil"/>
            </w:tcBorders>
            <w:shd w:val="clear" w:color="000000" w:fill="FFFFFF"/>
            <w:noWrap/>
            <w:vAlign w:val="bottom"/>
            <w:hideMark/>
          </w:tcPr>
          <w:p w14:paraId="4AA48785" w14:textId="77777777" w:rsidR="00410424" w:rsidRDefault="00410424" w:rsidP="00410424">
            <w:pPr>
              <w:jc w:val="right"/>
              <w:rPr>
                <w:sz w:val="22"/>
                <w:szCs w:val="22"/>
              </w:rPr>
            </w:pPr>
            <w:r>
              <w:rPr>
                <w:sz w:val="22"/>
                <w:szCs w:val="22"/>
              </w:rPr>
              <w:t xml:space="preserve">6,420 </w:t>
            </w:r>
          </w:p>
        </w:tc>
        <w:tc>
          <w:tcPr>
            <w:tcW w:w="1080" w:type="dxa"/>
            <w:tcBorders>
              <w:top w:val="nil"/>
              <w:left w:val="nil"/>
              <w:bottom w:val="nil"/>
              <w:right w:val="nil"/>
            </w:tcBorders>
            <w:shd w:val="clear" w:color="000000" w:fill="FFFFFF"/>
            <w:noWrap/>
            <w:vAlign w:val="bottom"/>
            <w:hideMark/>
          </w:tcPr>
          <w:p w14:paraId="24EFC778" w14:textId="77777777" w:rsidR="00410424" w:rsidRDefault="00410424" w:rsidP="00410424">
            <w:pPr>
              <w:jc w:val="right"/>
              <w:rPr>
                <w:sz w:val="22"/>
                <w:szCs w:val="22"/>
              </w:rPr>
            </w:pPr>
            <w:r>
              <w:rPr>
                <w:sz w:val="22"/>
                <w:szCs w:val="22"/>
              </w:rPr>
              <w:t>0.10%</w:t>
            </w:r>
          </w:p>
        </w:tc>
        <w:tc>
          <w:tcPr>
            <w:tcW w:w="1080" w:type="dxa"/>
            <w:tcBorders>
              <w:top w:val="nil"/>
              <w:left w:val="nil"/>
              <w:bottom w:val="nil"/>
              <w:right w:val="nil"/>
            </w:tcBorders>
            <w:shd w:val="clear" w:color="auto" w:fill="auto"/>
            <w:noWrap/>
            <w:vAlign w:val="bottom"/>
            <w:hideMark/>
          </w:tcPr>
          <w:p w14:paraId="1DC40B61" w14:textId="77777777" w:rsidR="00410424" w:rsidRDefault="00410424" w:rsidP="00410424">
            <w:pPr>
              <w:jc w:val="right"/>
              <w:rPr>
                <w:sz w:val="22"/>
                <w:szCs w:val="22"/>
              </w:rPr>
            </w:pPr>
            <w:r>
              <w:rPr>
                <w:sz w:val="22"/>
                <w:szCs w:val="22"/>
              </w:rPr>
              <w:t>2.00%</w:t>
            </w:r>
          </w:p>
        </w:tc>
        <w:tc>
          <w:tcPr>
            <w:tcW w:w="1121" w:type="dxa"/>
            <w:tcBorders>
              <w:top w:val="nil"/>
              <w:left w:val="nil"/>
              <w:bottom w:val="nil"/>
              <w:right w:val="single" w:sz="4" w:space="0" w:color="auto"/>
            </w:tcBorders>
            <w:shd w:val="clear" w:color="000000" w:fill="FFFFFF"/>
            <w:noWrap/>
            <w:vAlign w:val="bottom"/>
            <w:hideMark/>
          </w:tcPr>
          <w:p w14:paraId="04F55857" w14:textId="77777777" w:rsidR="00410424" w:rsidRDefault="00410424" w:rsidP="00410424">
            <w:pPr>
              <w:jc w:val="right"/>
              <w:rPr>
                <w:sz w:val="22"/>
                <w:szCs w:val="22"/>
              </w:rPr>
            </w:pPr>
            <w:r>
              <w:rPr>
                <w:sz w:val="22"/>
                <w:szCs w:val="22"/>
              </w:rPr>
              <w:t>0.00%</w:t>
            </w:r>
          </w:p>
        </w:tc>
      </w:tr>
      <w:tr w:rsidR="00410424" w14:paraId="29C18F38"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75118CCA" w14:textId="77777777" w:rsidR="00410424" w:rsidRDefault="00410424" w:rsidP="00410424">
            <w:pPr>
              <w:jc w:val="center"/>
              <w:rPr>
                <w:sz w:val="22"/>
                <w:szCs w:val="22"/>
              </w:rPr>
            </w:pPr>
            <w:r>
              <w:rPr>
                <w:sz w:val="22"/>
                <w:szCs w:val="22"/>
              </w:rPr>
              <w:t>6</w:t>
            </w:r>
          </w:p>
        </w:tc>
        <w:tc>
          <w:tcPr>
            <w:tcW w:w="2619" w:type="dxa"/>
            <w:tcBorders>
              <w:top w:val="nil"/>
              <w:left w:val="nil"/>
              <w:bottom w:val="nil"/>
              <w:right w:val="nil"/>
            </w:tcBorders>
            <w:shd w:val="clear" w:color="000000" w:fill="FFFFFF"/>
            <w:noWrap/>
            <w:vAlign w:val="bottom"/>
            <w:hideMark/>
          </w:tcPr>
          <w:p w14:paraId="3D530BA2" w14:textId="77777777" w:rsidR="00410424" w:rsidRDefault="00410424" w:rsidP="00410424">
            <w:pPr>
              <w:rPr>
                <w:sz w:val="22"/>
                <w:szCs w:val="22"/>
              </w:rPr>
            </w:pPr>
            <w:r>
              <w:rPr>
                <w:sz w:val="22"/>
                <w:szCs w:val="22"/>
              </w:rPr>
              <w:t>Tax Credits-Zero Cost</w:t>
            </w:r>
          </w:p>
        </w:tc>
        <w:tc>
          <w:tcPr>
            <w:tcW w:w="1206" w:type="dxa"/>
            <w:tcBorders>
              <w:top w:val="nil"/>
              <w:left w:val="nil"/>
              <w:bottom w:val="nil"/>
              <w:right w:val="nil"/>
            </w:tcBorders>
            <w:shd w:val="clear" w:color="000000" w:fill="FFFFFF"/>
            <w:noWrap/>
            <w:vAlign w:val="bottom"/>
            <w:hideMark/>
          </w:tcPr>
          <w:p w14:paraId="35F20F35"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223E376D" w14:textId="77777777" w:rsidR="00410424" w:rsidRDefault="00410424" w:rsidP="00410424">
            <w:pPr>
              <w:jc w:val="right"/>
              <w:rPr>
                <w:sz w:val="22"/>
                <w:szCs w:val="22"/>
              </w:rPr>
            </w:pPr>
            <w:r>
              <w:rPr>
                <w:sz w:val="22"/>
                <w:szCs w:val="22"/>
              </w:rPr>
              <w:t xml:space="preserve">0 </w:t>
            </w:r>
          </w:p>
        </w:tc>
        <w:tc>
          <w:tcPr>
            <w:tcW w:w="1402" w:type="dxa"/>
            <w:tcBorders>
              <w:top w:val="nil"/>
              <w:left w:val="nil"/>
              <w:bottom w:val="nil"/>
              <w:right w:val="nil"/>
            </w:tcBorders>
            <w:shd w:val="clear" w:color="000000" w:fill="FFFFFF"/>
            <w:noWrap/>
            <w:vAlign w:val="bottom"/>
            <w:hideMark/>
          </w:tcPr>
          <w:p w14:paraId="47E11BE7"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21F83573" w14:textId="77777777" w:rsidR="00410424" w:rsidRDefault="00410424" w:rsidP="00410424">
            <w:pPr>
              <w:jc w:val="right"/>
              <w:rPr>
                <w:sz w:val="22"/>
                <w:szCs w:val="22"/>
              </w:rPr>
            </w:pPr>
            <w:r>
              <w:rPr>
                <w:sz w:val="22"/>
                <w:szCs w:val="22"/>
              </w:rPr>
              <w:t xml:space="preserve">0 </w:t>
            </w:r>
          </w:p>
        </w:tc>
        <w:tc>
          <w:tcPr>
            <w:tcW w:w="1347" w:type="dxa"/>
            <w:tcBorders>
              <w:top w:val="nil"/>
              <w:left w:val="nil"/>
              <w:bottom w:val="nil"/>
              <w:right w:val="nil"/>
            </w:tcBorders>
            <w:shd w:val="clear" w:color="000000" w:fill="FFFFFF"/>
            <w:noWrap/>
            <w:vAlign w:val="bottom"/>
            <w:hideMark/>
          </w:tcPr>
          <w:p w14:paraId="4A275006" w14:textId="77777777" w:rsidR="00410424" w:rsidRDefault="00410424" w:rsidP="00410424">
            <w:pPr>
              <w:jc w:val="right"/>
              <w:rPr>
                <w:sz w:val="22"/>
                <w:szCs w:val="22"/>
              </w:rPr>
            </w:pPr>
            <w:r>
              <w:rPr>
                <w:sz w:val="22"/>
                <w:szCs w:val="22"/>
              </w:rPr>
              <w:t xml:space="preserve">0 </w:t>
            </w:r>
          </w:p>
        </w:tc>
        <w:tc>
          <w:tcPr>
            <w:tcW w:w="1080" w:type="dxa"/>
            <w:tcBorders>
              <w:top w:val="nil"/>
              <w:left w:val="nil"/>
              <w:bottom w:val="nil"/>
              <w:right w:val="nil"/>
            </w:tcBorders>
            <w:shd w:val="clear" w:color="000000" w:fill="FFFFFF"/>
            <w:noWrap/>
            <w:vAlign w:val="bottom"/>
            <w:hideMark/>
          </w:tcPr>
          <w:p w14:paraId="6135C873" w14:textId="77777777" w:rsidR="00410424" w:rsidRDefault="00410424" w:rsidP="00410424">
            <w:pPr>
              <w:jc w:val="right"/>
              <w:rPr>
                <w:sz w:val="22"/>
                <w:szCs w:val="22"/>
              </w:rPr>
            </w:pPr>
            <w:r>
              <w:rPr>
                <w:sz w:val="22"/>
                <w:szCs w:val="22"/>
              </w:rPr>
              <w:t>0.00%</w:t>
            </w:r>
          </w:p>
        </w:tc>
        <w:tc>
          <w:tcPr>
            <w:tcW w:w="1080" w:type="dxa"/>
            <w:tcBorders>
              <w:top w:val="nil"/>
              <w:left w:val="nil"/>
              <w:bottom w:val="nil"/>
              <w:right w:val="nil"/>
            </w:tcBorders>
            <w:shd w:val="clear" w:color="auto" w:fill="auto"/>
            <w:noWrap/>
            <w:vAlign w:val="bottom"/>
            <w:hideMark/>
          </w:tcPr>
          <w:p w14:paraId="6757CE8C" w14:textId="77777777" w:rsidR="00410424" w:rsidRDefault="00410424" w:rsidP="00410424">
            <w:pPr>
              <w:jc w:val="right"/>
              <w:rPr>
                <w:sz w:val="22"/>
                <w:szCs w:val="22"/>
              </w:rPr>
            </w:pPr>
            <w:r>
              <w:rPr>
                <w:sz w:val="22"/>
                <w:szCs w:val="22"/>
              </w:rPr>
              <w:t>0.00%</w:t>
            </w:r>
          </w:p>
        </w:tc>
        <w:tc>
          <w:tcPr>
            <w:tcW w:w="1121" w:type="dxa"/>
            <w:tcBorders>
              <w:top w:val="nil"/>
              <w:left w:val="nil"/>
              <w:bottom w:val="nil"/>
              <w:right w:val="single" w:sz="4" w:space="0" w:color="auto"/>
            </w:tcBorders>
            <w:shd w:val="clear" w:color="000000" w:fill="FFFFFF"/>
            <w:noWrap/>
            <w:vAlign w:val="bottom"/>
            <w:hideMark/>
          </w:tcPr>
          <w:p w14:paraId="2E9BCAD8" w14:textId="77777777" w:rsidR="00410424" w:rsidRDefault="00410424" w:rsidP="00410424">
            <w:pPr>
              <w:jc w:val="right"/>
              <w:rPr>
                <w:sz w:val="22"/>
                <w:szCs w:val="22"/>
              </w:rPr>
            </w:pPr>
            <w:r>
              <w:rPr>
                <w:sz w:val="22"/>
                <w:szCs w:val="22"/>
              </w:rPr>
              <w:t>0.00%</w:t>
            </w:r>
          </w:p>
        </w:tc>
      </w:tr>
      <w:tr w:rsidR="00410424" w14:paraId="77CF7ADC"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01A02D84" w14:textId="77777777" w:rsidR="00410424" w:rsidRDefault="00410424" w:rsidP="00410424">
            <w:pPr>
              <w:jc w:val="center"/>
              <w:rPr>
                <w:sz w:val="22"/>
                <w:szCs w:val="22"/>
              </w:rPr>
            </w:pPr>
            <w:r>
              <w:rPr>
                <w:sz w:val="22"/>
                <w:szCs w:val="22"/>
              </w:rPr>
              <w:t>7</w:t>
            </w:r>
          </w:p>
        </w:tc>
        <w:tc>
          <w:tcPr>
            <w:tcW w:w="2619" w:type="dxa"/>
            <w:tcBorders>
              <w:top w:val="nil"/>
              <w:left w:val="nil"/>
              <w:bottom w:val="nil"/>
              <w:right w:val="nil"/>
            </w:tcBorders>
            <w:shd w:val="clear" w:color="000000" w:fill="FFFFFF"/>
            <w:noWrap/>
            <w:vAlign w:val="bottom"/>
            <w:hideMark/>
          </w:tcPr>
          <w:p w14:paraId="78FED014" w14:textId="77777777" w:rsidR="00410424" w:rsidRDefault="00410424" w:rsidP="00410424">
            <w:pPr>
              <w:rPr>
                <w:sz w:val="22"/>
                <w:szCs w:val="22"/>
              </w:rPr>
            </w:pPr>
            <w:r>
              <w:rPr>
                <w:sz w:val="22"/>
                <w:szCs w:val="22"/>
              </w:rPr>
              <w:t>Deferred Income Taxes</w:t>
            </w:r>
          </w:p>
        </w:tc>
        <w:tc>
          <w:tcPr>
            <w:tcW w:w="1206" w:type="dxa"/>
            <w:tcBorders>
              <w:top w:val="nil"/>
              <w:left w:val="nil"/>
              <w:bottom w:val="nil"/>
              <w:right w:val="nil"/>
            </w:tcBorders>
            <w:shd w:val="clear" w:color="000000" w:fill="FFFFFF"/>
            <w:noWrap/>
            <w:vAlign w:val="bottom"/>
            <w:hideMark/>
          </w:tcPr>
          <w:p w14:paraId="62819922" w14:textId="77777777" w:rsidR="00410424" w:rsidRDefault="00410424" w:rsidP="00410424">
            <w:pPr>
              <w:jc w:val="right"/>
              <w:rPr>
                <w:sz w:val="22"/>
                <w:szCs w:val="22"/>
                <w:u w:val="single"/>
              </w:rPr>
            </w:pPr>
            <w:r>
              <w:rPr>
                <w:sz w:val="22"/>
                <w:szCs w:val="22"/>
                <w:u w:val="single"/>
              </w:rPr>
              <w:t xml:space="preserve">3,040,210 </w:t>
            </w:r>
          </w:p>
        </w:tc>
        <w:tc>
          <w:tcPr>
            <w:tcW w:w="1353" w:type="dxa"/>
            <w:tcBorders>
              <w:top w:val="nil"/>
              <w:left w:val="nil"/>
              <w:bottom w:val="nil"/>
              <w:right w:val="nil"/>
            </w:tcBorders>
            <w:shd w:val="clear" w:color="000000" w:fill="FFFFFF"/>
            <w:noWrap/>
            <w:vAlign w:val="bottom"/>
            <w:hideMark/>
          </w:tcPr>
          <w:p w14:paraId="20DC9B20" w14:textId="77777777" w:rsidR="00410424" w:rsidRDefault="00410424" w:rsidP="00410424">
            <w:pPr>
              <w:jc w:val="right"/>
              <w:rPr>
                <w:sz w:val="22"/>
                <w:szCs w:val="22"/>
                <w:u w:val="single"/>
              </w:rPr>
            </w:pPr>
            <w:r>
              <w:rPr>
                <w:sz w:val="22"/>
                <w:szCs w:val="22"/>
                <w:u w:val="single"/>
              </w:rPr>
              <w:t xml:space="preserve">0 </w:t>
            </w:r>
          </w:p>
        </w:tc>
        <w:tc>
          <w:tcPr>
            <w:tcW w:w="1402" w:type="dxa"/>
            <w:tcBorders>
              <w:top w:val="nil"/>
              <w:left w:val="nil"/>
              <w:bottom w:val="nil"/>
              <w:right w:val="nil"/>
            </w:tcBorders>
            <w:shd w:val="clear" w:color="000000" w:fill="FFFFFF"/>
            <w:noWrap/>
            <w:vAlign w:val="bottom"/>
            <w:hideMark/>
          </w:tcPr>
          <w:p w14:paraId="4A37D212" w14:textId="77777777" w:rsidR="00410424" w:rsidRDefault="00410424" w:rsidP="00410424">
            <w:pPr>
              <w:jc w:val="right"/>
              <w:rPr>
                <w:sz w:val="22"/>
                <w:szCs w:val="22"/>
                <w:u w:val="single"/>
              </w:rPr>
            </w:pPr>
            <w:r>
              <w:rPr>
                <w:sz w:val="22"/>
                <w:szCs w:val="22"/>
                <w:u w:val="single"/>
              </w:rPr>
              <w:t xml:space="preserve">3,040,210 </w:t>
            </w:r>
          </w:p>
        </w:tc>
        <w:tc>
          <w:tcPr>
            <w:tcW w:w="1353" w:type="dxa"/>
            <w:tcBorders>
              <w:top w:val="nil"/>
              <w:left w:val="nil"/>
              <w:bottom w:val="nil"/>
              <w:right w:val="nil"/>
            </w:tcBorders>
            <w:shd w:val="clear" w:color="000000" w:fill="FFFFFF"/>
            <w:noWrap/>
            <w:vAlign w:val="bottom"/>
            <w:hideMark/>
          </w:tcPr>
          <w:p w14:paraId="5A82E643" w14:textId="77777777" w:rsidR="00410424" w:rsidRDefault="00410424" w:rsidP="00410424">
            <w:pPr>
              <w:jc w:val="right"/>
              <w:rPr>
                <w:sz w:val="22"/>
                <w:szCs w:val="22"/>
                <w:u w:val="single"/>
              </w:rPr>
            </w:pPr>
            <w:r>
              <w:rPr>
                <w:sz w:val="22"/>
                <w:szCs w:val="22"/>
                <w:u w:val="single"/>
              </w:rPr>
              <w:t xml:space="preserve">0 </w:t>
            </w:r>
          </w:p>
        </w:tc>
        <w:tc>
          <w:tcPr>
            <w:tcW w:w="1347" w:type="dxa"/>
            <w:tcBorders>
              <w:top w:val="nil"/>
              <w:left w:val="nil"/>
              <w:bottom w:val="nil"/>
              <w:right w:val="nil"/>
            </w:tcBorders>
            <w:shd w:val="clear" w:color="000000" w:fill="FFFFFF"/>
            <w:noWrap/>
            <w:vAlign w:val="bottom"/>
            <w:hideMark/>
          </w:tcPr>
          <w:p w14:paraId="6AC87D7E" w14:textId="77777777" w:rsidR="00410424" w:rsidRDefault="00410424" w:rsidP="00410424">
            <w:pPr>
              <w:jc w:val="right"/>
              <w:rPr>
                <w:sz w:val="22"/>
                <w:szCs w:val="22"/>
                <w:u w:val="single"/>
              </w:rPr>
            </w:pPr>
            <w:r>
              <w:rPr>
                <w:sz w:val="22"/>
                <w:szCs w:val="22"/>
                <w:u w:val="single"/>
              </w:rPr>
              <w:t xml:space="preserve">3,040,210 </w:t>
            </w:r>
          </w:p>
        </w:tc>
        <w:tc>
          <w:tcPr>
            <w:tcW w:w="1080" w:type="dxa"/>
            <w:tcBorders>
              <w:top w:val="nil"/>
              <w:left w:val="nil"/>
              <w:bottom w:val="nil"/>
              <w:right w:val="nil"/>
            </w:tcBorders>
            <w:shd w:val="clear" w:color="000000" w:fill="FFFFFF"/>
            <w:noWrap/>
            <w:vAlign w:val="bottom"/>
            <w:hideMark/>
          </w:tcPr>
          <w:p w14:paraId="28832CDB" w14:textId="77777777" w:rsidR="00410424" w:rsidRDefault="00410424" w:rsidP="00410424">
            <w:pPr>
              <w:jc w:val="right"/>
              <w:rPr>
                <w:sz w:val="22"/>
                <w:szCs w:val="22"/>
                <w:u w:val="single"/>
              </w:rPr>
            </w:pPr>
            <w:r>
              <w:rPr>
                <w:sz w:val="22"/>
                <w:szCs w:val="22"/>
                <w:u w:val="single"/>
              </w:rPr>
              <w:t>47.17%</w:t>
            </w:r>
          </w:p>
        </w:tc>
        <w:tc>
          <w:tcPr>
            <w:tcW w:w="1080" w:type="dxa"/>
            <w:tcBorders>
              <w:top w:val="nil"/>
              <w:left w:val="nil"/>
              <w:bottom w:val="nil"/>
              <w:right w:val="nil"/>
            </w:tcBorders>
            <w:shd w:val="clear" w:color="auto" w:fill="auto"/>
            <w:noWrap/>
            <w:vAlign w:val="bottom"/>
            <w:hideMark/>
          </w:tcPr>
          <w:p w14:paraId="4B5C9E8E" w14:textId="77777777" w:rsidR="00410424" w:rsidRDefault="00410424" w:rsidP="00410424">
            <w:pPr>
              <w:jc w:val="right"/>
              <w:rPr>
                <w:sz w:val="22"/>
                <w:szCs w:val="22"/>
              </w:rPr>
            </w:pPr>
            <w:r>
              <w:rPr>
                <w:sz w:val="22"/>
                <w:szCs w:val="22"/>
              </w:rPr>
              <w:t>0.00%</w:t>
            </w:r>
          </w:p>
        </w:tc>
        <w:tc>
          <w:tcPr>
            <w:tcW w:w="1121" w:type="dxa"/>
            <w:tcBorders>
              <w:top w:val="nil"/>
              <w:left w:val="nil"/>
              <w:bottom w:val="nil"/>
              <w:right w:val="single" w:sz="4" w:space="0" w:color="auto"/>
            </w:tcBorders>
            <w:shd w:val="clear" w:color="000000" w:fill="FFFFFF"/>
            <w:noWrap/>
            <w:vAlign w:val="bottom"/>
            <w:hideMark/>
          </w:tcPr>
          <w:p w14:paraId="3B3B94FD" w14:textId="77777777" w:rsidR="00410424" w:rsidRDefault="00410424" w:rsidP="00410424">
            <w:pPr>
              <w:jc w:val="right"/>
              <w:rPr>
                <w:sz w:val="22"/>
                <w:szCs w:val="22"/>
                <w:u w:val="single"/>
              </w:rPr>
            </w:pPr>
            <w:r>
              <w:rPr>
                <w:sz w:val="22"/>
                <w:szCs w:val="22"/>
                <w:u w:val="single"/>
              </w:rPr>
              <w:t>0.00%</w:t>
            </w:r>
          </w:p>
        </w:tc>
      </w:tr>
      <w:tr w:rsidR="00410424" w14:paraId="13F10E97"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6DA938AA" w14:textId="77777777" w:rsidR="00410424" w:rsidRDefault="00410424" w:rsidP="00410424">
            <w:pPr>
              <w:jc w:val="center"/>
              <w:rPr>
                <w:sz w:val="22"/>
                <w:szCs w:val="22"/>
              </w:rPr>
            </w:pPr>
            <w:r>
              <w:rPr>
                <w:sz w:val="22"/>
                <w:szCs w:val="22"/>
              </w:rPr>
              <w:t>8</w:t>
            </w:r>
          </w:p>
        </w:tc>
        <w:tc>
          <w:tcPr>
            <w:tcW w:w="2619" w:type="dxa"/>
            <w:tcBorders>
              <w:top w:val="nil"/>
              <w:left w:val="nil"/>
              <w:bottom w:val="nil"/>
              <w:right w:val="nil"/>
            </w:tcBorders>
            <w:shd w:val="clear" w:color="000000" w:fill="FFFFFF"/>
            <w:noWrap/>
            <w:vAlign w:val="bottom"/>
            <w:hideMark/>
          </w:tcPr>
          <w:p w14:paraId="0FEFBD95" w14:textId="77777777" w:rsidR="00410424" w:rsidRDefault="00410424" w:rsidP="00410424">
            <w:pPr>
              <w:rPr>
                <w:b/>
                <w:bCs/>
                <w:sz w:val="22"/>
                <w:szCs w:val="22"/>
              </w:rPr>
            </w:pPr>
            <w:r>
              <w:rPr>
                <w:b/>
                <w:bCs/>
                <w:sz w:val="22"/>
                <w:szCs w:val="22"/>
              </w:rPr>
              <w:t>Total Capital</w:t>
            </w:r>
          </w:p>
        </w:tc>
        <w:tc>
          <w:tcPr>
            <w:tcW w:w="1206" w:type="dxa"/>
            <w:tcBorders>
              <w:top w:val="nil"/>
              <w:left w:val="nil"/>
              <w:bottom w:val="nil"/>
              <w:right w:val="nil"/>
            </w:tcBorders>
            <w:shd w:val="clear" w:color="000000" w:fill="FFFFFF"/>
            <w:noWrap/>
            <w:vAlign w:val="bottom"/>
            <w:hideMark/>
          </w:tcPr>
          <w:p w14:paraId="7B48BF4A" w14:textId="77777777" w:rsidR="00410424" w:rsidRDefault="00410424" w:rsidP="00410424">
            <w:pPr>
              <w:jc w:val="right"/>
              <w:rPr>
                <w:sz w:val="22"/>
                <w:szCs w:val="22"/>
                <w:u w:val="double"/>
              </w:rPr>
            </w:pPr>
            <w:r>
              <w:rPr>
                <w:sz w:val="22"/>
                <w:szCs w:val="22"/>
                <w:u w:val="double"/>
              </w:rPr>
              <w:t xml:space="preserve">$6,445,836 </w:t>
            </w:r>
          </w:p>
        </w:tc>
        <w:tc>
          <w:tcPr>
            <w:tcW w:w="1353" w:type="dxa"/>
            <w:tcBorders>
              <w:top w:val="nil"/>
              <w:left w:val="nil"/>
              <w:bottom w:val="nil"/>
              <w:right w:val="nil"/>
            </w:tcBorders>
            <w:shd w:val="clear" w:color="000000" w:fill="FFFFFF"/>
            <w:noWrap/>
            <w:vAlign w:val="bottom"/>
            <w:hideMark/>
          </w:tcPr>
          <w:p w14:paraId="30DF62A2" w14:textId="77777777" w:rsidR="00410424" w:rsidRDefault="00410424" w:rsidP="00410424">
            <w:pPr>
              <w:jc w:val="right"/>
              <w:rPr>
                <w:sz w:val="22"/>
                <w:szCs w:val="22"/>
                <w:u w:val="double"/>
              </w:rPr>
            </w:pPr>
            <w:r>
              <w:rPr>
                <w:sz w:val="22"/>
                <w:szCs w:val="22"/>
                <w:u w:val="double"/>
              </w:rPr>
              <w:t xml:space="preserve">$0 </w:t>
            </w:r>
          </w:p>
        </w:tc>
        <w:tc>
          <w:tcPr>
            <w:tcW w:w="1402" w:type="dxa"/>
            <w:tcBorders>
              <w:top w:val="nil"/>
              <w:left w:val="nil"/>
              <w:bottom w:val="nil"/>
              <w:right w:val="nil"/>
            </w:tcBorders>
            <w:shd w:val="clear" w:color="000000" w:fill="FFFFFF"/>
            <w:noWrap/>
            <w:vAlign w:val="bottom"/>
            <w:hideMark/>
          </w:tcPr>
          <w:p w14:paraId="04D7B84C" w14:textId="77777777" w:rsidR="00410424" w:rsidRDefault="00410424" w:rsidP="00410424">
            <w:pPr>
              <w:jc w:val="right"/>
              <w:rPr>
                <w:sz w:val="22"/>
                <w:szCs w:val="22"/>
                <w:u w:val="double"/>
              </w:rPr>
            </w:pPr>
            <w:r>
              <w:rPr>
                <w:sz w:val="22"/>
                <w:szCs w:val="22"/>
                <w:u w:val="double"/>
              </w:rPr>
              <w:t xml:space="preserve">$6,445,836 </w:t>
            </w:r>
          </w:p>
        </w:tc>
        <w:tc>
          <w:tcPr>
            <w:tcW w:w="1353" w:type="dxa"/>
            <w:tcBorders>
              <w:top w:val="nil"/>
              <w:left w:val="nil"/>
              <w:bottom w:val="nil"/>
              <w:right w:val="nil"/>
            </w:tcBorders>
            <w:shd w:val="clear" w:color="000000" w:fill="FFFFFF"/>
            <w:noWrap/>
            <w:vAlign w:val="bottom"/>
            <w:hideMark/>
          </w:tcPr>
          <w:p w14:paraId="62C5EE1C" w14:textId="77777777" w:rsidR="00410424" w:rsidRDefault="00410424" w:rsidP="00410424">
            <w:pPr>
              <w:jc w:val="right"/>
              <w:rPr>
                <w:sz w:val="22"/>
                <w:szCs w:val="22"/>
                <w:u w:val="double"/>
              </w:rPr>
            </w:pPr>
            <w:r>
              <w:rPr>
                <w:sz w:val="22"/>
                <w:szCs w:val="22"/>
                <w:u w:val="double"/>
              </w:rPr>
              <w:t xml:space="preserve">$0 </w:t>
            </w:r>
          </w:p>
        </w:tc>
        <w:tc>
          <w:tcPr>
            <w:tcW w:w="1347" w:type="dxa"/>
            <w:tcBorders>
              <w:top w:val="nil"/>
              <w:left w:val="nil"/>
              <w:bottom w:val="nil"/>
              <w:right w:val="nil"/>
            </w:tcBorders>
            <w:shd w:val="clear" w:color="000000" w:fill="FFFFFF"/>
            <w:noWrap/>
            <w:vAlign w:val="bottom"/>
            <w:hideMark/>
          </w:tcPr>
          <w:p w14:paraId="5E4C9258" w14:textId="77777777" w:rsidR="00410424" w:rsidRDefault="00410424" w:rsidP="00410424">
            <w:pPr>
              <w:jc w:val="right"/>
              <w:rPr>
                <w:sz w:val="22"/>
                <w:szCs w:val="22"/>
                <w:u w:val="double"/>
              </w:rPr>
            </w:pPr>
            <w:r>
              <w:rPr>
                <w:sz w:val="22"/>
                <w:szCs w:val="22"/>
                <w:u w:val="double"/>
              </w:rPr>
              <w:t xml:space="preserve">$6,445,836 </w:t>
            </w:r>
          </w:p>
        </w:tc>
        <w:tc>
          <w:tcPr>
            <w:tcW w:w="1080" w:type="dxa"/>
            <w:tcBorders>
              <w:top w:val="nil"/>
              <w:left w:val="nil"/>
              <w:bottom w:val="nil"/>
              <w:right w:val="nil"/>
            </w:tcBorders>
            <w:shd w:val="clear" w:color="000000" w:fill="FFFFFF"/>
            <w:noWrap/>
            <w:vAlign w:val="bottom"/>
            <w:hideMark/>
          </w:tcPr>
          <w:p w14:paraId="3A972292" w14:textId="77777777" w:rsidR="00410424" w:rsidRDefault="00410424" w:rsidP="00410424">
            <w:pPr>
              <w:jc w:val="right"/>
              <w:rPr>
                <w:sz w:val="22"/>
                <w:szCs w:val="22"/>
                <w:u w:val="double"/>
              </w:rPr>
            </w:pPr>
            <w:r>
              <w:rPr>
                <w:sz w:val="22"/>
                <w:szCs w:val="22"/>
                <w:u w:val="double"/>
              </w:rPr>
              <w:t>100.00%</w:t>
            </w:r>
          </w:p>
        </w:tc>
        <w:tc>
          <w:tcPr>
            <w:tcW w:w="1080" w:type="dxa"/>
            <w:tcBorders>
              <w:top w:val="nil"/>
              <w:left w:val="nil"/>
              <w:bottom w:val="nil"/>
              <w:right w:val="nil"/>
            </w:tcBorders>
            <w:shd w:val="clear" w:color="000000" w:fill="FFFFFF"/>
            <w:noWrap/>
            <w:vAlign w:val="bottom"/>
            <w:hideMark/>
          </w:tcPr>
          <w:p w14:paraId="53160465" w14:textId="77777777" w:rsidR="00410424" w:rsidRDefault="00410424" w:rsidP="00410424">
            <w:pPr>
              <w:rPr>
                <w:sz w:val="22"/>
                <w:szCs w:val="22"/>
                <w:u w:val="double"/>
              </w:rPr>
            </w:pPr>
          </w:p>
        </w:tc>
        <w:tc>
          <w:tcPr>
            <w:tcW w:w="1121" w:type="dxa"/>
            <w:tcBorders>
              <w:top w:val="nil"/>
              <w:left w:val="nil"/>
              <w:bottom w:val="nil"/>
              <w:right w:val="single" w:sz="4" w:space="0" w:color="auto"/>
            </w:tcBorders>
            <w:shd w:val="clear" w:color="000000" w:fill="FFFFFF"/>
            <w:noWrap/>
            <w:vAlign w:val="bottom"/>
            <w:hideMark/>
          </w:tcPr>
          <w:p w14:paraId="0EB369DD" w14:textId="77777777" w:rsidR="00410424" w:rsidRDefault="00410424" w:rsidP="00410424">
            <w:pPr>
              <w:jc w:val="right"/>
              <w:rPr>
                <w:sz w:val="22"/>
                <w:szCs w:val="22"/>
                <w:u w:val="double"/>
              </w:rPr>
            </w:pPr>
            <w:r>
              <w:rPr>
                <w:sz w:val="22"/>
                <w:szCs w:val="22"/>
                <w:u w:val="double"/>
              </w:rPr>
              <w:t>3.74%</w:t>
            </w:r>
          </w:p>
        </w:tc>
      </w:tr>
      <w:tr w:rsidR="00410424" w14:paraId="5BA700AA"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21C97F63" w14:textId="77777777" w:rsidR="00410424" w:rsidRDefault="00410424" w:rsidP="00410424">
            <w:pPr>
              <w:rPr>
                <w:sz w:val="22"/>
                <w:szCs w:val="22"/>
              </w:rPr>
            </w:pPr>
            <w:r>
              <w:rPr>
                <w:sz w:val="22"/>
                <w:szCs w:val="22"/>
              </w:rPr>
              <w:t> </w:t>
            </w:r>
          </w:p>
        </w:tc>
        <w:tc>
          <w:tcPr>
            <w:tcW w:w="2619" w:type="dxa"/>
            <w:tcBorders>
              <w:top w:val="nil"/>
              <w:left w:val="nil"/>
              <w:bottom w:val="nil"/>
              <w:right w:val="nil"/>
            </w:tcBorders>
            <w:shd w:val="clear" w:color="000000" w:fill="FFFFFF"/>
            <w:noWrap/>
            <w:vAlign w:val="bottom"/>
            <w:hideMark/>
          </w:tcPr>
          <w:p w14:paraId="4A28CC36" w14:textId="77777777" w:rsidR="00410424" w:rsidRDefault="00410424" w:rsidP="00410424">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14:paraId="1A2F05E4" w14:textId="77777777" w:rsidR="00410424" w:rsidRDefault="00410424" w:rsidP="00410424">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1901C03E" w14:textId="77777777" w:rsidR="00410424" w:rsidRDefault="00410424" w:rsidP="00410424">
            <w:pPr>
              <w:rPr>
                <w:color w:val="000000"/>
                <w:sz w:val="22"/>
                <w:szCs w:val="22"/>
              </w:rPr>
            </w:pPr>
            <w:r>
              <w:rPr>
                <w:color w:val="000000"/>
                <w:sz w:val="22"/>
                <w:szCs w:val="22"/>
              </w:rPr>
              <w:t> </w:t>
            </w:r>
          </w:p>
        </w:tc>
        <w:tc>
          <w:tcPr>
            <w:tcW w:w="1402" w:type="dxa"/>
            <w:tcBorders>
              <w:top w:val="nil"/>
              <w:left w:val="nil"/>
              <w:bottom w:val="nil"/>
              <w:right w:val="nil"/>
            </w:tcBorders>
            <w:shd w:val="clear" w:color="000000" w:fill="FFFFFF"/>
            <w:noWrap/>
            <w:vAlign w:val="bottom"/>
            <w:hideMark/>
          </w:tcPr>
          <w:p w14:paraId="7338B7C7" w14:textId="77777777" w:rsidR="00410424" w:rsidRDefault="00410424" w:rsidP="00410424">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61EF4267" w14:textId="77777777" w:rsidR="00410424" w:rsidRDefault="00410424" w:rsidP="00410424">
            <w:pPr>
              <w:rPr>
                <w:color w:val="000000"/>
                <w:sz w:val="22"/>
                <w:szCs w:val="22"/>
              </w:rPr>
            </w:pPr>
            <w:r>
              <w:rPr>
                <w:color w:val="000000"/>
                <w:sz w:val="22"/>
                <w:szCs w:val="22"/>
              </w:rPr>
              <w:t> </w:t>
            </w:r>
          </w:p>
        </w:tc>
        <w:tc>
          <w:tcPr>
            <w:tcW w:w="1347" w:type="dxa"/>
            <w:tcBorders>
              <w:top w:val="nil"/>
              <w:left w:val="nil"/>
              <w:bottom w:val="nil"/>
              <w:right w:val="nil"/>
            </w:tcBorders>
            <w:shd w:val="clear" w:color="000000" w:fill="FFFFFF"/>
            <w:noWrap/>
            <w:vAlign w:val="bottom"/>
            <w:hideMark/>
          </w:tcPr>
          <w:p w14:paraId="32D36606" w14:textId="77777777" w:rsidR="00410424" w:rsidRDefault="00410424" w:rsidP="00410424">
            <w:pPr>
              <w:rPr>
                <w:color w:val="000000"/>
                <w:sz w:val="22"/>
                <w:szCs w:val="22"/>
              </w:rPr>
            </w:pPr>
            <w:r>
              <w:rPr>
                <w:color w:val="000000"/>
                <w:sz w:val="22"/>
                <w:szCs w:val="22"/>
              </w:rPr>
              <w:t> </w:t>
            </w:r>
          </w:p>
        </w:tc>
        <w:tc>
          <w:tcPr>
            <w:tcW w:w="1080" w:type="dxa"/>
            <w:tcBorders>
              <w:top w:val="nil"/>
              <w:left w:val="nil"/>
              <w:bottom w:val="nil"/>
              <w:right w:val="nil"/>
            </w:tcBorders>
            <w:shd w:val="clear" w:color="000000" w:fill="FFFFFF"/>
            <w:noWrap/>
            <w:vAlign w:val="bottom"/>
            <w:hideMark/>
          </w:tcPr>
          <w:p w14:paraId="72FDD0A3" w14:textId="77777777" w:rsidR="00410424" w:rsidRDefault="00410424" w:rsidP="00410424">
            <w:pPr>
              <w:rPr>
                <w:color w:val="000000"/>
                <w:sz w:val="22"/>
                <w:szCs w:val="22"/>
              </w:rPr>
            </w:pPr>
            <w:r>
              <w:rPr>
                <w:color w:val="000000"/>
                <w:sz w:val="22"/>
                <w:szCs w:val="22"/>
              </w:rPr>
              <w:t> </w:t>
            </w:r>
          </w:p>
        </w:tc>
        <w:tc>
          <w:tcPr>
            <w:tcW w:w="1080" w:type="dxa"/>
            <w:tcBorders>
              <w:top w:val="nil"/>
              <w:left w:val="nil"/>
              <w:bottom w:val="nil"/>
              <w:right w:val="nil"/>
            </w:tcBorders>
            <w:shd w:val="clear" w:color="000000" w:fill="FFFFFF"/>
            <w:noWrap/>
            <w:vAlign w:val="bottom"/>
            <w:hideMark/>
          </w:tcPr>
          <w:p w14:paraId="0E3A02F7" w14:textId="77777777" w:rsidR="00410424" w:rsidRDefault="00410424" w:rsidP="00410424">
            <w:pPr>
              <w:rPr>
                <w:color w:val="000000"/>
                <w:sz w:val="22"/>
                <w:szCs w:val="22"/>
              </w:rPr>
            </w:pPr>
            <w:r>
              <w:rPr>
                <w:color w:val="000000"/>
                <w:sz w:val="22"/>
                <w:szCs w:val="22"/>
              </w:rPr>
              <w:t> </w:t>
            </w:r>
          </w:p>
        </w:tc>
        <w:tc>
          <w:tcPr>
            <w:tcW w:w="1121" w:type="dxa"/>
            <w:tcBorders>
              <w:top w:val="nil"/>
              <w:left w:val="nil"/>
              <w:bottom w:val="nil"/>
              <w:right w:val="single" w:sz="4" w:space="0" w:color="auto"/>
            </w:tcBorders>
            <w:shd w:val="clear" w:color="000000" w:fill="FFFFFF"/>
            <w:noWrap/>
            <w:vAlign w:val="bottom"/>
            <w:hideMark/>
          </w:tcPr>
          <w:p w14:paraId="62907A0C" w14:textId="77777777" w:rsidR="00410424" w:rsidRDefault="00410424" w:rsidP="00410424">
            <w:pPr>
              <w:rPr>
                <w:sz w:val="22"/>
                <w:szCs w:val="22"/>
              </w:rPr>
            </w:pPr>
            <w:r>
              <w:rPr>
                <w:sz w:val="22"/>
                <w:szCs w:val="22"/>
              </w:rPr>
              <w:t> </w:t>
            </w:r>
          </w:p>
        </w:tc>
      </w:tr>
      <w:tr w:rsidR="00410424" w14:paraId="6011F514" w14:textId="77777777" w:rsidTr="00410424">
        <w:trPr>
          <w:trHeight w:val="249"/>
        </w:trPr>
        <w:tc>
          <w:tcPr>
            <w:tcW w:w="3055" w:type="dxa"/>
            <w:gridSpan w:val="2"/>
            <w:tcBorders>
              <w:top w:val="nil"/>
              <w:left w:val="single" w:sz="4" w:space="0" w:color="auto"/>
              <w:bottom w:val="nil"/>
              <w:right w:val="nil"/>
            </w:tcBorders>
            <w:shd w:val="clear" w:color="000000" w:fill="FFFFFF"/>
            <w:noWrap/>
            <w:vAlign w:val="bottom"/>
            <w:hideMark/>
          </w:tcPr>
          <w:p w14:paraId="30D15F96" w14:textId="77777777" w:rsidR="00410424" w:rsidRDefault="00410424" w:rsidP="00410424">
            <w:pPr>
              <w:rPr>
                <w:b/>
                <w:bCs/>
                <w:sz w:val="22"/>
                <w:szCs w:val="22"/>
              </w:rPr>
            </w:pPr>
            <w:r>
              <w:rPr>
                <w:b/>
                <w:bCs/>
                <w:sz w:val="22"/>
                <w:szCs w:val="22"/>
              </w:rPr>
              <w:t>Per Staff</w:t>
            </w:r>
          </w:p>
        </w:tc>
        <w:tc>
          <w:tcPr>
            <w:tcW w:w="1206" w:type="dxa"/>
            <w:tcBorders>
              <w:top w:val="nil"/>
              <w:left w:val="nil"/>
              <w:bottom w:val="nil"/>
              <w:right w:val="nil"/>
            </w:tcBorders>
            <w:shd w:val="clear" w:color="000000" w:fill="FFFFFF"/>
            <w:noWrap/>
            <w:vAlign w:val="bottom"/>
            <w:hideMark/>
          </w:tcPr>
          <w:p w14:paraId="6B4CD18F" w14:textId="77777777" w:rsidR="00410424" w:rsidRDefault="00410424" w:rsidP="00410424">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7D105381" w14:textId="77777777" w:rsidR="00410424" w:rsidRDefault="00410424" w:rsidP="00410424">
            <w:pPr>
              <w:rPr>
                <w:color w:val="000000"/>
                <w:sz w:val="22"/>
                <w:szCs w:val="22"/>
              </w:rPr>
            </w:pPr>
            <w:r>
              <w:rPr>
                <w:color w:val="000000"/>
                <w:sz w:val="22"/>
                <w:szCs w:val="22"/>
              </w:rPr>
              <w:t> </w:t>
            </w:r>
          </w:p>
        </w:tc>
        <w:tc>
          <w:tcPr>
            <w:tcW w:w="1402" w:type="dxa"/>
            <w:tcBorders>
              <w:top w:val="nil"/>
              <w:left w:val="nil"/>
              <w:bottom w:val="nil"/>
              <w:right w:val="nil"/>
            </w:tcBorders>
            <w:shd w:val="clear" w:color="000000" w:fill="FFFFFF"/>
            <w:noWrap/>
            <w:vAlign w:val="bottom"/>
            <w:hideMark/>
          </w:tcPr>
          <w:p w14:paraId="7660861A" w14:textId="77777777" w:rsidR="00410424" w:rsidRDefault="00410424" w:rsidP="00410424">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70059897" w14:textId="77777777" w:rsidR="00410424" w:rsidRDefault="00410424" w:rsidP="00410424">
            <w:pPr>
              <w:rPr>
                <w:color w:val="000000"/>
                <w:sz w:val="22"/>
                <w:szCs w:val="22"/>
              </w:rPr>
            </w:pPr>
            <w:r>
              <w:rPr>
                <w:color w:val="000000"/>
                <w:sz w:val="22"/>
                <w:szCs w:val="22"/>
              </w:rPr>
              <w:t> </w:t>
            </w:r>
          </w:p>
        </w:tc>
        <w:tc>
          <w:tcPr>
            <w:tcW w:w="1347" w:type="dxa"/>
            <w:tcBorders>
              <w:top w:val="nil"/>
              <w:left w:val="nil"/>
              <w:bottom w:val="nil"/>
              <w:right w:val="nil"/>
            </w:tcBorders>
            <w:shd w:val="clear" w:color="000000" w:fill="FFFFFF"/>
            <w:noWrap/>
            <w:vAlign w:val="bottom"/>
            <w:hideMark/>
          </w:tcPr>
          <w:p w14:paraId="21BBD085" w14:textId="77777777" w:rsidR="00410424" w:rsidRDefault="00410424" w:rsidP="00410424">
            <w:pPr>
              <w:rPr>
                <w:color w:val="000000"/>
                <w:sz w:val="22"/>
                <w:szCs w:val="22"/>
              </w:rPr>
            </w:pPr>
            <w:r>
              <w:rPr>
                <w:color w:val="000000"/>
                <w:sz w:val="22"/>
                <w:szCs w:val="22"/>
              </w:rPr>
              <w:t> </w:t>
            </w:r>
          </w:p>
        </w:tc>
        <w:tc>
          <w:tcPr>
            <w:tcW w:w="1080" w:type="dxa"/>
            <w:tcBorders>
              <w:top w:val="nil"/>
              <w:left w:val="nil"/>
              <w:bottom w:val="nil"/>
              <w:right w:val="nil"/>
            </w:tcBorders>
            <w:shd w:val="clear" w:color="000000" w:fill="FFFFFF"/>
            <w:noWrap/>
            <w:vAlign w:val="bottom"/>
            <w:hideMark/>
          </w:tcPr>
          <w:p w14:paraId="3D3B34F1" w14:textId="77777777" w:rsidR="00410424" w:rsidRDefault="00410424" w:rsidP="00410424">
            <w:pPr>
              <w:rPr>
                <w:color w:val="000000"/>
                <w:sz w:val="22"/>
                <w:szCs w:val="22"/>
              </w:rPr>
            </w:pPr>
            <w:r>
              <w:rPr>
                <w:color w:val="000000"/>
                <w:sz w:val="22"/>
                <w:szCs w:val="22"/>
              </w:rPr>
              <w:t> </w:t>
            </w:r>
          </w:p>
        </w:tc>
        <w:tc>
          <w:tcPr>
            <w:tcW w:w="1080" w:type="dxa"/>
            <w:tcBorders>
              <w:top w:val="nil"/>
              <w:left w:val="nil"/>
              <w:bottom w:val="nil"/>
              <w:right w:val="nil"/>
            </w:tcBorders>
            <w:shd w:val="clear" w:color="000000" w:fill="FFFFFF"/>
            <w:noWrap/>
            <w:vAlign w:val="bottom"/>
            <w:hideMark/>
          </w:tcPr>
          <w:p w14:paraId="236AC4FD" w14:textId="77777777" w:rsidR="00410424" w:rsidRDefault="00410424" w:rsidP="00410424">
            <w:pPr>
              <w:rPr>
                <w:color w:val="000000"/>
                <w:sz w:val="22"/>
                <w:szCs w:val="22"/>
              </w:rPr>
            </w:pPr>
            <w:r>
              <w:rPr>
                <w:color w:val="000000"/>
                <w:sz w:val="22"/>
                <w:szCs w:val="22"/>
              </w:rPr>
              <w:t> </w:t>
            </w:r>
          </w:p>
        </w:tc>
        <w:tc>
          <w:tcPr>
            <w:tcW w:w="1121" w:type="dxa"/>
            <w:tcBorders>
              <w:top w:val="nil"/>
              <w:left w:val="nil"/>
              <w:bottom w:val="nil"/>
              <w:right w:val="single" w:sz="4" w:space="0" w:color="auto"/>
            </w:tcBorders>
            <w:shd w:val="clear" w:color="000000" w:fill="FFFFFF"/>
            <w:noWrap/>
            <w:vAlign w:val="bottom"/>
            <w:hideMark/>
          </w:tcPr>
          <w:p w14:paraId="5213E3AB" w14:textId="77777777" w:rsidR="00410424" w:rsidRDefault="00410424" w:rsidP="00410424">
            <w:pPr>
              <w:rPr>
                <w:sz w:val="22"/>
                <w:szCs w:val="22"/>
              </w:rPr>
            </w:pPr>
            <w:r>
              <w:rPr>
                <w:sz w:val="22"/>
                <w:szCs w:val="22"/>
              </w:rPr>
              <w:t> </w:t>
            </w:r>
          </w:p>
        </w:tc>
      </w:tr>
      <w:tr w:rsidR="00410424" w14:paraId="1A8BC15C"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2BF3F7ED" w14:textId="77777777" w:rsidR="00410424" w:rsidRDefault="00410424" w:rsidP="00410424">
            <w:pPr>
              <w:jc w:val="center"/>
              <w:rPr>
                <w:sz w:val="22"/>
                <w:szCs w:val="22"/>
              </w:rPr>
            </w:pPr>
            <w:r>
              <w:rPr>
                <w:sz w:val="22"/>
                <w:szCs w:val="22"/>
              </w:rPr>
              <w:t>9</w:t>
            </w:r>
          </w:p>
        </w:tc>
        <w:tc>
          <w:tcPr>
            <w:tcW w:w="2619" w:type="dxa"/>
            <w:tcBorders>
              <w:top w:val="nil"/>
              <w:left w:val="nil"/>
              <w:bottom w:val="nil"/>
              <w:right w:val="nil"/>
            </w:tcBorders>
            <w:shd w:val="clear" w:color="000000" w:fill="FFFFFF"/>
            <w:noWrap/>
            <w:vAlign w:val="bottom"/>
            <w:hideMark/>
          </w:tcPr>
          <w:p w14:paraId="497B1C02" w14:textId="77777777" w:rsidR="00410424" w:rsidRDefault="00410424" w:rsidP="00410424">
            <w:pPr>
              <w:rPr>
                <w:sz w:val="22"/>
                <w:szCs w:val="22"/>
              </w:rPr>
            </w:pPr>
            <w:r>
              <w:rPr>
                <w:sz w:val="22"/>
                <w:szCs w:val="22"/>
              </w:rPr>
              <w:t>Long-Term Debt</w:t>
            </w:r>
          </w:p>
        </w:tc>
        <w:tc>
          <w:tcPr>
            <w:tcW w:w="1206" w:type="dxa"/>
            <w:tcBorders>
              <w:top w:val="nil"/>
              <w:left w:val="nil"/>
              <w:bottom w:val="nil"/>
              <w:right w:val="nil"/>
            </w:tcBorders>
            <w:shd w:val="clear" w:color="000000" w:fill="FFFFFF"/>
            <w:noWrap/>
            <w:vAlign w:val="bottom"/>
            <w:hideMark/>
          </w:tcPr>
          <w:p w14:paraId="12EE5B8F"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5D3B46D4" w14:textId="77777777" w:rsidR="00410424" w:rsidRDefault="00410424" w:rsidP="00410424">
            <w:pPr>
              <w:jc w:val="right"/>
              <w:rPr>
                <w:sz w:val="22"/>
                <w:szCs w:val="22"/>
              </w:rPr>
            </w:pPr>
            <w:r>
              <w:rPr>
                <w:sz w:val="22"/>
                <w:szCs w:val="22"/>
              </w:rPr>
              <w:t xml:space="preserve">$0 </w:t>
            </w:r>
          </w:p>
        </w:tc>
        <w:tc>
          <w:tcPr>
            <w:tcW w:w="1402" w:type="dxa"/>
            <w:tcBorders>
              <w:top w:val="nil"/>
              <w:left w:val="nil"/>
              <w:bottom w:val="nil"/>
              <w:right w:val="nil"/>
            </w:tcBorders>
            <w:shd w:val="clear" w:color="000000" w:fill="FFFFFF"/>
            <w:noWrap/>
            <w:vAlign w:val="bottom"/>
            <w:hideMark/>
          </w:tcPr>
          <w:p w14:paraId="4619109A"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4A9EB8C4" w14:textId="77777777" w:rsidR="00410424" w:rsidRDefault="00410424" w:rsidP="00410424">
            <w:pPr>
              <w:jc w:val="right"/>
              <w:rPr>
                <w:sz w:val="22"/>
                <w:szCs w:val="22"/>
              </w:rPr>
            </w:pPr>
            <w:r>
              <w:rPr>
                <w:sz w:val="22"/>
                <w:szCs w:val="22"/>
              </w:rPr>
              <w:t xml:space="preserve">$0 </w:t>
            </w:r>
          </w:p>
        </w:tc>
        <w:tc>
          <w:tcPr>
            <w:tcW w:w="1347" w:type="dxa"/>
            <w:tcBorders>
              <w:top w:val="nil"/>
              <w:left w:val="nil"/>
              <w:bottom w:val="nil"/>
              <w:right w:val="nil"/>
            </w:tcBorders>
            <w:shd w:val="clear" w:color="000000" w:fill="FFFFFF"/>
            <w:noWrap/>
            <w:vAlign w:val="bottom"/>
            <w:hideMark/>
          </w:tcPr>
          <w:p w14:paraId="4623025B" w14:textId="77777777" w:rsidR="00410424" w:rsidRDefault="00410424" w:rsidP="00410424">
            <w:pPr>
              <w:jc w:val="right"/>
              <w:rPr>
                <w:sz w:val="22"/>
                <w:szCs w:val="22"/>
              </w:rPr>
            </w:pPr>
            <w:r>
              <w:rPr>
                <w:sz w:val="22"/>
                <w:szCs w:val="22"/>
              </w:rPr>
              <w:t xml:space="preserve">$0 </w:t>
            </w:r>
          </w:p>
        </w:tc>
        <w:tc>
          <w:tcPr>
            <w:tcW w:w="1080" w:type="dxa"/>
            <w:tcBorders>
              <w:top w:val="nil"/>
              <w:left w:val="nil"/>
              <w:bottom w:val="nil"/>
              <w:right w:val="nil"/>
            </w:tcBorders>
            <w:shd w:val="clear" w:color="000000" w:fill="FFFFFF"/>
            <w:noWrap/>
            <w:vAlign w:val="bottom"/>
            <w:hideMark/>
          </w:tcPr>
          <w:p w14:paraId="481E3E04" w14:textId="77777777" w:rsidR="00410424" w:rsidRDefault="00410424" w:rsidP="00410424">
            <w:pPr>
              <w:jc w:val="right"/>
              <w:rPr>
                <w:sz w:val="22"/>
                <w:szCs w:val="22"/>
              </w:rPr>
            </w:pPr>
            <w:r>
              <w:rPr>
                <w:sz w:val="22"/>
                <w:szCs w:val="22"/>
              </w:rPr>
              <w:t>0.00%</w:t>
            </w:r>
          </w:p>
        </w:tc>
        <w:tc>
          <w:tcPr>
            <w:tcW w:w="1080" w:type="dxa"/>
            <w:tcBorders>
              <w:top w:val="nil"/>
              <w:left w:val="nil"/>
              <w:bottom w:val="nil"/>
              <w:right w:val="nil"/>
            </w:tcBorders>
            <w:shd w:val="clear" w:color="000000" w:fill="FFFFFF"/>
            <w:noWrap/>
            <w:vAlign w:val="bottom"/>
            <w:hideMark/>
          </w:tcPr>
          <w:p w14:paraId="4B3DFAF1" w14:textId="77777777" w:rsidR="00410424" w:rsidRDefault="00410424" w:rsidP="00410424">
            <w:pPr>
              <w:jc w:val="right"/>
              <w:rPr>
                <w:sz w:val="22"/>
                <w:szCs w:val="22"/>
              </w:rPr>
            </w:pPr>
            <w:r>
              <w:rPr>
                <w:sz w:val="22"/>
                <w:szCs w:val="22"/>
              </w:rPr>
              <w:t>0.00%</w:t>
            </w:r>
          </w:p>
        </w:tc>
        <w:tc>
          <w:tcPr>
            <w:tcW w:w="1121" w:type="dxa"/>
            <w:tcBorders>
              <w:top w:val="nil"/>
              <w:left w:val="nil"/>
              <w:bottom w:val="nil"/>
              <w:right w:val="single" w:sz="4" w:space="0" w:color="auto"/>
            </w:tcBorders>
            <w:shd w:val="clear" w:color="000000" w:fill="FFFFFF"/>
            <w:noWrap/>
            <w:vAlign w:val="bottom"/>
            <w:hideMark/>
          </w:tcPr>
          <w:p w14:paraId="23D0C113" w14:textId="77777777" w:rsidR="00410424" w:rsidRDefault="00410424" w:rsidP="00410424">
            <w:pPr>
              <w:jc w:val="right"/>
              <w:rPr>
                <w:sz w:val="22"/>
                <w:szCs w:val="22"/>
              </w:rPr>
            </w:pPr>
            <w:r>
              <w:rPr>
                <w:sz w:val="22"/>
                <w:szCs w:val="22"/>
              </w:rPr>
              <w:t>0.00%</w:t>
            </w:r>
          </w:p>
        </w:tc>
      </w:tr>
      <w:tr w:rsidR="00410424" w14:paraId="116AFCB2"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7E859686" w14:textId="77777777" w:rsidR="00410424" w:rsidRDefault="00410424" w:rsidP="00410424">
            <w:pPr>
              <w:jc w:val="center"/>
              <w:rPr>
                <w:sz w:val="22"/>
                <w:szCs w:val="22"/>
              </w:rPr>
            </w:pPr>
            <w:r>
              <w:rPr>
                <w:sz w:val="22"/>
                <w:szCs w:val="22"/>
              </w:rPr>
              <w:t>10</w:t>
            </w:r>
          </w:p>
        </w:tc>
        <w:tc>
          <w:tcPr>
            <w:tcW w:w="2619" w:type="dxa"/>
            <w:tcBorders>
              <w:top w:val="nil"/>
              <w:left w:val="nil"/>
              <w:bottom w:val="nil"/>
              <w:right w:val="nil"/>
            </w:tcBorders>
            <w:shd w:val="clear" w:color="000000" w:fill="FFFFFF"/>
            <w:noWrap/>
            <w:vAlign w:val="bottom"/>
            <w:hideMark/>
          </w:tcPr>
          <w:p w14:paraId="65EC840B" w14:textId="77777777" w:rsidR="00410424" w:rsidRDefault="00410424" w:rsidP="00410424">
            <w:pPr>
              <w:rPr>
                <w:sz w:val="22"/>
                <w:szCs w:val="22"/>
              </w:rPr>
            </w:pPr>
            <w:r>
              <w:rPr>
                <w:sz w:val="22"/>
                <w:szCs w:val="22"/>
              </w:rPr>
              <w:t>Short-Term Debt</w:t>
            </w:r>
          </w:p>
        </w:tc>
        <w:tc>
          <w:tcPr>
            <w:tcW w:w="1206" w:type="dxa"/>
            <w:tcBorders>
              <w:top w:val="nil"/>
              <w:left w:val="nil"/>
              <w:bottom w:val="nil"/>
              <w:right w:val="nil"/>
            </w:tcBorders>
            <w:shd w:val="clear" w:color="000000" w:fill="FFFFFF"/>
            <w:noWrap/>
            <w:vAlign w:val="bottom"/>
            <w:hideMark/>
          </w:tcPr>
          <w:p w14:paraId="3D929375"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3B2FB3D7" w14:textId="77777777" w:rsidR="00410424" w:rsidRDefault="00410424" w:rsidP="00410424">
            <w:pPr>
              <w:jc w:val="right"/>
              <w:rPr>
                <w:sz w:val="22"/>
                <w:szCs w:val="22"/>
              </w:rPr>
            </w:pPr>
            <w:r>
              <w:rPr>
                <w:sz w:val="22"/>
                <w:szCs w:val="22"/>
              </w:rPr>
              <w:t xml:space="preserve">0 </w:t>
            </w:r>
          </w:p>
        </w:tc>
        <w:tc>
          <w:tcPr>
            <w:tcW w:w="1402" w:type="dxa"/>
            <w:tcBorders>
              <w:top w:val="nil"/>
              <w:left w:val="nil"/>
              <w:bottom w:val="nil"/>
              <w:right w:val="nil"/>
            </w:tcBorders>
            <w:shd w:val="clear" w:color="000000" w:fill="FFFFFF"/>
            <w:noWrap/>
            <w:vAlign w:val="bottom"/>
            <w:hideMark/>
          </w:tcPr>
          <w:p w14:paraId="30130BC2"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65B6E458" w14:textId="77777777" w:rsidR="00410424" w:rsidRDefault="00410424" w:rsidP="00410424">
            <w:pPr>
              <w:jc w:val="right"/>
              <w:rPr>
                <w:sz w:val="22"/>
                <w:szCs w:val="22"/>
              </w:rPr>
            </w:pPr>
            <w:r>
              <w:rPr>
                <w:sz w:val="22"/>
                <w:szCs w:val="22"/>
              </w:rPr>
              <w:t xml:space="preserve">0 </w:t>
            </w:r>
          </w:p>
        </w:tc>
        <w:tc>
          <w:tcPr>
            <w:tcW w:w="1347" w:type="dxa"/>
            <w:tcBorders>
              <w:top w:val="nil"/>
              <w:left w:val="nil"/>
              <w:bottom w:val="nil"/>
              <w:right w:val="nil"/>
            </w:tcBorders>
            <w:shd w:val="clear" w:color="000000" w:fill="FFFFFF"/>
            <w:noWrap/>
            <w:vAlign w:val="bottom"/>
            <w:hideMark/>
          </w:tcPr>
          <w:p w14:paraId="34630020" w14:textId="77777777" w:rsidR="00410424" w:rsidRDefault="00410424" w:rsidP="00410424">
            <w:pPr>
              <w:jc w:val="right"/>
              <w:rPr>
                <w:sz w:val="22"/>
                <w:szCs w:val="22"/>
              </w:rPr>
            </w:pPr>
            <w:r>
              <w:rPr>
                <w:sz w:val="22"/>
                <w:szCs w:val="22"/>
              </w:rPr>
              <w:t xml:space="preserve">0 </w:t>
            </w:r>
          </w:p>
        </w:tc>
        <w:tc>
          <w:tcPr>
            <w:tcW w:w="1080" w:type="dxa"/>
            <w:tcBorders>
              <w:top w:val="nil"/>
              <w:left w:val="nil"/>
              <w:bottom w:val="nil"/>
              <w:right w:val="nil"/>
            </w:tcBorders>
            <w:shd w:val="clear" w:color="000000" w:fill="FFFFFF"/>
            <w:noWrap/>
            <w:vAlign w:val="bottom"/>
            <w:hideMark/>
          </w:tcPr>
          <w:p w14:paraId="5508A4A4" w14:textId="77777777" w:rsidR="00410424" w:rsidRDefault="00410424" w:rsidP="00410424">
            <w:pPr>
              <w:jc w:val="right"/>
              <w:rPr>
                <w:sz w:val="22"/>
                <w:szCs w:val="22"/>
              </w:rPr>
            </w:pPr>
            <w:r>
              <w:rPr>
                <w:sz w:val="22"/>
                <w:szCs w:val="22"/>
              </w:rPr>
              <w:t>0.00%</w:t>
            </w:r>
          </w:p>
        </w:tc>
        <w:tc>
          <w:tcPr>
            <w:tcW w:w="1080" w:type="dxa"/>
            <w:tcBorders>
              <w:top w:val="nil"/>
              <w:left w:val="nil"/>
              <w:bottom w:val="nil"/>
              <w:right w:val="nil"/>
            </w:tcBorders>
            <w:shd w:val="clear" w:color="000000" w:fill="FFFFFF"/>
            <w:noWrap/>
            <w:vAlign w:val="bottom"/>
            <w:hideMark/>
          </w:tcPr>
          <w:p w14:paraId="47A0F953" w14:textId="77777777" w:rsidR="00410424" w:rsidRDefault="00410424" w:rsidP="00410424">
            <w:pPr>
              <w:jc w:val="right"/>
              <w:rPr>
                <w:sz w:val="22"/>
                <w:szCs w:val="22"/>
              </w:rPr>
            </w:pPr>
            <w:r>
              <w:rPr>
                <w:sz w:val="22"/>
                <w:szCs w:val="22"/>
              </w:rPr>
              <w:t>0.00%</w:t>
            </w:r>
          </w:p>
        </w:tc>
        <w:tc>
          <w:tcPr>
            <w:tcW w:w="1121" w:type="dxa"/>
            <w:tcBorders>
              <w:top w:val="nil"/>
              <w:left w:val="nil"/>
              <w:bottom w:val="nil"/>
              <w:right w:val="single" w:sz="4" w:space="0" w:color="auto"/>
            </w:tcBorders>
            <w:shd w:val="clear" w:color="000000" w:fill="FFFFFF"/>
            <w:noWrap/>
            <w:vAlign w:val="bottom"/>
            <w:hideMark/>
          </w:tcPr>
          <w:p w14:paraId="0589C584" w14:textId="77777777" w:rsidR="00410424" w:rsidRDefault="00410424" w:rsidP="00410424">
            <w:pPr>
              <w:jc w:val="right"/>
              <w:rPr>
                <w:sz w:val="22"/>
                <w:szCs w:val="22"/>
              </w:rPr>
            </w:pPr>
            <w:r>
              <w:rPr>
                <w:sz w:val="22"/>
                <w:szCs w:val="22"/>
              </w:rPr>
              <w:t>0.00%</w:t>
            </w:r>
          </w:p>
        </w:tc>
      </w:tr>
      <w:tr w:rsidR="00410424" w14:paraId="295B2E46"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506D04CA" w14:textId="77777777" w:rsidR="00410424" w:rsidRDefault="00410424" w:rsidP="00410424">
            <w:pPr>
              <w:jc w:val="center"/>
              <w:rPr>
                <w:sz w:val="22"/>
                <w:szCs w:val="22"/>
              </w:rPr>
            </w:pPr>
            <w:r>
              <w:rPr>
                <w:sz w:val="22"/>
                <w:szCs w:val="22"/>
              </w:rPr>
              <w:t>11</w:t>
            </w:r>
          </w:p>
        </w:tc>
        <w:tc>
          <w:tcPr>
            <w:tcW w:w="2619" w:type="dxa"/>
            <w:tcBorders>
              <w:top w:val="nil"/>
              <w:left w:val="nil"/>
              <w:bottom w:val="nil"/>
              <w:right w:val="nil"/>
            </w:tcBorders>
            <w:shd w:val="clear" w:color="000000" w:fill="FFFFFF"/>
            <w:noWrap/>
            <w:vAlign w:val="bottom"/>
            <w:hideMark/>
          </w:tcPr>
          <w:p w14:paraId="015DA835" w14:textId="77777777" w:rsidR="00410424" w:rsidRDefault="00410424" w:rsidP="00410424">
            <w:pPr>
              <w:rPr>
                <w:sz w:val="22"/>
                <w:szCs w:val="22"/>
              </w:rPr>
            </w:pPr>
            <w:r>
              <w:rPr>
                <w:sz w:val="22"/>
                <w:szCs w:val="22"/>
              </w:rPr>
              <w:t>Preferred Stock</w:t>
            </w:r>
          </w:p>
        </w:tc>
        <w:tc>
          <w:tcPr>
            <w:tcW w:w="1206" w:type="dxa"/>
            <w:tcBorders>
              <w:top w:val="nil"/>
              <w:left w:val="nil"/>
              <w:bottom w:val="nil"/>
              <w:right w:val="nil"/>
            </w:tcBorders>
            <w:shd w:val="clear" w:color="000000" w:fill="FFFFFF"/>
            <w:noWrap/>
            <w:vAlign w:val="bottom"/>
            <w:hideMark/>
          </w:tcPr>
          <w:p w14:paraId="010A9F2C"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0F890B05" w14:textId="77777777" w:rsidR="00410424" w:rsidRDefault="00410424" w:rsidP="00410424">
            <w:pPr>
              <w:jc w:val="right"/>
              <w:rPr>
                <w:sz w:val="22"/>
                <w:szCs w:val="22"/>
              </w:rPr>
            </w:pPr>
            <w:r>
              <w:rPr>
                <w:sz w:val="22"/>
                <w:szCs w:val="22"/>
              </w:rPr>
              <w:t xml:space="preserve">0 </w:t>
            </w:r>
          </w:p>
        </w:tc>
        <w:tc>
          <w:tcPr>
            <w:tcW w:w="1402" w:type="dxa"/>
            <w:tcBorders>
              <w:top w:val="nil"/>
              <w:left w:val="nil"/>
              <w:bottom w:val="nil"/>
              <w:right w:val="nil"/>
            </w:tcBorders>
            <w:shd w:val="clear" w:color="000000" w:fill="FFFFFF"/>
            <w:noWrap/>
            <w:vAlign w:val="bottom"/>
            <w:hideMark/>
          </w:tcPr>
          <w:p w14:paraId="177867FD"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013A23B4" w14:textId="77777777" w:rsidR="00410424" w:rsidRDefault="00410424" w:rsidP="00410424">
            <w:pPr>
              <w:jc w:val="right"/>
              <w:rPr>
                <w:sz w:val="22"/>
                <w:szCs w:val="22"/>
              </w:rPr>
            </w:pPr>
            <w:r>
              <w:rPr>
                <w:sz w:val="22"/>
                <w:szCs w:val="22"/>
              </w:rPr>
              <w:t xml:space="preserve">0 </w:t>
            </w:r>
          </w:p>
        </w:tc>
        <w:tc>
          <w:tcPr>
            <w:tcW w:w="1347" w:type="dxa"/>
            <w:tcBorders>
              <w:top w:val="nil"/>
              <w:left w:val="nil"/>
              <w:bottom w:val="nil"/>
              <w:right w:val="nil"/>
            </w:tcBorders>
            <w:shd w:val="clear" w:color="000000" w:fill="FFFFFF"/>
            <w:noWrap/>
            <w:vAlign w:val="bottom"/>
            <w:hideMark/>
          </w:tcPr>
          <w:p w14:paraId="2E785080" w14:textId="77777777" w:rsidR="00410424" w:rsidRDefault="00410424" w:rsidP="00410424">
            <w:pPr>
              <w:jc w:val="right"/>
              <w:rPr>
                <w:sz w:val="22"/>
                <w:szCs w:val="22"/>
              </w:rPr>
            </w:pPr>
            <w:r>
              <w:rPr>
                <w:sz w:val="22"/>
                <w:szCs w:val="22"/>
              </w:rPr>
              <w:t xml:space="preserve">0 </w:t>
            </w:r>
          </w:p>
        </w:tc>
        <w:tc>
          <w:tcPr>
            <w:tcW w:w="1080" w:type="dxa"/>
            <w:tcBorders>
              <w:top w:val="nil"/>
              <w:left w:val="nil"/>
              <w:bottom w:val="nil"/>
              <w:right w:val="nil"/>
            </w:tcBorders>
            <w:shd w:val="clear" w:color="000000" w:fill="FFFFFF"/>
            <w:noWrap/>
            <w:vAlign w:val="bottom"/>
            <w:hideMark/>
          </w:tcPr>
          <w:p w14:paraId="58B4FEC0" w14:textId="77777777" w:rsidR="00410424" w:rsidRDefault="00410424" w:rsidP="00410424">
            <w:pPr>
              <w:jc w:val="right"/>
              <w:rPr>
                <w:sz w:val="22"/>
                <w:szCs w:val="22"/>
              </w:rPr>
            </w:pPr>
            <w:r>
              <w:rPr>
                <w:sz w:val="22"/>
                <w:szCs w:val="22"/>
              </w:rPr>
              <w:t>0.00%</w:t>
            </w:r>
          </w:p>
        </w:tc>
        <w:tc>
          <w:tcPr>
            <w:tcW w:w="1080" w:type="dxa"/>
            <w:tcBorders>
              <w:top w:val="nil"/>
              <w:left w:val="nil"/>
              <w:bottom w:val="nil"/>
              <w:right w:val="nil"/>
            </w:tcBorders>
            <w:shd w:val="clear" w:color="000000" w:fill="FFFFFF"/>
            <w:noWrap/>
            <w:vAlign w:val="bottom"/>
            <w:hideMark/>
          </w:tcPr>
          <w:p w14:paraId="329DFAF2" w14:textId="77777777" w:rsidR="00410424" w:rsidRDefault="00410424" w:rsidP="00410424">
            <w:pPr>
              <w:jc w:val="right"/>
              <w:rPr>
                <w:sz w:val="22"/>
                <w:szCs w:val="22"/>
              </w:rPr>
            </w:pPr>
            <w:r>
              <w:rPr>
                <w:sz w:val="22"/>
                <w:szCs w:val="22"/>
              </w:rPr>
              <w:t>0.00%</w:t>
            </w:r>
          </w:p>
        </w:tc>
        <w:tc>
          <w:tcPr>
            <w:tcW w:w="1121" w:type="dxa"/>
            <w:tcBorders>
              <w:top w:val="nil"/>
              <w:left w:val="nil"/>
              <w:bottom w:val="nil"/>
              <w:right w:val="single" w:sz="4" w:space="0" w:color="auto"/>
            </w:tcBorders>
            <w:shd w:val="clear" w:color="000000" w:fill="FFFFFF"/>
            <w:noWrap/>
            <w:vAlign w:val="bottom"/>
            <w:hideMark/>
          </w:tcPr>
          <w:p w14:paraId="71B0DEAB" w14:textId="77777777" w:rsidR="00410424" w:rsidRDefault="00410424" w:rsidP="00410424">
            <w:pPr>
              <w:jc w:val="right"/>
              <w:rPr>
                <w:sz w:val="22"/>
                <w:szCs w:val="22"/>
              </w:rPr>
            </w:pPr>
            <w:r>
              <w:rPr>
                <w:sz w:val="22"/>
                <w:szCs w:val="22"/>
              </w:rPr>
              <w:t>0.00%</w:t>
            </w:r>
          </w:p>
        </w:tc>
      </w:tr>
      <w:tr w:rsidR="00410424" w14:paraId="5004A598"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2A0AF97D" w14:textId="77777777" w:rsidR="00410424" w:rsidRDefault="00410424" w:rsidP="00410424">
            <w:pPr>
              <w:jc w:val="center"/>
              <w:rPr>
                <w:sz w:val="22"/>
                <w:szCs w:val="22"/>
              </w:rPr>
            </w:pPr>
            <w:r>
              <w:rPr>
                <w:sz w:val="22"/>
                <w:szCs w:val="22"/>
              </w:rPr>
              <w:t>12</w:t>
            </w:r>
          </w:p>
        </w:tc>
        <w:tc>
          <w:tcPr>
            <w:tcW w:w="2619" w:type="dxa"/>
            <w:tcBorders>
              <w:top w:val="nil"/>
              <w:left w:val="nil"/>
              <w:bottom w:val="nil"/>
              <w:right w:val="nil"/>
            </w:tcBorders>
            <w:shd w:val="clear" w:color="000000" w:fill="FFFFFF"/>
            <w:noWrap/>
            <w:vAlign w:val="bottom"/>
            <w:hideMark/>
          </w:tcPr>
          <w:p w14:paraId="021203E2" w14:textId="77777777" w:rsidR="00410424" w:rsidRDefault="00410424" w:rsidP="00410424">
            <w:pPr>
              <w:rPr>
                <w:sz w:val="22"/>
                <w:szCs w:val="22"/>
              </w:rPr>
            </w:pPr>
            <w:r>
              <w:rPr>
                <w:sz w:val="22"/>
                <w:szCs w:val="22"/>
              </w:rPr>
              <w:t>Common Equity</w:t>
            </w:r>
          </w:p>
        </w:tc>
        <w:tc>
          <w:tcPr>
            <w:tcW w:w="1206" w:type="dxa"/>
            <w:tcBorders>
              <w:top w:val="nil"/>
              <w:left w:val="nil"/>
              <w:bottom w:val="nil"/>
              <w:right w:val="nil"/>
            </w:tcBorders>
            <w:shd w:val="clear" w:color="000000" w:fill="FFFFFF"/>
            <w:noWrap/>
            <w:vAlign w:val="bottom"/>
            <w:hideMark/>
          </w:tcPr>
          <w:p w14:paraId="082BB5EB" w14:textId="77777777" w:rsidR="00410424" w:rsidRDefault="00410424" w:rsidP="00410424">
            <w:pPr>
              <w:jc w:val="right"/>
              <w:rPr>
                <w:sz w:val="22"/>
                <w:szCs w:val="22"/>
              </w:rPr>
            </w:pPr>
            <w:r>
              <w:rPr>
                <w:sz w:val="22"/>
                <w:szCs w:val="22"/>
              </w:rPr>
              <w:t xml:space="preserve">3,399,206 </w:t>
            </w:r>
          </w:p>
        </w:tc>
        <w:tc>
          <w:tcPr>
            <w:tcW w:w="1353" w:type="dxa"/>
            <w:tcBorders>
              <w:top w:val="nil"/>
              <w:left w:val="nil"/>
              <w:bottom w:val="nil"/>
              <w:right w:val="nil"/>
            </w:tcBorders>
            <w:shd w:val="clear" w:color="000000" w:fill="FFFFFF"/>
            <w:noWrap/>
            <w:vAlign w:val="bottom"/>
            <w:hideMark/>
          </w:tcPr>
          <w:p w14:paraId="0FEEB06C" w14:textId="77777777" w:rsidR="00410424" w:rsidRDefault="00410424" w:rsidP="00410424">
            <w:pPr>
              <w:jc w:val="right"/>
              <w:rPr>
                <w:sz w:val="22"/>
                <w:szCs w:val="22"/>
              </w:rPr>
            </w:pPr>
            <w:r>
              <w:rPr>
                <w:sz w:val="22"/>
                <w:szCs w:val="22"/>
              </w:rPr>
              <w:t xml:space="preserve">0 </w:t>
            </w:r>
          </w:p>
        </w:tc>
        <w:tc>
          <w:tcPr>
            <w:tcW w:w="1402" w:type="dxa"/>
            <w:tcBorders>
              <w:top w:val="nil"/>
              <w:left w:val="nil"/>
              <w:bottom w:val="nil"/>
              <w:right w:val="nil"/>
            </w:tcBorders>
            <w:shd w:val="clear" w:color="000000" w:fill="FFFFFF"/>
            <w:noWrap/>
            <w:vAlign w:val="bottom"/>
            <w:hideMark/>
          </w:tcPr>
          <w:p w14:paraId="52F2E49C" w14:textId="77777777" w:rsidR="00410424" w:rsidRDefault="00410424" w:rsidP="00410424">
            <w:pPr>
              <w:jc w:val="right"/>
              <w:rPr>
                <w:sz w:val="22"/>
                <w:szCs w:val="22"/>
              </w:rPr>
            </w:pPr>
            <w:r>
              <w:rPr>
                <w:sz w:val="22"/>
                <w:szCs w:val="22"/>
              </w:rPr>
              <w:t xml:space="preserve">3,399,206 </w:t>
            </w:r>
          </w:p>
        </w:tc>
        <w:tc>
          <w:tcPr>
            <w:tcW w:w="1353" w:type="dxa"/>
            <w:tcBorders>
              <w:top w:val="nil"/>
              <w:left w:val="nil"/>
              <w:bottom w:val="nil"/>
              <w:right w:val="nil"/>
            </w:tcBorders>
            <w:shd w:val="clear" w:color="000000" w:fill="FFFFFF"/>
            <w:noWrap/>
            <w:vAlign w:val="bottom"/>
            <w:hideMark/>
          </w:tcPr>
          <w:p w14:paraId="4B3906E8" w14:textId="77777777" w:rsidR="00410424" w:rsidRDefault="00410424" w:rsidP="00410424">
            <w:pPr>
              <w:jc w:val="right"/>
              <w:rPr>
                <w:sz w:val="22"/>
                <w:szCs w:val="22"/>
              </w:rPr>
            </w:pPr>
            <w:r>
              <w:rPr>
                <w:sz w:val="22"/>
                <w:szCs w:val="22"/>
              </w:rPr>
              <w:t>(1,077,062)</w:t>
            </w:r>
          </w:p>
        </w:tc>
        <w:tc>
          <w:tcPr>
            <w:tcW w:w="1347" w:type="dxa"/>
            <w:tcBorders>
              <w:top w:val="nil"/>
              <w:left w:val="nil"/>
              <w:bottom w:val="nil"/>
              <w:right w:val="nil"/>
            </w:tcBorders>
            <w:shd w:val="clear" w:color="000000" w:fill="FFFFFF"/>
            <w:noWrap/>
            <w:vAlign w:val="bottom"/>
            <w:hideMark/>
          </w:tcPr>
          <w:p w14:paraId="65CAC659" w14:textId="77777777" w:rsidR="00410424" w:rsidRDefault="00410424" w:rsidP="00410424">
            <w:pPr>
              <w:jc w:val="right"/>
              <w:rPr>
                <w:sz w:val="22"/>
                <w:szCs w:val="22"/>
              </w:rPr>
            </w:pPr>
            <w:r>
              <w:rPr>
                <w:sz w:val="22"/>
                <w:szCs w:val="22"/>
              </w:rPr>
              <w:t xml:space="preserve">2,322,144 </w:t>
            </w:r>
          </w:p>
        </w:tc>
        <w:tc>
          <w:tcPr>
            <w:tcW w:w="1080" w:type="dxa"/>
            <w:tcBorders>
              <w:top w:val="nil"/>
              <w:left w:val="nil"/>
              <w:bottom w:val="nil"/>
              <w:right w:val="nil"/>
            </w:tcBorders>
            <w:shd w:val="clear" w:color="000000" w:fill="FFFFFF"/>
            <w:noWrap/>
            <w:vAlign w:val="bottom"/>
            <w:hideMark/>
          </w:tcPr>
          <w:p w14:paraId="2F283CE5" w14:textId="77777777" w:rsidR="00410424" w:rsidRDefault="00410424" w:rsidP="00410424">
            <w:pPr>
              <w:jc w:val="right"/>
              <w:rPr>
                <w:sz w:val="22"/>
                <w:szCs w:val="22"/>
              </w:rPr>
            </w:pPr>
            <w:r>
              <w:rPr>
                <w:sz w:val="22"/>
                <w:szCs w:val="22"/>
              </w:rPr>
              <w:t>99.72%</w:t>
            </w:r>
          </w:p>
        </w:tc>
        <w:tc>
          <w:tcPr>
            <w:tcW w:w="1080" w:type="dxa"/>
            <w:tcBorders>
              <w:top w:val="nil"/>
              <w:left w:val="nil"/>
              <w:bottom w:val="nil"/>
              <w:right w:val="nil"/>
            </w:tcBorders>
            <w:shd w:val="clear" w:color="000000" w:fill="FFFFFF"/>
            <w:noWrap/>
            <w:vAlign w:val="bottom"/>
            <w:hideMark/>
          </w:tcPr>
          <w:p w14:paraId="35B4DAA2" w14:textId="77777777" w:rsidR="00410424" w:rsidRDefault="00410424" w:rsidP="00410424">
            <w:pPr>
              <w:jc w:val="right"/>
              <w:rPr>
                <w:sz w:val="22"/>
                <w:szCs w:val="22"/>
              </w:rPr>
            </w:pPr>
            <w:r>
              <w:rPr>
                <w:sz w:val="22"/>
                <w:szCs w:val="22"/>
              </w:rPr>
              <w:t>7.85%</w:t>
            </w:r>
          </w:p>
        </w:tc>
        <w:tc>
          <w:tcPr>
            <w:tcW w:w="1121" w:type="dxa"/>
            <w:tcBorders>
              <w:top w:val="nil"/>
              <w:left w:val="nil"/>
              <w:bottom w:val="nil"/>
              <w:right w:val="single" w:sz="4" w:space="0" w:color="auto"/>
            </w:tcBorders>
            <w:shd w:val="clear" w:color="000000" w:fill="FFFFFF"/>
            <w:noWrap/>
            <w:vAlign w:val="bottom"/>
            <w:hideMark/>
          </w:tcPr>
          <w:p w14:paraId="76345097" w14:textId="77777777" w:rsidR="00410424" w:rsidRDefault="00410424" w:rsidP="00410424">
            <w:pPr>
              <w:jc w:val="right"/>
              <w:rPr>
                <w:sz w:val="22"/>
                <w:szCs w:val="22"/>
              </w:rPr>
            </w:pPr>
            <w:r>
              <w:rPr>
                <w:sz w:val="22"/>
                <w:szCs w:val="22"/>
              </w:rPr>
              <w:t>7.83%</w:t>
            </w:r>
          </w:p>
        </w:tc>
      </w:tr>
      <w:tr w:rsidR="00410424" w14:paraId="4B0AB2E5"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5D51920E" w14:textId="77777777" w:rsidR="00410424" w:rsidRDefault="00410424" w:rsidP="00410424">
            <w:pPr>
              <w:jc w:val="center"/>
              <w:rPr>
                <w:sz w:val="22"/>
                <w:szCs w:val="22"/>
              </w:rPr>
            </w:pPr>
            <w:r>
              <w:rPr>
                <w:sz w:val="22"/>
                <w:szCs w:val="22"/>
              </w:rPr>
              <w:t>13</w:t>
            </w:r>
          </w:p>
        </w:tc>
        <w:tc>
          <w:tcPr>
            <w:tcW w:w="2619" w:type="dxa"/>
            <w:tcBorders>
              <w:top w:val="nil"/>
              <w:left w:val="nil"/>
              <w:bottom w:val="nil"/>
              <w:right w:val="nil"/>
            </w:tcBorders>
            <w:shd w:val="clear" w:color="000000" w:fill="FFFFFF"/>
            <w:noWrap/>
            <w:vAlign w:val="bottom"/>
            <w:hideMark/>
          </w:tcPr>
          <w:p w14:paraId="1D5D1B20" w14:textId="77777777" w:rsidR="00410424" w:rsidRDefault="00410424" w:rsidP="00410424">
            <w:pPr>
              <w:rPr>
                <w:sz w:val="22"/>
                <w:szCs w:val="22"/>
              </w:rPr>
            </w:pPr>
            <w:r>
              <w:rPr>
                <w:sz w:val="22"/>
                <w:szCs w:val="22"/>
              </w:rPr>
              <w:t>Customer Deposits</w:t>
            </w:r>
          </w:p>
        </w:tc>
        <w:tc>
          <w:tcPr>
            <w:tcW w:w="1206" w:type="dxa"/>
            <w:tcBorders>
              <w:top w:val="nil"/>
              <w:left w:val="nil"/>
              <w:bottom w:val="nil"/>
              <w:right w:val="nil"/>
            </w:tcBorders>
            <w:shd w:val="clear" w:color="000000" w:fill="FFFFFF"/>
            <w:noWrap/>
            <w:vAlign w:val="bottom"/>
            <w:hideMark/>
          </w:tcPr>
          <w:p w14:paraId="17E64DA7" w14:textId="77777777" w:rsidR="00410424" w:rsidRDefault="00410424" w:rsidP="00410424">
            <w:pPr>
              <w:jc w:val="right"/>
              <w:rPr>
                <w:sz w:val="22"/>
                <w:szCs w:val="22"/>
              </w:rPr>
            </w:pPr>
            <w:r>
              <w:rPr>
                <w:sz w:val="22"/>
                <w:szCs w:val="22"/>
              </w:rPr>
              <w:t xml:space="preserve">6,420 </w:t>
            </w:r>
          </w:p>
        </w:tc>
        <w:tc>
          <w:tcPr>
            <w:tcW w:w="1353" w:type="dxa"/>
            <w:tcBorders>
              <w:top w:val="nil"/>
              <w:left w:val="nil"/>
              <w:bottom w:val="nil"/>
              <w:right w:val="nil"/>
            </w:tcBorders>
            <w:shd w:val="clear" w:color="000000" w:fill="FFFFFF"/>
            <w:noWrap/>
            <w:vAlign w:val="bottom"/>
            <w:hideMark/>
          </w:tcPr>
          <w:p w14:paraId="793DCDE4" w14:textId="77777777" w:rsidR="00410424" w:rsidRDefault="00410424" w:rsidP="00410424">
            <w:pPr>
              <w:jc w:val="right"/>
              <w:rPr>
                <w:sz w:val="22"/>
                <w:szCs w:val="22"/>
              </w:rPr>
            </w:pPr>
            <w:r>
              <w:rPr>
                <w:sz w:val="22"/>
                <w:szCs w:val="22"/>
              </w:rPr>
              <w:t xml:space="preserve">0 </w:t>
            </w:r>
          </w:p>
        </w:tc>
        <w:tc>
          <w:tcPr>
            <w:tcW w:w="1402" w:type="dxa"/>
            <w:tcBorders>
              <w:top w:val="nil"/>
              <w:left w:val="nil"/>
              <w:bottom w:val="nil"/>
              <w:right w:val="nil"/>
            </w:tcBorders>
            <w:shd w:val="clear" w:color="000000" w:fill="FFFFFF"/>
            <w:noWrap/>
            <w:vAlign w:val="bottom"/>
            <w:hideMark/>
          </w:tcPr>
          <w:p w14:paraId="531095F1" w14:textId="77777777" w:rsidR="00410424" w:rsidRDefault="00410424" w:rsidP="00410424">
            <w:pPr>
              <w:jc w:val="right"/>
              <w:rPr>
                <w:sz w:val="22"/>
                <w:szCs w:val="22"/>
              </w:rPr>
            </w:pPr>
            <w:r>
              <w:rPr>
                <w:sz w:val="22"/>
                <w:szCs w:val="22"/>
              </w:rPr>
              <w:t xml:space="preserve">6,420 </w:t>
            </w:r>
          </w:p>
        </w:tc>
        <w:tc>
          <w:tcPr>
            <w:tcW w:w="1353" w:type="dxa"/>
            <w:tcBorders>
              <w:top w:val="nil"/>
              <w:left w:val="nil"/>
              <w:bottom w:val="nil"/>
              <w:right w:val="nil"/>
            </w:tcBorders>
            <w:shd w:val="clear" w:color="000000" w:fill="FFFFFF"/>
            <w:noWrap/>
            <w:vAlign w:val="bottom"/>
            <w:hideMark/>
          </w:tcPr>
          <w:p w14:paraId="3E5530F7" w14:textId="77777777" w:rsidR="00410424" w:rsidRDefault="00410424" w:rsidP="00410424">
            <w:pPr>
              <w:jc w:val="right"/>
              <w:rPr>
                <w:sz w:val="22"/>
                <w:szCs w:val="22"/>
              </w:rPr>
            </w:pPr>
            <w:r>
              <w:rPr>
                <w:sz w:val="22"/>
                <w:szCs w:val="22"/>
              </w:rPr>
              <w:t xml:space="preserve">0 </w:t>
            </w:r>
          </w:p>
        </w:tc>
        <w:tc>
          <w:tcPr>
            <w:tcW w:w="1347" w:type="dxa"/>
            <w:tcBorders>
              <w:top w:val="nil"/>
              <w:left w:val="nil"/>
              <w:bottom w:val="nil"/>
              <w:right w:val="nil"/>
            </w:tcBorders>
            <w:shd w:val="clear" w:color="000000" w:fill="FFFFFF"/>
            <w:noWrap/>
            <w:vAlign w:val="bottom"/>
            <w:hideMark/>
          </w:tcPr>
          <w:p w14:paraId="65445B94" w14:textId="77777777" w:rsidR="00410424" w:rsidRDefault="00410424" w:rsidP="00410424">
            <w:pPr>
              <w:jc w:val="right"/>
              <w:rPr>
                <w:sz w:val="22"/>
                <w:szCs w:val="22"/>
              </w:rPr>
            </w:pPr>
            <w:r>
              <w:rPr>
                <w:sz w:val="22"/>
                <w:szCs w:val="22"/>
              </w:rPr>
              <w:t xml:space="preserve">6,420 </w:t>
            </w:r>
          </w:p>
        </w:tc>
        <w:tc>
          <w:tcPr>
            <w:tcW w:w="1080" w:type="dxa"/>
            <w:tcBorders>
              <w:top w:val="nil"/>
              <w:left w:val="nil"/>
              <w:bottom w:val="nil"/>
              <w:right w:val="nil"/>
            </w:tcBorders>
            <w:shd w:val="clear" w:color="000000" w:fill="FFFFFF"/>
            <w:noWrap/>
            <w:vAlign w:val="bottom"/>
            <w:hideMark/>
          </w:tcPr>
          <w:p w14:paraId="0A7A3388" w14:textId="77777777" w:rsidR="00410424" w:rsidRDefault="00410424" w:rsidP="00410424">
            <w:pPr>
              <w:jc w:val="right"/>
              <w:rPr>
                <w:sz w:val="22"/>
                <w:szCs w:val="22"/>
              </w:rPr>
            </w:pPr>
            <w:r>
              <w:rPr>
                <w:sz w:val="22"/>
                <w:szCs w:val="22"/>
              </w:rPr>
              <w:t>0.28%</w:t>
            </w:r>
          </w:p>
        </w:tc>
        <w:tc>
          <w:tcPr>
            <w:tcW w:w="1080" w:type="dxa"/>
            <w:tcBorders>
              <w:top w:val="nil"/>
              <w:left w:val="nil"/>
              <w:bottom w:val="nil"/>
              <w:right w:val="nil"/>
            </w:tcBorders>
            <w:shd w:val="clear" w:color="000000" w:fill="FFFFFF"/>
            <w:noWrap/>
            <w:vAlign w:val="bottom"/>
            <w:hideMark/>
          </w:tcPr>
          <w:p w14:paraId="0D179810" w14:textId="77777777" w:rsidR="00410424" w:rsidRDefault="00410424" w:rsidP="00410424">
            <w:pPr>
              <w:jc w:val="right"/>
              <w:rPr>
                <w:sz w:val="22"/>
                <w:szCs w:val="22"/>
              </w:rPr>
            </w:pPr>
            <w:r>
              <w:rPr>
                <w:sz w:val="22"/>
                <w:szCs w:val="22"/>
              </w:rPr>
              <w:t>2.00%</w:t>
            </w:r>
          </w:p>
        </w:tc>
        <w:tc>
          <w:tcPr>
            <w:tcW w:w="1121" w:type="dxa"/>
            <w:tcBorders>
              <w:top w:val="nil"/>
              <w:left w:val="nil"/>
              <w:bottom w:val="nil"/>
              <w:right w:val="single" w:sz="4" w:space="0" w:color="auto"/>
            </w:tcBorders>
            <w:shd w:val="clear" w:color="000000" w:fill="FFFFFF"/>
            <w:noWrap/>
            <w:vAlign w:val="bottom"/>
            <w:hideMark/>
          </w:tcPr>
          <w:p w14:paraId="5D31655E" w14:textId="77777777" w:rsidR="00410424" w:rsidRDefault="00410424" w:rsidP="00410424">
            <w:pPr>
              <w:jc w:val="right"/>
              <w:rPr>
                <w:sz w:val="22"/>
                <w:szCs w:val="22"/>
              </w:rPr>
            </w:pPr>
            <w:r>
              <w:rPr>
                <w:sz w:val="22"/>
                <w:szCs w:val="22"/>
              </w:rPr>
              <w:t>0.01%</w:t>
            </w:r>
          </w:p>
        </w:tc>
      </w:tr>
      <w:tr w:rsidR="00410424" w14:paraId="68AE999D"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747DDCAC" w14:textId="77777777" w:rsidR="00410424" w:rsidRDefault="00410424" w:rsidP="00410424">
            <w:pPr>
              <w:jc w:val="center"/>
              <w:rPr>
                <w:sz w:val="22"/>
                <w:szCs w:val="22"/>
              </w:rPr>
            </w:pPr>
            <w:r>
              <w:rPr>
                <w:sz w:val="22"/>
                <w:szCs w:val="22"/>
              </w:rPr>
              <w:t>14</w:t>
            </w:r>
          </w:p>
        </w:tc>
        <w:tc>
          <w:tcPr>
            <w:tcW w:w="2619" w:type="dxa"/>
            <w:tcBorders>
              <w:top w:val="nil"/>
              <w:left w:val="nil"/>
              <w:bottom w:val="nil"/>
              <w:right w:val="nil"/>
            </w:tcBorders>
            <w:shd w:val="clear" w:color="000000" w:fill="FFFFFF"/>
            <w:noWrap/>
            <w:vAlign w:val="bottom"/>
            <w:hideMark/>
          </w:tcPr>
          <w:p w14:paraId="1B879864" w14:textId="77777777" w:rsidR="00410424" w:rsidRDefault="00410424" w:rsidP="00410424">
            <w:pPr>
              <w:rPr>
                <w:sz w:val="22"/>
                <w:szCs w:val="22"/>
              </w:rPr>
            </w:pPr>
            <w:r>
              <w:rPr>
                <w:sz w:val="22"/>
                <w:szCs w:val="22"/>
              </w:rPr>
              <w:t>Tax Credits-Zero Cost</w:t>
            </w:r>
          </w:p>
        </w:tc>
        <w:tc>
          <w:tcPr>
            <w:tcW w:w="1206" w:type="dxa"/>
            <w:tcBorders>
              <w:top w:val="nil"/>
              <w:left w:val="nil"/>
              <w:bottom w:val="nil"/>
              <w:right w:val="nil"/>
            </w:tcBorders>
            <w:shd w:val="clear" w:color="000000" w:fill="FFFFFF"/>
            <w:noWrap/>
            <w:vAlign w:val="bottom"/>
            <w:hideMark/>
          </w:tcPr>
          <w:p w14:paraId="3BEDE901"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31109971" w14:textId="77777777" w:rsidR="00410424" w:rsidRDefault="00410424" w:rsidP="00410424">
            <w:pPr>
              <w:jc w:val="right"/>
              <w:rPr>
                <w:sz w:val="22"/>
                <w:szCs w:val="22"/>
              </w:rPr>
            </w:pPr>
            <w:r>
              <w:rPr>
                <w:sz w:val="22"/>
                <w:szCs w:val="22"/>
              </w:rPr>
              <w:t xml:space="preserve">0 </w:t>
            </w:r>
          </w:p>
        </w:tc>
        <w:tc>
          <w:tcPr>
            <w:tcW w:w="1402" w:type="dxa"/>
            <w:tcBorders>
              <w:top w:val="nil"/>
              <w:left w:val="nil"/>
              <w:bottom w:val="nil"/>
              <w:right w:val="nil"/>
            </w:tcBorders>
            <w:shd w:val="clear" w:color="000000" w:fill="FFFFFF"/>
            <w:noWrap/>
            <w:vAlign w:val="bottom"/>
            <w:hideMark/>
          </w:tcPr>
          <w:p w14:paraId="64DB41DD" w14:textId="77777777" w:rsidR="00410424" w:rsidRDefault="00410424" w:rsidP="00410424">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4A7AB5DE" w14:textId="77777777" w:rsidR="00410424" w:rsidRDefault="00410424" w:rsidP="00410424">
            <w:pPr>
              <w:jc w:val="right"/>
              <w:rPr>
                <w:sz w:val="22"/>
                <w:szCs w:val="22"/>
              </w:rPr>
            </w:pPr>
            <w:r>
              <w:rPr>
                <w:sz w:val="22"/>
                <w:szCs w:val="22"/>
              </w:rPr>
              <w:t xml:space="preserve">0 </w:t>
            </w:r>
          </w:p>
        </w:tc>
        <w:tc>
          <w:tcPr>
            <w:tcW w:w="1347" w:type="dxa"/>
            <w:tcBorders>
              <w:top w:val="nil"/>
              <w:left w:val="nil"/>
              <w:bottom w:val="nil"/>
              <w:right w:val="nil"/>
            </w:tcBorders>
            <w:shd w:val="clear" w:color="000000" w:fill="FFFFFF"/>
            <w:noWrap/>
            <w:vAlign w:val="bottom"/>
            <w:hideMark/>
          </w:tcPr>
          <w:p w14:paraId="609FE5C8" w14:textId="77777777" w:rsidR="00410424" w:rsidRDefault="00410424" w:rsidP="00410424">
            <w:pPr>
              <w:jc w:val="right"/>
              <w:rPr>
                <w:sz w:val="22"/>
                <w:szCs w:val="22"/>
              </w:rPr>
            </w:pPr>
            <w:r>
              <w:rPr>
                <w:sz w:val="22"/>
                <w:szCs w:val="22"/>
              </w:rPr>
              <w:t xml:space="preserve">0 </w:t>
            </w:r>
          </w:p>
        </w:tc>
        <w:tc>
          <w:tcPr>
            <w:tcW w:w="1080" w:type="dxa"/>
            <w:tcBorders>
              <w:top w:val="nil"/>
              <w:left w:val="nil"/>
              <w:bottom w:val="nil"/>
              <w:right w:val="nil"/>
            </w:tcBorders>
            <w:shd w:val="clear" w:color="000000" w:fill="FFFFFF"/>
            <w:noWrap/>
            <w:vAlign w:val="bottom"/>
            <w:hideMark/>
          </w:tcPr>
          <w:p w14:paraId="713F0537" w14:textId="77777777" w:rsidR="00410424" w:rsidRDefault="00410424" w:rsidP="00410424">
            <w:pPr>
              <w:jc w:val="right"/>
              <w:rPr>
                <w:sz w:val="22"/>
                <w:szCs w:val="22"/>
              </w:rPr>
            </w:pPr>
            <w:r>
              <w:rPr>
                <w:sz w:val="22"/>
                <w:szCs w:val="22"/>
              </w:rPr>
              <w:t>0.00%</w:t>
            </w:r>
          </w:p>
        </w:tc>
        <w:tc>
          <w:tcPr>
            <w:tcW w:w="1080" w:type="dxa"/>
            <w:tcBorders>
              <w:top w:val="nil"/>
              <w:left w:val="nil"/>
              <w:bottom w:val="nil"/>
              <w:right w:val="nil"/>
            </w:tcBorders>
            <w:shd w:val="clear" w:color="000000" w:fill="FFFFFF"/>
            <w:noWrap/>
            <w:vAlign w:val="bottom"/>
            <w:hideMark/>
          </w:tcPr>
          <w:p w14:paraId="19B80DD6" w14:textId="77777777" w:rsidR="00410424" w:rsidRDefault="00410424" w:rsidP="00410424">
            <w:pPr>
              <w:jc w:val="right"/>
              <w:rPr>
                <w:sz w:val="22"/>
                <w:szCs w:val="22"/>
              </w:rPr>
            </w:pPr>
            <w:r>
              <w:rPr>
                <w:sz w:val="22"/>
                <w:szCs w:val="22"/>
              </w:rPr>
              <w:t>0.00%</w:t>
            </w:r>
          </w:p>
        </w:tc>
        <w:tc>
          <w:tcPr>
            <w:tcW w:w="1121" w:type="dxa"/>
            <w:tcBorders>
              <w:top w:val="nil"/>
              <w:left w:val="nil"/>
              <w:bottom w:val="nil"/>
              <w:right w:val="single" w:sz="4" w:space="0" w:color="auto"/>
            </w:tcBorders>
            <w:shd w:val="clear" w:color="000000" w:fill="FFFFFF"/>
            <w:noWrap/>
            <w:vAlign w:val="bottom"/>
            <w:hideMark/>
          </w:tcPr>
          <w:p w14:paraId="44F79226" w14:textId="77777777" w:rsidR="00410424" w:rsidRDefault="00410424" w:rsidP="00410424">
            <w:pPr>
              <w:jc w:val="right"/>
              <w:rPr>
                <w:sz w:val="22"/>
                <w:szCs w:val="22"/>
              </w:rPr>
            </w:pPr>
            <w:r>
              <w:rPr>
                <w:sz w:val="22"/>
                <w:szCs w:val="22"/>
              </w:rPr>
              <w:t>0.00%</w:t>
            </w:r>
          </w:p>
        </w:tc>
      </w:tr>
      <w:tr w:rsidR="00410424" w14:paraId="345CC938"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0D4805C3" w14:textId="77777777" w:rsidR="00410424" w:rsidRDefault="00410424" w:rsidP="00410424">
            <w:pPr>
              <w:jc w:val="center"/>
              <w:rPr>
                <w:sz w:val="22"/>
                <w:szCs w:val="22"/>
              </w:rPr>
            </w:pPr>
            <w:r>
              <w:rPr>
                <w:sz w:val="22"/>
                <w:szCs w:val="22"/>
              </w:rPr>
              <w:t>15</w:t>
            </w:r>
          </w:p>
        </w:tc>
        <w:tc>
          <w:tcPr>
            <w:tcW w:w="2619" w:type="dxa"/>
            <w:tcBorders>
              <w:top w:val="nil"/>
              <w:left w:val="nil"/>
              <w:bottom w:val="nil"/>
              <w:right w:val="nil"/>
            </w:tcBorders>
            <w:shd w:val="clear" w:color="000000" w:fill="FFFFFF"/>
            <w:noWrap/>
            <w:vAlign w:val="bottom"/>
            <w:hideMark/>
          </w:tcPr>
          <w:p w14:paraId="1F11C8A2" w14:textId="77777777" w:rsidR="00410424" w:rsidRDefault="00410424" w:rsidP="00410424">
            <w:pPr>
              <w:rPr>
                <w:sz w:val="22"/>
                <w:szCs w:val="22"/>
              </w:rPr>
            </w:pPr>
            <w:r>
              <w:rPr>
                <w:sz w:val="22"/>
                <w:szCs w:val="22"/>
              </w:rPr>
              <w:t>Deferred Income Taxes</w:t>
            </w:r>
          </w:p>
        </w:tc>
        <w:tc>
          <w:tcPr>
            <w:tcW w:w="1206" w:type="dxa"/>
            <w:tcBorders>
              <w:top w:val="nil"/>
              <w:left w:val="nil"/>
              <w:bottom w:val="nil"/>
              <w:right w:val="nil"/>
            </w:tcBorders>
            <w:shd w:val="clear" w:color="000000" w:fill="FFFFFF"/>
            <w:noWrap/>
            <w:vAlign w:val="bottom"/>
            <w:hideMark/>
          </w:tcPr>
          <w:p w14:paraId="084AAA93" w14:textId="77777777" w:rsidR="00410424" w:rsidRDefault="00410424" w:rsidP="00410424">
            <w:pPr>
              <w:jc w:val="right"/>
              <w:rPr>
                <w:sz w:val="22"/>
                <w:szCs w:val="22"/>
                <w:u w:val="single"/>
              </w:rPr>
            </w:pPr>
            <w:r>
              <w:rPr>
                <w:sz w:val="22"/>
                <w:szCs w:val="22"/>
                <w:u w:val="single"/>
              </w:rPr>
              <w:t xml:space="preserve">3,040,210 </w:t>
            </w:r>
          </w:p>
        </w:tc>
        <w:tc>
          <w:tcPr>
            <w:tcW w:w="1353" w:type="dxa"/>
            <w:tcBorders>
              <w:top w:val="nil"/>
              <w:left w:val="nil"/>
              <w:bottom w:val="nil"/>
              <w:right w:val="nil"/>
            </w:tcBorders>
            <w:shd w:val="clear" w:color="000000" w:fill="FFFFFF"/>
            <w:noWrap/>
            <w:vAlign w:val="bottom"/>
            <w:hideMark/>
          </w:tcPr>
          <w:p w14:paraId="337E73F6" w14:textId="77777777" w:rsidR="00410424" w:rsidRDefault="00410424" w:rsidP="00410424">
            <w:pPr>
              <w:jc w:val="right"/>
              <w:rPr>
                <w:sz w:val="22"/>
                <w:szCs w:val="22"/>
                <w:u w:val="single"/>
              </w:rPr>
            </w:pPr>
            <w:r>
              <w:rPr>
                <w:sz w:val="22"/>
                <w:szCs w:val="22"/>
                <w:u w:val="single"/>
              </w:rPr>
              <w:t>(3,040,210)</w:t>
            </w:r>
          </w:p>
        </w:tc>
        <w:tc>
          <w:tcPr>
            <w:tcW w:w="1402" w:type="dxa"/>
            <w:tcBorders>
              <w:top w:val="nil"/>
              <w:left w:val="nil"/>
              <w:bottom w:val="nil"/>
              <w:right w:val="nil"/>
            </w:tcBorders>
            <w:shd w:val="clear" w:color="000000" w:fill="FFFFFF"/>
            <w:noWrap/>
            <w:vAlign w:val="bottom"/>
            <w:hideMark/>
          </w:tcPr>
          <w:p w14:paraId="153384CE" w14:textId="77777777" w:rsidR="00410424" w:rsidRDefault="00410424" w:rsidP="00410424">
            <w:pPr>
              <w:jc w:val="right"/>
              <w:rPr>
                <w:sz w:val="22"/>
                <w:szCs w:val="22"/>
                <w:u w:val="single"/>
              </w:rPr>
            </w:pPr>
            <w:r>
              <w:rPr>
                <w:sz w:val="22"/>
                <w:szCs w:val="22"/>
                <w:u w:val="single"/>
              </w:rPr>
              <w:t xml:space="preserve">0 </w:t>
            </w:r>
          </w:p>
        </w:tc>
        <w:tc>
          <w:tcPr>
            <w:tcW w:w="1353" w:type="dxa"/>
            <w:tcBorders>
              <w:top w:val="nil"/>
              <w:left w:val="nil"/>
              <w:bottom w:val="nil"/>
              <w:right w:val="nil"/>
            </w:tcBorders>
            <w:shd w:val="clear" w:color="000000" w:fill="FFFFFF"/>
            <w:noWrap/>
            <w:vAlign w:val="bottom"/>
            <w:hideMark/>
          </w:tcPr>
          <w:p w14:paraId="747A7D8B" w14:textId="77777777" w:rsidR="00410424" w:rsidRDefault="00410424" w:rsidP="00410424">
            <w:pPr>
              <w:jc w:val="right"/>
              <w:rPr>
                <w:sz w:val="22"/>
                <w:szCs w:val="22"/>
                <w:u w:val="single"/>
              </w:rPr>
            </w:pPr>
            <w:r>
              <w:rPr>
                <w:sz w:val="22"/>
                <w:szCs w:val="22"/>
                <w:u w:val="single"/>
              </w:rPr>
              <w:t xml:space="preserve">0 </w:t>
            </w:r>
          </w:p>
        </w:tc>
        <w:tc>
          <w:tcPr>
            <w:tcW w:w="1347" w:type="dxa"/>
            <w:tcBorders>
              <w:top w:val="nil"/>
              <w:left w:val="nil"/>
              <w:bottom w:val="nil"/>
              <w:right w:val="nil"/>
            </w:tcBorders>
            <w:shd w:val="clear" w:color="000000" w:fill="FFFFFF"/>
            <w:noWrap/>
            <w:vAlign w:val="bottom"/>
            <w:hideMark/>
          </w:tcPr>
          <w:p w14:paraId="1A2F2BDE" w14:textId="77777777" w:rsidR="00410424" w:rsidRDefault="00410424" w:rsidP="00410424">
            <w:pPr>
              <w:jc w:val="right"/>
              <w:rPr>
                <w:sz w:val="22"/>
                <w:szCs w:val="22"/>
                <w:u w:val="single"/>
              </w:rPr>
            </w:pPr>
            <w:r>
              <w:rPr>
                <w:sz w:val="22"/>
                <w:szCs w:val="22"/>
                <w:u w:val="single"/>
              </w:rPr>
              <w:t xml:space="preserve">0 </w:t>
            </w:r>
          </w:p>
        </w:tc>
        <w:tc>
          <w:tcPr>
            <w:tcW w:w="1080" w:type="dxa"/>
            <w:tcBorders>
              <w:top w:val="nil"/>
              <w:left w:val="nil"/>
              <w:bottom w:val="nil"/>
              <w:right w:val="nil"/>
            </w:tcBorders>
            <w:shd w:val="clear" w:color="000000" w:fill="FFFFFF"/>
            <w:noWrap/>
            <w:vAlign w:val="bottom"/>
            <w:hideMark/>
          </w:tcPr>
          <w:p w14:paraId="1EB2AC8E" w14:textId="77777777" w:rsidR="00410424" w:rsidRDefault="00410424" w:rsidP="00410424">
            <w:pPr>
              <w:jc w:val="right"/>
              <w:rPr>
                <w:sz w:val="22"/>
                <w:szCs w:val="22"/>
                <w:u w:val="single"/>
              </w:rPr>
            </w:pPr>
            <w:r>
              <w:rPr>
                <w:sz w:val="22"/>
                <w:szCs w:val="22"/>
                <w:u w:val="single"/>
              </w:rPr>
              <w:t>0.00%</w:t>
            </w:r>
          </w:p>
        </w:tc>
        <w:tc>
          <w:tcPr>
            <w:tcW w:w="1080" w:type="dxa"/>
            <w:tcBorders>
              <w:top w:val="nil"/>
              <w:left w:val="nil"/>
              <w:bottom w:val="nil"/>
              <w:right w:val="nil"/>
            </w:tcBorders>
            <w:shd w:val="clear" w:color="000000" w:fill="FFFFFF"/>
            <w:noWrap/>
            <w:vAlign w:val="bottom"/>
            <w:hideMark/>
          </w:tcPr>
          <w:p w14:paraId="4792934F" w14:textId="77777777" w:rsidR="00410424" w:rsidRDefault="00410424" w:rsidP="00410424">
            <w:pPr>
              <w:jc w:val="right"/>
              <w:rPr>
                <w:sz w:val="22"/>
                <w:szCs w:val="22"/>
              </w:rPr>
            </w:pPr>
            <w:r>
              <w:rPr>
                <w:sz w:val="22"/>
                <w:szCs w:val="22"/>
              </w:rPr>
              <w:t>0.00%</w:t>
            </w:r>
          </w:p>
        </w:tc>
        <w:tc>
          <w:tcPr>
            <w:tcW w:w="1121" w:type="dxa"/>
            <w:tcBorders>
              <w:top w:val="nil"/>
              <w:left w:val="nil"/>
              <w:bottom w:val="nil"/>
              <w:right w:val="single" w:sz="4" w:space="0" w:color="auto"/>
            </w:tcBorders>
            <w:shd w:val="clear" w:color="000000" w:fill="FFFFFF"/>
            <w:noWrap/>
            <w:vAlign w:val="bottom"/>
            <w:hideMark/>
          </w:tcPr>
          <w:p w14:paraId="5D2A21BA" w14:textId="77777777" w:rsidR="00410424" w:rsidRDefault="00410424" w:rsidP="00410424">
            <w:pPr>
              <w:jc w:val="right"/>
              <w:rPr>
                <w:sz w:val="22"/>
                <w:szCs w:val="22"/>
                <w:u w:val="single"/>
              </w:rPr>
            </w:pPr>
            <w:r>
              <w:rPr>
                <w:sz w:val="22"/>
                <w:szCs w:val="22"/>
                <w:u w:val="single"/>
              </w:rPr>
              <w:t>0.00%</w:t>
            </w:r>
          </w:p>
        </w:tc>
      </w:tr>
      <w:tr w:rsidR="00410424" w14:paraId="5F43E629"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66A02B5B" w14:textId="77777777" w:rsidR="00410424" w:rsidRDefault="00410424" w:rsidP="00410424">
            <w:pPr>
              <w:jc w:val="center"/>
              <w:rPr>
                <w:sz w:val="22"/>
                <w:szCs w:val="22"/>
              </w:rPr>
            </w:pPr>
            <w:r>
              <w:rPr>
                <w:sz w:val="22"/>
                <w:szCs w:val="22"/>
              </w:rPr>
              <w:t>16</w:t>
            </w:r>
          </w:p>
        </w:tc>
        <w:tc>
          <w:tcPr>
            <w:tcW w:w="2619" w:type="dxa"/>
            <w:tcBorders>
              <w:top w:val="nil"/>
              <w:left w:val="nil"/>
              <w:bottom w:val="nil"/>
              <w:right w:val="nil"/>
            </w:tcBorders>
            <w:shd w:val="clear" w:color="000000" w:fill="FFFFFF"/>
            <w:noWrap/>
            <w:vAlign w:val="bottom"/>
            <w:hideMark/>
          </w:tcPr>
          <w:p w14:paraId="29AC1CE0" w14:textId="77777777" w:rsidR="00410424" w:rsidRDefault="00410424" w:rsidP="00410424">
            <w:pPr>
              <w:rPr>
                <w:b/>
                <w:bCs/>
                <w:sz w:val="22"/>
                <w:szCs w:val="22"/>
              </w:rPr>
            </w:pPr>
            <w:r>
              <w:rPr>
                <w:b/>
                <w:bCs/>
                <w:sz w:val="22"/>
                <w:szCs w:val="22"/>
              </w:rPr>
              <w:t>Total Capital</w:t>
            </w:r>
          </w:p>
        </w:tc>
        <w:tc>
          <w:tcPr>
            <w:tcW w:w="1206" w:type="dxa"/>
            <w:tcBorders>
              <w:top w:val="nil"/>
              <w:left w:val="nil"/>
              <w:bottom w:val="nil"/>
              <w:right w:val="nil"/>
            </w:tcBorders>
            <w:shd w:val="clear" w:color="000000" w:fill="FFFFFF"/>
            <w:noWrap/>
            <w:vAlign w:val="bottom"/>
            <w:hideMark/>
          </w:tcPr>
          <w:p w14:paraId="4ADC768C" w14:textId="77777777" w:rsidR="00410424" w:rsidRDefault="00410424" w:rsidP="00410424">
            <w:pPr>
              <w:jc w:val="right"/>
              <w:rPr>
                <w:sz w:val="22"/>
                <w:szCs w:val="22"/>
                <w:u w:val="double"/>
              </w:rPr>
            </w:pPr>
            <w:r>
              <w:rPr>
                <w:sz w:val="22"/>
                <w:szCs w:val="22"/>
                <w:u w:val="double"/>
              </w:rPr>
              <w:t xml:space="preserve">$6,445,836 </w:t>
            </w:r>
          </w:p>
        </w:tc>
        <w:tc>
          <w:tcPr>
            <w:tcW w:w="1353" w:type="dxa"/>
            <w:tcBorders>
              <w:top w:val="nil"/>
              <w:left w:val="nil"/>
              <w:bottom w:val="nil"/>
              <w:right w:val="nil"/>
            </w:tcBorders>
            <w:shd w:val="clear" w:color="000000" w:fill="FFFFFF"/>
            <w:noWrap/>
            <w:vAlign w:val="bottom"/>
            <w:hideMark/>
          </w:tcPr>
          <w:p w14:paraId="06BCA30B" w14:textId="77777777" w:rsidR="00410424" w:rsidRDefault="00410424" w:rsidP="00410424">
            <w:pPr>
              <w:jc w:val="right"/>
              <w:rPr>
                <w:sz w:val="22"/>
                <w:szCs w:val="22"/>
                <w:u w:val="double"/>
              </w:rPr>
            </w:pPr>
            <w:r>
              <w:rPr>
                <w:sz w:val="22"/>
                <w:szCs w:val="22"/>
                <w:u w:val="double"/>
              </w:rPr>
              <w:t>($3,040,210)</w:t>
            </w:r>
          </w:p>
        </w:tc>
        <w:tc>
          <w:tcPr>
            <w:tcW w:w="1402" w:type="dxa"/>
            <w:tcBorders>
              <w:top w:val="nil"/>
              <w:left w:val="nil"/>
              <w:bottom w:val="nil"/>
              <w:right w:val="nil"/>
            </w:tcBorders>
            <w:shd w:val="clear" w:color="000000" w:fill="FFFFFF"/>
            <w:noWrap/>
            <w:vAlign w:val="bottom"/>
            <w:hideMark/>
          </w:tcPr>
          <w:p w14:paraId="0DC789BB" w14:textId="77777777" w:rsidR="00410424" w:rsidRDefault="00410424" w:rsidP="00410424">
            <w:pPr>
              <w:jc w:val="right"/>
              <w:rPr>
                <w:sz w:val="22"/>
                <w:szCs w:val="22"/>
                <w:u w:val="double"/>
              </w:rPr>
            </w:pPr>
            <w:r>
              <w:rPr>
                <w:sz w:val="22"/>
                <w:szCs w:val="22"/>
                <w:u w:val="double"/>
              </w:rPr>
              <w:t xml:space="preserve">$3,405,626 </w:t>
            </w:r>
          </w:p>
        </w:tc>
        <w:tc>
          <w:tcPr>
            <w:tcW w:w="1353" w:type="dxa"/>
            <w:tcBorders>
              <w:top w:val="nil"/>
              <w:left w:val="nil"/>
              <w:bottom w:val="nil"/>
              <w:right w:val="nil"/>
            </w:tcBorders>
            <w:shd w:val="clear" w:color="000000" w:fill="FFFFFF"/>
            <w:noWrap/>
            <w:vAlign w:val="bottom"/>
            <w:hideMark/>
          </w:tcPr>
          <w:p w14:paraId="3AFB8F45" w14:textId="77777777" w:rsidR="00410424" w:rsidRDefault="00410424" w:rsidP="00410424">
            <w:pPr>
              <w:jc w:val="right"/>
              <w:rPr>
                <w:sz w:val="22"/>
                <w:szCs w:val="22"/>
                <w:u w:val="double"/>
              </w:rPr>
            </w:pPr>
            <w:r>
              <w:rPr>
                <w:sz w:val="22"/>
                <w:szCs w:val="22"/>
                <w:u w:val="double"/>
              </w:rPr>
              <w:t>($1,077,062)</w:t>
            </w:r>
          </w:p>
        </w:tc>
        <w:tc>
          <w:tcPr>
            <w:tcW w:w="1347" w:type="dxa"/>
            <w:tcBorders>
              <w:top w:val="nil"/>
              <w:left w:val="nil"/>
              <w:bottom w:val="nil"/>
              <w:right w:val="nil"/>
            </w:tcBorders>
            <w:shd w:val="clear" w:color="000000" w:fill="FFFFFF"/>
            <w:noWrap/>
            <w:vAlign w:val="bottom"/>
            <w:hideMark/>
          </w:tcPr>
          <w:p w14:paraId="5FB416B7" w14:textId="77777777" w:rsidR="00410424" w:rsidRDefault="00410424" w:rsidP="00410424">
            <w:pPr>
              <w:jc w:val="right"/>
              <w:rPr>
                <w:sz w:val="22"/>
                <w:szCs w:val="22"/>
                <w:u w:val="double"/>
              </w:rPr>
            </w:pPr>
            <w:r>
              <w:rPr>
                <w:sz w:val="22"/>
                <w:szCs w:val="22"/>
                <w:u w:val="double"/>
              </w:rPr>
              <w:t xml:space="preserve">$2,328,564 </w:t>
            </w:r>
          </w:p>
        </w:tc>
        <w:tc>
          <w:tcPr>
            <w:tcW w:w="1080" w:type="dxa"/>
            <w:tcBorders>
              <w:top w:val="nil"/>
              <w:left w:val="nil"/>
              <w:bottom w:val="nil"/>
              <w:right w:val="nil"/>
            </w:tcBorders>
            <w:shd w:val="clear" w:color="000000" w:fill="FFFFFF"/>
            <w:noWrap/>
            <w:vAlign w:val="bottom"/>
            <w:hideMark/>
          </w:tcPr>
          <w:p w14:paraId="1AD863B8" w14:textId="77777777" w:rsidR="00410424" w:rsidRDefault="00410424" w:rsidP="00410424">
            <w:pPr>
              <w:jc w:val="right"/>
              <w:rPr>
                <w:sz w:val="22"/>
                <w:szCs w:val="22"/>
                <w:u w:val="double"/>
              </w:rPr>
            </w:pPr>
            <w:r>
              <w:rPr>
                <w:sz w:val="22"/>
                <w:szCs w:val="22"/>
                <w:u w:val="double"/>
              </w:rPr>
              <w:t>100.00%</w:t>
            </w:r>
          </w:p>
        </w:tc>
        <w:tc>
          <w:tcPr>
            <w:tcW w:w="1080" w:type="dxa"/>
            <w:tcBorders>
              <w:top w:val="nil"/>
              <w:left w:val="nil"/>
              <w:bottom w:val="nil"/>
              <w:right w:val="nil"/>
            </w:tcBorders>
            <w:shd w:val="clear" w:color="000000" w:fill="FFFFFF"/>
            <w:noWrap/>
            <w:vAlign w:val="bottom"/>
            <w:hideMark/>
          </w:tcPr>
          <w:p w14:paraId="7A763945" w14:textId="77777777" w:rsidR="00410424" w:rsidRDefault="00410424" w:rsidP="00410424">
            <w:pPr>
              <w:rPr>
                <w:sz w:val="22"/>
                <w:szCs w:val="22"/>
                <w:u w:val="double"/>
              </w:rPr>
            </w:pPr>
          </w:p>
        </w:tc>
        <w:tc>
          <w:tcPr>
            <w:tcW w:w="1121" w:type="dxa"/>
            <w:tcBorders>
              <w:top w:val="nil"/>
              <w:left w:val="nil"/>
              <w:bottom w:val="nil"/>
              <w:right w:val="single" w:sz="4" w:space="0" w:color="auto"/>
            </w:tcBorders>
            <w:shd w:val="clear" w:color="000000" w:fill="FFFFFF"/>
            <w:noWrap/>
            <w:vAlign w:val="bottom"/>
            <w:hideMark/>
          </w:tcPr>
          <w:p w14:paraId="24800B72" w14:textId="77777777" w:rsidR="00410424" w:rsidRDefault="00410424" w:rsidP="00410424">
            <w:pPr>
              <w:jc w:val="right"/>
              <w:rPr>
                <w:sz w:val="22"/>
                <w:szCs w:val="22"/>
                <w:u w:val="double"/>
              </w:rPr>
            </w:pPr>
            <w:r>
              <w:rPr>
                <w:sz w:val="22"/>
                <w:szCs w:val="22"/>
                <w:u w:val="double"/>
              </w:rPr>
              <w:t>7.84%</w:t>
            </w:r>
          </w:p>
        </w:tc>
      </w:tr>
      <w:tr w:rsidR="00410424" w14:paraId="70E5870D"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4AE19341" w14:textId="77777777" w:rsidR="00410424" w:rsidRDefault="00410424" w:rsidP="00410424">
            <w:pPr>
              <w:rPr>
                <w:sz w:val="22"/>
                <w:szCs w:val="22"/>
              </w:rPr>
            </w:pPr>
            <w:r>
              <w:rPr>
                <w:sz w:val="22"/>
                <w:szCs w:val="22"/>
              </w:rPr>
              <w:t> </w:t>
            </w:r>
          </w:p>
        </w:tc>
        <w:tc>
          <w:tcPr>
            <w:tcW w:w="2619" w:type="dxa"/>
            <w:tcBorders>
              <w:top w:val="nil"/>
              <w:left w:val="nil"/>
              <w:bottom w:val="nil"/>
              <w:right w:val="nil"/>
            </w:tcBorders>
            <w:shd w:val="clear" w:color="000000" w:fill="FFFFFF"/>
            <w:noWrap/>
            <w:vAlign w:val="bottom"/>
            <w:hideMark/>
          </w:tcPr>
          <w:p w14:paraId="4ADAEEB8" w14:textId="77777777" w:rsidR="00410424" w:rsidRDefault="00410424" w:rsidP="00410424">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14:paraId="4C04D4F8" w14:textId="77777777" w:rsidR="00410424" w:rsidRDefault="00410424" w:rsidP="00410424">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706B1CE9" w14:textId="77777777" w:rsidR="00410424" w:rsidRDefault="00410424" w:rsidP="00410424">
            <w:pPr>
              <w:rPr>
                <w:color w:val="000000"/>
                <w:sz w:val="22"/>
                <w:szCs w:val="22"/>
              </w:rPr>
            </w:pPr>
            <w:r>
              <w:rPr>
                <w:color w:val="000000"/>
                <w:sz w:val="22"/>
                <w:szCs w:val="22"/>
              </w:rPr>
              <w:t> </w:t>
            </w:r>
          </w:p>
        </w:tc>
        <w:tc>
          <w:tcPr>
            <w:tcW w:w="1402" w:type="dxa"/>
            <w:tcBorders>
              <w:top w:val="nil"/>
              <w:left w:val="nil"/>
              <w:bottom w:val="nil"/>
              <w:right w:val="nil"/>
            </w:tcBorders>
            <w:shd w:val="clear" w:color="000000" w:fill="FFFFFF"/>
            <w:noWrap/>
            <w:vAlign w:val="bottom"/>
            <w:hideMark/>
          </w:tcPr>
          <w:p w14:paraId="58410949" w14:textId="77777777" w:rsidR="00410424" w:rsidRDefault="00410424" w:rsidP="00410424">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520E0C10" w14:textId="77777777" w:rsidR="00410424" w:rsidRDefault="00410424" w:rsidP="00410424">
            <w:pPr>
              <w:rPr>
                <w:color w:val="000000"/>
                <w:sz w:val="22"/>
                <w:szCs w:val="22"/>
              </w:rPr>
            </w:pPr>
            <w:r>
              <w:rPr>
                <w:color w:val="000000"/>
                <w:sz w:val="22"/>
                <w:szCs w:val="22"/>
              </w:rPr>
              <w:t> </w:t>
            </w:r>
          </w:p>
        </w:tc>
        <w:tc>
          <w:tcPr>
            <w:tcW w:w="1347" w:type="dxa"/>
            <w:tcBorders>
              <w:top w:val="nil"/>
              <w:left w:val="nil"/>
              <w:bottom w:val="nil"/>
              <w:right w:val="nil"/>
            </w:tcBorders>
            <w:shd w:val="clear" w:color="000000" w:fill="FFFFFF"/>
            <w:noWrap/>
            <w:vAlign w:val="bottom"/>
            <w:hideMark/>
          </w:tcPr>
          <w:p w14:paraId="7FF193C8" w14:textId="77777777" w:rsidR="00410424" w:rsidRDefault="00410424" w:rsidP="00410424">
            <w:pPr>
              <w:rPr>
                <w:color w:val="000000"/>
                <w:sz w:val="22"/>
                <w:szCs w:val="22"/>
              </w:rPr>
            </w:pPr>
            <w:r>
              <w:rPr>
                <w:color w:val="000000"/>
                <w:sz w:val="22"/>
                <w:szCs w:val="22"/>
              </w:rPr>
              <w:t> </w:t>
            </w:r>
          </w:p>
        </w:tc>
        <w:tc>
          <w:tcPr>
            <w:tcW w:w="1080" w:type="dxa"/>
            <w:tcBorders>
              <w:top w:val="nil"/>
              <w:left w:val="nil"/>
              <w:bottom w:val="nil"/>
              <w:right w:val="nil"/>
            </w:tcBorders>
            <w:shd w:val="clear" w:color="000000" w:fill="FFFFFF"/>
            <w:noWrap/>
            <w:vAlign w:val="bottom"/>
            <w:hideMark/>
          </w:tcPr>
          <w:p w14:paraId="71BF54EB" w14:textId="77777777" w:rsidR="00410424" w:rsidRDefault="00410424" w:rsidP="00410424">
            <w:pPr>
              <w:rPr>
                <w:color w:val="000000"/>
                <w:sz w:val="22"/>
                <w:szCs w:val="22"/>
              </w:rPr>
            </w:pPr>
            <w:r>
              <w:rPr>
                <w:color w:val="000000"/>
                <w:sz w:val="22"/>
                <w:szCs w:val="22"/>
              </w:rPr>
              <w:t> </w:t>
            </w:r>
          </w:p>
        </w:tc>
        <w:tc>
          <w:tcPr>
            <w:tcW w:w="1080" w:type="dxa"/>
            <w:tcBorders>
              <w:top w:val="nil"/>
              <w:left w:val="nil"/>
              <w:bottom w:val="nil"/>
              <w:right w:val="nil"/>
            </w:tcBorders>
            <w:shd w:val="clear" w:color="000000" w:fill="FFFFFF"/>
            <w:noWrap/>
            <w:vAlign w:val="bottom"/>
            <w:hideMark/>
          </w:tcPr>
          <w:p w14:paraId="54299F8D" w14:textId="77777777" w:rsidR="00410424" w:rsidRDefault="00410424" w:rsidP="00410424">
            <w:pPr>
              <w:rPr>
                <w:color w:val="000000"/>
                <w:sz w:val="22"/>
                <w:szCs w:val="22"/>
              </w:rPr>
            </w:pPr>
            <w:r>
              <w:rPr>
                <w:color w:val="000000"/>
                <w:sz w:val="22"/>
                <w:szCs w:val="22"/>
              </w:rPr>
              <w:t> </w:t>
            </w:r>
          </w:p>
        </w:tc>
        <w:tc>
          <w:tcPr>
            <w:tcW w:w="1121" w:type="dxa"/>
            <w:tcBorders>
              <w:top w:val="nil"/>
              <w:left w:val="nil"/>
              <w:bottom w:val="nil"/>
              <w:right w:val="single" w:sz="4" w:space="0" w:color="auto"/>
            </w:tcBorders>
            <w:shd w:val="clear" w:color="000000" w:fill="FFFFFF"/>
            <w:noWrap/>
            <w:vAlign w:val="bottom"/>
            <w:hideMark/>
          </w:tcPr>
          <w:p w14:paraId="5BDAB884" w14:textId="77777777" w:rsidR="00410424" w:rsidRDefault="00410424" w:rsidP="00410424">
            <w:pPr>
              <w:rPr>
                <w:sz w:val="22"/>
                <w:szCs w:val="22"/>
              </w:rPr>
            </w:pPr>
            <w:r>
              <w:rPr>
                <w:sz w:val="22"/>
                <w:szCs w:val="22"/>
              </w:rPr>
              <w:t> </w:t>
            </w:r>
          </w:p>
        </w:tc>
      </w:tr>
      <w:tr w:rsidR="00410424" w14:paraId="7C7A2E52"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307AFB87" w14:textId="77777777" w:rsidR="00410424" w:rsidRDefault="00410424" w:rsidP="00410424">
            <w:pPr>
              <w:rPr>
                <w:sz w:val="22"/>
                <w:szCs w:val="22"/>
              </w:rPr>
            </w:pPr>
            <w:r>
              <w:rPr>
                <w:sz w:val="22"/>
                <w:szCs w:val="22"/>
              </w:rPr>
              <w:t> </w:t>
            </w:r>
          </w:p>
        </w:tc>
        <w:tc>
          <w:tcPr>
            <w:tcW w:w="2619" w:type="dxa"/>
            <w:tcBorders>
              <w:top w:val="nil"/>
              <w:left w:val="nil"/>
              <w:bottom w:val="nil"/>
              <w:right w:val="nil"/>
            </w:tcBorders>
            <w:shd w:val="clear" w:color="000000" w:fill="FFFFFF"/>
            <w:noWrap/>
            <w:vAlign w:val="bottom"/>
            <w:hideMark/>
          </w:tcPr>
          <w:p w14:paraId="791042FB" w14:textId="77777777" w:rsidR="00410424" w:rsidRDefault="00410424" w:rsidP="00410424">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14:paraId="7FE68852" w14:textId="77777777" w:rsidR="00410424" w:rsidRDefault="00410424" w:rsidP="00410424">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4A08BCC8" w14:textId="77777777" w:rsidR="00410424" w:rsidRDefault="00410424" w:rsidP="00410424">
            <w:pPr>
              <w:rPr>
                <w:color w:val="000000"/>
                <w:sz w:val="22"/>
                <w:szCs w:val="22"/>
              </w:rPr>
            </w:pPr>
            <w:r>
              <w:rPr>
                <w:color w:val="000000"/>
                <w:sz w:val="22"/>
                <w:szCs w:val="22"/>
              </w:rPr>
              <w:t> </w:t>
            </w:r>
          </w:p>
        </w:tc>
        <w:tc>
          <w:tcPr>
            <w:tcW w:w="1402" w:type="dxa"/>
            <w:tcBorders>
              <w:top w:val="nil"/>
              <w:left w:val="nil"/>
              <w:bottom w:val="nil"/>
              <w:right w:val="nil"/>
            </w:tcBorders>
            <w:shd w:val="clear" w:color="000000" w:fill="FFFFFF"/>
            <w:noWrap/>
            <w:vAlign w:val="bottom"/>
            <w:hideMark/>
          </w:tcPr>
          <w:p w14:paraId="4C3F1C66" w14:textId="77777777" w:rsidR="00410424" w:rsidRDefault="00410424" w:rsidP="00410424">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2C31436E" w14:textId="77777777" w:rsidR="00410424" w:rsidRDefault="00410424" w:rsidP="00410424">
            <w:pPr>
              <w:rPr>
                <w:b/>
                <w:bCs/>
                <w:sz w:val="22"/>
                <w:szCs w:val="22"/>
              </w:rPr>
            </w:pPr>
            <w:r>
              <w:rPr>
                <w:b/>
                <w:bCs/>
                <w:sz w:val="22"/>
                <w:szCs w:val="22"/>
              </w:rPr>
              <w:t> </w:t>
            </w:r>
          </w:p>
        </w:tc>
        <w:tc>
          <w:tcPr>
            <w:tcW w:w="1347" w:type="dxa"/>
            <w:tcBorders>
              <w:top w:val="nil"/>
              <w:left w:val="nil"/>
              <w:bottom w:val="nil"/>
              <w:right w:val="nil"/>
            </w:tcBorders>
            <w:shd w:val="clear" w:color="000000" w:fill="FFFFFF"/>
            <w:noWrap/>
            <w:vAlign w:val="bottom"/>
            <w:hideMark/>
          </w:tcPr>
          <w:p w14:paraId="78F4ACA6" w14:textId="77777777" w:rsidR="00410424" w:rsidRDefault="00410424" w:rsidP="00410424">
            <w:pPr>
              <w:rPr>
                <w:b/>
                <w:bCs/>
                <w:sz w:val="22"/>
                <w:szCs w:val="22"/>
              </w:rPr>
            </w:pPr>
            <w:r>
              <w:rPr>
                <w:b/>
                <w:bCs/>
                <w:sz w:val="22"/>
                <w:szCs w:val="22"/>
              </w:rPr>
              <w:t> </w:t>
            </w:r>
          </w:p>
        </w:tc>
        <w:tc>
          <w:tcPr>
            <w:tcW w:w="1080" w:type="dxa"/>
            <w:tcBorders>
              <w:top w:val="nil"/>
              <w:left w:val="nil"/>
              <w:bottom w:val="nil"/>
              <w:right w:val="nil"/>
            </w:tcBorders>
            <w:shd w:val="clear" w:color="000000" w:fill="FFFFFF"/>
            <w:noWrap/>
            <w:vAlign w:val="bottom"/>
            <w:hideMark/>
          </w:tcPr>
          <w:p w14:paraId="5D904667" w14:textId="77777777" w:rsidR="00410424" w:rsidRDefault="00410424" w:rsidP="00410424">
            <w:pPr>
              <w:jc w:val="center"/>
              <w:rPr>
                <w:b/>
                <w:bCs/>
                <w:sz w:val="22"/>
                <w:szCs w:val="22"/>
                <w:u w:val="single"/>
              </w:rPr>
            </w:pPr>
            <w:r w:rsidRPr="005A48A2">
              <w:rPr>
                <w:b/>
                <w:bCs/>
                <w:sz w:val="22"/>
                <w:szCs w:val="22"/>
              </w:rPr>
              <w:t xml:space="preserve">    </w:t>
            </w:r>
            <w:r>
              <w:rPr>
                <w:b/>
                <w:bCs/>
                <w:sz w:val="22"/>
                <w:szCs w:val="22"/>
                <w:u w:val="single"/>
              </w:rPr>
              <w:t>LOW</w:t>
            </w:r>
          </w:p>
        </w:tc>
        <w:tc>
          <w:tcPr>
            <w:tcW w:w="1080" w:type="dxa"/>
            <w:tcBorders>
              <w:top w:val="nil"/>
              <w:left w:val="nil"/>
              <w:bottom w:val="nil"/>
              <w:right w:val="nil"/>
            </w:tcBorders>
            <w:shd w:val="clear" w:color="000000" w:fill="FFFFFF"/>
            <w:noWrap/>
            <w:vAlign w:val="bottom"/>
            <w:hideMark/>
          </w:tcPr>
          <w:p w14:paraId="02E9BF0E" w14:textId="77777777" w:rsidR="00410424" w:rsidRDefault="00410424" w:rsidP="00410424">
            <w:pPr>
              <w:jc w:val="center"/>
              <w:rPr>
                <w:b/>
                <w:bCs/>
                <w:sz w:val="22"/>
                <w:szCs w:val="22"/>
                <w:u w:val="single"/>
              </w:rPr>
            </w:pPr>
            <w:r w:rsidRPr="005A48A2">
              <w:rPr>
                <w:b/>
                <w:bCs/>
                <w:sz w:val="22"/>
                <w:szCs w:val="22"/>
              </w:rPr>
              <w:t xml:space="preserve">    </w:t>
            </w:r>
            <w:r>
              <w:rPr>
                <w:b/>
                <w:bCs/>
                <w:sz w:val="22"/>
                <w:szCs w:val="22"/>
                <w:u w:val="single"/>
              </w:rPr>
              <w:t>HIGH</w:t>
            </w:r>
          </w:p>
        </w:tc>
        <w:tc>
          <w:tcPr>
            <w:tcW w:w="1121" w:type="dxa"/>
            <w:tcBorders>
              <w:top w:val="nil"/>
              <w:left w:val="nil"/>
              <w:bottom w:val="nil"/>
              <w:right w:val="single" w:sz="4" w:space="0" w:color="auto"/>
            </w:tcBorders>
            <w:shd w:val="clear" w:color="000000" w:fill="FFFFFF"/>
            <w:noWrap/>
            <w:vAlign w:val="bottom"/>
            <w:hideMark/>
          </w:tcPr>
          <w:p w14:paraId="5C532332" w14:textId="77777777" w:rsidR="00410424" w:rsidRDefault="00410424" w:rsidP="00410424">
            <w:pPr>
              <w:rPr>
                <w:sz w:val="22"/>
                <w:szCs w:val="22"/>
              </w:rPr>
            </w:pPr>
            <w:r>
              <w:rPr>
                <w:sz w:val="22"/>
                <w:szCs w:val="22"/>
              </w:rPr>
              <w:t> </w:t>
            </w:r>
          </w:p>
        </w:tc>
      </w:tr>
      <w:tr w:rsidR="00410424" w14:paraId="604162CD" w14:textId="77777777" w:rsidTr="00410424">
        <w:trPr>
          <w:trHeight w:val="261"/>
        </w:trPr>
        <w:tc>
          <w:tcPr>
            <w:tcW w:w="436" w:type="dxa"/>
            <w:tcBorders>
              <w:top w:val="nil"/>
              <w:left w:val="single" w:sz="4" w:space="0" w:color="auto"/>
              <w:bottom w:val="nil"/>
              <w:right w:val="nil"/>
            </w:tcBorders>
            <w:shd w:val="clear" w:color="000000" w:fill="FFFFFF"/>
            <w:noWrap/>
            <w:vAlign w:val="bottom"/>
            <w:hideMark/>
          </w:tcPr>
          <w:p w14:paraId="76500BFA" w14:textId="77777777" w:rsidR="00410424" w:rsidRDefault="00410424" w:rsidP="00410424">
            <w:pPr>
              <w:rPr>
                <w:sz w:val="22"/>
                <w:szCs w:val="22"/>
              </w:rPr>
            </w:pPr>
            <w:r>
              <w:rPr>
                <w:sz w:val="22"/>
                <w:szCs w:val="22"/>
              </w:rPr>
              <w:t> </w:t>
            </w:r>
          </w:p>
        </w:tc>
        <w:tc>
          <w:tcPr>
            <w:tcW w:w="2619" w:type="dxa"/>
            <w:tcBorders>
              <w:top w:val="nil"/>
              <w:left w:val="nil"/>
              <w:bottom w:val="nil"/>
              <w:right w:val="nil"/>
            </w:tcBorders>
            <w:shd w:val="clear" w:color="000000" w:fill="FFFFFF"/>
            <w:noWrap/>
            <w:vAlign w:val="bottom"/>
            <w:hideMark/>
          </w:tcPr>
          <w:p w14:paraId="77E87053" w14:textId="77777777" w:rsidR="00410424" w:rsidRDefault="00410424" w:rsidP="00410424">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14:paraId="2B2A1FC2" w14:textId="77777777" w:rsidR="00410424" w:rsidRDefault="00410424" w:rsidP="00410424">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0A1115D8" w14:textId="77777777" w:rsidR="00410424" w:rsidRDefault="00410424" w:rsidP="00410424">
            <w:pPr>
              <w:rPr>
                <w:color w:val="000000"/>
                <w:sz w:val="22"/>
                <w:szCs w:val="22"/>
              </w:rPr>
            </w:pPr>
            <w:r>
              <w:rPr>
                <w:color w:val="000000"/>
                <w:sz w:val="22"/>
                <w:szCs w:val="22"/>
              </w:rPr>
              <w:t> </w:t>
            </w:r>
          </w:p>
        </w:tc>
        <w:tc>
          <w:tcPr>
            <w:tcW w:w="4102" w:type="dxa"/>
            <w:gridSpan w:val="3"/>
            <w:tcBorders>
              <w:top w:val="nil"/>
              <w:left w:val="nil"/>
              <w:bottom w:val="nil"/>
              <w:right w:val="nil"/>
            </w:tcBorders>
            <w:shd w:val="clear" w:color="000000" w:fill="FFFFFF"/>
            <w:noWrap/>
            <w:vAlign w:val="bottom"/>
            <w:hideMark/>
          </w:tcPr>
          <w:p w14:paraId="4C7FB411" w14:textId="77777777" w:rsidR="00410424" w:rsidRPr="005A48A2" w:rsidRDefault="00410424" w:rsidP="00410424">
            <w:pPr>
              <w:rPr>
                <w:sz w:val="22"/>
                <w:szCs w:val="22"/>
              </w:rPr>
            </w:pPr>
            <w:r>
              <w:rPr>
                <w:sz w:val="22"/>
                <w:szCs w:val="22"/>
              </w:rPr>
              <w:t xml:space="preserve">   RETURN ON EQUITY</w:t>
            </w:r>
          </w:p>
        </w:tc>
        <w:tc>
          <w:tcPr>
            <w:tcW w:w="1080" w:type="dxa"/>
            <w:tcBorders>
              <w:top w:val="nil"/>
              <w:left w:val="nil"/>
              <w:bottom w:val="nil"/>
              <w:right w:val="nil"/>
            </w:tcBorders>
            <w:shd w:val="clear" w:color="000000" w:fill="FFFFFF"/>
            <w:noWrap/>
            <w:vAlign w:val="bottom"/>
            <w:hideMark/>
          </w:tcPr>
          <w:p w14:paraId="5A2BDDA5" w14:textId="77777777" w:rsidR="00410424" w:rsidRDefault="00410424" w:rsidP="00410424">
            <w:pPr>
              <w:jc w:val="right"/>
              <w:rPr>
                <w:sz w:val="22"/>
                <w:szCs w:val="22"/>
                <w:u w:val="double"/>
              </w:rPr>
            </w:pPr>
            <w:r>
              <w:rPr>
                <w:sz w:val="22"/>
                <w:szCs w:val="22"/>
                <w:u w:val="double"/>
              </w:rPr>
              <w:t>6.85%</w:t>
            </w:r>
          </w:p>
        </w:tc>
        <w:tc>
          <w:tcPr>
            <w:tcW w:w="1080" w:type="dxa"/>
            <w:tcBorders>
              <w:top w:val="nil"/>
              <w:left w:val="nil"/>
              <w:bottom w:val="nil"/>
              <w:right w:val="nil"/>
            </w:tcBorders>
            <w:shd w:val="clear" w:color="000000" w:fill="FFFFFF"/>
            <w:noWrap/>
            <w:vAlign w:val="bottom"/>
            <w:hideMark/>
          </w:tcPr>
          <w:p w14:paraId="5FE2EB3D" w14:textId="77777777" w:rsidR="00410424" w:rsidRDefault="00410424" w:rsidP="00410424">
            <w:pPr>
              <w:jc w:val="right"/>
              <w:rPr>
                <w:sz w:val="22"/>
                <w:szCs w:val="22"/>
                <w:u w:val="double"/>
              </w:rPr>
            </w:pPr>
            <w:r>
              <w:rPr>
                <w:sz w:val="22"/>
                <w:szCs w:val="22"/>
                <w:u w:val="double"/>
              </w:rPr>
              <w:t>8.85%</w:t>
            </w:r>
          </w:p>
        </w:tc>
        <w:tc>
          <w:tcPr>
            <w:tcW w:w="1121" w:type="dxa"/>
            <w:tcBorders>
              <w:top w:val="nil"/>
              <w:left w:val="nil"/>
              <w:bottom w:val="nil"/>
              <w:right w:val="single" w:sz="4" w:space="0" w:color="auto"/>
            </w:tcBorders>
            <w:shd w:val="clear" w:color="000000" w:fill="FFFFFF"/>
            <w:noWrap/>
            <w:vAlign w:val="bottom"/>
            <w:hideMark/>
          </w:tcPr>
          <w:p w14:paraId="1F677D5F" w14:textId="77777777" w:rsidR="00410424" w:rsidRDefault="00410424" w:rsidP="00410424">
            <w:pPr>
              <w:rPr>
                <w:sz w:val="22"/>
                <w:szCs w:val="22"/>
              </w:rPr>
            </w:pPr>
            <w:r>
              <w:rPr>
                <w:sz w:val="22"/>
                <w:szCs w:val="22"/>
              </w:rPr>
              <w:t> </w:t>
            </w:r>
          </w:p>
        </w:tc>
      </w:tr>
      <w:tr w:rsidR="00410424" w14:paraId="025BE566" w14:textId="77777777" w:rsidTr="00410424">
        <w:trPr>
          <w:trHeight w:val="249"/>
        </w:trPr>
        <w:tc>
          <w:tcPr>
            <w:tcW w:w="436" w:type="dxa"/>
            <w:tcBorders>
              <w:top w:val="nil"/>
              <w:left w:val="single" w:sz="4" w:space="0" w:color="auto"/>
              <w:bottom w:val="nil"/>
              <w:right w:val="nil"/>
            </w:tcBorders>
            <w:shd w:val="clear" w:color="000000" w:fill="FFFFFF"/>
            <w:noWrap/>
            <w:vAlign w:val="bottom"/>
            <w:hideMark/>
          </w:tcPr>
          <w:p w14:paraId="477842A4" w14:textId="77777777" w:rsidR="00410424" w:rsidRDefault="00410424" w:rsidP="00410424">
            <w:pPr>
              <w:rPr>
                <w:sz w:val="22"/>
                <w:szCs w:val="22"/>
              </w:rPr>
            </w:pPr>
            <w:r>
              <w:rPr>
                <w:sz w:val="22"/>
                <w:szCs w:val="22"/>
              </w:rPr>
              <w:t> </w:t>
            </w:r>
          </w:p>
        </w:tc>
        <w:tc>
          <w:tcPr>
            <w:tcW w:w="2619" w:type="dxa"/>
            <w:tcBorders>
              <w:top w:val="nil"/>
              <w:left w:val="nil"/>
              <w:bottom w:val="nil"/>
              <w:right w:val="nil"/>
            </w:tcBorders>
            <w:shd w:val="clear" w:color="000000" w:fill="FFFFFF"/>
            <w:noWrap/>
            <w:vAlign w:val="bottom"/>
            <w:hideMark/>
          </w:tcPr>
          <w:p w14:paraId="6BA16431" w14:textId="77777777" w:rsidR="00410424" w:rsidRDefault="00410424" w:rsidP="00410424">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14:paraId="298DAB1B" w14:textId="77777777" w:rsidR="00410424" w:rsidRDefault="00410424" w:rsidP="00410424">
            <w:pPr>
              <w:rPr>
                <w:color w:val="000000"/>
                <w:sz w:val="22"/>
                <w:szCs w:val="22"/>
              </w:rPr>
            </w:pPr>
            <w:r>
              <w:rPr>
                <w:color w:val="000000"/>
                <w:sz w:val="22"/>
                <w:szCs w:val="22"/>
              </w:rPr>
              <w:t> </w:t>
            </w:r>
          </w:p>
        </w:tc>
        <w:tc>
          <w:tcPr>
            <w:tcW w:w="1353" w:type="dxa"/>
            <w:tcBorders>
              <w:top w:val="nil"/>
              <w:left w:val="nil"/>
              <w:right w:val="nil"/>
            </w:tcBorders>
            <w:shd w:val="clear" w:color="000000" w:fill="FFFFFF"/>
            <w:noWrap/>
            <w:vAlign w:val="bottom"/>
            <w:hideMark/>
          </w:tcPr>
          <w:p w14:paraId="3AE9F5AA" w14:textId="77777777" w:rsidR="00410424" w:rsidRDefault="00410424" w:rsidP="00410424">
            <w:pPr>
              <w:rPr>
                <w:sz w:val="22"/>
                <w:szCs w:val="22"/>
              </w:rPr>
            </w:pPr>
            <w:r>
              <w:rPr>
                <w:sz w:val="22"/>
                <w:szCs w:val="22"/>
              </w:rPr>
              <w:t> </w:t>
            </w:r>
          </w:p>
        </w:tc>
        <w:tc>
          <w:tcPr>
            <w:tcW w:w="4102" w:type="dxa"/>
            <w:gridSpan w:val="3"/>
            <w:tcBorders>
              <w:top w:val="nil"/>
              <w:left w:val="nil"/>
              <w:right w:val="nil"/>
            </w:tcBorders>
            <w:shd w:val="clear" w:color="000000" w:fill="FFFFFF"/>
            <w:noWrap/>
            <w:vAlign w:val="bottom"/>
            <w:hideMark/>
          </w:tcPr>
          <w:p w14:paraId="3C823FD8" w14:textId="77777777" w:rsidR="00410424" w:rsidRPr="005A48A2" w:rsidRDefault="00410424" w:rsidP="00410424">
            <w:pPr>
              <w:rPr>
                <w:sz w:val="22"/>
                <w:szCs w:val="22"/>
              </w:rPr>
            </w:pPr>
            <w:r>
              <w:rPr>
                <w:sz w:val="22"/>
                <w:szCs w:val="22"/>
              </w:rPr>
              <w:t xml:space="preserve">   OVERALL RATE OF RETURN</w:t>
            </w:r>
          </w:p>
        </w:tc>
        <w:tc>
          <w:tcPr>
            <w:tcW w:w="1080" w:type="dxa"/>
            <w:tcBorders>
              <w:top w:val="nil"/>
              <w:left w:val="nil"/>
              <w:bottom w:val="nil"/>
              <w:right w:val="nil"/>
            </w:tcBorders>
            <w:shd w:val="clear" w:color="000000" w:fill="FFFFFF"/>
            <w:noWrap/>
            <w:vAlign w:val="bottom"/>
            <w:hideMark/>
          </w:tcPr>
          <w:p w14:paraId="6BD80713" w14:textId="77777777" w:rsidR="00410424" w:rsidRDefault="00410424" w:rsidP="00410424">
            <w:pPr>
              <w:jc w:val="right"/>
              <w:rPr>
                <w:sz w:val="22"/>
                <w:szCs w:val="22"/>
                <w:u w:val="double"/>
              </w:rPr>
            </w:pPr>
            <w:r>
              <w:rPr>
                <w:sz w:val="22"/>
                <w:szCs w:val="22"/>
                <w:u w:val="double"/>
              </w:rPr>
              <w:t>6.84%</w:t>
            </w:r>
          </w:p>
        </w:tc>
        <w:tc>
          <w:tcPr>
            <w:tcW w:w="1080" w:type="dxa"/>
            <w:tcBorders>
              <w:top w:val="nil"/>
              <w:left w:val="nil"/>
              <w:bottom w:val="nil"/>
              <w:right w:val="nil"/>
            </w:tcBorders>
            <w:shd w:val="clear" w:color="000000" w:fill="FFFFFF"/>
            <w:noWrap/>
            <w:vAlign w:val="bottom"/>
            <w:hideMark/>
          </w:tcPr>
          <w:p w14:paraId="59945A4A" w14:textId="77777777" w:rsidR="00410424" w:rsidRDefault="00410424" w:rsidP="00410424">
            <w:pPr>
              <w:jc w:val="right"/>
              <w:rPr>
                <w:sz w:val="22"/>
                <w:szCs w:val="22"/>
                <w:u w:val="double"/>
              </w:rPr>
            </w:pPr>
            <w:r>
              <w:rPr>
                <w:sz w:val="22"/>
                <w:szCs w:val="22"/>
                <w:u w:val="double"/>
              </w:rPr>
              <w:t>8.84%</w:t>
            </w:r>
          </w:p>
        </w:tc>
        <w:tc>
          <w:tcPr>
            <w:tcW w:w="1121" w:type="dxa"/>
            <w:tcBorders>
              <w:top w:val="nil"/>
              <w:left w:val="nil"/>
              <w:bottom w:val="nil"/>
              <w:right w:val="single" w:sz="4" w:space="0" w:color="auto"/>
            </w:tcBorders>
            <w:shd w:val="clear" w:color="000000" w:fill="FFFFFF"/>
            <w:noWrap/>
            <w:vAlign w:val="bottom"/>
            <w:hideMark/>
          </w:tcPr>
          <w:p w14:paraId="2B58A26C" w14:textId="77777777" w:rsidR="00410424" w:rsidRDefault="00410424" w:rsidP="00410424">
            <w:pPr>
              <w:rPr>
                <w:sz w:val="22"/>
                <w:szCs w:val="22"/>
              </w:rPr>
            </w:pPr>
            <w:r>
              <w:rPr>
                <w:sz w:val="22"/>
                <w:szCs w:val="22"/>
              </w:rPr>
              <w:t> </w:t>
            </w:r>
          </w:p>
        </w:tc>
      </w:tr>
      <w:tr w:rsidR="00410424" w14:paraId="55DE0ADD" w14:textId="77777777" w:rsidTr="00410424">
        <w:trPr>
          <w:trHeight w:val="249"/>
        </w:trPr>
        <w:tc>
          <w:tcPr>
            <w:tcW w:w="436" w:type="dxa"/>
            <w:tcBorders>
              <w:top w:val="nil"/>
              <w:left w:val="single" w:sz="4" w:space="0" w:color="auto"/>
              <w:bottom w:val="single" w:sz="4" w:space="0" w:color="auto"/>
              <w:right w:val="nil"/>
            </w:tcBorders>
            <w:shd w:val="clear" w:color="000000" w:fill="FFFFFF"/>
            <w:noWrap/>
            <w:vAlign w:val="bottom"/>
            <w:hideMark/>
          </w:tcPr>
          <w:p w14:paraId="1A7C3D91" w14:textId="77777777" w:rsidR="00410424" w:rsidRDefault="00410424" w:rsidP="00410424">
            <w:pPr>
              <w:rPr>
                <w:sz w:val="22"/>
                <w:szCs w:val="22"/>
              </w:rPr>
            </w:pPr>
            <w:r>
              <w:rPr>
                <w:sz w:val="22"/>
                <w:szCs w:val="22"/>
              </w:rPr>
              <w:t> </w:t>
            </w:r>
          </w:p>
        </w:tc>
        <w:tc>
          <w:tcPr>
            <w:tcW w:w="2619" w:type="dxa"/>
            <w:tcBorders>
              <w:top w:val="nil"/>
              <w:left w:val="nil"/>
              <w:bottom w:val="single" w:sz="4" w:space="0" w:color="auto"/>
              <w:right w:val="nil"/>
            </w:tcBorders>
            <w:shd w:val="clear" w:color="000000" w:fill="FFFFFF"/>
            <w:noWrap/>
            <w:vAlign w:val="bottom"/>
            <w:hideMark/>
          </w:tcPr>
          <w:p w14:paraId="2B52B068" w14:textId="77777777" w:rsidR="00410424" w:rsidRDefault="00410424" w:rsidP="00410424">
            <w:pPr>
              <w:rPr>
                <w:sz w:val="22"/>
                <w:szCs w:val="22"/>
              </w:rPr>
            </w:pPr>
            <w:r>
              <w:rPr>
                <w:sz w:val="22"/>
                <w:szCs w:val="22"/>
              </w:rPr>
              <w:t> </w:t>
            </w:r>
          </w:p>
        </w:tc>
        <w:tc>
          <w:tcPr>
            <w:tcW w:w="1206" w:type="dxa"/>
            <w:tcBorders>
              <w:top w:val="nil"/>
              <w:left w:val="nil"/>
              <w:bottom w:val="single" w:sz="4" w:space="0" w:color="auto"/>
              <w:right w:val="nil"/>
            </w:tcBorders>
            <w:shd w:val="clear" w:color="000000" w:fill="FFFFFF"/>
            <w:noWrap/>
            <w:vAlign w:val="bottom"/>
            <w:hideMark/>
          </w:tcPr>
          <w:p w14:paraId="1E465043" w14:textId="77777777" w:rsidR="00410424" w:rsidRDefault="00410424" w:rsidP="00410424">
            <w:pPr>
              <w:rPr>
                <w:sz w:val="22"/>
                <w:szCs w:val="22"/>
              </w:rPr>
            </w:pPr>
            <w:r>
              <w:rPr>
                <w:sz w:val="22"/>
                <w:szCs w:val="22"/>
              </w:rPr>
              <w:t> </w:t>
            </w:r>
          </w:p>
        </w:tc>
        <w:tc>
          <w:tcPr>
            <w:tcW w:w="1353" w:type="dxa"/>
            <w:tcBorders>
              <w:left w:val="nil"/>
              <w:bottom w:val="single" w:sz="4" w:space="0" w:color="auto"/>
              <w:right w:val="nil"/>
            </w:tcBorders>
            <w:shd w:val="clear" w:color="000000" w:fill="FFFFFF"/>
            <w:noWrap/>
            <w:vAlign w:val="bottom"/>
            <w:hideMark/>
          </w:tcPr>
          <w:p w14:paraId="0A81E2F3" w14:textId="77777777" w:rsidR="00410424" w:rsidRDefault="00410424" w:rsidP="00410424">
            <w:pPr>
              <w:rPr>
                <w:sz w:val="22"/>
                <w:szCs w:val="22"/>
              </w:rPr>
            </w:pPr>
            <w:r>
              <w:rPr>
                <w:sz w:val="22"/>
                <w:szCs w:val="22"/>
              </w:rPr>
              <w:t> </w:t>
            </w:r>
          </w:p>
        </w:tc>
        <w:tc>
          <w:tcPr>
            <w:tcW w:w="1402" w:type="dxa"/>
            <w:tcBorders>
              <w:left w:val="nil"/>
              <w:bottom w:val="single" w:sz="4" w:space="0" w:color="auto"/>
              <w:right w:val="nil"/>
            </w:tcBorders>
            <w:shd w:val="clear" w:color="000000" w:fill="FFFFFF"/>
            <w:noWrap/>
            <w:vAlign w:val="bottom"/>
          </w:tcPr>
          <w:p w14:paraId="33EC3821" w14:textId="77777777" w:rsidR="00410424" w:rsidRDefault="00410424" w:rsidP="00410424">
            <w:pPr>
              <w:rPr>
                <w:sz w:val="22"/>
                <w:szCs w:val="22"/>
              </w:rPr>
            </w:pPr>
          </w:p>
        </w:tc>
        <w:tc>
          <w:tcPr>
            <w:tcW w:w="1353" w:type="dxa"/>
            <w:tcBorders>
              <w:left w:val="nil"/>
              <w:bottom w:val="single" w:sz="4" w:space="0" w:color="auto"/>
              <w:right w:val="nil"/>
            </w:tcBorders>
            <w:shd w:val="clear" w:color="000000" w:fill="FFFFFF"/>
            <w:noWrap/>
            <w:vAlign w:val="bottom"/>
          </w:tcPr>
          <w:p w14:paraId="08321824" w14:textId="77777777" w:rsidR="00410424" w:rsidRDefault="00410424" w:rsidP="00410424">
            <w:pPr>
              <w:rPr>
                <w:sz w:val="22"/>
                <w:szCs w:val="22"/>
              </w:rPr>
            </w:pPr>
          </w:p>
        </w:tc>
        <w:tc>
          <w:tcPr>
            <w:tcW w:w="1347" w:type="dxa"/>
            <w:tcBorders>
              <w:top w:val="nil"/>
              <w:left w:val="nil"/>
              <w:bottom w:val="single" w:sz="4" w:space="0" w:color="auto"/>
              <w:right w:val="nil"/>
            </w:tcBorders>
            <w:shd w:val="clear" w:color="000000" w:fill="FFFFFF"/>
            <w:noWrap/>
            <w:vAlign w:val="bottom"/>
          </w:tcPr>
          <w:p w14:paraId="04D4E1DE" w14:textId="77777777" w:rsidR="00410424" w:rsidRDefault="00410424" w:rsidP="00410424">
            <w:pPr>
              <w:rPr>
                <w:sz w:val="22"/>
                <w:szCs w:val="22"/>
              </w:rPr>
            </w:pPr>
          </w:p>
        </w:tc>
        <w:tc>
          <w:tcPr>
            <w:tcW w:w="1080" w:type="dxa"/>
            <w:tcBorders>
              <w:top w:val="nil"/>
              <w:left w:val="nil"/>
              <w:bottom w:val="single" w:sz="4" w:space="0" w:color="auto"/>
              <w:right w:val="nil"/>
            </w:tcBorders>
            <w:shd w:val="clear" w:color="000000" w:fill="FFFFFF"/>
            <w:noWrap/>
            <w:vAlign w:val="bottom"/>
            <w:hideMark/>
          </w:tcPr>
          <w:p w14:paraId="75E9AB61" w14:textId="77777777" w:rsidR="00410424" w:rsidRDefault="00410424" w:rsidP="00410424">
            <w:pPr>
              <w:rPr>
                <w:sz w:val="22"/>
                <w:szCs w:val="22"/>
              </w:rPr>
            </w:pPr>
            <w:r>
              <w:rPr>
                <w:sz w:val="22"/>
                <w:szCs w:val="22"/>
              </w:rPr>
              <w:t> </w:t>
            </w:r>
          </w:p>
        </w:tc>
        <w:tc>
          <w:tcPr>
            <w:tcW w:w="1080" w:type="dxa"/>
            <w:tcBorders>
              <w:top w:val="nil"/>
              <w:left w:val="nil"/>
              <w:bottom w:val="single" w:sz="4" w:space="0" w:color="auto"/>
              <w:right w:val="nil"/>
            </w:tcBorders>
            <w:shd w:val="clear" w:color="000000" w:fill="FFFFFF"/>
            <w:noWrap/>
            <w:vAlign w:val="bottom"/>
            <w:hideMark/>
          </w:tcPr>
          <w:p w14:paraId="2060AF1D" w14:textId="77777777" w:rsidR="00410424" w:rsidRDefault="00410424" w:rsidP="00410424">
            <w:pPr>
              <w:rPr>
                <w:sz w:val="22"/>
                <w:szCs w:val="22"/>
              </w:rPr>
            </w:pPr>
            <w:r>
              <w:rPr>
                <w:sz w:val="22"/>
                <w:szCs w:val="22"/>
              </w:rPr>
              <w:t> </w:t>
            </w:r>
          </w:p>
        </w:tc>
        <w:tc>
          <w:tcPr>
            <w:tcW w:w="1121" w:type="dxa"/>
            <w:tcBorders>
              <w:top w:val="nil"/>
              <w:left w:val="nil"/>
              <w:bottom w:val="single" w:sz="4" w:space="0" w:color="auto"/>
              <w:right w:val="single" w:sz="4" w:space="0" w:color="auto"/>
            </w:tcBorders>
            <w:shd w:val="clear" w:color="000000" w:fill="FFFFFF"/>
            <w:noWrap/>
            <w:vAlign w:val="bottom"/>
            <w:hideMark/>
          </w:tcPr>
          <w:p w14:paraId="382A9D37" w14:textId="77777777" w:rsidR="00410424" w:rsidRDefault="00410424" w:rsidP="00410424">
            <w:pPr>
              <w:rPr>
                <w:sz w:val="22"/>
                <w:szCs w:val="22"/>
              </w:rPr>
            </w:pPr>
            <w:r>
              <w:rPr>
                <w:sz w:val="22"/>
                <w:szCs w:val="22"/>
              </w:rPr>
              <w:t> </w:t>
            </w:r>
          </w:p>
        </w:tc>
      </w:tr>
    </w:tbl>
    <w:p w14:paraId="4253AFDB" w14:textId="77777777" w:rsidR="00410424" w:rsidRDefault="00410424" w:rsidP="00410424">
      <w:pPr>
        <w:pStyle w:val="BodyText"/>
      </w:pPr>
      <w:r>
        <w:fldChar w:fldCharType="begin"/>
      </w:r>
      <w:r>
        <w:instrText xml:space="preserve"> TC "</w:instrText>
      </w:r>
      <w:bookmarkStart w:id="35" w:name="_Toc104278787"/>
      <w:r>
        <w:instrText>Schedule No. 2 –</w:instrText>
      </w:r>
      <w:r w:rsidR="00A0086F">
        <w:instrText xml:space="preserve"> </w:instrText>
      </w:r>
      <w:r>
        <w:instrText>Capital Structure</w:instrText>
      </w:r>
      <w:bookmarkEnd w:id="35"/>
      <w:r>
        <w:instrText xml:space="preserve">" \l 1 </w:instrText>
      </w:r>
      <w:r>
        <w:fldChar w:fldCharType="end"/>
      </w:r>
    </w:p>
    <w:p w14:paraId="1F8E29CB" w14:textId="77777777" w:rsidR="00410424" w:rsidRDefault="00410424" w:rsidP="00E275D8">
      <w:pPr>
        <w:pStyle w:val="BodyText"/>
        <w:sectPr w:rsidR="00410424" w:rsidSect="00410424">
          <w:headerReference w:type="default" r:id="rId17"/>
          <w:footerReference w:type="default" r:id="rId18"/>
          <w:pgSz w:w="15840" w:h="12240" w:orient="landscape" w:code="1"/>
          <w:pgMar w:top="1440" w:right="1584" w:bottom="1440" w:left="1440" w:header="720" w:footer="720" w:gutter="0"/>
          <w:cols w:space="720"/>
          <w:formProt w:val="0"/>
          <w:docGrid w:linePitch="360"/>
        </w:sectPr>
      </w:pPr>
    </w:p>
    <w:p w14:paraId="2BE6244B" w14:textId="77777777" w:rsidR="00A0086F" w:rsidRDefault="00A0086F" w:rsidP="00A0086F">
      <w:pPr>
        <w:pStyle w:val="BodyText"/>
      </w:pPr>
      <w:r>
        <w:fldChar w:fldCharType="begin"/>
      </w:r>
      <w:r>
        <w:instrText xml:space="preserve"> TC "</w:instrText>
      </w:r>
      <w:bookmarkStart w:id="36" w:name="_Toc104278788"/>
      <w:r>
        <w:instrText>Schedule No. 3-A – Statement of Wastewater Operations</w:instrText>
      </w:r>
      <w:bookmarkEnd w:id="36"/>
      <w:r>
        <w:instrText xml:space="preserve">" \l 1 </w:instrText>
      </w:r>
      <w:r>
        <w:fldChar w:fldCharType="end"/>
      </w:r>
    </w:p>
    <w:tbl>
      <w:tblPr>
        <w:tblW w:w="11828" w:type="dxa"/>
        <w:jc w:val="center"/>
        <w:tblLook w:val="04A0" w:firstRow="1" w:lastRow="0" w:firstColumn="1" w:lastColumn="0" w:noHBand="0" w:noVBand="1"/>
      </w:tblPr>
      <w:tblGrid>
        <w:gridCol w:w="436"/>
        <w:gridCol w:w="3186"/>
        <w:gridCol w:w="1476"/>
        <w:gridCol w:w="1476"/>
        <w:gridCol w:w="1476"/>
        <w:gridCol w:w="1738"/>
        <w:gridCol w:w="1706"/>
        <w:gridCol w:w="334"/>
      </w:tblGrid>
      <w:tr w:rsidR="008060A4" w14:paraId="3D0603EC" w14:textId="77777777" w:rsidTr="008060A4">
        <w:trPr>
          <w:trHeight w:val="300"/>
          <w:jc w:val="center"/>
        </w:trPr>
        <w:tc>
          <w:tcPr>
            <w:tcW w:w="3622" w:type="dxa"/>
            <w:gridSpan w:val="2"/>
            <w:tcBorders>
              <w:top w:val="single" w:sz="4" w:space="0" w:color="auto"/>
              <w:left w:val="single" w:sz="4" w:space="0" w:color="auto"/>
              <w:bottom w:val="nil"/>
              <w:right w:val="nil"/>
            </w:tcBorders>
            <w:shd w:val="clear" w:color="auto" w:fill="auto"/>
            <w:noWrap/>
            <w:vAlign w:val="bottom"/>
            <w:hideMark/>
          </w:tcPr>
          <w:p w14:paraId="370B1907" w14:textId="77777777" w:rsidR="008060A4" w:rsidRDefault="008060A4" w:rsidP="008060A4">
            <w:pPr>
              <w:rPr>
                <w:rFonts w:ascii="Arial" w:hAnsi="Arial" w:cs="Arial"/>
                <w:b/>
                <w:bCs/>
              </w:rPr>
            </w:pPr>
            <w:bookmarkStart w:id="37" w:name="RANGE!A1:I28"/>
            <w:r>
              <w:rPr>
                <w:rFonts w:ascii="Arial" w:hAnsi="Arial" w:cs="Arial"/>
                <w:b/>
                <w:bCs/>
              </w:rPr>
              <w:t>Environmental Utilities, LLC</w:t>
            </w:r>
            <w:bookmarkEnd w:id="37"/>
          </w:p>
        </w:tc>
        <w:tc>
          <w:tcPr>
            <w:tcW w:w="1476" w:type="dxa"/>
            <w:tcBorders>
              <w:top w:val="single" w:sz="4" w:space="0" w:color="auto"/>
              <w:left w:val="nil"/>
              <w:bottom w:val="nil"/>
              <w:right w:val="nil"/>
            </w:tcBorders>
            <w:shd w:val="clear" w:color="auto" w:fill="auto"/>
            <w:noWrap/>
            <w:vAlign w:val="bottom"/>
            <w:hideMark/>
          </w:tcPr>
          <w:p w14:paraId="3FCBFBD5" w14:textId="77777777" w:rsidR="008060A4" w:rsidRPr="009F3555" w:rsidRDefault="008060A4" w:rsidP="008060A4">
            <w:pPr>
              <w:rPr>
                <w:rFonts w:ascii="Arial" w:hAnsi="Arial" w:cs="Arial"/>
                <w:b/>
                <w:bCs/>
              </w:rPr>
            </w:pPr>
            <w:r w:rsidRPr="009F3555">
              <w:rPr>
                <w:rFonts w:ascii="Arial" w:hAnsi="Arial" w:cs="Arial"/>
                <w:b/>
                <w:bCs/>
              </w:rPr>
              <w:t> </w:t>
            </w:r>
          </w:p>
        </w:tc>
        <w:tc>
          <w:tcPr>
            <w:tcW w:w="1476" w:type="dxa"/>
            <w:tcBorders>
              <w:top w:val="single" w:sz="4" w:space="0" w:color="auto"/>
              <w:left w:val="nil"/>
              <w:bottom w:val="nil"/>
              <w:right w:val="nil"/>
            </w:tcBorders>
            <w:shd w:val="clear" w:color="auto" w:fill="auto"/>
            <w:noWrap/>
            <w:vAlign w:val="bottom"/>
            <w:hideMark/>
          </w:tcPr>
          <w:p w14:paraId="0F88EF80" w14:textId="77777777" w:rsidR="008060A4" w:rsidRPr="009F3555" w:rsidRDefault="008060A4" w:rsidP="008060A4">
            <w:pPr>
              <w:rPr>
                <w:rFonts w:ascii="Arial" w:hAnsi="Arial" w:cs="Arial"/>
                <w:b/>
                <w:bCs/>
              </w:rPr>
            </w:pPr>
            <w:r w:rsidRPr="009F3555">
              <w:rPr>
                <w:rFonts w:ascii="Arial" w:hAnsi="Arial" w:cs="Arial"/>
                <w:b/>
                <w:bCs/>
              </w:rPr>
              <w:t> </w:t>
            </w:r>
          </w:p>
        </w:tc>
        <w:tc>
          <w:tcPr>
            <w:tcW w:w="1476" w:type="dxa"/>
            <w:tcBorders>
              <w:top w:val="single" w:sz="4" w:space="0" w:color="auto"/>
              <w:left w:val="nil"/>
              <w:bottom w:val="nil"/>
              <w:right w:val="nil"/>
            </w:tcBorders>
            <w:shd w:val="clear" w:color="auto" w:fill="auto"/>
            <w:noWrap/>
            <w:vAlign w:val="bottom"/>
            <w:hideMark/>
          </w:tcPr>
          <w:p w14:paraId="1358C22B" w14:textId="77777777" w:rsidR="008060A4" w:rsidRPr="009F3555" w:rsidRDefault="008060A4" w:rsidP="008060A4">
            <w:pPr>
              <w:rPr>
                <w:rFonts w:ascii="Arial" w:hAnsi="Arial" w:cs="Arial"/>
                <w:b/>
                <w:bCs/>
              </w:rPr>
            </w:pPr>
            <w:r w:rsidRPr="009F3555">
              <w:rPr>
                <w:rFonts w:ascii="Arial" w:hAnsi="Arial" w:cs="Arial"/>
                <w:b/>
                <w:bCs/>
              </w:rPr>
              <w:t> </w:t>
            </w:r>
          </w:p>
        </w:tc>
        <w:tc>
          <w:tcPr>
            <w:tcW w:w="3778" w:type="dxa"/>
            <w:gridSpan w:val="3"/>
            <w:tcBorders>
              <w:top w:val="single" w:sz="4" w:space="0" w:color="auto"/>
              <w:left w:val="nil"/>
              <w:bottom w:val="nil"/>
              <w:right w:val="single" w:sz="4" w:space="0" w:color="000000"/>
            </w:tcBorders>
            <w:shd w:val="clear" w:color="auto" w:fill="auto"/>
            <w:noWrap/>
            <w:vAlign w:val="bottom"/>
            <w:hideMark/>
          </w:tcPr>
          <w:p w14:paraId="4F1D95BB" w14:textId="77777777" w:rsidR="008060A4" w:rsidRDefault="008060A4" w:rsidP="008060A4">
            <w:pPr>
              <w:jc w:val="right"/>
              <w:rPr>
                <w:rFonts w:ascii="Arial" w:hAnsi="Arial" w:cs="Arial"/>
                <w:b/>
                <w:bCs/>
              </w:rPr>
            </w:pPr>
            <w:r>
              <w:rPr>
                <w:rFonts w:ascii="Arial" w:hAnsi="Arial" w:cs="Arial"/>
                <w:b/>
                <w:bCs/>
              </w:rPr>
              <w:t>Schedule No. 3-A</w:t>
            </w:r>
          </w:p>
        </w:tc>
      </w:tr>
      <w:tr w:rsidR="008060A4" w14:paraId="71D70E61" w14:textId="77777777" w:rsidTr="008060A4">
        <w:trPr>
          <w:trHeight w:val="243"/>
          <w:jc w:val="center"/>
        </w:trPr>
        <w:tc>
          <w:tcPr>
            <w:tcW w:w="5098" w:type="dxa"/>
            <w:gridSpan w:val="3"/>
            <w:tcBorders>
              <w:top w:val="nil"/>
              <w:left w:val="single" w:sz="4" w:space="0" w:color="auto"/>
              <w:bottom w:val="nil"/>
              <w:right w:val="nil"/>
            </w:tcBorders>
            <w:shd w:val="clear" w:color="auto" w:fill="auto"/>
            <w:noWrap/>
            <w:vAlign w:val="bottom"/>
            <w:hideMark/>
          </w:tcPr>
          <w:p w14:paraId="2AD1382C" w14:textId="77777777" w:rsidR="008060A4" w:rsidRDefault="008060A4" w:rsidP="008060A4">
            <w:pPr>
              <w:rPr>
                <w:rFonts w:ascii="Arial" w:hAnsi="Arial" w:cs="Arial"/>
                <w:b/>
                <w:bCs/>
              </w:rPr>
            </w:pPr>
            <w:r>
              <w:rPr>
                <w:rFonts w:ascii="Arial" w:hAnsi="Arial" w:cs="Arial"/>
                <w:b/>
                <w:bCs/>
              </w:rPr>
              <w:t>Statement of Wastewater Operations</w:t>
            </w:r>
          </w:p>
        </w:tc>
        <w:tc>
          <w:tcPr>
            <w:tcW w:w="1476" w:type="dxa"/>
            <w:tcBorders>
              <w:top w:val="nil"/>
              <w:left w:val="nil"/>
              <w:bottom w:val="nil"/>
              <w:right w:val="nil"/>
            </w:tcBorders>
            <w:shd w:val="clear" w:color="auto" w:fill="auto"/>
            <w:noWrap/>
            <w:vAlign w:val="bottom"/>
            <w:hideMark/>
          </w:tcPr>
          <w:p w14:paraId="3764B5BE" w14:textId="77777777" w:rsidR="008060A4" w:rsidRDefault="008060A4" w:rsidP="008060A4">
            <w:pPr>
              <w:rPr>
                <w:rFonts w:ascii="Arial" w:hAnsi="Arial" w:cs="Arial"/>
                <w:b/>
                <w:bCs/>
              </w:rPr>
            </w:pPr>
          </w:p>
        </w:tc>
        <w:tc>
          <w:tcPr>
            <w:tcW w:w="1476" w:type="dxa"/>
            <w:tcBorders>
              <w:top w:val="nil"/>
              <w:left w:val="nil"/>
              <w:bottom w:val="nil"/>
              <w:right w:val="nil"/>
            </w:tcBorders>
            <w:shd w:val="clear" w:color="auto" w:fill="auto"/>
            <w:noWrap/>
            <w:vAlign w:val="bottom"/>
            <w:hideMark/>
          </w:tcPr>
          <w:p w14:paraId="2D9D17FC" w14:textId="77777777" w:rsidR="008060A4" w:rsidRPr="009F3555" w:rsidRDefault="008060A4" w:rsidP="008060A4">
            <w:pPr>
              <w:rPr>
                <w:rFonts w:ascii="Arial" w:hAnsi="Arial" w:cs="Arial"/>
                <w:b/>
                <w:bCs/>
              </w:rPr>
            </w:pPr>
          </w:p>
        </w:tc>
        <w:tc>
          <w:tcPr>
            <w:tcW w:w="3778" w:type="dxa"/>
            <w:gridSpan w:val="3"/>
            <w:tcBorders>
              <w:top w:val="nil"/>
              <w:left w:val="nil"/>
              <w:bottom w:val="nil"/>
              <w:right w:val="single" w:sz="4" w:space="0" w:color="000000"/>
            </w:tcBorders>
            <w:shd w:val="clear" w:color="auto" w:fill="auto"/>
            <w:noWrap/>
            <w:vAlign w:val="bottom"/>
            <w:hideMark/>
          </w:tcPr>
          <w:p w14:paraId="7EADEFD7" w14:textId="77777777" w:rsidR="008060A4" w:rsidRDefault="00690DF0" w:rsidP="008060A4">
            <w:pPr>
              <w:jc w:val="right"/>
              <w:rPr>
                <w:rFonts w:ascii="Arial" w:hAnsi="Arial" w:cs="Arial"/>
                <w:b/>
                <w:bCs/>
              </w:rPr>
            </w:pPr>
            <w:r>
              <w:rPr>
                <w:rFonts w:ascii="Arial" w:hAnsi="Arial" w:cs="Arial"/>
                <w:b/>
                <w:bCs/>
              </w:rPr>
              <w:t xml:space="preserve">DN </w:t>
            </w:r>
            <w:r w:rsidR="008060A4">
              <w:rPr>
                <w:rFonts w:ascii="Arial" w:hAnsi="Arial" w:cs="Arial"/>
                <w:b/>
                <w:bCs/>
              </w:rPr>
              <w:t>20200226-SU</w:t>
            </w:r>
          </w:p>
        </w:tc>
      </w:tr>
      <w:tr w:rsidR="008060A4" w14:paraId="1D8EE454" w14:textId="77777777" w:rsidTr="008060A4">
        <w:trPr>
          <w:trHeight w:val="135"/>
          <w:jc w:val="center"/>
        </w:trPr>
        <w:tc>
          <w:tcPr>
            <w:tcW w:w="11494" w:type="dxa"/>
            <w:gridSpan w:val="7"/>
            <w:tcBorders>
              <w:top w:val="nil"/>
              <w:left w:val="single" w:sz="4" w:space="0" w:color="auto"/>
              <w:bottom w:val="single" w:sz="4" w:space="0" w:color="auto"/>
              <w:right w:val="nil"/>
            </w:tcBorders>
            <w:shd w:val="clear" w:color="auto" w:fill="auto"/>
            <w:noWrap/>
            <w:vAlign w:val="bottom"/>
            <w:hideMark/>
          </w:tcPr>
          <w:p w14:paraId="624F8211" w14:textId="77777777" w:rsidR="008060A4" w:rsidRPr="009F3555" w:rsidRDefault="008060A4" w:rsidP="008060A4">
            <w:pPr>
              <w:rPr>
                <w:rFonts w:ascii="Arial" w:hAnsi="Arial" w:cs="Arial"/>
                <w:b/>
                <w:bCs/>
              </w:rPr>
            </w:pPr>
            <w:r>
              <w:rPr>
                <w:rFonts w:ascii="Arial" w:hAnsi="Arial" w:cs="Arial"/>
                <w:b/>
                <w:bCs/>
              </w:rPr>
              <w:t>80% of Design Capacity</w:t>
            </w:r>
          </w:p>
        </w:tc>
        <w:tc>
          <w:tcPr>
            <w:tcW w:w="334" w:type="dxa"/>
            <w:tcBorders>
              <w:top w:val="nil"/>
              <w:left w:val="nil"/>
              <w:bottom w:val="single" w:sz="4" w:space="0" w:color="auto"/>
              <w:right w:val="single" w:sz="4" w:space="0" w:color="auto"/>
            </w:tcBorders>
            <w:shd w:val="clear" w:color="auto" w:fill="auto"/>
            <w:noWrap/>
            <w:vAlign w:val="bottom"/>
            <w:hideMark/>
          </w:tcPr>
          <w:p w14:paraId="1F3DB67F" w14:textId="77777777" w:rsidR="008060A4" w:rsidRPr="009F3555" w:rsidRDefault="008060A4" w:rsidP="008060A4">
            <w:pPr>
              <w:rPr>
                <w:rFonts w:ascii="Arial" w:hAnsi="Arial" w:cs="Arial"/>
                <w:b/>
                <w:bCs/>
              </w:rPr>
            </w:pPr>
            <w:r w:rsidRPr="009F3555">
              <w:rPr>
                <w:rFonts w:ascii="Arial" w:hAnsi="Arial" w:cs="Arial"/>
                <w:b/>
                <w:bCs/>
              </w:rPr>
              <w:t> </w:t>
            </w:r>
          </w:p>
        </w:tc>
      </w:tr>
      <w:tr w:rsidR="008060A4" w14:paraId="7A5A0651"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0DDA3B37" w14:textId="77777777" w:rsidR="008060A4" w:rsidRDefault="008060A4" w:rsidP="008060A4">
            <w:pPr>
              <w:rPr>
                <w:b/>
                <w:bCs/>
                <w:sz w:val="22"/>
                <w:szCs w:val="22"/>
              </w:rPr>
            </w:pPr>
            <w:r>
              <w:rPr>
                <w:b/>
                <w:bCs/>
                <w:sz w:val="22"/>
                <w:szCs w:val="22"/>
              </w:rPr>
              <w:t> </w:t>
            </w:r>
          </w:p>
        </w:tc>
        <w:tc>
          <w:tcPr>
            <w:tcW w:w="3186" w:type="dxa"/>
            <w:vMerge w:val="restart"/>
            <w:tcBorders>
              <w:top w:val="nil"/>
              <w:left w:val="nil"/>
              <w:bottom w:val="nil"/>
              <w:right w:val="nil"/>
            </w:tcBorders>
            <w:shd w:val="clear" w:color="auto" w:fill="auto"/>
            <w:vAlign w:val="center"/>
            <w:hideMark/>
          </w:tcPr>
          <w:p w14:paraId="081E7883" w14:textId="77777777" w:rsidR="008060A4" w:rsidRDefault="008060A4" w:rsidP="008060A4">
            <w:pPr>
              <w:jc w:val="center"/>
              <w:rPr>
                <w:b/>
                <w:bCs/>
                <w:sz w:val="22"/>
                <w:szCs w:val="22"/>
              </w:rPr>
            </w:pPr>
            <w:r>
              <w:rPr>
                <w:b/>
                <w:bCs/>
                <w:sz w:val="22"/>
                <w:szCs w:val="22"/>
              </w:rPr>
              <w:t>Description</w:t>
            </w:r>
          </w:p>
        </w:tc>
        <w:tc>
          <w:tcPr>
            <w:tcW w:w="1476" w:type="dxa"/>
            <w:vMerge w:val="restart"/>
            <w:tcBorders>
              <w:top w:val="nil"/>
              <w:left w:val="nil"/>
              <w:bottom w:val="nil"/>
              <w:right w:val="nil"/>
            </w:tcBorders>
            <w:shd w:val="clear" w:color="auto" w:fill="auto"/>
            <w:vAlign w:val="center"/>
            <w:hideMark/>
          </w:tcPr>
          <w:p w14:paraId="1401F0AA" w14:textId="77777777" w:rsidR="008060A4" w:rsidRDefault="008060A4" w:rsidP="008060A4">
            <w:pPr>
              <w:jc w:val="center"/>
              <w:rPr>
                <w:b/>
                <w:bCs/>
                <w:sz w:val="22"/>
                <w:szCs w:val="22"/>
              </w:rPr>
            </w:pPr>
            <w:r>
              <w:rPr>
                <w:b/>
                <w:bCs/>
                <w:sz w:val="22"/>
                <w:szCs w:val="22"/>
              </w:rPr>
              <w:t>Test Year            Per             Utility</w:t>
            </w:r>
          </w:p>
        </w:tc>
        <w:tc>
          <w:tcPr>
            <w:tcW w:w="1476" w:type="dxa"/>
            <w:vMerge w:val="restart"/>
            <w:tcBorders>
              <w:top w:val="nil"/>
              <w:left w:val="nil"/>
              <w:bottom w:val="nil"/>
              <w:right w:val="nil"/>
            </w:tcBorders>
            <w:shd w:val="clear" w:color="auto" w:fill="auto"/>
            <w:vAlign w:val="center"/>
            <w:hideMark/>
          </w:tcPr>
          <w:p w14:paraId="297A70A4" w14:textId="77777777" w:rsidR="008060A4" w:rsidRDefault="008060A4" w:rsidP="008060A4">
            <w:pPr>
              <w:jc w:val="center"/>
              <w:rPr>
                <w:b/>
                <w:bCs/>
                <w:sz w:val="22"/>
                <w:szCs w:val="22"/>
              </w:rPr>
            </w:pPr>
            <w:r>
              <w:rPr>
                <w:b/>
                <w:bCs/>
                <w:sz w:val="22"/>
                <w:szCs w:val="22"/>
              </w:rPr>
              <w:t>Staff      Adjust-    ments</w:t>
            </w:r>
          </w:p>
        </w:tc>
        <w:tc>
          <w:tcPr>
            <w:tcW w:w="1476" w:type="dxa"/>
            <w:vMerge w:val="restart"/>
            <w:tcBorders>
              <w:top w:val="nil"/>
              <w:left w:val="nil"/>
              <w:bottom w:val="nil"/>
              <w:right w:val="nil"/>
            </w:tcBorders>
            <w:shd w:val="clear" w:color="auto" w:fill="auto"/>
            <w:vAlign w:val="center"/>
            <w:hideMark/>
          </w:tcPr>
          <w:p w14:paraId="594016F9" w14:textId="77777777" w:rsidR="008060A4" w:rsidRDefault="008060A4" w:rsidP="008060A4">
            <w:pPr>
              <w:jc w:val="center"/>
              <w:rPr>
                <w:b/>
                <w:bCs/>
                <w:sz w:val="22"/>
                <w:szCs w:val="22"/>
              </w:rPr>
            </w:pPr>
            <w:r>
              <w:rPr>
                <w:b/>
                <w:bCs/>
                <w:sz w:val="22"/>
                <w:szCs w:val="22"/>
              </w:rPr>
              <w:t>Staff    Adjusted    Test Year</w:t>
            </w:r>
          </w:p>
        </w:tc>
        <w:tc>
          <w:tcPr>
            <w:tcW w:w="1738" w:type="dxa"/>
            <w:vMerge w:val="restart"/>
            <w:tcBorders>
              <w:top w:val="nil"/>
              <w:left w:val="nil"/>
              <w:bottom w:val="nil"/>
              <w:right w:val="nil"/>
            </w:tcBorders>
            <w:shd w:val="clear" w:color="auto" w:fill="auto"/>
            <w:vAlign w:val="center"/>
            <w:hideMark/>
          </w:tcPr>
          <w:p w14:paraId="0ABE2EAB" w14:textId="77777777" w:rsidR="008060A4" w:rsidRDefault="008060A4" w:rsidP="008060A4">
            <w:pPr>
              <w:jc w:val="center"/>
              <w:rPr>
                <w:b/>
                <w:bCs/>
                <w:sz w:val="22"/>
                <w:szCs w:val="22"/>
              </w:rPr>
            </w:pPr>
            <w:r>
              <w:rPr>
                <w:b/>
                <w:bCs/>
                <w:sz w:val="22"/>
                <w:szCs w:val="22"/>
              </w:rPr>
              <w:t>Revenue Increase</w:t>
            </w:r>
          </w:p>
        </w:tc>
        <w:tc>
          <w:tcPr>
            <w:tcW w:w="1706" w:type="dxa"/>
            <w:vMerge w:val="restart"/>
            <w:tcBorders>
              <w:top w:val="nil"/>
              <w:left w:val="nil"/>
              <w:bottom w:val="nil"/>
              <w:right w:val="nil"/>
            </w:tcBorders>
            <w:shd w:val="clear" w:color="auto" w:fill="auto"/>
            <w:vAlign w:val="center"/>
            <w:hideMark/>
          </w:tcPr>
          <w:p w14:paraId="3D11124A" w14:textId="77777777" w:rsidR="008060A4" w:rsidRDefault="008060A4" w:rsidP="008060A4">
            <w:pPr>
              <w:jc w:val="center"/>
              <w:rPr>
                <w:b/>
                <w:bCs/>
                <w:sz w:val="22"/>
                <w:szCs w:val="22"/>
              </w:rPr>
            </w:pPr>
            <w:r>
              <w:rPr>
                <w:b/>
                <w:bCs/>
                <w:sz w:val="22"/>
                <w:szCs w:val="22"/>
              </w:rPr>
              <w:t>Revenue Requirement</w:t>
            </w:r>
          </w:p>
        </w:tc>
        <w:tc>
          <w:tcPr>
            <w:tcW w:w="334" w:type="dxa"/>
            <w:tcBorders>
              <w:top w:val="nil"/>
              <w:left w:val="nil"/>
              <w:bottom w:val="nil"/>
              <w:right w:val="single" w:sz="4" w:space="0" w:color="auto"/>
            </w:tcBorders>
            <w:shd w:val="clear" w:color="auto" w:fill="auto"/>
            <w:noWrap/>
            <w:vAlign w:val="bottom"/>
            <w:hideMark/>
          </w:tcPr>
          <w:p w14:paraId="52F77540" w14:textId="77777777" w:rsidR="008060A4" w:rsidRDefault="008060A4" w:rsidP="008060A4">
            <w:pPr>
              <w:rPr>
                <w:b/>
                <w:bCs/>
                <w:sz w:val="22"/>
                <w:szCs w:val="22"/>
              </w:rPr>
            </w:pPr>
            <w:r>
              <w:rPr>
                <w:b/>
                <w:bCs/>
                <w:sz w:val="22"/>
                <w:szCs w:val="22"/>
              </w:rPr>
              <w:t> </w:t>
            </w:r>
          </w:p>
        </w:tc>
      </w:tr>
      <w:tr w:rsidR="008060A4" w14:paraId="2B1C4429"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6AB14B1B" w14:textId="77777777" w:rsidR="008060A4" w:rsidRDefault="008060A4" w:rsidP="008060A4">
            <w:pPr>
              <w:rPr>
                <w:b/>
                <w:bCs/>
                <w:sz w:val="22"/>
                <w:szCs w:val="22"/>
              </w:rPr>
            </w:pPr>
            <w:r>
              <w:rPr>
                <w:b/>
                <w:bCs/>
                <w:sz w:val="22"/>
                <w:szCs w:val="22"/>
              </w:rPr>
              <w:t> </w:t>
            </w:r>
          </w:p>
        </w:tc>
        <w:tc>
          <w:tcPr>
            <w:tcW w:w="3186" w:type="dxa"/>
            <w:vMerge/>
            <w:tcBorders>
              <w:top w:val="nil"/>
              <w:left w:val="nil"/>
              <w:bottom w:val="nil"/>
              <w:right w:val="nil"/>
            </w:tcBorders>
            <w:vAlign w:val="center"/>
            <w:hideMark/>
          </w:tcPr>
          <w:p w14:paraId="2E9B4A6A" w14:textId="77777777" w:rsidR="008060A4" w:rsidRDefault="008060A4" w:rsidP="008060A4">
            <w:pPr>
              <w:rPr>
                <w:b/>
                <w:bCs/>
                <w:sz w:val="22"/>
                <w:szCs w:val="22"/>
              </w:rPr>
            </w:pPr>
          </w:p>
        </w:tc>
        <w:tc>
          <w:tcPr>
            <w:tcW w:w="1476" w:type="dxa"/>
            <w:vMerge/>
            <w:tcBorders>
              <w:top w:val="nil"/>
              <w:left w:val="nil"/>
              <w:bottom w:val="nil"/>
              <w:right w:val="nil"/>
            </w:tcBorders>
            <w:vAlign w:val="center"/>
            <w:hideMark/>
          </w:tcPr>
          <w:p w14:paraId="168284CD" w14:textId="77777777" w:rsidR="008060A4" w:rsidRDefault="008060A4" w:rsidP="008060A4">
            <w:pPr>
              <w:rPr>
                <w:b/>
                <w:bCs/>
                <w:sz w:val="22"/>
                <w:szCs w:val="22"/>
              </w:rPr>
            </w:pPr>
          </w:p>
        </w:tc>
        <w:tc>
          <w:tcPr>
            <w:tcW w:w="1476" w:type="dxa"/>
            <w:vMerge/>
            <w:tcBorders>
              <w:top w:val="nil"/>
              <w:left w:val="nil"/>
              <w:bottom w:val="nil"/>
              <w:right w:val="nil"/>
            </w:tcBorders>
            <w:vAlign w:val="center"/>
            <w:hideMark/>
          </w:tcPr>
          <w:p w14:paraId="282D5A1B" w14:textId="77777777" w:rsidR="008060A4" w:rsidRDefault="008060A4" w:rsidP="008060A4">
            <w:pPr>
              <w:rPr>
                <w:b/>
                <w:bCs/>
                <w:sz w:val="22"/>
                <w:szCs w:val="22"/>
              </w:rPr>
            </w:pPr>
          </w:p>
        </w:tc>
        <w:tc>
          <w:tcPr>
            <w:tcW w:w="1476" w:type="dxa"/>
            <w:vMerge/>
            <w:tcBorders>
              <w:top w:val="nil"/>
              <w:left w:val="nil"/>
              <w:bottom w:val="nil"/>
              <w:right w:val="nil"/>
            </w:tcBorders>
            <w:vAlign w:val="center"/>
            <w:hideMark/>
          </w:tcPr>
          <w:p w14:paraId="6EE68909" w14:textId="77777777" w:rsidR="008060A4" w:rsidRDefault="008060A4" w:rsidP="008060A4">
            <w:pPr>
              <w:rPr>
                <w:b/>
                <w:bCs/>
                <w:sz w:val="22"/>
                <w:szCs w:val="22"/>
              </w:rPr>
            </w:pPr>
          </w:p>
        </w:tc>
        <w:tc>
          <w:tcPr>
            <w:tcW w:w="1738" w:type="dxa"/>
            <w:vMerge/>
            <w:tcBorders>
              <w:top w:val="nil"/>
              <w:left w:val="nil"/>
              <w:bottom w:val="nil"/>
              <w:right w:val="nil"/>
            </w:tcBorders>
            <w:vAlign w:val="center"/>
            <w:hideMark/>
          </w:tcPr>
          <w:p w14:paraId="1D240633" w14:textId="77777777" w:rsidR="008060A4" w:rsidRDefault="008060A4" w:rsidP="008060A4">
            <w:pPr>
              <w:rPr>
                <w:b/>
                <w:bCs/>
                <w:sz w:val="22"/>
                <w:szCs w:val="22"/>
              </w:rPr>
            </w:pPr>
          </w:p>
        </w:tc>
        <w:tc>
          <w:tcPr>
            <w:tcW w:w="1706" w:type="dxa"/>
            <w:vMerge/>
            <w:tcBorders>
              <w:top w:val="nil"/>
              <w:left w:val="nil"/>
              <w:bottom w:val="nil"/>
              <w:right w:val="nil"/>
            </w:tcBorders>
            <w:vAlign w:val="center"/>
            <w:hideMark/>
          </w:tcPr>
          <w:p w14:paraId="0A0E839C" w14:textId="77777777" w:rsidR="008060A4" w:rsidRDefault="008060A4" w:rsidP="008060A4">
            <w:pPr>
              <w:rPr>
                <w:b/>
                <w:bCs/>
                <w:sz w:val="22"/>
                <w:szCs w:val="22"/>
              </w:rPr>
            </w:pPr>
          </w:p>
        </w:tc>
        <w:tc>
          <w:tcPr>
            <w:tcW w:w="334" w:type="dxa"/>
            <w:tcBorders>
              <w:top w:val="nil"/>
              <w:left w:val="nil"/>
              <w:bottom w:val="nil"/>
              <w:right w:val="single" w:sz="4" w:space="0" w:color="auto"/>
            </w:tcBorders>
            <w:shd w:val="clear" w:color="auto" w:fill="auto"/>
            <w:noWrap/>
            <w:vAlign w:val="bottom"/>
            <w:hideMark/>
          </w:tcPr>
          <w:p w14:paraId="69DBAA2C" w14:textId="77777777" w:rsidR="008060A4" w:rsidRDefault="008060A4" w:rsidP="008060A4">
            <w:pPr>
              <w:jc w:val="center"/>
              <w:rPr>
                <w:b/>
                <w:bCs/>
                <w:sz w:val="22"/>
                <w:szCs w:val="22"/>
              </w:rPr>
            </w:pPr>
            <w:r>
              <w:rPr>
                <w:b/>
                <w:bCs/>
                <w:sz w:val="22"/>
                <w:szCs w:val="22"/>
              </w:rPr>
              <w:t> </w:t>
            </w:r>
          </w:p>
        </w:tc>
      </w:tr>
      <w:tr w:rsidR="008060A4" w14:paraId="14871AB4"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766F9B21" w14:textId="77777777" w:rsidR="008060A4" w:rsidRDefault="008060A4" w:rsidP="008060A4">
            <w:pPr>
              <w:rPr>
                <w:b/>
                <w:bCs/>
                <w:sz w:val="22"/>
                <w:szCs w:val="22"/>
              </w:rPr>
            </w:pPr>
            <w:r>
              <w:rPr>
                <w:b/>
                <w:bCs/>
                <w:sz w:val="22"/>
                <w:szCs w:val="22"/>
              </w:rPr>
              <w:t> </w:t>
            </w:r>
          </w:p>
        </w:tc>
        <w:tc>
          <w:tcPr>
            <w:tcW w:w="3186" w:type="dxa"/>
            <w:vMerge/>
            <w:tcBorders>
              <w:top w:val="nil"/>
              <w:left w:val="nil"/>
              <w:bottom w:val="nil"/>
              <w:right w:val="nil"/>
            </w:tcBorders>
            <w:vAlign w:val="center"/>
            <w:hideMark/>
          </w:tcPr>
          <w:p w14:paraId="329F30B5" w14:textId="77777777" w:rsidR="008060A4" w:rsidRDefault="008060A4" w:rsidP="008060A4">
            <w:pPr>
              <w:rPr>
                <w:b/>
                <w:bCs/>
                <w:sz w:val="22"/>
                <w:szCs w:val="22"/>
              </w:rPr>
            </w:pPr>
          </w:p>
        </w:tc>
        <w:tc>
          <w:tcPr>
            <w:tcW w:w="1476" w:type="dxa"/>
            <w:vMerge/>
            <w:tcBorders>
              <w:top w:val="nil"/>
              <w:left w:val="nil"/>
              <w:bottom w:val="nil"/>
              <w:right w:val="nil"/>
            </w:tcBorders>
            <w:vAlign w:val="center"/>
            <w:hideMark/>
          </w:tcPr>
          <w:p w14:paraId="201C6300" w14:textId="77777777" w:rsidR="008060A4" w:rsidRDefault="008060A4" w:rsidP="008060A4">
            <w:pPr>
              <w:rPr>
                <w:b/>
                <w:bCs/>
                <w:sz w:val="22"/>
                <w:szCs w:val="22"/>
              </w:rPr>
            </w:pPr>
          </w:p>
        </w:tc>
        <w:tc>
          <w:tcPr>
            <w:tcW w:w="1476" w:type="dxa"/>
            <w:vMerge/>
            <w:tcBorders>
              <w:top w:val="nil"/>
              <w:left w:val="nil"/>
              <w:bottom w:val="nil"/>
              <w:right w:val="nil"/>
            </w:tcBorders>
            <w:vAlign w:val="center"/>
            <w:hideMark/>
          </w:tcPr>
          <w:p w14:paraId="7C0EC945" w14:textId="77777777" w:rsidR="008060A4" w:rsidRDefault="008060A4" w:rsidP="008060A4">
            <w:pPr>
              <w:rPr>
                <w:b/>
                <w:bCs/>
                <w:sz w:val="22"/>
                <w:szCs w:val="22"/>
              </w:rPr>
            </w:pPr>
          </w:p>
        </w:tc>
        <w:tc>
          <w:tcPr>
            <w:tcW w:w="1476" w:type="dxa"/>
            <w:vMerge/>
            <w:tcBorders>
              <w:top w:val="nil"/>
              <w:left w:val="nil"/>
              <w:bottom w:val="nil"/>
              <w:right w:val="nil"/>
            </w:tcBorders>
            <w:vAlign w:val="center"/>
            <w:hideMark/>
          </w:tcPr>
          <w:p w14:paraId="5E4C46D6" w14:textId="77777777" w:rsidR="008060A4" w:rsidRDefault="008060A4" w:rsidP="008060A4">
            <w:pPr>
              <w:rPr>
                <w:b/>
                <w:bCs/>
                <w:sz w:val="22"/>
                <w:szCs w:val="22"/>
              </w:rPr>
            </w:pPr>
          </w:p>
        </w:tc>
        <w:tc>
          <w:tcPr>
            <w:tcW w:w="1738" w:type="dxa"/>
            <w:vMerge/>
            <w:tcBorders>
              <w:top w:val="nil"/>
              <w:left w:val="nil"/>
              <w:bottom w:val="nil"/>
              <w:right w:val="nil"/>
            </w:tcBorders>
            <w:vAlign w:val="center"/>
            <w:hideMark/>
          </w:tcPr>
          <w:p w14:paraId="2F4679CD" w14:textId="77777777" w:rsidR="008060A4" w:rsidRDefault="008060A4" w:rsidP="008060A4">
            <w:pPr>
              <w:rPr>
                <w:b/>
                <w:bCs/>
                <w:sz w:val="22"/>
                <w:szCs w:val="22"/>
              </w:rPr>
            </w:pPr>
          </w:p>
        </w:tc>
        <w:tc>
          <w:tcPr>
            <w:tcW w:w="1706" w:type="dxa"/>
            <w:vMerge/>
            <w:tcBorders>
              <w:top w:val="nil"/>
              <w:left w:val="nil"/>
              <w:bottom w:val="nil"/>
              <w:right w:val="nil"/>
            </w:tcBorders>
            <w:vAlign w:val="center"/>
            <w:hideMark/>
          </w:tcPr>
          <w:p w14:paraId="3DBB8331" w14:textId="77777777" w:rsidR="008060A4" w:rsidRDefault="008060A4" w:rsidP="008060A4">
            <w:pPr>
              <w:rPr>
                <w:b/>
                <w:bCs/>
                <w:sz w:val="22"/>
                <w:szCs w:val="22"/>
              </w:rPr>
            </w:pPr>
          </w:p>
        </w:tc>
        <w:tc>
          <w:tcPr>
            <w:tcW w:w="334" w:type="dxa"/>
            <w:tcBorders>
              <w:top w:val="nil"/>
              <w:left w:val="nil"/>
              <w:bottom w:val="nil"/>
              <w:right w:val="single" w:sz="4" w:space="0" w:color="auto"/>
            </w:tcBorders>
            <w:shd w:val="clear" w:color="auto" w:fill="auto"/>
            <w:noWrap/>
            <w:vAlign w:val="bottom"/>
            <w:hideMark/>
          </w:tcPr>
          <w:p w14:paraId="5DA4C0D9" w14:textId="77777777" w:rsidR="008060A4" w:rsidRDefault="008060A4" w:rsidP="008060A4">
            <w:pPr>
              <w:jc w:val="center"/>
              <w:rPr>
                <w:b/>
                <w:bCs/>
                <w:sz w:val="22"/>
                <w:szCs w:val="22"/>
              </w:rPr>
            </w:pPr>
            <w:r>
              <w:rPr>
                <w:b/>
                <w:bCs/>
                <w:sz w:val="22"/>
                <w:szCs w:val="22"/>
              </w:rPr>
              <w:t> </w:t>
            </w:r>
          </w:p>
        </w:tc>
      </w:tr>
      <w:tr w:rsidR="008060A4" w14:paraId="2D75A826" w14:textId="77777777" w:rsidTr="008060A4">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14:paraId="1E182503" w14:textId="77777777" w:rsidR="008060A4" w:rsidRDefault="008060A4" w:rsidP="008060A4">
            <w:pPr>
              <w:rPr>
                <w:rFonts w:ascii="Arial" w:hAnsi="Arial" w:cs="Arial"/>
                <w:sz w:val="20"/>
                <w:szCs w:val="20"/>
              </w:rPr>
            </w:pPr>
            <w:r>
              <w:rPr>
                <w:rFonts w:ascii="Arial" w:hAnsi="Arial" w:cs="Arial"/>
                <w:sz w:val="20"/>
                <w:szCs w:val="20"/>
              </w:rPr>
              <w:t> </w:t>
            </w:r>
          </w:p>
        </w:tc>
        <w:tc>
          <w:tcPr>
            <w:tcW w:w="3186" w:type="dxa"/>
            <w:tcBorders>
              <w:top w:val="single" w:sz="4" w:space="0" w:color="000000"/>
              <w:left w:val="nil"/>
              <w:bottom w:val="nil"/>
              <w:right w:val="nil"/>
            </w:tcBorders>
            <w:shd w:val="clear" w:color="auto" w:fill="auto"/>
            <w:noWrap/>
            <w:vAlign w:val="bottom"/>
            <w:hideMark/>
          </w:tcPr>
          <w:p w14:paraId="1F50B1B8" w14:textId="77777777" w:rsidR="008060A4" w:rsidRDefault="008060A4" w:rsidP="008060A4">
            <w:pPr>
              <w:rPr>
                <w:rFonts w:ascii="Arial" w:hAnsi="Arial" w:cs="Arial"/>
                <w:sz w:val="20"/>
                <w:szCs w:val="20"/>
              </w:rPr>
            </w:pPr>
            <w:r>
              <w:rPr>
                <w:rFonts w:ascii="Arial" w:hAnsi="Arial" w:cs="Arial"/>
                <w:sz w:val="20"/>
                <w:szCs w:val="20"/>
              </w:rPr>
              <w:t> </w:t>
            </w:r>
          </w:p>
        </w:tc>
        <w:tc>
          <w:tcPr>
            <w:tcW w:w="1476" w:type="dxa"/>
            <w:tcBorders>
              <w:top w:val="single" w:sz="4" w:space="0" w:color="000000"/>
              <w:left w:val="nil"/>
              <w:bottom w:val="nil"/>
              <w:right w:val="nil"/>
            </w:tcBorders>
            <w:shd w:val="clear" w:color="auto" w:fill="auto"/>
            <w:noWrap/>
            <w:vAlign w:val="bottom"/>
            <w:hideMark/>
          </w:tcPr>
          <w:p w14:paraId="75BE9A36" w14:textId="77777777" w:rsidR="008060A4" w:rsidRDefault="008060A4" w:rsidP="008060A4">
            <w:pPr>
              <w:rPr>
                <w:rFonts w:ascii="Arial" w:hAnsi="Arial" w:cs="Arial"/>
                <w:sz w:val="20"/>
                <w:szCs w:val="20"/>
              </w:rPr>
            </w:pPr>
            <w:r>
              <w:rPr>
                <w:rFonts w:ascii="Arial" w:hAnsi="Arial" w:cs="Arial"/>
                <w:sz w:val="20"/>
                <w:szCs w:val="20"/>
              </w:rPr>
              <w:t> </w:t>
            </w:r>
          </w:p>
        </w:tc>
        <w:tc>
          <w:tcPr>
            <w:tcW w:w="1476" w:type="dxa"/>
            <w:tcBorders>
              <w:top w:val="single" w:sz="4" w:space="0" w:color="000000"/>
              <w:left w:val="nil"/>
              <w:bottom w:val="nil"/>
              <w:right w:val="nil"/>
            </w:tcBorders>
            <w:shd w:val="clear" w:color="auto" w:fill="auto"/>
            <w:noWrap/>
            <w:vAlign w:val="bottom"/>
            <w:hideMark/>
          </w:tcPr>
          <w:p w14:paraId="2C2EF691" w14:textId="77777777" w:rsidR="008060A4" w:rsidRDefault="008060A4" w:rsidP="008060A4">
            <w:pPr>
              <w:rPr>
                <w:rFonts w:ascii="Arial" w:hAnsi="Arial" w:cs="Arial"/>
                <w:sz w:val="20"/>
                <w:szCs w:val="20"/>
              </w:rPr>
            </w:pPr>
            <w:r>
              <w:rPr>
                <w:rFonts w:ascii="Arial" w:hAnsi="Arial" w:cs="Arial"/>
                <w:sz w:val="20"/>
                <w:szCs w:val="20"/>
              </w:rPr>
              <w:t> </w:t>
            </w:r>
          </w:p>
        </w:tc>
        <w:tc>
          <w:tcPr>
            <w:tcW w:w="1476" w:type="dxa"/>
            <w:tcBorders>
              <w:top w:val="single" w:sz="4" w:space="0" w:color="000000"/>
              <w:left w:val="nil"/>
              <w:bottom w:val="nil"/>
              <w:right w:val="nil"/>
            </w:tcBorders>
            <w:shd w:val="clear" w:color="auto" w:fill="auto"/>
            <w:noWrap/>
            <w:vAlign w:val="bottom"/>
            <w:hideMark/>
          </w:tcPr>
          <w:p w14:paraId="20B5D05A" w14:textId="77777777" w:rsidR="008060A4" w:rsidRDefault="008060A4" w:rsidP="008060A4">
            <w:pPr>
              <w:rPr>
                <w:rFonts w:ascii="Arial" w:hAnsi="Arial" w:cs="Arial"/>
                <w:sz w:val="20"/>
                <w:szCs w:val="20"/>
              </w:rPr>
            </w:pPr>
            <w:r>
              <w:rPr>
                <w:rFonts w:ascii="Arial" w:hAnsi="Arial" w:cs="Arial"/>
                <w:sz w:val="20"/>
                <w:szCs w:val="20"/>
              </w:rPr>
              <w:t> </w:t>
            </w:r>
          </w:p>
        </w:tc>
        <w:tc>
          <w:tcPr>
            <w:tcW w:w="1738" w:type="dxa"/>
            <w:tcBorders>
              <w:top w:val="single" w:sz="4" w:space="0" w:color="000000"/>
              <w:left w:val="nil"/>
              <w:bottom w:val="nil"/>
              <w:right w:val="nil"/>
            </w:tcBorders>
            <w:shd w:val="clear" w:color="auto" w:fill="auto"/>
            <w:noWrap/>
            <w:vAlign w:val="bottom"/>
            <w:hideMark/>
          </w:tcPr>
          <w:p w14:paraId="7A06BE98" w14:textId="77777777" w:rsidR="008060A4" w:rsidRDefault="008060A4" w:rsidP="008060A4">
            <w:pPr>
              <w:rPr>
                <w:rFonts w:ascii="Arial" w:hAnsi="Arial" w:cs="Arial"/>
                <w:sz w:val="20"/>
                <w:szCs w:val="20"/>
              </w:rPr>
            </w:pPr>
            <w:r>
              <w:rPr>
                <w:rFonts w:ascii="Arial" w:hAnsi="Arial" w:cs="Arial"/>
                <w:sz w:val="20"/>
                <w:szCs w:val="20"/>
              </w:rPr>
              <w:t> </w:t>
            </w:r>
          </w:p>
        </w:tc>
        <w:tc>
          <w:tcPr>
            <w:tcW w:w="1706" w:type="dxa"/>
            <w:tcBorders>
              <w:top w:val="single" w:sz="4" w:space="0" w:color="000000"/>
              <w:left w:val="nil"/>
              <w:bottom w:val="nil"/>
              <w:right w:val="nil"/>
            </w:tcBorders>
            <w:shd w:val="clear" w:color="auto" w:fill="auto"/>
            <w:noWrap/>
            <w:vAlign w:val="bottom"/>
            <w:hideMark/>
          </w:tcPr>
          <w:p w14:paraId="6FCACC5F" w14:textId="77777777" w:rsidR="008060A4" w:rsidRDefault="008060A4" w:rsidP="008060A4">
            <w:pPr>
              <w:rPr>
                <w:rFonts w:ascii="Arial" w:hAnsi="Arial" w:cs="Arial"/>
                <w:sz w:val="20"/>
                <w:szCs w:val="20"/>
              </w:rPr>
            </w:pPr>
            <w:r>
              <w:rPr>
                <w:rFonts w:ascii="Arial" w:hAnsi="Arial" w:cs="Arial"/>
                <w:sz w:val="20"/>
                <w:szCs w:val="20"/>
              </w:rPr>
              <w:t> </w:t>
            </w:r>
          </w:p>
        </w:tc>
        <w:tc>
          <w:tcPr>
            <w:tcW w:w="334" w:type="dxa"/>
            <w:tcBorders>
              <w:top w:val="single" w:sz="4" w:space="0" w:color="000000"/>
              <w:left w:val="nil"/>
              <w:bottom w:val="nil"/>
              <w:right w:val="single" w:sz="4" w:space="0" w:color="auto"/>
            </w:tcBorders>
            <w:shd w:val="clear" w:color="auto" w:fill="auto"/>
            <w:noWrap/>
            <w:vAlign w:val="bottom"/>
            <w:hideMark/>
          </w:tcPr>
          <w:p w14:paraId="520F3BCA"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1C3BFB01"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15C085A3" w14:textId="77777777" w:rsidR="008060A4" w:rsidRDefault="008060A4" w:rsidP="008060A4">
            <w:pPr>
              <w:jc w:val="center"/>
              <w:rPr>
                <w:sz w:val="22"/>
                <w:szCs w:val="22"/>
              </w:rPr>
            </w:pPr>
            <w:r>
              <w:rPr>
                <w:sz w:val="22"/>
                <w:szCs w:val="22"/>
              </w:rPr>
              <w:t>1</w:t>
            </w:r>
          </w:p>
        </w:tc>
        <w:tc>
          <w:tcPr>
            <w:tcW w:w="3186" w:type="dxa"/>
            <w:tcBorders>
              <w:top w:val="nil"/>
              <w:left w:val="nil"/>
              <w:bottom w:val="nil"/>
              <w:right w:val="nil"/>
            </w:tcBorders>
            <w:shd w:val="clear" w:color="auto" w:fill="auto"/>
            <w:noWrap/>
            <w:vAlign w:val="bottom"/>
            <w:hideMark/>
          </w:tcPr>
          <w:p w14:paraId="15D36ACD" w14:textId="77777777" w:rsidR="008060A4" w:rsidRDefault="008060A4" w:rsidP="008060A4">
            <w:pPr>
              <w:rPr>
                <w:b/>
                <w:bCs/>
                <w:sz w:val="22"/>
                <w:szCs w:val="22"/>
              </w:rPr>
            </w:pPr>
            <w:r>
              <w:rPr>
                <w:b/>
                <w:bCs/>
                <w:sz w:val="22"/>
                <w:szCs w:val="22"/>
              </w:rPr>
              <w:t>Operating Revenues:</w:t>
            </w:r>
          </w:p>
        </w:tc>
        <w:tc>
          <w:tcPr>
            <w:tcW w:w="1476" w:type="dxa"/>
            <w:tcBorders>
              <w:top w:val="nil"/>
              <w:left w:val="nil"/>
              <w:bottom w:val="nil"/>
              <w:right w:val="nil"/>
            </w:tcBorders>
            <w:shd w:val="clear" w:color="auto" w:fill="auto"/>
            <w:noWrap/>
            <w:vAlign w:val="bottom"/>
            <w:hideMark/>
          </w:tcPr>
          <w:p w14:paraId="6AB4F0DE" w14:textId="77777777" w:rsidR="008060A4" w:rsidRDefault="008060A4" w:rsidP="008060A4">
            <w:pPr>
              <w:jc w:val="right"/>
              <w:rPr>
                <w:sz w:val="22"/>
                <w:szCs w:val="22"/>
                <w:u w:val="single"/>
              </w:rPr>
            </w:pPr>
            <w:r>
              <w:rPr>
                <w:sz w:val="22"/>
                <w:szCs w:val="22"/>
                <w:u w:val="single"/>
              </w:rPr>
              <w:t xml:space="preserve">$2,142,157 </w:t>
            </w:r>
          </w:p>
        </w:tc>
        <w:tc>
          <w:tcPr>
            <w:tcW w:w="1476" w:type="dxa"/>
            <w:tcBorders>
              <w:top w:val="nil"/>
              <w:left w:val="nil"/>
              <w:bottom w:val="nil"/>
              <w:right w:val="nil"/>
            </w:tcBorders>
            <w:shd w:val="clear" w:color="auto" w:fill="auto"/>
            <w:noWrap/>
            <w:vAlign w:val="bottom"/>
            <w:hideMark/>
          </w:tcPr>
          <w:p w14:paraId="3A896FE8" w14:textId="77777777" w:rsidR="008060A4" w:rsidRDefault="008060A4" w:rsidP="008060A4">
            <w:pPr>
              <w:jc w:val="right"/>
              <w:rPr>
                <w:sz w:val="22"/>
                <w:szCs w:val="22"/>
                <w:u w:val="single"/>
              </w:rPr>
            </w:pPr>
            <w:r>
              <w:rPr>
                <w:sz w:val="22"/>
                <w:szCs w:val="22"/>
                <w:u w:val="single"/>
              </w:rPr>
              <w:t xml:space="preserve">$0 </w:t>
            </w:r>
          </w:p>
        </w:tc>
        <w:tc>
          <w:tcPr>
            <w:tcW w:w="1476" w:type="dxa"/>
            <w:tcBorders>
              <w:top w:val="nil"/>
              <w:left w:val="nil"/>
              <w:bottom w:val="nil"/>
              <w:right w:val="nil"/>
            </w:tcBorders>
            <w:shd w:val="clear" w:color="auto" w:fill="auto"/>
            <w:noWrap/>
            <w:vAlign w:val="bottom"/>
            <w:hideMark/>
          </w:tcPr>
          <w:p w14:paraId="4596E967" w14:textId="77777777" w:rsidR="008060A4" w:rsidRDefault="008060A4" w:rsidP="008060A4">
            <w:pPr>
              <w:jc w:val="right"/>
              <w:rPr>
                <w:sz w:val="22"/>
                <w:szCs w:val="22"/>
                <w:u w:val="single"/>
              </w:rPr>
            </w:pPr>
            <w:r>
              <w:rPr>
                <w:sz w:val="22"/>
                <w:szCs w:val="22"/>
                <w:u w:val="single"/>
              </w:rPr>
              <w:t xml:space="preserve">$2,142,157 </w:t>
            </w:r>
          </w:p>
        </w:tc>
        <w:tc>
          <w:tcPr>
            <w:tcW w:w="1738" w:type="dxa"/>
            <w:tcBorders>
              <w:top w:val="nil"/>
              <w:left w:val="nil"/>
              <w:bottom w:val="nil"/>
              <w:right w:val="nil"/>
            </w:tcBorders>
            <w:shd w:val="clear" w:color="auto" w:fill="auto"/>
            <w:noWrap/>
            <w:vAlign w:val="bottom"/>
            <w:hideMark/>
          </w:tcPr>
          <w:p w14:paraId="4984F141" w14:textId="77777777" w:rsidR="008060A4" w:rsidRDefault="008060A4" w:rsidP="008060A4">
            <w:pPr>
              <w:jc w:val="right"/>
              <w:rPr>
                <w:sz w:val="22"/>
                <w:szCs w:val="22"/>
                <w:u w:val="single"/>
              </w:rPr>
            </w:pPr>
            <w:r>
              <w:rPr>
                <w:sz w:val="22"/>
                <w:szCs w:val="22"/>
                <w:u w:val="single"/>
              </w:rPr>
              <w:t xml:space="preserve">$137,321 </w:t>
            </w:r>
          </w:p>
        </w:tc>
        <w:tc>
          <w:tcPr>
            <w:tcW w:w="1706" w:type="dxa"/>
            <w:tcBorders>
              <w:top w:val="nil"/>
              <w:left w:val="nil"/>
              <w:bottom w:val="nil"/>
              <w:right w:val="nil"/>
            </w:tcBorders>
            <w:shd w:val="clear" w:color="auto" w:fill="auto"/>
            <w:noWrap/>
            <w:vAlign w:val="bottom"/>
            <w:hideMark/>
          </w:tcPr>
          <w:p w14:paraId="0C28267B" w14:textId="77777777" w:rsidR="008060A4" w:rsidRDefault="008060A4" w:rsidP="008060A4">
            <w:pPr>
              <w:jc w:val="right"/>
              <w:rPr>
                <w:sz w:val="22"/>
                <w:szCs w:val="22"/>
                <w:u w:val="single"/>
              </w:rPr>
            </w:pPr>
            <w:r>
              <w:rPr>
                <w:sz w:val="22"/>
                <w:szCs w:val="22"/>
                <w:u w:val="single"/>
              </w:rPr>
              <w:t xml:space="preserve">$2,279,478 </w:t>
            </w:r>
          </w:p>
        </w:tc>
        <w:tc>
          <w:tcPr>
            <w:tcW w:w="334" w:type="dxa"/>
            <w:tcBorders>
              <w:top w:val="nil"/>
              <w:left w:val="nil"/>
              <w:bottom w:val="nil"/>
              <w:right w:val="single" w:sz="4" w:space="0" w:color="auto"/>
            </w:tcBorders>
            <w:shd w:val="clear" w:color="auto" w:fill="auto"/>
            <w:noWrap/>
            <w:vAlign w:val="bottom"/>
            <w:hideMark/>
          </w:tcPr>
          <w:p w14:paraId="7B58E451" w14:textId="77777777" w:rsidR="008060A4" w:rsidRDefault="008060A4" w:rsidP="008060A4">
            <w:pPr>
              <w:rPr>
                <w:rFonts w:ascii="Arial" w:hAnsi="Arial" w:cs="Arial"/>
                <w:sz w:val="20"/>
                <w:szCs w:val="20"/>
                <w:u w:val="single"/>
              </w:rPr>
            </w:pPr>
          </w:p>
        </w:tc>
      </w:tr>
      <w:tr w:rsidR="008060A4" w14:paraId="72489B9C"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44190757" w14:textId="77777777" w:rsidR="008060A4" w:rsidRDefault="008060A4" w:rsidP="008060A4">
            <w:pPr>
              <w:jc w:val="center"/>
              <w:rPr>
                <w:sz w:val="22"/>
                <w:szCs w:val="22"/>
              </w:rPr>
            </w:pPr>
            <w:r>
              <w:rPr>
                <w:sz w:val="22"/>
                <w:szCs w:val="22"/>
              </w:rPr>
              <w:t> </w:t>
            </w:r>
          </w:p>
        </w:tc>
        <w:tc>
          <w:tcPr>
            <w:tcW w:w="3186" w:type="dxa"/>
            <w:tcBorders>
              <w:top w:val="nil"/>
              <w:left w:val="nil"/>
              <w:bottom w:val="nil"/>
              <w:right w:val="nil"/>
            </w:tcBorders>
            <w:shd w:val="clear" w:color="auto" w:fill="auto"/>
            <w:noWrap/>
            <w:vAlign w:val="bottom"/>
            <w:hideMark/>
          </w:tcPr>
          <w:p w14:paraId="0F3B745E" w14:textId="77777777" w:rsidR="008060A4" w:rsidRDefault="008060A4" w:rsidP="008060A4">
            <w:pPr>
              <w:jc w:val="center"/>
              <w:rPr>
                <w:sz w:val="22"/>
                <w:szCs w:val="22"/>
              </w:rPr>
            </w:pPr>
          </w:p>
        </w:tc>
        <w:tc>
          <w:tcPr>
            <w:tcW w:w="1476" w:type="dxa"/>
            <w:tcBorders>
              <w:top w:val="nil"/>
              <w:left w:val="nil"/>
              <w:bottom w:val="nil"/>
              <w:right w:val="nil"/>
            </w:tcBorders>
            <w:shd w:val="clear" w:color="000000" w:fill="FFFFFF"/>
            <w:noWrap/>
            <w:vAlign w:val="bottom"/>
            <w:hideMark/>
          </w:tcPr>
          <w:p w14:paraId="76EBF2DE" w14:textId="77777777" w:rsidR="008060A4" w:rsidRDefault="008060A4" w:rsidP="008060A4">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54D11BBE" w14:textId="77777777" w:rsidR="008060A4" w:rsidRDefault="008060A4" w:rsidP="008060A4">
            <w:pPr>
              <w:rPr>
                <w:sz w:val="22"/>
                <w:szCs w:val="22"/>
              </w:rPr>
            </w:pPr>
          </w:p>
        </w:tc>
        <w:tc>
          <w:tcPr>
            <w:tcW w:w="1476" w:type="dxa"/>
            <w:tcBorders>
              <w:top w:val="nil"/>
              <w:left w:val="nil"/>
              <w:bottom w:val="nil"/>
              <w:right w:val="nil"/>
            </w:tcBorders>
            <w:shd w:val="clear" w:color="auto" w:fill="auto"/>
            <w:noWrap/>
            <w:vAlign w:val="bottom"/>
            <w:hideMark/>
          </w:tcPr>
          <w:p w14:paraId="752233D8" w14:textId="77777777" w:rsidR="008060A4" w:rsidRDefault="008060A4" w:rsidP="008060A4">
            <w:pPr>
              <w:rPr>
                <w:sz w:val="20"/>
                <w:szCs w:val="20"/>
              </w:rPr>
            </w:pPr>
          </w:p>
        </w:tc>
        <w:tc>
          <w:tcPr>
            <w:tcW w:w="1738" w:type="dxa"/>
            <w:tcBorders>
              <w:top w:val="nil"/>
              <w:left w:val="nil"/>
              <w:bottom w:val="nil"/>
              <w:right w:val="nil"/>
            </w:tcBorders>
            <w:shd w:val="clear" w:color="auto" w:fill="auto"/>
            <w:noWrap/>
            <w:vAlign w:val="bottom"/>
            <w:hideMark/>
          </w:tcPr>
          <w:p w14:paraId="3C2BCDEB" w14:textId="77777777" w:rsidR="008060A4" w:rsidRDefault="008060A4" w:rsidP="008060A4">
            <w:pPr>
              <w:jc w:val="right"/>
              <w:rPr>
                <w:sz w:val="22"/>
                <w:szCs w:val="22"/>
              </w:rPr>
            </w:pPr>
            <w:r>
              <w:rPr>
                <w:sz w:val="22"/>
                <w:szCs w:val="22"/>
              </w:rPr>
              <w:t>6.41%</w:t>
            </w:r>
          </w:p>
        </w:tc>
        <w:tc>
          <w:tcPr>
            <w:tcW w:w="1706" w:type="dxa"/>
            <w:tcBorders>
              <w:top w:val="nil"/>
              <w:left w:val="nil"/>
              <w:bottom w:val="nil"/>
              <w:right w:val="nil"/>
            </w:tcBorders>
            <w:shd w:val="clear" w:color="auto" w:fill="auto"/>
            <w:noWrap/>
            <w:vAlign w:val="bottom"/>
            <w:hideMark/>
          </w:tcPr>
          <w:p w14:paraId="7787924D" w14:textId="77777777" w:rsidR="008060A4" w:rsidRDefault="008060A4" w:rsidP="008060A4">
            <w:pPr>
              <w:jc w:val="right"/>
              <w:rPr>
                <w:sz w:val="22"/>
                <w:szCs w:val="22"/>
              </w:rPr>
            </w:pPr>
          </w:p>
        </w:tc>
        <w:tc>
          <w:tcPr>
            <w:tcW w:w="334" w:type="dxa"/>
            <w:tcBorders>
              <w:top w:val="nil"/>
              <w:left w:val="nil"/>
              <w:bottom w:val="nil"/>
              <w:right w:val="single" w:sz="4" w:space="0" w:color="auto"/>
            </w:tcBorders>
            <w:shd w:val="clear" w:color="auto" w:fill="auto"/>
            <w:noWrap/>
            <w:vAlign w:val="bottom"/>
            <w:hideMark/>
          </w:tcPr>
          <w:p w14:paraId="27047D53"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73D31A41"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6686B44B" w14:textId="77777777" w:rsidR="008060A4" w:rsidRDefault="008060A4" w:rsidP="008060A4">
            <w:pPr>
              <w:jc w:val="center"/>
              <w:rPr>
                <w:sz w:val="22"/>
                <w:szCs w:val="22"/>
              </w:rPr>
            </w:pPr>
            <w:r>
              <w:rPr>
                <w:sz w:val="22"/>
                <w:szCs w:val="22"/>
              </w:rPr>
              <w:t> </w:t>
            </w:r>
          </w:p>
        </w:tc>
        <w:tc>
          <w:tcPr>
            <w:tcW w:w="3186" w:type="dxa"/>
            <w:tcBorders>
              <w:top w:val="nil"/>
              <w:left w:val="nil"/>
              <w:bottom w:val="nil"/>
              <w:right w:val="nil"/>
            </w:tcBorders>
            <w:shd w:val="clear" w:color="auto" w:fill="auto"/>
            <w:noWrap/>
            <w:vAlign w:val="bottom"/>
            <w:hideMark/>
          </w:tcPr>
          <w:p w14:paraId="58BF8E91" w14:textId="77777777" w:rsidR="008060A4" w:rsidRDefault="008060A4" w:rsidP="008060A4">
            <w:pPr>
              <w:rPr>
                <w:b/>
                <w:bCs/>
                <w:sz w:val="22"/>
                <w:szCs w:val="22"/>
              </w:rPr>
            </w:pPr>
            <w:r>
              <w:rPr>
                <w:b/>
                <w:bCs/>
                <w:sz w:val="22"/>
                <w:szCs w:val="22"/>
              </w:rPr>
              <w:t>Operating Expenses</w:t>
            </w:r>
          </w:p>
        </w:tc>
        <w:tc>
          <w:tcPr>
            <w:tcW w:w="1476" w:type="dxa"/>
            <w:tcBorders>
              <w:top w:val="nil"/>
              <w:left w:val="nil"/>
              <w:bottom w:val="nil"/>
              <w:right w:val="nil"/>
            </w:tcBorders>
            <w:shd w:val="clear" w:color="000000" w:fill="FFFFFF"/>
            <w:noWrap/>
            <w:vAlign w:val="bottom"/>
            <w:hideMark/>
          </w:tcPr>
          <w:p w14:paraId="47CD2B0A" w14:textId="77777777" w:rsidR="008060A4" w:rsidRDefault="008060A4" w:rsidP="008060A4">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24F8FAB9" w14:textId="77777777" w:rsidR="008060A4" w:rsidRDefault="008060A4" w:rsidP="008060A4">
            <w:pPr>
              <w:rPr>
                <w:sz w:val="22"/>
                <w:szCs w:val="22"/>
              </w:rPr>
            </w:pPr>
          </w:p>
        </w:tc>
        <w:tc>
          <w:tcPr>
            <w:tcW w:w="1476" w:type="dxa"/>
            <w:tcBorders>
              <w:top w:val="nil"/>
              <w:left w:val="nil"/>
              <w:bottom w:val="nil"/>
              <w:right w:val="nil"/>
            </w:tcBorders>
            <w:shd w:val="clear" w:color="auto" w:fill="auto"/>
            <w:noWrap/>
            <w:vAlign w:val="bottom"/>
            <w:hideMark/>
          </w:tcPr>
          <w:p w14:paraId="7EB747BF" w14:textId="77777777" w:rsidR="008060A4" w:rsidRDefault="008060A4" w:rsidP="008060A4">
            <w:pPr>
              <w:rPr>
                <w:sz w:val="20"/>
                <w:szCs w:val="20"/>
              </w:rPr>
            </w:pPr>
          </w:p>
        </w:tc>
        <w:tc>
          <w:tcPr>
            <w:tcW w:w="1738" w:type="dxa"/>
            <w:tcBorders>
              <w:top w:val="nil"/>
              <w:left w:val="nil"/>
              <w:bottom w:val="nil"/>
              <w:right w:val="nil"/>
            </w:tcBorders>
            <w:shd w:val="clear" w:color="auto" w:fill="auto"/>
            <w:noWrap/>
            <w:vAlign w:val="bottom"/>
            <w:hideMark/>
          </w:tcPr>
          <w:p w14:paraId="58486199" w14:textId="77777777" w:rsidR="008060A4" w:rsidRDefault="008060A4" w:rsidP="008060A4">
            <w:pPr>
              <w:rPr>
                <w:sz w:val="20"/>
                <w:szCs w:val="20"/>
              </w:rPr>
            </w:pPr>
          </w:p>
        </w:tc>
        <w:tc>
          <w:tcPr>
            <w:tcW w:w="1706" w:type="dxa"/>
            <w:tcBorders>
              <w:top w:val="nil"/>
              <w:left w:val="nil"/>
              <w:bottom w:val="nil"/>
              <w:right w:val="nil"/>
            </w:tcBorders>
            <w:shd w:val="clear" w:color="auto" w:fill="auto"/>
            <w:noWrap/>
            <w:vAlign w:val="bottom"/>
            <w:hideMark/>
          </w:tcPr>
          <w:p w14:paraId="6BD5041E" w14:textId="77777777" w:rsidR="008060A4" w:rsidRDefault="008060A4" w:rsidP="008060A4">
            <w:pPr>
              <w:rPr>
                <w:sz w:val="20"/>
                <w:szCs w:val="20"/>
              </w:rPr>
            </w:pPr>
          </w:p>
        </w:tc>
        <w:tc>
          <w:tcPr>
            <w:tcW w:w="334" w:type="dxa"/>
            <w:tcBorders>
              <w:top w:val="nil"/>
              <w:left w:val="nil"/>
              <w:bottom w:val="nil"/>
              <w:right w:val="single" w:sz="4" w:space="0" w:color="auto"/>
            </w:tcBorders>
            <w:shd w:val="clear" w:color="auto" w:fill="auto"/>
            <w:noWrap/>
            <w:vAlign w:val="bottom"/>
            <w:hideMark/>
          </w:tcPr>
          <w:p w14:paraId="660BF56C"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206B3FDC"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04A330A5" w14:textId="77777777" w:rsidR="008060A4" w:rsidRDefault="008060A4" w:rsidP="008060A4">
            <w:pPr>
              <w:jc w:val="center"/>
              <w:rPr>
                <w:sz w:val="22"/>
                <w:szCs w:val="22"/>
              </w:rPr>
            </w:pPr>
            <w:r>
              <w:rPr>
                <w:sz w:val="22"/>
                <w:szCs w:val="22"/>
              </w:rPr>
              <w:t>2</w:t>
            </w:r>
          </w:p>
        </w:tc>
        <w:tc>
          <w:tcPr>
            <w:tcW w:w="3186" w:type="dxa"/>
            <w:tcBorders>
              <w:top w:val="nil"/>
              <w:left w:val="nil"/>
              <w:bottom w:val="nil"/>
              <w:right w:val="nil"/>
            </w:tcBorders>
            <w:shd w:val="clear" w:color="auto" w:fill="auto"/>
            <w:noWrap/>
            <w:vAlign w:val="bottom"/>
            <w:hideMark/>
          </w:tcPr>
          <w:p w14:paraId="038DD554" w14:textId="77777777" w:rsidR="008060A4" w:rsidRDefault="008060A4" w:rsidP="008060A4">
            <w:pPr>
              <w:rPr>
                <w:sz w:val="22"/>
                <w:szCs w:val="22"/>
              </w:rPr>
            </w:pPr>
            <w:r>
              <w:rPr>
                <w:sz w:val="22"/>
                <w:szCs w:val="22"/>
              </w:rPr>
              <w:t xml:space="preserve">    Operation &amp; Maintenance</w:t>
            </w:r>
          </w:p>
        </w:tc>
        <w:tc>
          <w:tcPr>
            <w:tcW w:w="1476" w:type="dxa"/>
            <w:tcBorders>
              <w:top w:val="nil"/>
              <w:left w:val="nil"/>
              <w:bottom w:val="nil"/>
              <w:right w:val="nil"/>
            </w:tcBorders>
            <w:shd w:val="clear" w:color="000000" w:fill="FFFFFF"/>
            <w:noWrap/>
            <w:vAlign w:val="bottom"/>
            <w:hideMark/>
          </w:tcPr>
          <w:p w14:paraId="733DB182" w14:textId="77777777" w:rsidR="008060A4" w:rsidRDefault="008060A4" w:rsidP="008060A4">
            <w:pPr>
              <w:jc w:val="right"/>
              <w:rPr>
                <w:sz w:val="22"/>
                <w:szCs w:val="22"/>
              </w:rPr>
            </w:pPr>
            <w:r>
              <w:rPr>
                <w:sz w:val="22"/>
                <w:szCs w:val="22"/>
              </w:rPr>
              <w:t>$1,236,731</w:t>
            </w:r>
          </w:p>
        </w:tc>
        <w:tc>
          <w:tcPr>
            <w:tcW w:w="1476" w:type="dxa"/>
            <w:tcBorders>
              <w:top w:val="nil"/>
              <w:left w:val="nil"/>
              <w:bottom w:val="nil"/>
              <w:right w:val="nil"/>
            </w:tcBorders>
            <w:shd w:val="clear" w:color="auto" w:fill="auto"/>
            <w:noWrap/>
            <w:vAlign w:val="bottom"/>
            <w:hideMark/>
          </w:tcPr>
          <w:p w14:paraId="20CFB8B2" w14:textId="77777777" w:rsidR="008060A4" w:rsidRDefault="008060A4" w:rsidP="008060A4">
            <w:pPr>
              <w:jc w:val="right"/>
              <w:rPr>
                <w:sz w:val="22"/>
                <w:szCs w:val="22"/>
              </w:rPr>
            </w:pPr>
            <w:r>
              <w:rPr>
                <w:sz w:val="22"/>
                <w:szCs w:val="22"/>
              </w:rPr>
              <w:t>$30,155</w:t>
            </w:r>
          </w:p>
        </w:tc>
        <w:tc>
          <w:tcPr>
            <w:tcW w:w="1476" w:type="dxa"/>
            <w:tcBorders>
              <w:top w:val="nil"/>
              <w:left w:val="nil"/>
              <w:bottom w:val="nil"/>
              <w:right w:val="nil"/>
            </w:tcBorders>
            <w:shd w:val="clear" w:color="auto" w:fill="auto"/>
            <w:noWrap/>
            <w:vAlign w:val="bottom"/>
            <w:hideMark/>
          </w:tcPr>
          <w:p w14:paraId="5BED50DD" w14:textId="77777777" w:rsidR="008060A4" w:rsidRDefault="008060A4" w:rsidP="008060A4">
            <w:pPr>
              <w:jc w:val="right"/>
              <w:rPr>
                <w:sz w:val="22"/>
                <w:szCs w:val="22"/>
              </w:rPr>
            </w:pPr>
            <w:r>
              <w:rPr>
                <w:sz w:val="22"/>
                <w:szCs w:val="22"/>
              </w:rPr>
              <w:t xml:space="preserve">$1,266,886 </w:t>
            </w:r>
          </w:p>
        </w:tc>
        <w:tc>
          <w:tcPr>
            <w:tcW w:w="1738" w:type="dxa"/>
            <w:tcBorders>
              <w:top w:val="nil"/>
              <w:left w:val="nil"/>
              <w:bottom w:val="nil"/>
              <w:right w:val="nil"/>
            </w:tcBorders>
            <w:shd w:val="clear" w:color="auto" w:fill="auto"/>
            <w:noWrap/>
            <w:vAlign w:val="bottom"/>
            <w:hideMark/>
          </w:tcPr>
          <w:p w14:paraId="3A442413" w14:textId="77777777" w:rsidR="008060A4" w:rsidRDefault="008060A4" w:rsidP="008060A4">
            <w:pPr>
              <w:jc w:val="right"/>
              <w:rPr>
                <w:sz w:val="22"/>
                <w:szCs w:val="22"/>
              </w:rPr>
            </w:pPr>
          </w:p>
        </w:tc>
        <w:tc>
          <w:tcPr>
            <w:tcW w:w="1706" w:type="dxa"/>
            <w:tcBorders>
              <w:top w:val="nil"/>
              <w:left w:val="nil"/>
              <w:bottom w:val="nil"/>
              <w:right w:val="nil"/>
            </w:tcBorders>
            <w:shd w:val="clear" w:color="auto" w:fill="auto"/>
            <w:noWrap/>
            <w:vAlign w:val="bottom"/>
            <w:hideMark/>
          </w:tcPr>
          <w:p w14:paraId="6328B50E" w14:textId="77777777" w:rsidR="008060A4" w:rsidRDefault="008060A4" w:rsidP="008060A4">
            <w:pPr>
              <w:jc w:val="right"/>
              <w:rPr>
                <w:sz w:val="22"/>
                <w:szCs w:val="22"/>
              </w:rPr>
            </w:pPr>
            <w:r>
              <w:rPr>
                <w:sz w:val="22"/>
                <w:szCs w:val="22"/>
              </w:rPr>
              <w:t xml:space="preserve">$1,266,886 </w:t>
            </w:r>
          </w:p>
        </w:tc>
        <w:tc>
          <w:tcPr>
            <w:tcW w:w="334" w:type="dxa"/>
            <w:tcBorders>
              <w:top w:val="nil"/>
              <w:left w:val="nil"/>
              <w:bottom w:val="nil"/>
              <w:right w:val="single" w:sz="4" w:space="0" w:color="auto"/>
            </w:tcBorders>
            <w:shd w:val="clear" w:color="auto" w:fill="auto"/>
            <w:noWrap/>
            <w:vAlign w:val="bottom"/>
            <w:hideMark/>
          </w:tcPr>
          <w:p w14:paraId="2BB6D738"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168DCFF0"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4D7D9D75" w14:textId="77777777" w:rsidR="008060A4" w:rsidRDefault="008060A4" w:rsidP="008060A4">
            <w:pPr>
              <w:jc w:val="center"/>
              <w:rPr>
                <w:sz w:val="22"/>
                <w:szCs w:val="22"/>
              </w:rPr>
            </w:pPr>
            <w:r>
              <w:rPr>
                <w:sz w:val="22"/>
                <w:szCs w:val="22"/>
              </w:rPr>
              <w:t> </w:t>
            </w:r>
          </w:p>
        </w:tc>
        <w:tc>
          <w:tcPr>
            <w:tcW w:w="3186" w:type="dxa"/>
            <w:tcBorders>
              <w:top w:val="nil"/>
              <w:left w:val="nil"/>
              <w:bottom w:val="nil"/>
              <w:right w:val="nil"/>
            </w:tcBorders>
            <w:shd w:val="clear" w:color="auto" w:fill="auto"/>
            <w:noWrap/>
            <w:vAlign w:val="bottom"/>
            <w:hideMark/>
          </w:tcPr>
          <w:p w14:paraId="670E76BB" w14:textId="77777777" w:rsidR="008060A4" w:rsidRDefault="008060A4" w:rsidP="008060A4">
            <w:pPr>
              <w:jc w:val="center"/>
              <w:rPr>
                <w:sz w:val="22"/>
                <w:szCs w:val="22"/>
              </w:rPr>
            </w:pPr>
          </w:p>
        </w:tc>
        <w:tc>
          <w:tcPr>
            <w:tcW w:w="1476" w:type="dxa"/>
            <w:tcBorders>
              <w:top w:val="nil"/>
              <w:left w:val="nil"/>
              <w:bottom w:val="nil"/>
              <w:right w:val="nil"/>
            </w:tcBorders>
            <w:shd w:val="clear" w:color="000000" w:fill="FFFFFF"/>
            <w:noWrap/>
            <w:vAlign w:val="bottom"/>
            <w:hideMark/>
          </w:tcPr>
          <w:p w14:paraId="30EDCCFC" w14:textId="77777777" w:rsidR="008060A4" w:rsidRDefault="008060A4" w:rsidP="008060A4">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2DDDAC5A" w14:textId="77777777" w:rsidR="008060A4" w:rsidRPr="008060A4" w:rsidRDefault="008060A4" w:rsidP="008060A4">
            <w:pPr>
              <w:rPr>
                <w:sz w:val="22"/>
                <w:szCs w:val="22"/>
              </w:rPr>
            </w:pPr>
          </w:p>
        </w:tc>
        <w:tc>
          <w:tcPr>
            <w:tcW w:w="1476" w:type="dxa"/>
            <w:tcBorders>
              <w:top w:val="nil"/>
              <w:left w:val="nil"/>
              <w:bottom w:val="nil"/>
              <w:right w:val="nil"/>
            </w:tcBorders>
            <w:shd w:val="clear" w:color="auto" w:fill="auto"/>
            <w:noWrap/>
            <w:vAlign w:val="bottom"/>
            <w:hideMark/>
          </w:tcPr>
          <w:p w14:paraId="2C29B324" w14:textId="77777777" w:rsidR="008060A4" w:rsidRPr="008060A4" w:rsidRDefault="008060A4" w:rsidP="008060A4">
            <w:pPr>
              <w:rPr>
                <w:sz w:val="20"/>
                <w:szCs w:val="20"/>
              </w:rPr>
            </w:pPr>
          </w:p>
        </w:tc>
        <w:tc>
          <w:tcPr>
            <w:tcW w:w="1738" w:type="dxa"/>
            <w:tcBorders>
              <w:top w:val="nil"/>
              <w:left w:val="nil"/>
              <w:bottom w:val="nil"/>
              <w:right w:val="nil"/>
            </w:tcBorders>
            <w:shd w:val="clear" w:color="auto" w:fill="auto"/>
            <w:noWrap/>
            <w:vAlign w:val="bottom"/>
            <w:hideMark/>
          </w:tcPr>
          <w:p w14:paraId="56CA39A1" w14:textId="77777777" w:rsidR="008060A4" w:rsidRPr="008060A4" w:rsidRDefault="008060A4" w:rsidP="008060A4">
            <w:pPr>
              <w:rPr>
                <w:sz w:val="20"/>
                <w:szCs w:val="20"/>
              </w:rPr>
            </w:pPr>
          </w:p>
        </w:tc>
        <w:tc>
          <w:tcPr>
            <w:tcW w:w="1706" w:type="dxa"/>
            <w:tcBorders>
              <w:top w:val="nil"/>
              <w:left w:val="nil"/>
              <w:bottom w:val="nil"/>
              <w:right w:val="nil"/>
            </w:tcBorders>
            <w:shd w:val="clear" w:color="auto" w:fill="auto"/>
            <w:noWrap/>
            <w:vAlign w:val="bottom"/>
            <w:hideMark/>
          </w:tcPr>
          <w:p w14:paraId="2711AF41" w14:textId="77777777" w:rsidR="008060A4" w:rsidRPr="008060A4" w:rsidRDefault="008060A4" w:rsidP="008060A4">
            <w:pPr>
              <w:rPr>
                <w:sz w:val="20"/>
                <w:szCs w:val="20"/>
              </w:rPr>
            </w:pPr>
          </w:p>
        </w:tc>
        <w:tc>
          <w:tcPr>
            <w:tcW w:w="334" w:type="dxa"/>
            <w:tcBorders>
              <w:top w:val="nil"/>
              <w:left w:val="nil"/>
              <w:bottom w:val="nil"/>
              <w:right w:val="single" w:sz="4" w:space="0" w:color="auto"/>
            </w:tcBorders>
            <w:shd w:val="clear" w:color="auto" w:fill="auto"/>
            <w:noWrap/>
            <w:vAlign w:val="bottom"/>
            <w:hideMark/>
          </w:tcPr>
          <w:p w14:paraId="6C7D1B50"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5DA4750B"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596EF809" w14:textId="77777777" w:rsidR="008060A4" w:rsidRDefault="008060A4" w:rsidP="008060A4">
            <w:pPr>
              <w:jc w:val="center"/>
              <w:rPr>
                <w:sz w:val="22"/>
                <w:szCs w:val="22"/>
              </w:rPr>
            </w:pPr>
            <w:r>
              <w:rPr>
                <w:sz w:val="22"/>
                <w:szCs w:val="22"/>
              </w:rPr>
              <w:t>3</w:t>
            </w:r>
          </w:p>
        </w:tc>
        <w:tc>
          <w:tcPr>
            <w:tcW w:w="3186" w:type="dxa"/>
            <w:tcBorders>
              <w:top w:val="nil"/>
              <w:left w:val="nil"/>
              <w:bottom w:val="nil"/>
              <w:right w:val="nil"/>
            </w:tcBorders>
            <w:shd w:val="clear" w:color="auto" w:fill="auto"/>
            <w:noWrap/>
            <w:vAlign w:val="bottom"/>
            <w:hideMark/>
          </w:tcPr>
          <w:p w14:paraId="112E66E9" w14:textId="77777777" w:rsidR="008060A4" w:rsidRDefault="008060A4" w:rsidP="008060A4">
            <w:pPr>
              <w:rPr>
                <w:sz w:val="22"/>
                <w:szCs w:val="22"/>
              </w:rPr>
            </w:pPr>
            <w:r>
              <w:rPr>
                <w:sz w:val="22"/>
                <w:szCs w:val="22"/>
              </w:rPr>
              <w:t xml:space="preserve">    Depreciation</w:t>
            </w:r>
          </w:p>
        </w:tc>
        <w:tc>
          <w:tcPr>
            <w:tcW w:w="1476" w:type="dxa"/>
            <w:tcBorders>
              <w:top w:val="nil"/>
              <w:left w:val="nil"/>
              <w:bottom w:val="nil"/>
              <w:right w:val="nil"/>
            </w:tcBorders>
            <w:shd w:val="clear" w:color="000000" w:fill="FFFFFF"/>
            <w:noWrap/>
            <w:vAlign w:val="bottom"/>
            <w:hideMark/>
          </w:tcPr>
          <w:p w14:paraId="3C2EB2DD" w14:textId="77777777" w:rsidR="008060A4" w:rsidRDefault="008060A4" w:rsidP="008060A4">
            <w:pPr>
              <w:jc w:val="right"/>
              <w:rPr>
                <w:sz w:val="22"/>
                <w:szCs w:val="22"/>
              </w:rPr>
            </w:pPr>
            <w:r>
              <w:rPr>
                <w:sz w:val="22"/>
                <w:szCs w:val="22"/>
              </w:rPr>
              <w:t xml:space="preserve">232,177 </w:t>
            </w:r>
          </w:p>
        </w:tc>
        <w:tc>
          <w:tcPr>
            <w:tcW w:w="1476" w:type="dxa"/>
            <w:tcBorders>
              <w:top w:val="nil"/>
              <w:left w:val="nil"/>
              <w:bottom w:val="nil"/>
              <w:right w:val="nil"/>
            </w:tcBorders>
            <w:shd w:val="clear" w:color="auto" w:fill="auto"/>
            <w:noWrap/>
            <w:vAlign w:val="bottom"/>
            <w:hideMark/>
          </w:tcPr>
          <w:p w14:paraId="6690A74B" w14:textId="77777777" w:rsidR="008060A4" w:rsidRPr="008060A4" w:rsidRDefault="008060A4" w:rsidP="008060A4">
            <w:pPr>
              <w:jc w:val="right"/>
              <w:rPr>
                <w:sz w:val="22"/>
                <w:szCs w:val="22"/>
              </w:rPr>
            </w:pPr>
            <w:r w:rsidRPr="008060A4">
              <w:rPr>
                <w:sz w:val="22"/>
                <w:szCs w:val="22"/>
              </w:rPr>
              <w:t xml:space="preserve">241,267 </w:t>
            </w:r>
          </w:p>
        </w:tc>
        <w:tc>
          <w:tcPr>
            <w:tcW w:w="1476" w:type="dxa"/>
            <w:tcBorders>
              <w:top w:val="nil"/>
              <w:left w:val="nil"/>
              <w:bottom w:val="nil"/>
              <w:right w:val="nil"/>
            </w:tcBorders>
            <w:shd w:val="clear" w:color="auto" w:fill="auto"/>
            <w:noWrap/>
            <w:vAlign w:val="bottom"/>
            <w:hideMark/>
          </w:tcPr>
          <w:p w14:paraId="566ECE5F" w14:textId="77777777" w:rsidR="008060A4" w:rsidRPr="008060A4" w:rsidRDefault="008060A4" w:rsidP="008060A4">
            <w:pPr>
              <w:jc w:val="right"/>
              <w:rPr>
                <w:sz w:val="22"/>
                <w:szCs w:val="22"/>
              </w:rPr>
            </w:pPr>
            <w:r w:rsidRPr="008060A4">
              <w:rPr>
                <w:sz w:val="22"/>
                <w:szCs w:val="22"/>
              </w:rPr>
              <w:t xml:space="preserve">473,444 </w:t>
            </w:r>
          </w:p>
        </w:tc>
        <w:tc>
          <w:tcPr>
            <w:tcW w:w="1738" w:type="dxa"/>
            <w:tcBorders>
              <w:top w:val="nil"/>
              <w:left w:val="nil"/>
              <w:bottom w:val="nil"/>
              <w:right w:val="nil"/>
            </w:tcBorders>
            <w:shd w:val="clear" w:color="auto" w:fill="auto"/>
            <w:noWrap/>
            <w:vAlign w:val="bottom"/>
            <w:hideMark/>
          </w:tcPr>
          <w:p w14:paraId="73F00274" w14:textId="77777777" w:rsidR="008060A4" w:rsidRPr="008060A4" w:rsidRDefault="008060A4" w:rsidP="008060A4">
            <w:pPr>
              <w:jc w:val="right"/>
              <w:rPr>
                <w:sz w:val="22"/>
                <w:szCs w:val="22"/>
              </w:rPr>
            </w:pPr>
          </w:p>
        </w:tc>
        <w:tc>
          <w:tcPr>
            <w:tcW w:w="1706" w:type="dxa"/>
            <w:tcBorders>
              <w:top w:val="nil"/>
              <w:left w:val="nil"/>
              <w:bottom w:val="nil"/>
              <w:right w:val="nil"/>
            </w:tcBorders>
            <w:shd w:val="clear" w:color="auto" w:fill="auto"/>
            <w:noWrap/>
            <w:vAlign w:val="bottom"/>
            <w:hideMark/>
          </w:tcPr>
          <w:p w14:paraId="599B0437" w14:textId="77777777" w:rsidR="008060A4" w:rsidRPr="008060A4" w:rsidRDefault="008060A4" w:rsidP="008060A4">
            <w:pPr>
              <w:jc w:val="right"/>
              <w:rPr>
                <w:sz w:val="22"/>
                <w:szCs w:val="22"/>
              </w:rPr>
            </w:pPr>
            <w:r w:rsidRPr="008060A4">
              <w:rPr>
                <w:sz w:val="22"/>
                <w:szCs w:val="22"/>
              </w:rPr>
              <w:t xml:space="preserve">473,444 </w:t>
            </w:r>
          </w:p>
        </w:tc>
        <w:tc>
          <w:tcPr>
            <w:tcW w:w="334" w:type="dxa"/>
            <w:tcBorders>
              <w:top w:val="nil"/>
              <w:left w:val="nil"/>
              <w:bottom w:val="nil"/>
              <w:right w:val="single" w:sz="4" w:space="0" w:color="auto"/>
            </w:tcBorders>
            <w:shd w:val="clear" w:color="auto" w:fill="auto"/>
            <w:noWrap/>
            <w:vAlign w:val="bottom"/>
            <w:hideMark/>
          </w:tcPr>
          <w:p w14:paraId="2AFD975C"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61ED84EA"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092B11EC" w14:textId="77777777" w:rsidR="008060A4" w:rsidRDefault="008060A4" w:rsidP="008060A4">
            <w:pPr>
              <w:jc w:val="center"/>
              <w:rPr>
                <w:sz w:val="22"/>
                <w:szCs w:val="22"/>
              </w:rPr>
            </w:pPr>
            <w:r>
              <w:rPr>
                <w:sz w:val="22"/>
                <w:szCs w:val="22"/>
              </w:rPr>
              <w:t> </w:t>
            </w:r>
          </w:p>
        </w:tc>
        <w:tc>
          <w:tcPr>
            <w:tcW w:w="3186" w:type="dxa"/>
            <w:tcBorders>
              <w:top w:val="nil"/>
              <w:left w:val="nil"/>
              <w:bottom w:val="nil"/>
              <w:right w:val="nil"/>
            </w:tcBorders>
            <w:shd w:val="clear" w:color="auto" w:fill="auto"/>
            <w:noWrap/>
            <w:vAlign w:val="bottom"/>
            <w:hideMark/>
          </w:tcPr>
          <w:p w14:paraId="545B45ED" w14:textId="77777777" w:rsidR="008060A4" w:rsidRDefault="008060A4" w:rsidP="008060A4">
            <w:pPr>
              <w:jc w:val="center"/>
              <w:rPr>
                <w:sz w:val="22"/>
                <w:szCs w:val="22"/>
              </w:rPr>
            </w:pPr>
          </w:p>
        </w:tc>
        <w:tc>
          <w:tcPr>
            <w:tcW w:w="1476" w:type="dxa"/>
            <w:tcBorders>
              <w:top w:val="nil"/>
              <w:left w:val="nil"/>
              <w:bottom w:val="nil"/>
              <w:right w:val="nil"/>
            </w:tcBorders>
            <w:shd w:val="clear" w:color="000000" w:fill="FFFFFF"/>
            <w:noWrap/>
            <w:vAlign w:val="bottom"/>
            <w:hideMark/>
          </w:tcPr>
          <w:p w14:paraId="4C9681F8" w14:textId="77777777" w:rsidR="008060A4" w:rsidRDefault="008060A4" w:rsidP="008060A4">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4504DE03" w14:textId="77777777" w:rsidR="008060A4" w:rsidRPr="008060A4" w:rsidRDefault="008060A4" w:rsidP="008060A4">
            <w:pPr>
              <w:rPr>
                <w:sz w:val="22"/>
                <w:szCs w:val="22"/>
              </w:rPr>
            </w:pPr>
          </w:p>
        </w:tc>
        <w:tc>
          <w:tcPr>
            <w:tcW w:w="1476" w:type="dxa"/>
            <w:tcBorders>
              <w:top w:val="nil"/>
              <w:left w:val="nil"/>
              <w:bottom w:val="nil"/>
              <w:right w:val="nil"/>
            </w:tcBorders>
            <w:shd w:val="clear" w:color="auto" w:fill="auto"/>
            <w:noWrap/>
            <w:vAlign w:val="bottom"/>
            <w:hideMark/>
          </w:tcPr>
          <w:p w14:paraId="66C5E78A" w14:textId="77777777" w:rsidR="008060A4" w:rsidRPr="008060A4" w:rsidRDefault="008060A4" w:rsidP="008060A4">
            <w:pPr>
              <w:rPr>
                <w:sz w:val="20"/>
                <w:szCs w:val="20"/>
              </w:rPr>
            </w:pPr>
          </w:p>
        </w:tc>
        <w:tc>
          <w:tcPr>
            <w:tcW w:w="1738" w:type="dxa"/>
            <w:tcBorders>
              <w:top w:val="nil"/>
              <w:left w:val="nil"/>
              <w:bottom w:val="nil"/>
              <w:right w:val="nil"/>
            </w:tcBorders>
            <w:shd w:val="clear" w:color="auto" w:fill="auto"/>
            <w:noWrap/>
            <w:vAlign w:val="bottom"/>
            <w:hideMark/>
          </w:tcPr>
          <w:p w14:paraId="515079CA" w14:textId="77777777" w:rsidR="008060A4" w:rsidRPr="008060A4" w:rsidRDefault="008060A4" w:rsidP="008060A4">
            <w:pPr>
              <w:rPr>
                <w:sz w:val="20"/>
                <w:szCs w:val="20"/>
              </w:rPr>
            </w:pPr>
          </w:p>
        </w:tc>
        <w:tc>
          <w:tcPr>
            <w:tcW w:w="1706" w:type="dxa"/>
            <w:tcBorders>
              <w:top w:val="nil"/>
              <w:left w:val="nil"/>
              <w:bottom w:val="nil"/>
              <w:right w:val="nil"/>
            </w:tcBorders>
            <w:shd w:val="clear" w:color="auto" w:fill="auto"/>
            <w:noWrap/>
            <w:vAlign w:val="bottom"/>
            <w:hideMark/>
          </w:tcPr>
          <w:p w14:paraId="175D205D" w14:textId="77777777" w:rsidR="008060A4" w:rsidRPr="008060A4" w:rsidRDefault="008060A4" w:rsidP="008060A4">
            <w:pPr>
              <w:rPr>
                <w:sz w:val="20"/>
                <w:szCs w:val="20"/>
              </w:rPr>
            </w:pPr>
          </w:p>
        </w:tc>
        <w:tc>
          <w:tcPr>
            <w:tcW w:w="334" w:type="dxa"/>
            <w:tcBorders>
              <w:top w:val="nil"/>
              <w:left w:val="nil"/>
              <w:bottom w:val="nil"/>
              <w:right w:val="single" w:sz="4" w:space="0" w:color="auto"/>
            </w:tcBorders>
            <w:shd w:val="clear" w:color="auto" w:fill="auto"/>
            <w:noWrap/>
            <w:vAlign w:val="bottom"/>
            <w:hideMark/>
          </w:tcPr>
          <w:p w14:paraId="6AAF4B6D"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7C182023"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7010E98F" w14:textId="77777777" w:rsidR="008060A4" w:rsidRDefault="008060A4" w:rsidP="008060A4">
            <w:pPr>
              <w:jc w:val="center"/>
              <w:rPr>
                <w:sz w:val="22"/>
                <w:szCs w:val="22"/>
              </w:rPr>
            </w:pPr>
            <w:r>
              <w:rPr>
                <w:sz w:val="22"/>
                <w:szCs w:val="22"/>
              </w:rPr>
              <w:t>4</w:t>
            </w:r>
          </w:p>
        </w:tc>
        <w:tc>
          <w:tcPr>
            <w:tcW w:w="3186" w:type="dxa"/>
            <w:tcBorders>
              <w:top w:val="nil"/>
              <w:left w:val="nil"/>
              <w:bottom w:val="nil"/>
              <w:right w:val="nil"/>
            </w:tcBorders>
            <w:shd w:val="clear" w:color="auto" w:fill="auto"/>
            <w:noWrap/>
            <w:vAlign w:val="bottom"/>
            <w:hideMark/>
          </w:tcPr>
          <w:p w14:paraId="53DD0A02" w14:textId="77777777" w:rsidR="008060A4" w:rsidRDefault="008060A4" w:rsidP="008060A4">
            <w:pPr>
              <w:rPr>
                <w:sz w:val="22"/>
                <w:szCs w:val="22"/>
              </w:rPr>
            </w:pPr>
            <w:r>
              <w:rPr>
                <w:sz w:val="22"/>
                <w:szCs w:val="22"/>
              </w:rPr>
              <w:t xml:space="preserve">    Amortization</w:t>
            </w:r>
          </w:p>
        </w:tc>
        <w:tc>
          <w:tcPr>
            <w:tcW w:w="1476" w:type="dxa"/>
            <w:tcBorders>
              <w:top w:val="nil"/>
              <w:left w:val="nil"/>
              <w:bottom w:val="nil"/>
              <w:right w:val="nil"/>
            </w:tcBorders>
            <w:shd w:val="clear" w:color="000000" w:fill="FFFFFF"/>
            <w:noWrap/>
            <w:vAlign w:val="bottom"/>
            <w:hideMark/>
          </w:tcPr>
          <w:p w14:paraId="61D5E0B1" w14:textId="77777777" w:rsidR="008060A4" w:rsidRDefault="008060A4" w:rsidP="008060A4">
            <w:pPr>
              <w:jc w:val="right"/>
              <w:rPr>
                <w:sz w:val="22"/>
                <w:szCs w:val="22"/>
              </w:rPr>
            </w:pPr>
            <w:r>
              <w:rPr>
                <w:sz w:val="22"/>
                <w:szCs w:val="22"/>
              </w:rPr>
              <w:t xml:space="preserve">17,217 </w:t>
            </w:r>
          </w:p>
        </w:tc>
        <w:tc>
          <w:tcPr>
            <w:tcW w:w="1476" w:type="dxa"/>
            <w:tcBorders>
              <w:top w:val="nil"/>
              <w:left w:val="nil"/>
              <w:bottom w:val="nil"/>
              <w:right w:val="nil"/>
            </w:tcBorders>
            <w:shd w:val="clear" w:color="auto" w:fill="auto"/>
            <w:noWrap/>
            <w:vAlign w:val="bottom"/>
            <w:hideMark/>
          </w:tcPr>
          <w:p w14:paraId="6519CAB4" w14:textId="77777777" w:rsidR="008060A4" w:rsidRPr="008060A4" w:rsidRDefault="008060A4" w:rsidP="008060A4">
            <w:pPr>
              <w:jc w:val="right"/>
              <w:rPr>
                <w:sz w:val="22"/>
                <w:szCs w:val="22"/>
              </w:rPr>
            </w:pPr>
            <w:r w:rsidRPr="008060A4">
              <w:rPr>
                <w:sz w:val="22"/>
                <w:szCs w:val="22"/>
              </w:rPr>
              <w:t xml:space="preserve">(17,217) </w:t>
            </w:r>
          </w:p>
        </w:tc>
        <w:tc>
          <w:tcPr>
            <w:tcW w:w="1476" w:type="dxa"/>
            <w:tcBorders>
              <w:top w:val="nil"/>
              <w:left w:val="nil"/>
              <w:bottom w:val="nil"/>
              <w:right w:val="nil"/>
            </w:tcBorders>
            <w:shd w:val="clear" w:color="auto" w:fill="auto"/>
            <w:noWrap/>
            <w:vAlign w:val="bottom"/>
            <w:hideMark/>
          </w:tcPr>
          <w:p w14:paraId="29824484" w14:textId="77777777" w:rsidR="008060A4" w:rsidRPr="008060A4" w:rsidRDefault="008060A4" w:rsidP="008060A4">
            <w:pPr>
              <w:jc w:val="right"/>
              <w:rPr>
                <w:sz w:val="22"/>
                <w:szCs w:val="22"/>
              </w:rPr>
            </w:pPr>
            <w:r w:rsidRPr="008060A4">
              <w:rPr>
                <w:sz w:val="22"/>
                <w:szCs w:val="22"/>
              </w:rPr>
              <w:t xml:space="preserve">0 </w:t>
            </w:r>
          </w:p>
        </w:tc>
        <w:tc>
          <w:tcPr>
            <w:tcW w:w="1738" w:type="dxa"/>
            <w:tcBorders>
              <w:top w:val="nil"/>
              <w:left w:val="nil"/>
              <w:bottom w:val="nil"/>
              <w:right w:val="nil"/>
            </w:tcBorders>
            <w:shd w:val="clear" w:color="auto" w:fill="auto"/>
            <w:noWrap/>
            <w:vAlign w:val="bottom"/>
            <w:hideMark/>
          </w:tcPr>
          <w:p w14:paraId="058B4FBA" w14:textId="77777777" w:rsidR="008060A4" w:rsidRPr="008060A4" w:rsidRDefault="008060A4" w:rsidP="008060A4">
            <w:pPr>
              <w:jc w:val="right"/>
              <w:rPr>
                <w:sz w:val="22"/>
                <w:szCs w:val="22"/>
              </w:rPr>
            </w:pPr>
          </w:p>
        </w:tc>
        <w:tc>
          <w:tcPr>
            <w:tcW w:w="1706" w:type="dxa"/>
            <w:tcBorders>
              <w:top w:val="nil"/>
              <w:left w:val="nil"/>
              <w:bottom w:val="nil"/>
              <w:right w:val="nil"/>
            </w:tcBorders>
            <w:shd w:val="clear" w:color="auto" w:fill="auto"/>
            <w:noWrap/>
            <w:vAlign w:val="bottom"/>
            <w:hideMark/>
          </w:tcPr>
          <w:p w14:paraId="4C7E48E5" w14:textId="77777777" w:rsidR="008060A4" w:rsidRPr="008060A4" w:rsidRDefault="008060A4" w:rsidP="008060A4">
            <w:pPr>
              <w:jc w:val="right"/>
              <w:rPr>
                <w:sz w:val="22"/>
                <w:szCs w:val="22"/>
              </w:rPr>
            </w:pPr>
            <w:r w:rsidRPr="008060A4">
              <w:rPr>
                <w:sz w:val="22"/>
                <w:szCs w:val="22"/>
              </w:rPr>
              <w:t xml:space="preserve">0 </w:t>
            </w:r>
          </w:p>
        </w:tc>
        <w:tc>
          <w:tcPr>
            <w:tcW w:w="334" w:type="dxa"/>
            <w:tcBorders>
              <w:top w:val="nil"/>
              <w:left w:val="nil"/>
              <w:bottom w:val="nil"/>
              <w:right w:val="single" w:sz="4" w:space="0" w:color="auto"/>
            </w:tcBorders>
            <w:shd w:val="clear" w:color="auto" w:fill="auto"/>
            <w:noWrap/>
            <w:vAlign w:val="bottom"/>
            <w:hideMark/>
          </w:tcPr>
          <w:p w14:paraId="23BF471E"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63E802FC"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4495E18A" w14:textId="77777777" w:rsidR="008060A4" w:rsidRDefault="008060A4" w:rsidP="008060A4">
            <w:pPr>
              <w:jc w:val="center"/>
              <w:rPr>
                <w:sz w:val="22"/>
                <w:szCs w:val="22"/>
              </w:rPr>
            </w:pPr>
            <w:r>
              <w:rPr>
                <w:sz w:val="22"/>
                <w:szCs w:val="22"/>
              </w:rPr>
              <w:t> </w:t>
            </w:r>
          </w:p>
        </w:tc>
        <w:tc>
          <w:tcPr>
            <w:tcW w:w="3186" w:type="dxa"/>
            <w:tcBorders>
              <w:top w:val="nil"/>
              <w:left w:val="nil"/>
              <w:bottom w:val="nil"/>
              <w:right w:val="nil"/>
            </w:tcBorders>
            <w:shd w:val="clear" w:color="auto" w:fill="auto"/>
            <w:noWrap/>
            <w:vAlign w:val="bottom"/>
            <w:hideMark/>
          </w:tcPr>
          <w:p w14:paraId="44FA4AAB" w14:textId="77777777" w:rsidR="008060A4" w:rsidRDefault="008060A4" w:rsidP="008060A4">
            <w:pPr>
              <w:jc w:val="center"/>
              <w:rPr>
                <w:sz w:val="22"/>
                <w:szCs w:val="22"/>
              </w:rPr>
            </w:pPr>
          </w:p>
        </w:tc>
        <w:tc>
          <w:tcPr>
            <w:tcW w:w="1476" w:type="dxa"/>
            <w:tcBorders>
              <w:top w:val="nil"/>
              <w:left w:val="nil"/>
              <w:bottom w:val="nil"/>
              <w:right w:val="nil"/>
            </w:tcBorders>
            <w:shd w:val="clear" w:color="000000" w:fill="FFFFFF"/>
            <w:noWrap/>
            <w:vAlign w:val="bottom"/>
            <w:hideMark/>
          </w:tcPr>
          <w:p w14:paraId="510F4C4D" w14:textId="77777777" w:rsidR="008060A4" w:rsidRDefault="008060A4" w:rsidP="008060A4">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52EEF911" w14:textId="77777777" w:rsidR="008060A4" w:rsidRDefault="008060A4" w:rsidP="008060A4">
            <w:pPr>
              <w:rPr>
                <w:sz w:val="22"/>
                <w:szCs w:val="22"/>
              </w:rPr>
            </w:pPr>
          </w:p>
        </w:tc>
        <w:tc>
          <w:tcPr>
            <w:tcW w:w="1476" w:type="dxa"/>
            <w:tcBorders>
              <w:top w:val="nil"/>
              <w:left w:val="nil"/>
              <w:bottom w:val="nil"/>
              <w:right w:val="nil"/>
            </w:tcBorders>
            <w:shd w:val="clear" w:color="auto" w:fill="auto"/>
            <w:noWrap/>
            <w:vAlign w:val="bottom"/>
            <w:hideMark/>
          </w:tcPr>
          <w:p w14:paraId="34D5EBE0" w14:textId="77777777" w:rsidR="008060A4" w:rsidRDefault="008060A4" w:rsidP="008060A4">
            <w:pPr>
              <w:rPr>
                <w:sz w:val="20"/>
                <w:szCs w:val="20"/>
              </w:rPr>
            </w:pPr>
          </w:p>
        </w:tc>
        <w:tc>
          <w:tcPr>
            <w:tcW w:w="1738" w:type="dxa"/>
            <w:tcBorders>
              <w:top w:val="nil"/>
              <w:left w:val="nil"/>
              <w:bottom w:val="nil"/>
              <w:right w:val="nil"/>
            </w:tcBorders>
            <w:shd w:val="clear" w:color="auto" w:fill="auto"/>
            <w:noWrap/>
            <w:vAlign w:val="bottom"/>
            <w:hideMark/>
          </w:tcPr>
          <w:p w14:paraId="0DC6BD08" w14:textId="77777777" w:rsidR="008060A4" w:rsidRDefault="008060A4" w:rsidP="008060A4">
            <w:pPr>
              <w:rPr>
                <w:sz w:val="20"/>
                <w:szCs w:val="20"/>
              </w:rPr>
            </w:pPr>
          </w:p>
        </w:tc>
        <w:tc>
          <w:tcPr>
            <w:tcW w:w="1706" w:type="dxa"/>
            <w:tcBorders>
              <w:top w:val="nil"/>
              <w:left w:val="nil"/>
              <w:bottom w:val="nil"/>
              <w:right w:val="nil"/>
            </w:tcBorders>
            <w:shd w:val="clear" w:color="auto" w:fill="auto"/>
            <w:noWrap/>
            <w:vAlign w:val="bottom"/>
            <w:hideMark/>
          </w:tcPr>
          <w:p w14:paraId="1C4E886B" w14:textId="77777777" w:rsidR="008060A4" w:rsidRDefault="008060A4" w:rsidP="008060A4">
            <w:pPr>
              <w:rPr>
                <w:sz w:val="20"/>
                <w:szCs w:val="20"/>
              </w:rPr>
            </w:pPr>
          </w:p>
        </w:tc>
        <w:tc>
          <w:tcPr>
            <w:tcW w:w="334" w:type="dxa"/>
            <w:tcBorders>
              <w:top w:val="nil"/>
              <w:left w:val="nil"/>
              <w:bottom w:val="nil"/>
              <w:right w:val="single" w:sz="4" w:space="0" w:color="auto"/>
            </w:tcBorders>
            <w:shd w:val="clear" w:color="auto" w:fill="auto"/>
            <w:noWrap/>
            <w:vAlign w:val="bottom"/>
            <w:hideMark/>
          </w:tcPr>
          <w:p w14:paraId="0BD4204E"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0429E803"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56C775A8" w14:textId="77777777" w:rsidR="008060A4" w:rsidRDefault="008060A4" w:rsidP="008060A4">
            <w:pPr>
              <w:jc w:val="center"/>
              <w:rPr>
                <w:sz w:val="22"/>
                <w:szCs w:val="22"/>
              </w:rPr>
            </w:pPr>
            <w:r>
              <w:rPr>
                <w:sz w:val="22"/>
                <w:szCs w:val="22"/>
              </w:rPr>
              <w:t>5</w:t>
            </w:r>
          </w:p>
        </w:tc>
        <w:tc>
          <w:tcPr>
            <w:tcW w:w="3186" w:type="dxa"/>
            <w:tcBorders>
              <w:top w:val="nil"/>
              <w:left w:val="nil"/>
              <w:bottom w:val="nil"/>
              <w:right w:val="nil"/>
            </w:tcBorders>
            <w:shd w:val="clear" w:color="auto" w:fill="auto"/>
            <w:noWrap/>
            <w:vAlign w:val="bottom"/>
            <w:hideMark/>
          </w:tcPr>
          <w:p w14:paraId="3CF98E64" w14:textId="77777777" w:rsidR="008060A4" w:rsidRDefault="008060A4" w:rsidP="008060A4">
            <w:pPr>
              <w:rPr>
                <w:sz w:val="22"/>
                <w:szCs w:val="22"/>
              </w:rPr>
            </w:pPr>
            <w:r>
              <w:rPr>
                <w:sz w:val="22"/>
                <w:szCs w:val="22"/>
              </w:rPr>
              <w:t xml:space="preserve">    Taxes Other Than Income</w:t>
            </w:r>
          </w:p>
        </w:tc>
        <w:tc>
          <w:tcPr>
            <w:tcW w:w="1476" w:type="dxa"/>
            <w:tcBorders>
              <w:top w:val="nil"/>
              <w:left w:val="nil"/>
              <w:bottom w:val="nil"/>
              <w:right w:val="nil"/>
            </w:tcBorders>
            <w:shd w:val="clear" w:color="000000" w:fill="FFFFFF"/>
            <w:noWrap/>
            <w:vAlign w:val="bottom"/>
            <w:hideMark/>
          </w:tcPr>
          <w:p w14:paraId="4CD85C6F" w14:textId="77777777" w:rsidR="008060A4" w:rsidRDefault="008060A4" w:rsidP="008060A4">
            <w:pPr>
              <w:jc w:val="right"/>
              <w:rPr>
                <w:sz w:val="22"/>
                <w:szCs w:val="22"/>
              </w:rPr>
            </w:pPr>
            <w:r>
              <w:rPr>
                <w:sz w:val="22"/>
                <w:szCs w:val="22"/>
              </w:rPr>
              <w:t xml:space="preserve">333,110 </w:t>
            </w:r>
          </w:p>
        </w:tc>
        <w:tc>
          <w:tcPr>
            <w:tcW w:w="1476" w:type="dxa"/>
            <w:tcBorders>
              <w:top w:val="nil"/>
              <w:left w:val="nil"/>
              <w:bottom w:val="nil"/>
              <w:right w:val="nil"/>
            </w:tcBorders>
            <w:shd w:val="clear" w:color="auto" w:fill="auto"/>
            <w:noWrap/>
            <w:vAlign w:val="bottom"/>
            <w:hideMark/>
          </w:tcPr>
          <w:p w14:paraId="235EDA74" w14:textId="77777777" w:rsidR="008060A4" w:rsidRDefault="008060A4" w:rsidP="008060A4">
            <w:pPr>
              <w:jc w:val="right"/>
              <w:rPr>
                <w:sz w:val="22"/>
                <w:szCs w:val="22"/>
              </w:rPr>
            </w:pPr>
            <w:r>
              <w:rPr>
                <w:sz w:val="22"/>
                <w:szCs w:val="22"/>
              </w:rPr>
              <w:t>(44,642)</w:t>
            </w:r>
          </w:p>
        </w:tc>
        <w:tc>
          <w:tcPr>
            <w:tcW w:w="1476" w:type="dxa"/>
            <w:tcBorders>
              <w:top w:val="nil"/>
              <w:left w:val="nil"/>
              <w:bottom w:val="nil"/>
              <w:right w:val="nil"/>
            </w:tcBorders>
            <w:shd w:val="clear" w:color="auto" w:fill="auto"/>
            <w:noWrap/>
            <w:vAlign w:val="bottom"/>
            <w:hideMark/>
          </w:tcPr>
          <w:p w14:paraId="08EF5C9A" w14:textId="77777777" w:rsidR="008060A4" w:rsidRDefault="008060A4" w:rsidP="008060A4">
            <w:pPr>
              <w:jc w:val="right"/>
              <w:rPr>
                <w:sz w:val="22"/>
                <w:szCs w:val="22"/>
              </w:rPr>
            </w:pPr>
            <w:r>
              <w:rPr>
                <w:sz w:val="22"/>
                <w:szCs w:val="22"/>
              </w:rPr>
              <w:t xml:space="preserve">288,468 </w:t>
            </w:r>
          </w:p>
        </w:tc>
        <w:tc>
          <w:tcPr>
            <w:tcW w:w="1738" w:type="dxa"/>
            <w:tcBorders>
              <w:top w:val="nil"/>
              <w:left w:val="nil"/>
              <w:bottom w:val="nil"/>
              <w:right w:val="nil"/>
            </w:tcBorders>
            <w:shd w:val="clear" w:color="auto" w:fill="auto"/>
            <w:noWrap/>
            <w:vAlign w:val="bottom"/>
            <w:hideMark/>
          </w:tcPr>
          <w:p w14:paraId="61C025DB" w14:textId="77777777" w:rsidR="008060A4" w:rsidRDefault="008060A4" w:rsidP="008060A4">
            <w:pPr>
              <w:jc w:val="right"/>
              <w:rPr>
                <w:sz w:val="22"/>
                <w:szCs w:val="22"/>
              </w:rPr>
            </w:pPr>
            <w:r>
              <w:rPr>
                <w:sz w:val="22"/>
                <w:szCs w:val="22"/>
              </w:rPr>
              <w:t xml:space="preserve">6,179 </w:t>
            </w:r>
          </w:p>
        </w:tc>
        <w:tc>
          <w:tcPr>
            <w:tcW w:w="1706" w:type="dxa"/>
            <w:tcBorders>
              <w:top w:val="nil"/>
              <w:left w:val="nil"/>
              <w:bottom w:val="nil"/>
              <w:right w:val="nil"/>
            </w:tcBorders>
            <w:shd w:val="clear" w:color="auto" w:fill="auto"/>
            <w:noWrap/>
            <w:vAlign w:val="bottom"/>
            <w:hideMark/>
          </w:tcPr>
          <w:p w14:paraId="23793F51" w14:textId="77777777" w:rsidR="008060A4" w:rsidRDefault="008060A4" w:rsidP="008060A4">
            <w:pPr>
              <w:jc w:val="right"/>
              <w:rPr>
                <w:sz w:val="22"/>
                <w:szCs w:val="22"/>
              </w:rPr>
            </w:pPr>
            <w:r>
              <w:rPr>
                <w:sz w:val="22"/>
                <w:szCs w:val="22"/>
              </w:rPr>
              <w:t xml:space="preserve">294,648 </w:t>
            </w:r>
          </w:p>
        </w:tc>
        <w:tc>
          <w:tcPr>
            <w:tcW w:w="334" w:type="dxa"/>
            <w:tcBorders>
              <w:top w:val="nil"/>
              <w:left w:val="nil"/>
              <w:bottom w:val="nil"/>
              <w:right w:val="single" w:sz="4" w:space="0" w:color="auto"/>
            </w:tcBorders>
            <w:shd w:val="clear" w:color="auto" w:fill="auto"/>
            <w:noWrap/>
            <w:vAlign w:val="bottom"/>
            <w:hideMark/>
          </w:tcPr>
          <w:p w14:paraId="7D7ECA75"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11EC8BBE"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56B67828" w14:textId="77777777" w:rsidR="008060A4" w:rsidRDefault="008060A4" w:rsidP="008060A4">
            <w:pPr>
              <w:jc w:val="center"/>
              <w:rPr>
                <w:sz w:val="22"/>
                <w:szCs w:val="22"/>
              </w:rPr>
            </w:pPr>
            <w:r>
              <w:rPr>
                <w:sz w:val="22"/>
                <w:szCs w:val="22"/>
              </w:rPr>
              <w:t> </w:t>
            </w:r>
          </w:p>
        </w:tc>
        <w:tc>
          <w:tcPr>
            <w:tcW w:w="3186" w:type="dxa"/>
            <w:tcBorders>
              <w:top w:val="nil"/>
              <w:left w:val="nil"/>
              <w:bottom w:val="nil"/>
              <w:right w:val="nil"/>
            </w:tcBorders>
            <w:shd w:val="clear" w:color="auto" w:fill="auto"/>
            <w:noWrap/>
            <w:vAlign w:val="bottom"/>
            <w:hideMark/>
          </w:tcPr>
          <w:p w14:paraId="312C71CC" w14:textId="77777777" w:rsidR="008060A4" w:rsidRDefault="008060A4" w:rsidP="008060A4">
            <w:pPr>
              <w:jc w:val="center"/>
              <w:rPr>
                <w:sz w:val="22"/>
                <w:szCs w:val="22"/>
              </w:rPr>
            </w:pPr>
          </w:p>
        </w:tc>
        <w:tc>
          <w:tcPr>
            <w:tcW w:w="1476" w:type="dxa"/>
            <w:tcBorders>
              <w:top w:val="nil"/>
              <w:left w:val="nil"/>
              <w:bottom w:val="nil"/>
              <w:right w:val="nil"/>
            </w:tcBorders>
            <w:shd w:val="clear" w:color="000000" w:fill="FFFFFF"/>
            <w:noWrap/>
            <w:vAlign w:val="bottom"/>
            <w:hideMark/>
          </w:tcPr>
          <w:p w14:paraId="11165BBB" w14:textId="77777777" w:rsidR="008060A4" w:rsidRDefault="008060A4" w:rsidP="008060A4">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21C9C663" w14:textId="77777777" w:rsidR="008060A4" w:rsidRDefault="008060A4" w:rsidP="008060A4">
            <w:pPr>
              <w:rPr>
                <w:sz w:val="22"/>
                <w:szCs w:val="22"/>
              </w:rPr>
            </w:pPr>
          </w:p>
        </w:tc>
        <w:tc>
          <w:tcPr>
            <w:tcW w:w="1476" w:type="dxa"/>
            <w:tcBorders>
              <w:top w:val="nil"/>
              <w:left w:val="nil"/>
              <w:bottom w:val="nil"/>
              <w:right w:val="nil"/>
            </w:tcBorders>
            <w:shd w:val="clear" w:color="auto" w:fill="auto"/>
            <w:noWrap/>
            <w:vAlign w:val="bottom"/>
            <w:hideMark/>
          </w:tcPr>
          <w:p w14:paraId="54CC994F" w14:textId="77777777" w:rsidR="008060A4" w:rsidRDefault="008060A4" w:rsidP="008060A4">
            <w:pPr>
              <w:rPr>
                <w:sz w:val="20"/>
                <w:szCs w:val="20"/>
              </w:rPr>
            </w:pPr>
          </w:p>
        </w:tc>
        <w:tc>
          <w:tcPr>
            <w:tcW w:w="1738" w:type="dxa"/>
            <w:tcBorders>
              <w:top w:val="nil"/>
              <w:left w:val="nil"/>
              <w:bottom w:val="nil"/>
              <w:right w:val="nil"/>
            </w:tcBorders>
            <w:shd w:val="clear" w:color="auto" w:fill="auto"/>
            <w:noWrap/>
            <w:vAlign w:val="bottom"/>
            <w:hideMark/>
          </w:tcPr>
          <w:p w14:paraId="48224144" w14:textId="77777777" w:rsidR="008060A4" w:rsidRDefault="008060A4" w:rsidP="008060A4">
            <w:pPr>
              <w:rPr>
                <w:sz w:val="20"/>
                <w:szCs w:val="20"/>
              </w:rPr>
            </w:pPr>
          </w:p>
        </w:tc>
        <w:tc>
          <w:tcPr>
            <w:tcW w:w="1706" w:type="dxa"/>
            <w:tcBorders>
              <w:top w:val="nil"/>
              <w:left w:val="nil"/>
              <w:bottom w:val="nil"/>
              <w:right w:val="nil"/>
            </w:tcBorders>
            <w:shd w:val="clear" w:color="auto" w:fill="auto"/>
            <w:noWrap/>
            <w:vAlign w:val="bottom"/>
            <w:hideMark/>
          </w:tcPr>
          <w:p w14:paraId="652EB82D" w14:textId="77777777" w:rsidR="008060A4" w:rsidRDefault="008060A4" w:rsidP="008060A4">
            <w:pPr>
              <w:rPr>
                <w:sz w:val="20"/>
                <w:szCs w:val="20"/>
              </w:rPr>
            </w:pPr>
          </w:p>
        </w:tc>
        <w:tc>
          <w:tcPr>
            <w:tcW w:w="334" w:type="dxa"/>
            <w:tcBorders>
              <w:top w:val="nil"/>
              <w:left w:val="nil"/>
              <w:bottom w:val="nil"/>
              <w:right w:val="single" w:sz="4" w:space="0" w:color="auto"/>
            </w:tcBorders>
            <w:shd w:val="clear" w:color="auto" w:fill="auto"/>
            <w:noWrap/>
            <w:vAlign w:val="bottom"/>
            <w:hideMark/>
          </w:tcPr>
          <w:p w14:paraId="4C5C7475"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33322E18"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3AB9A654" w14:textId="77777777" w:rsidR="008060A4" w:rsidRDefault="008060A4" w:rsidP="008060A4">
            <w:pPr>
              <w:jc w:val="center"/>
              <w:rPr>
                <w:sz w:val="22"/>
                <w:szCs w:val="22"/>
              </w:rPr>
            </w:pPr>
            <w:r>
              <w:rPr>
                <w:sz w:val="22"/>
                <w:szCs w:val="22"/>
              </w:rPr>
              <w:t>6</w:t>
            </w:r>
          </w:p>
        </w:tc>
        <w:tc>
          <w:tcPr>
            <w:tcW w:w="3186" w:type="dxa"/>
            <w:tcBorders>
              <w:top w:val="nil"/>
              <w:left w:val="nil"/>
              <w:bottom w:val="nil"/>
              <w:right w:val="nil"/>
            </w:tcBorders>
            <w:shd w:val="clear" w:color="auto" w:fill="auto"/>
            <w:noWrap/>
            <w:vAlign w:val="bottom"/>
            <w:hideMark/>
          </w:tcPr>
          <w:p w14:paraId="7F2EC817" w14:textId="77777777" w:rsidR="008060A4" w:rsidRDefault="008060A4" w:rsidP="008060A4">
            <w:pPr>
              <w:rPr>
                <w:sz w:val="22"/>
                <w:szCs w:val="22"/>
              </w:rPr>
            </w:pPr>
            <w:r>
              <w:rPr>
                <w:sz w:val="22"/>
                <w:szCs w:val="22"/>
              </w:rPr>
              <w:t xml:space="preserve">    Income Taxes</w:t>
            </w:r>
          </w:p>
        </w:tc>
        <w:tc>
          <w:tcPr>
            <w:tcW w:w="1476" w:type="dxa"/>
            <w:tcBorders>
              <w:top w:val="nil"/>
              <w:left w:val="nil"/>
              <w:bottom w:val="nil"/>
              <w:right w:val="nil"/>
            </w:tcBorders>
            <w:shd w:val="clear" w:color="000000" w:fill="FFFFFF"/>
            <w:noWrap/>
            <w:vAlign w:val="bottom"/>
            <w:hideMark/>
          </w:tcPr>
          <w:p w14:paraId="40BF29EB" w14:textId="77777777" w:rsidR="008060A4" w:rsidRDefault="008060A4" w:rsidP="008060A4">
            <w:pPr>
              <w:jc w:val="right"/>
              <w:rPr>
                <w:sz w:val="22"/>
                <w:szCs w:val="22"/>
                <w:u w:val="single"/>
              </w:rPr>
            </w:pPr>
            <w:r>
              <w:rPr>
                <w:sz w:val="22"/>
                <w:szCs w:val="22"/>
                <w:u w:val="single"/>
              </w:rPr>
              <w:t xml:space="preserve">81,844 </w:t>
            </w:r>
          </w:p>
        </w:tc>
        <w:tc>
          <w:tcPr>
            <w:tcW w:w="1476" w:type="dxa"/>
            <w:tcBorders>
              <w:top w:val="nil"/>
              <w:left w:val="nil"/>
              <w:bottom w:val="nil"/>
              <w:right w:val="nil"/>
            </w:tcBorders>
            <w:shd w:val="clear" w:color="auto" w:fill="auto"/>
            <w:noWrap/>
            <w:vAlign w:val="bottom"/>
            <w:hideMark/>
          </w:tcPr>
          <w:p w14:paraId="00B7F71D" w14:textId="77777777" w:rsidR="008060A4" w:rsidRDefault="008060A4" w:rsidP="008060A4">
            <w:pPr>
              <w:jc w:val="right"/>
              <w:rPr>
                <w:sz w:val="22"/>
                <w:szCs w:val="22"/>
                <w:u w:val="single"/>
              </w:rPr>
            </w:pPr>
            <w:r>
              <w:rPr>
                <w:sz w:val="22"/>
                <w:szCs w:val="22"/>
                <w:u w:val="single"/>
              </w:rPr>
              <w:t>(53,113)</w:t>
            </w:r>
          </w:p>
        </w:tc>
        <w:tc>
          <w:tcPr>
            <w:tcW w:w="1476" w:type="dxa"/>
            <w:tcBorders>
              <w:top w:val="nil"/>
              <w:left w:val="nil"/>
              <w:bottom w:val="nil"/>
              <w:right w:val="nil"/>
            </w:tcBorders>
            <w:shd w:val="clear" w:color="auto" w:fill="auto"/>
            <w:noWrap/>
            <w:vAlign w:val="bottom"/>
            <w:hideMark/>
          </w:tcPr>
          <w:p w14:paraId="2C8FC5BD" w14:textId="77777777" w:rsidR="008060A4" w:rsidRDefault="008060A4" w:rsidP="008060A4">
            <w:pPr>
              <w:jc w:val="right"/>
              <w:rPr>
                <w:sz w:val="22"/>
                <w:szCs w:val="22"/>
                <w:u w:val="single"/>
              </w:rPr>
            </w:pPr>
            <w:r>
              <w:rPr>
                <w:sz w:val="22"/>
                <w:szCs w:val="22"/>
                <w:u w:val="single"/>
              </w:rPr>
              <w:t xml:space="preserve">28,731 </w:t>
            </w:r>
          </w:p>
        </w:tc>
        <w:tc>
          <w:tcPr>
            <w:tcW w:w="1738" w:type="dxa"/>
            <w:tcBorders>
              <w:top w:val="nil"/>
              <w:left w:val="nil"/>
              <w:bottom w:val="nil"/>
              <w:right w:val="nil"/>
            </w:tcBorders>
            <w:shd w:val="clear" w:color="auto" w:fill="auto"/>
            <w:noWrap/>
            <w:vAlign w:val="bottom"/>
            <w:hideMark/>
          </w:tcPr>
          <w:p w14:paraId="22A1B1F7" w14:textId="77777777" w:rsidR="008060A4" w:rsidRDefault="008060A4" w:rsidP="008060A4">
            <w:pPr>
              <w:jc w:val="right"/>
              <w:rPr>
                <w:sz w:val="22"/>
                <w:szCs w:val="22"/>
                <w:u w:val="single"/>
              </w:rPr>
            </w:pPr>
            <w:r>
              <w:rPr>
                <w:sz w:val="22"/>
                <w:szCs w:val="22"/>
                <w:u w:val="single"/>
              </w:rPr>
              <w:t xml:space="preserve">33,238 </w:t>
            </w:r>
          </w:p>
        </w:tc>
        <w:tc>
          <w:tcPr>
            <w:tcW w:w="1706" w:type="dxa"/>
            <w:tcBorders>
              <w:top w:val="nil"/>
              <w:left w:val="nil"/>
              <w:bottom w:val="nil"/>
              <w:right w:val="nil"/>
            </w:tcBorders>
            <w:shd w:val="clear" w:color="auto" w:fill="auto"/>
            <w:noWrap/>
            <w:vAlign w:val="bottom"/>
            <w:hideMark/>
          </w:tcPr>
          <w:p w14:paraId="30350897" w14:textId="77777777" w:rsidR="008060A4" w:rsidRDefault="008060A4" w:rsidP="008060A4">
            <w:pPr>
              <w:jc w:val="right"/>
              <w:rPr>
                <w:sz w:val="22"/>
                <w:szCs w:val="22"/>
                <w:u w:val="single"/>
              </w:rPr>
            </w:pPr>
            <w:r>
              <w:rPr>
                <w:sz w:val="22"/>
                <w:szCs w:val="22"/>
                <w:u w:val="single"/>
              </w:rPr>
              <w:t xml:space="preserve">61,969 </w:t>
            </w:r>
          </w:p>
        </w:tc>
        <w:tc>
          <w:tcPr>
            <w:tcW w:w="334" w:type="dxa"/>
            <w:tcBorders>
              <w:top w:val="nil"/>
              <w:left w:val="nil"/>
              <w:bottom w:val="nil"/>
              <w:right w:val="single" w:sz="4" w:space="0" w:color="auto"/>
            </w:tcBorders>
            <w:shd w:val="clear" w:color="auto" w:fill="auto"/>
            <w:noWrap/>
            <w:vAlign w:val="bottom"/>
            <w:hideMark/>
          </w:tcPr>
          <w:p w14:paraId="7D975F5B" w14:textId="77777777" w:rsidR="008060A4" w:rsidRDefault="008060A4" w:rsidP="008060A4">
            <w:pPr>
              <w:rPr>
                <w:rFonts w:ascii="Arial" w:hAnsi="Arial" w:cs="Arial"/>
                <w:sz w:val="20"/>
                <w:szCs w:val="20"/>
                <w:u w:val="single"/>
              </w:rPr>
            </w:pPr>
          </w:p>
        </w:tc>
      </w:tr>
      <w:tr w:rsidR="008060A4" w14:paraId="66DD758E"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271F0C89" w14:textId="77777777" w:rsidR="008060A4" w:rsidRDefault="008060A4" w:rsidP="008060A4">
            <w:pPr>
              <w:jc w:val="center"/>
              <w:rPr>
                <w:sz w:val="22"/>
                <w:szCs w:val="22"/>
              </w:rPr>
            </w:pPr>
            <w:r>
              <w:rPr>
                <w:sz w:val="22"/>
                <w:szCs w:val="22"/>
              </w:rPr>
              <w:t> </w:t>
            </w:r>
          </w:p>
        </w:tc>
        <w:tc>
          <w:tcPr>
            <w:tcW w:w="3186" w:type="dxa"/>
            <w:tcBorders>
              <w:top w:val="nil"/>
              <w:left w:val="nil"/>
              <w:bottom w:val="nil"/>
              <w:right w:val="nil"/>
            </w:tcBorders>
            <w:shd w:val="clear" w:color="auto" w:fill="auto"/>
            <w:noWrap/>
            <w:vAlign w:val="bottom"/>
            <w:hideMark/>
          </w:tcPr>
          <w:p w14:paraId="6D30B7FD" w14:textId="77777777" w:rsidR="008060A4" w:rsidRDefault="008060A4" w:rsidP="008060A4">
            <w:pPr>
              <w:jc w:val="center"/>
              <w:rPr>
                <w:sz w:val="22"/>
                <w:szCs w:val="22"/>
              </w:rPr>
            </w:pPr>
          </w:p>
        </w:tc>
        <w:tc>
          <w:tcPr>
            <w:tcW w:w="1476" w:type="dxa"/>
            <w:tcBorders>
              <w:top w:val="nil"/>
              <w:left w:val="nil"/>
              <w:bottom w:val="nil"/>
              <w:right w:val="nil"/>
            </w:tcBorders>
            <w:shd w:val="clear" w:color="auto" w:fill="auto"/>
            <w:noWrap/>
            <w:vAlign w:val="bottom"/>
            <w:hideMark/>
          </w:tcPr>
          <w:p w14:paraId="010F450C" w14:textId="77777777" w:rsidR="008060A4" w:rsidRDefault="008060A4" w:rsidP="008060A4">
            <w:pPr>
              <w:rPr>
                <w:sz w:val="20"/>
                <w:szCs w:val="20"/>
              </w:rPr>
            </w:pPr>
          </w:p>
        </w:tc>
        <w:tc>
          <w:tcPr>
            <w:tcW w:w="1476" w:type="dxa"/>
            <w:tcBorders>
              <w:top w:val="nil"/>
              <w:left w:val="nil"/>
              <w:bottom w:val="nil"/>
              <w:right w:val="nil"/>
            </w:tcBorders>
            <w:shd w:val="clear" w:color="auto" w:fill="auto"/>
            <w:noWrap/>
            <w:vAlign w:val="bottom"/>
            <w:hideMark/>
          </w:tcPr>
          <w:p w14:paraId="41D892A2" w14:textId="77777777" w:rsidR="008060A4" w:rsidRDefault="008060A4" w:rsidP="008060A4">
            <w:pPr>
              <w:rPr>
                <w:sz w:val="20"/>
                <w:szCs w:val="20"/>
              </w:rPr>
            </w:pPr>
          </w:p>
        </w:tc>
        <w:tc>
          <w:tcPr>
            <w:tcW w:w="1476" w:type="dxa"/>
            <w:tcBorders>
              <w:top w:val="nil"/>
              <w:left w:val="nil"/>
              <w:bottom w:val="nil"/>
              <w:right w:val="nil"/>
            </w:tcBorders>
            <w:shd w:val="clear" w:color="auto" w:fill="auto"/>
            <w:noWrap/>
            <w:vAlign w:val="bottom"/>
            <w:hideMark/>
          </w:tcPr>
          <w:p w14:paraId="2C7E3050" w14:textId="77777777" w:rsidR="008060A4" w:rsidRDefault="008060A4" w:rsidP="008060A4">
            <w:pPr>
              <w:rPr>
                <w:sz w:val="20"/>
                <w:szCs w:val="20"/>
              </w:rPr>
            </w:pPr>
          </w:p>
        </w:tc>
        <w:tc>
          <w:tcPr>
            <w:tcW w:w="1738" w:type="dxa"/>
            <w:tcBorders>
              <w:top w:val="nil"/>
              <w:left w:val="nil"/>
              <w:bottom w:val="nil"/>
              <w:right w:val="nil"/>
            </w:tcBorders>
            <w:shd w:val="clear" w:color="auto" w:fill="auto"/>
            <w:noWrap/>
            <w:vAlign w:val="bottom"/>
            <w:hideMark/>
          </w:tcPr>
          <w:p w14:paraId="00103BBE" w14:textId="77777777" w:rsidR="008060A4" w:rsidRDefault="008060A4" w:rsidP="008060A4">
            <w:pPr>
              <w:rPr>
                <w:sz w:val="20"/>
                <w:szCs w:val="20"/>
              </w:rPr>
            </w:pPr>
          </w:p>
        </w:tc>
        <w:tc>
          <w:tcPr>
            <w:tcW w:w="1706" w:type="dxa"/>
            <w:tcBorders>
              <w:top w:val="nil"/>
              <w:left w:val="nil"/>
              <w:bottom w:val="nil"/>
              <w:right w:val="nil"/>
            </w:tcBorders>
            <w:shd w:val="clear" w:color="auto" w:fill="auto"/>
            <w:noWrap/>
            <w:vAlign w:val="bottom"/>
            <w:hideMark/>
          </w:tcPr>
          <w:p w14:paraId="09D090DD" w14:textId="77777777" w:rsidR="008060A4" w:rsidRDefault="008060A4" w:rsidP="008060A4">
            <w:pPr>
              <w:rPr>
                <w:sz w:val="20"/>
                <w:szCs w:val="20"/>
              </w:rPr>
            </w:pPr>
          </w:p>
        </w:tc>
        <w:tc>
          <w:tcPr>
            <w:tcW w:w="334" w:type="dxa"/>
            <w:tcBorders>
              <w:top w:val="nil"/>
              <w:left w:val="nil"/>
              <w:bottom w:val="nil"/>
              <w:right w:val="single" w:sz="4" w:space="0" w:color="auto"/>
            </w:tcBorders>
            <w:shd w:val="clear" w:color="auto" w:fill="auto"/>
            <w:noWrap/>
            <w:vAlign w:val="bottom"/>
            <w:hideMark/>
          </w:tcPr>
          <w:p w14:paraId="2152218A"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1D025A04"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58F3A8B8" w14:textId="77777777" w:rsidR="008060A4" w:rsidRDefault="008060A4" w:rsidP="008060A4">
            <w:pPr>
              <w:jc w:val="center"/>
              <w:rPr>
                <w:sz w:val="22"/>
                <w:szCs w:val="22"/>
              </w:rPr>
            </w:pPr>
            <w:r>
              <w:rPr>
                <w:sz w:val="22"/>
                <w:szCs w:val="22"/>
              </w:rPr>
              <w:t>7</w:t>
            </w:r>
          </w:p>
        </w:tc>
        <w:tc>
          <w:tcPr>
            <w:tcW w:w="3186" w:type="dxa"/>
            <w:tcBorders>
              <w:top w:val="nil"/>
              <w:left w:val="nil"/>
              <w:bottom w:val="nil"/>
              <w:right w:val="nil"/>
            </w:tcBorders>
            <w:shd w:val="clear" w:color="auto" w:fill="auto"/>
            <w:noWrap/>
            <w:vAlign w:val="bottom"/>
            <w:hideMark/>
          </w:tcPr>
          <w:p w14:paraId="169C7669" w14:textId="77777777" w:rsidR="008060A4" w:rsidRDefault="008060A4" w:rsidP="008060A4">
            <w:pPr>
              <w:rPr>
                <w:b/>
                <w:bCs/>
                <w:sz w:val="22"/>
                <w:szCs w:val="22"/>
              </w:rPr>
            </w:pPr>
            <w:r>
              <w:rPr>
                <w:b/>
                <w:bCs/>
                <w:sz w:val="22"/>
                <w:szCs w:val="22"/>
              </w:rPr>
              <w:t>Total Operating Expense</w:t>
            </w:r>
          </w:p>
        </w:tc>
        <w:tc>
          <w:tcPr>
            <w:tcW w:w="1476" w:type="dxa"/>
            <w:tcBorders>
              <w:top w:val="nil"/>
              <w:left w:val="nil"/>
              <w:bottom w:val="nil"/>
              <w:right w:val="nil"/>
            </w:tcBorders>
            <w:shd w:val="clear" w:color="auto" w:fill="auto"/>
            <w:noWrap/>
            <w:vAlign w:val="bottom"/>
            <w:hideMark/>
          </w:tcPr>
          <w:p w14:paraId="0B774C46" w14:textId="77777777" w:rsidR="008060A4" w:rsidRDefault="008060A4" w:rsidP="008060A4">
            <w:pPr>
              <w:jc w:val="right"/>
              <w:rPr>
                <w:sz w:val="22"/>
                <w:szCs w:val="22"/>
                <w:u w:val="single"/>
              </w:rPr>
            </w:pPr>
            <w:r>
              <w:rPr>
                <w:sz w:val="22"/>
                <w:szCs w:val="22"/>
                <w:u w:val="single"/>
              </w:rPr>
              <w:t xml:space="preserve">1,901,079 </w:t>
            </w:r>
          </w:p>
        </w:tc>
        <w:tc>
          <w:tcPr>
            <w:tcW w:w="1476" w:type="dxa"/>
            <w:tcBorders>
              <w:top w:val="nil"/>
              <w:left w:val="nil"/>
              <w:bottom w:val="nil"/>
              <w:right w:val="nil"/>
            </w:tcBorders>
            <w:shd w:val="clear" w:color="auto" w:fill="auto"/>
            <w:noWrap/>
            <w:vAlign w:val="bottom"/>
            <w:hideMark/>
          </w:tcPr>
          <w:p w14:paraId="7AB5E0C2" w14:textId="77777777" w:rsidR="008060A4" w:rsidRDefault="008060A4" w:rsidP="008060A4">
            <w:pPr>
              <w:jc w:val="right"/>
              <w:rPr>
                <w:sz w:val="22"/>
                <w:szCs w:val="22"/>
                <w:u w:val="single"/>
              </w:rPr>
            </w:pPr>
            <w:r>
              <w:rPr>
                <w:sz w:val="22"/>
                <w:szCs w:val="22"/>
                <w:u w:val="single"/>
              </w:rPr>
              <w:t xml:space="preserve">156,450 </w:t>
            </w:r>
          </w:p>
        </w:tc>
        <w:tc>
          <w:tcPr>
            <w:tcW w:w="1476" w:type="dxa"/>
            <w:tcBorders>
              <w:top w:val="nil"/>
              <w:left w:val="nil"/>
              <w:bottom w:val="nil"/>
              <w:right w:val="nil"/>
            </w:tcBorders>
            <w:shd w:val="clear" w:color="auto" w:fill="auto"/>
            <w:noWrap/>
            <w:vAlign w:val="bottom"/>
            <w:hideMark/>
          </w:tcPr>
          <w:p w14:paraId="2E7C6FAF" w14:textId="77777777" w:rsidR="008060A4" w:rsidRDefault="008060A4" w:rsidP="008060A4">
            <w:pPr>
              <w:jc w:val="right"/>
              <w:rPr>
                <w:sz w:val="22"/>
                <w:szCs w:val="22"/>
                <w:u w:val="single"/>
              </w:rPr>
            </w:pPr>
            <w:r>
              <w:rPr>
                <w:sz w:val="22"/>
                <w:szCs w:val="22"/>
                <w:u w:val="single"/>
              </w:rPr>
              <w:t xml:space="preserve">2,057,529 </w:t>
            </w:r>
          </w:p>
        </w:tc>
        <w:tc>
          <w:tcPr>
            <w:tcW w:w="1738" w:type="dxa"/>
            <w:tcBorders>
              <w:top w:val="nil"/>
              <w:left w:val="nil"/>
              <w:bottom w:val="nil"/>
              <w:right w:val="nil"/>
            </w:tcBorders>
            <w:shd w:val="clear" w:color="auto" w:fill="auto"/>
            <w:noWrap/>
            <w:vAlign w:val="bottom"/>
            <w:hideMark/>
          </w:tcPr>
          <w:p w14:paraId="76D55421" w14:textId="77777777" w:rsidR="008060A4" w:rsidRDefault="008060A4" w:rsidP="008060A4">
            <w:pPr>
              <w:jc w:val="right"/>
              <w:rPr>
                <w:sz w:val="22"/>
                <w:szCs w:val="22"/>
                <w:u w:val="single"/>
              </w:rPr>
            </w:pPr>
            <w:r>
              <w:rPr>
                <w:sz w:val="22"/>
                <w:szCs w:val="22"/>
                <w:u w:val="single"/>
              </w:rPr>
              <w:t xml:space="preserve">39,417 </w:t>
            </w:r>
          </w:p>
        </w:tc>
        <w:tc>
          <w:tcPr>
            <w:tcW w:w="1706" w:type="dxa"/>
            <w:tcBorders>
              <w:top w:val="nil"/>
              <w:left w:val="nil"/>
              <w:bottom w:val="nil"/>
              <w:right w:val="nil"/>
            </w:tcBorders>
            <w:shd w:val="clear" w:color="auto" w:fill="auto"/>
            <w:noWrap/>
            <w:vAlign w:val="bottom"/>
            <w:hideMark/>
          </w:tcPr>
          <w:p w14:paraId="710961BC" w14:textId="77777777" w:rsidR="008060A4" w:rsidRDefault="008060A4" w:rsidP="008060A4">
            <w:pPr>
              <w:jc w:val="right"/>
              <w:rPr>
                <w:sz w:val="22"/>
                <w:szCs w:val="22"/>
                <w:u w:val="single"/>
              </w:rPr>
            </w:pPr>
            <w:r>
              <w:rPr>
                <w:sz w:val="22"/>
                <w:szCs w:val="22"/>
                <w:u w:val="single"/>
              </w:rPr>
              <w:t xml:space="preserve">2,096,946 </w:t>
            </w:r>
          </w:p>
        </w:tc>
        <w:tc>
          <w:tcPr>
            <w:tcW w:w="334" w:type="dxa"/>
            <w:tcBorders>
              <w:top w:val="nil"/>
              <w:left w:val="nil"/>
              <w:bottom w:val="nil"/>
              <w:right w:val="single" w:sz="4" w:space="0" w:color="auto"/>
            </w:tcBorders>
            <w:shd w:val="clear" w:color="auto" w:fill="auto"/>
            <w:noWrap/>
            <w:vAlign w:val="bottom"/>
            <w:hideMark/>
          </w:tcPr>
          <w:p w14:paraId="0FF74AEF" w14:textId="77777777" w:rsidR="008060A4" w:rsidRDefault="008060A4" w:rsidP="008060A4">
            <w:pPr>
              <w:rPr>
                <w:rFonts w:ascii="Arial" w:hAnsi="Arial" w:cs="Arial"/>
                <w:sz w:val="20"/>
                <w:szCs w:val="20"/>
                <w:u w:val="single"/>
              </w:rPr>
            </w:pPr>
          </w:p>
        </w:tc>
      </w:tr>
      <w:tr w:rsidR="008060A4" w14:paraId="0B5CC277"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7E43FEDA" w14:textId="77777777" w:rsidR="008060A4" w:rsidRDefault="008060A4" w:rsidP="008060A4">
            <w:pPr>
              <w:jc w:val="center"/>
              <w:rPr>
                <w:sz w:val="22"/>
                <w:szCs w:val="22"/>
              </w:rPr>
            </w:pPr>
            <w:r>
              <w:rPr>
                <w:sz w:val="22"/>
                <w:szCs w:val="22"/>
              </w:rPr>
              <w:t> </w:t>
            </w:r>
          </w:p>
        </w:tc>
        <w:tc>
          <w:tcPr>
            <w:tcW w:w="3186" w:type="dxa"/>
            <w:tcBorders>
              <w:top w:val="nil"/>
              <w:left w:val="nil"/>
              <w:bottom w:val="nil"/>
              <w:right w:val="nil"/>
            </w:tcBorders>
            <w:shd w:val="clear" w:color="auto" w:fill="auto"/>
            <w:noWrap/>
            <w:vAlign w:val="bottom"/>
            <w:hideMark/>
          </w:tcPr>
          <w:p w14:paraId="1194E244" w14:textId="77777777" w:rsidR="008060A4" w:rsidRDefault="008060A4" w:rsidP="008060A4">
            <w:pPr>
              <w:jc w:val="center"/>
              <w:rPr>
                <w:sz w:val="22"/>
                <w:szCs w:val="22"/>
              </w:rPr>
            </w:pPr>
          </w:p>
        </w:tc>
        <w:tc>
          <w:tcPr>
            <w:tcW w:w="1476" w:type="dxa"/>
            <w:tcBorders>
              <w:top w:val="nil"/>
              <w:left w:val="nil"/>
              <w:bottom w:val="nil"/>
              <w:right w:val="nil"/>
            </w:tcBorders>
            <w:shd w:val="clear" w:color="auto" w:fill="auto"/>
            <w:noWrap/>
            <w:vAlign w:val="bottom"/>
            <w:hideMark/>
          </w:tcPr>
          <w:p w14:paraId="17B901EE" w14:textId="77777777" w:rsidR="008060A4" w:rsidRDefault="008060A4" w:rsidP="008060A4">
            <w:pPr>
              <w:rPr>
                <w:sz w:val="20"/>
                <w:szCs w:val="20"/>
              </w:rPr>
            </w:pPr>
          </w:p>
        </w:tc>
        <w:tc>
          <w:tcPr>
            <w:tcW w:w="1476" w:type="dxa"/>
            <w:tcBorders>
              <w:top w:val="nil"/>
              <w:left w:val="nil"/>
              <w:bottom w:val="nil"/>
              <w:right w:val="nil"/>
            </w:tcBorders>
            <w:shd w:val="clear" w:color="auto" w:fill="auto"/>
            <w:noWrap/>
            <w:vAlign w:val="bottom"/>
            <w:hideMark/>
          </w:tcPr>
          <w:p w14:paraId="2F8BB5EB" w14:textId="77777777" w:rsidR="008060A4" w:rsidRDefault="008060A4" w:rsidP="008060A4">
            <w:pPr>
              <w:rPr>
                <w:sz w:val="20"/>
                <w:szCs w:val="20"/>
              </w:rPr>
            </w:pPr>
          </w:p>
        </w:tc>
        <w:tc>
          <w:tcPr>
            <w:tcW w:w="1476" w:type="dxa"/>
            <w:tcBorders>
              <w:top w:val="nil"/>
              <w:left w:val="nil"/>
              <w:bottom w:val="nil"/>
              <w:right w:val="nil"/>
            </w:tcBorders>
            <w:shd w:val="clear" w:color="auto" w:fill="auto"/>
            <w:noWrap/>
            <w:vAlign w:val="bottom"/>
            <w:hideMark/>
          </w:tcPr>
          <w:p w14:paraId="1DCEC387" w14:textId="77777777" w:rsidR="008060A4" w:rsidRDefault="008060A4" w:rsidP="008060A4">
            <w:pPr>
              <w:rPr>
                <w:sz w:val="20"/>
                <w:szCs w:val="20"/>
              </w:rPr>
            </w:pPr>
          </w:p>
        </w:tc>
        <w:tc>
          <w:tcPr>
            <w:tcW w:w="1738" w:type="dxa"/>
            <w:tcBorders>
              <w:top w:val="nil"/>
              <w:left w:val="nil"/>
              <w:bottom w:val="nil"/>
              <w:right w:val="nil"/>
            </w:tcBorders>
            <w:shd w:val="clear" w:color="auto" w:fill="auto"/>
            <w:noWrap/>
            <w:vAlign w:val="bottom"/>
            <w:hideMark/>
          </w:tcPr>
          <w:p w14:paraId="202FCCA4" w14:textId="77777777" w:rsidR="008060A4" w:rsidRDefault="008060A4" w:rsidP="008060A4">
            <w:pPr>
              <w:rPr>
                <w:sz w:val="20"/>
                <w:szCs w:val="20"/>
              </w:rPr>
            </w:pPr>
          </w:p>
        </w:tc>
        <w:tc>
          <w:tcPr>
            <w:tcW w:w="1706" w:type="dxa"/>
            <w:tcBorders>
              <w:top w:val="nil"/>
              <w:left w:val="nil"/>
              <w:bottom w:val="nil"/>
              <w:right w:val="nil"/>
            </w:tcBorders>
            <w:shd w:val="clear" w:color="auto" w:fill="auto"/>
            <w:noWrap/>
            <w:vAlign w:val="bottom"/>
            <w:hideMark/>
          </w:tcPr>
          <w:p w14:paraId="64CA64B3" w14:textId="77777777" w:rsidR="008060A4" w:rsidRDefault="008060A4" w:rsidP="008060A4">
            <w:pPr>
              <w:rPr>
                <w:sz w:val="20"/>
                <w:szCs w:val="20"/>
              </w:rPr>
            </w:pPr>
          </w:p>
        </w:tc>
        <w:tc>
          <w:tcPr>
            <w:tcW w:w="334" w:type="dxa"/>
            <w:tcBorders>
              <w:top w:val="nil"/>
              <w:left w:val="nil"/>
              <w:bottom w:val="nil"/>
              <w:right w:val="single" w:sz="4" w:space="0" w:color="auto"/>
            </w:tcBorders>
            <w:shd w:val="clear" w:color="auto" w:fill="auto"/>
            <w:noWrap/>
            <w:vAlign w:val="bottom"/>
            <w:hideMark/>
          </w:tcPr>
          <w:p w14:paraId="43861EEA"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4B4C552D"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009CFF57" w14:textId="77777777" w:rsidR="008060A4" w:rsidRDefault="008060A4" w:rsidP="008060A4">
            <w:pPr>
              <w:jc w:val="center"/>
              <w:rPr>
                <w:sz w:val="22"/>
                <w:szCs w:val="22"/>
              </w:rPr>
            </w:pPr>
            <w:r>
              <w:rPr>
                <w:sz w:val="22"/>
                <w:szCs w:val="22"/>
              </w:rPr>
              <w:t>8</w:t>
            </w:r>
          </w:p>
        </w:tc>
        <w:tc>
          <w:tcPr>
            <w:tcW w:w="3186" w:type="dxa"/>
            <w:tcBorders>
              <w:top w:val="nil"/>
              <w:left w:val="nil"/>
              <w:bottom w:val="nil"/>
              <w:right w:val="nil"/>
            </w:tcBorders>
            <w:shd w:val="clear" w:color="auto" w:fill="auto"/>
            <w:noWrap/>
            <w:vAlign w:val="bottom"/>
            <w:hideMark/>
          </w:tcPr>
          <w:p w14:paraId="21FC513F" w14:textId="77777777" w:rsidR="008060A4" w:rsidRDefault="008060A4" w:rsidP="008060A4">
            <w:pPr>
              <w:rPr>
                <w:b/>
                <w:bCs/>
                <w:sz w:val="22"/>
                <w:szCs w:val="22"/>
              </w:rPr>
            </w:pPr>
            <w:r>
              <w:rPr>
                <w:b/>
                <w:bCs/>
                <w:sz w:val="22"/>
                <w:szCs w:val="22"/>
              </w:rPr>
              <w:t>Operating Income</w:t>
            </w:r>
          </w:p>
        </w:tc>
        <w:tc>
          <w:tcPr>
            <w:tcW w:w="1476" w:type="dxa"/>
            <w:tcBorders>
              <w:top w:val="nil"/>
              <w:left w:val="nil"/>
              <w:bottom w:val="nil"/>
              <w:right w:val="nil"/>
            </w:tcBorders>
            <w:shd w:val="clear" w:color="auto" w:fill="auto"/>
            <w:noWrap/>
            <w:vAlign w:val="bottom"/>
            <w:hideMark/>
          </w:tcPr>
          <w:p w14:paraId="67C5B0E8" w14:textId="77777777" w:rsidR="008060A4" w:rsidRDefault="008060A4" w:rsidP="008060A4">
            <w:pPr>
              <w:jc w:val="right"/>
              <w:rPr>
                <w:sz w:val="22"/>
                <w:szCs w:val="22"/>
                <w:u w:val="double"/>
              </w:rPr>
            </w:pPr>
            <w:r>
              <w:rPr>
                <w:sz w:val="22"/>
                <w:szCs w:val="22"/>
                <w:u w:val="double"/>
              </w:rPr>
              <w:t xml:space="preserve">$241,078 </w:t>
            </w:r>
          </w:p>
        </w:tc>
        <w:tc>
          <w:tcPr>
            <w:tcW w:w="1476" w:type="dxa"/>
            <w:tcBorders>
              <w:top w:val="nil"/>
              <w:left w:val="nil"/>
              <w:bottom w:val="nil"/>
              <w:right w:val="nil"/>
            </w:tcBorders>
            <w:shd w:val="clear" w:color="auto" w:fill="auto"/>
            <w:noWrap/>
            <w:vAlign w:val="bottom"/>
            <w:hideMark/>
          </w:tcPr>
          <w:p w14:paraId="2620A384" w14:textId="77777777" w:rsidR="008060A4" w:rsidRDefault="008060A4" w:rsidP="008060A4">
            <w:pPr>
              <w:jc w:val="right"/>
              <w:rPr>
                <w:sz w:val="22"/>
                <w:szCs w:val="22"/>
                <w:u w:val="double"/>
              </w:rPr>
            </w:pPr>
            <w:r>
              <w:rPr>
                <w:sz w:val="22"/>
                <w:szCs w:val="22"/>
                <w:u w:val="double"/>
              </w:rPr>
              <w:t>($156,450)</w:t>
            </w:r>
          </w:p>
        </w:tc>
        <w:tc>
          <w:tcPr>
            <w:tcW w:w="1476" w:type="dxa"/>
            <w:tcBorders>
              <w:top w:val="nil"/>
              <w:left w:val="nil"/>
              <w:bottom w:val="nil"/>
              <w:right w:val="nil"/>
            </w:tcBorders>
            <w:shd w:val="clear" w:color="auto" w:fill="auto"/>
            <w:noWrap/>
            <w:vAlign w:val="bottom"/>
            <w:hideMark/>
          </w:tcPr>
          <w:p w14:paraId="4D2DB80C" w14:textId="77777777" w:rsidR="008060A4" w:rsidRDefault="008060A4" w:rsidP="008060A4">
            <w:pPr>
              <w:jc w:val="right"/>
              <w:rPr>
                <w:sz w:val="22"/>
                <w:szCs w:val="22"/>
                <w:u w:val="double"/>
              </w:rPr>
            </w:pPr>
            <w:r>
              <w:rPr>
                <w:sz w:val="22"/>
                <w:szCs w:val="22"/>
                <w:u w:val="double"/>
              </w:rPr>
              <w:t xml:space="preserve">$84,628 </w:t>
            </w:r>
          </w:p>
        </w:tc>
        <w:tc>
          <w:tcPr>
            <w:tcW w:w="1738" w:type="dxa"/>
            <w:tcBorders>
              <w:top w:val="nil"/>
              <w:left w:val="nil"/>
              <w:bottom w:val="nil"/>
              <w:right w:val="nil"/>
            </w:tcBorders>
            <w:shd w:val="clear" w:color="auto" w:fill="auto"/>
            <w:noWrap/>
            <w:vAlign w:val="bottom"/>
            <w:hideMark/>
          </w:tcPr>
          <w:p w14:paraId="6DFA8DEE" w14:textId="77777777" w:rsidR="008060A4" w:rsidRDefault="008060A4" w:rsidP="008060A4">
            <w:pPr>
              <w:jc w:val="right"/>
              <w:rPr>
                <w:sz w:val="22"/>
                <w:szCs w:val="22"/>
                <w:u w:val="double"/>
              </w:rPr>
            </w:pPr>
            <w:r>
              <w:rPr>
                <w:sz w:val="22"/>
                <w:szCs w:val="22"/>
                <w:u w:val="double"/>
              </w:rPr>
              <w:t xml:space="preserve">$97,904 </w:t>
            </w:r>
          </w:p>
        </w:tc>
        <w:tc>
          <w:tcPr>
            <w:tcW w:w="1706" w:type="dxa"/>
            <w:tcBorders>
              <w:top w:val="nil"/>
              <w:left w:val="nil"/>
              <w:bottom w:val="nil"/>
              <w:right w:val="nil"/>
            </w:tcBorders>
            <w:shd w:val="clear" w:color="auto" w:fill="auto"/>
            <w:noWrap/>
            <w:vAlign w:val="bottom"/>
            <w:hideMark/>
          </w:tcPr>
          <w:p w14:paraId="4023E10B" w14:textId="77777777" w:rsidR="008060A4" w:rsidRDefault="008060A4" w:rsidP="008060A4">
            <w:pPr>
              <w:jc w:val="right"/>
              <w:rPr>
                <w:sz w:val="22"/>
                <w:szCs w:val="22"/>
                <w:u w:val="double"/>
              </w:rPr>
            </w:pPr>
            <w:r>
              <w:rPr>
                <w:sz w:val="22"/>
                <w:szCs w:val="22"/>
                <w:u w:val="double"/>
              </w:rPr>
              <w:t>$182,532</w:t>
            </w:r>
          </w:p>
        </w:tc>
        <w:tc>
          <w:tcPr>
            <w:tcW w:w="334" w:type="dxa"/>
            <w:tcBorders>
              <w:top w:val="nil"/>
              <w:left w:val="nil"/>
              <w:bottom w:val="nil"/>
              <w:right w:val="single" w:sz="4" w:space="0" w:color="auto"/>
            </w:tcBorders>
            <w:shd w:val="clear" w:color="auto" w:fill="auto"/>
            <w:noWrap/>
            <w:vAlign w:val="bottom"/>
            <w:hideMark/>
          </w:tcPr>
          <w:p w14:paraId="3B7D26F5" w14:textId="77777777" w:rsidR="008060A4" w:rsidRDefault="008060A4" w:rsidP="008060A4">
            <w:pPr>
              <w:rPr>
                <w:rFonts w:ascii="Arial" w:hAnsi="Arial" w:cs="Arial"/>
                <w:sz w:val="20"/>
                <w:szCs w:val="20"/>
                <w:u w:val="double"/>
              </w:rPr>
            </w:pPr>
          </w:p>
        </w:tc>
      </w:tr>
      <w:tr w:rsidR="008060A4" w14:paraId="0641BAB1"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4A6C86D3" w14:textId="77777777" w:rsidR="008060A4" w:rsidRDefault="008060A4" w:rsidP="008060A4">
            <w:pPr>
              <w:jc w:val="center"/>
              <w:rPr>
                <w:sz w:val="22"/>
                <w:szCs w:val="22"/>
              </w:rPr>
            </w:pPr>
            <w:r>
              <w:rPr>
                <w:sz w:val="22"/>
                <w:szCs w:val="22"/>
              </w:rPr>
              <w:t> </w:t>
            </w:r>
          </w:p>
        </w:tc>
        <w:tc>
          <w:tcPr>
            <w:tcW w:w="3186" w:type="dxa"/>
            <w:tcBorders>
              <w:top w:val="nil"/>
              <w:left w:val="nil"/>
              <w:bottom w:val="nil"/>
              <w:right w:val="nil"/>
            </w:tcBorders>
            <w:shd w:val="clear" w:color="auto" w:fill="auto"/>
            <w:noWrap/>
            <w:vAlign w:val="bottom"/>
            <w:hideMark/>
          </w:tcPr>
          <w:p w14:paraId="407D2093" w14:textId="77777777" w:rsidR="008060A4" w:rsidRDefault="008060A4" w:rsidP="008060A4">
            <w:pPr>
              <w:jc w:val="center"/>
              <w:rPr>
                <w:sz w:val="22"/>
                <w:szCs w:val="22"/>
              </w:rPr>
            </w:pPr>
          </w:p>
        </w:tc>
        <w:tc>
          <w:tcPr>
            <w:tcW w:w="1476" w:type="dxa"/>
            <w:tcBorders>
              <w:top w:val="nil"/>
              <w:left w:val="nil"/>
              <w:bottom w:val="nil"/>
              <w:right w:val="nil"/>
            </w:tcBorders>
            <w:shd w:val="clear" w:color="auto" w:fill="auto"/>
            <w:noWrap/>
            <w:vAlign w:val="bottom"/>
            <w:hideMark/>
          </w:tcPr>
          <w:p w14:paraId="1B576BAA" w14:textId="77777777" w:rsidR="008060A4" w:rsidRDefault="008060A4" w:rsidP="008060A4">
            <w:pPr>
              <w:rPr>
                <w:sz w:val="20"/>
                <w:szCs w:val="20"/>
              </w:rPr>
            </w:pPr>
          </w:p>
        </w:tc>
        <w:tc>
          <w:tcPr>
            <w:tcW w:w="1476" w:type="dxa"/>
            <w:tcBorders>
              <w:top w:val="nil"/>
              <w:left w:val="nil"/>
              <w:bottom w:val="nil"/>
              <w:right w:val="nil"/>
            </w:tcBorders>
            <w:shd w:val="clear" w:color="auto" w:fill="auto"/>
            <w:noWrap/>
            <w:vAlign w:val="bottom"/>
            <w:hideMark/>
          </w:tcPr>
          <w:p w14:paraId="03CA1E72" w14:textId="77777777" w:rsidR="008060A4" w:rsidRDefault="008060A4" w:rsidP="008060A4">
            <w:pPr>
              <w:rPr>
                <w:sz w:val="20"/>
                <w:szCs w:val="20"/>
              </w:rPr>
            </w:pPr>
          </w:p>
        </w:tc>
        <w:tc>
          <w:tcPr>
            <w:tcW w:w="1476" w:type="dxa"/>
            <w:tcBorders>
              <w:top w:val="nil"/>
              <w:left w:val="nil"/>
              <w:bottom w:val="nil"/>
              <w:right w:val="nil"/>
            </w:tcBorders>
            <w:shd w:val="clear" w:color="auto" w:fill="auto"/>
            <w:noWrap/>
            <w:vAlign w:val="bottom"/>
            <w:hideMark/>
          </w:tcPr>
          <w:p w14:paraId="7BFEAC0A" w14:textId="77777777" w:rsidR="008060A4" w:rsidRDefault="008060A4" w:rsidP="008060A4">
            <w:pPr>
              <w:rPr>
                <w:sz w:val="20"/>
                <w:szCs w:val="20"/>
              </w:rPr>
            </w:pPr>
          </w:p>
        </w:tc>
        <w:tc>
          <w:tcPr>
            <w:tcW w:w="1738" w:type="dxa"/>
            <w:tcBorders>
              <w:top w:val="nil"/>
              <w:left w:val="nil"/>
              <w:bottom w:val="nil"/>
              <w:right w:val="nil"/>
            </w:tcBorders>
            <w:shd w:val="clear" w:color="auto" w:fill="auto"/>
            <w:noWrap/>
            <w:vAlign w:val="bottom"/>
            <w:hideMark/>
          </w:tcPr>
          <w:p w14:paraId="741AF769" w14:textId="77777777" w:rsidR="008060A4" w:rsidRDefault="008060A4" w:rsidP="008060A4">
            <w:pPr>
              <w:rPr>
                <w:sz w:val="20"/>
                <w:szCs w:val="20"/>
              </w:rPr>
            </w:pPr>
          </w:p>
        </w:tc>
        <w:tc>
          <w:tcPr>
            <w:tcW w:w="1706" w:type="dxa"/>
            <w:tcBorders>
              <w:top w:val="nil"/>
              <w:left w:val="nil"/>
              <w:bottom w:val="nil"/>
              <w:right w:val="nil"/>
            </w:tcBorders>
            <w:shd w:val="clear" w:color="auto" w:fill="auto"/>
            <w:noWrap/>
            <w:vAlign w:val="bottom"/>
            <w:hideMark/>
          </w:tcPr>
          <w:p w14:paraId="49927A0B" w14:textId="77777777" w:rsidR="008060A4" w:rsidRDefault="008060A4" w:rsidP="008060A4">
            <w:pPr>
              <w:rPr>
                <w:sz w:val="20"/>
                <w:szCs w:val="20"/>
              </w:rPr>
            </w:pPr>
          </w:p>
        </w:tc>
        <w:tc>
          <w:tcPr>
            <w:tcW w:w="334" w:type="dxa"/>
            <w:tcBorders>
              <w:top w:val="nil"/>
              <w:left w:val="nil"/>
              <w:bottom w:val="nil"/>
              <w:right w:val="single" w:sz="4" w:space="0" w:color="auto"/>
            </w:tcBorders>
            <w:shd w:val="clear" w:color="auto" w:fill="auto"/>
            <w:noWrap/>
            <w:vAlign w:val="bottom"/>
            <w:hideMark/>
          </w:tcPr>
          <w:p w14:paraId="1360DE6D"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7E0B7577"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22A3C988" w14:textId="77777777" w:rsidR="008060A4" w:rsidRDefault="008060A4" w:rsidP="008060A4">
            <w:pPr>
              <w:jc w:val="center"/>
              <w:rPr>
                <w:sz w:val="22"/>
                <w:szCs w:val="22"/>
              </w:rPr>
            </w:pPr>
            <w:r>
              <w:rPr>
                <w:sz w:val="22"/>
                <w:szCs w:val="22"/>
              </w:rPr>
              <w:t>9</w:t>
            </w:r>
          </w:p>
        </w:tc>
        <w:tc>
          <w:tcPr>
            <w:tcW w:w="3186" w:type="dxa"/>
            <w:tcBorders>
              <w:top w:val="nil"/>
              <w:left w:val="nil"/>
              <w:bottom w:val="nil"/>
              <w:right w:val="nil"/>
            </w:tcBorders>
            <w:shd w:val="clear" w:color="auto" w:fill="auto"/>
            <w:noWrap/>
            <w:vAlign w:val="bottom"/>
            <w:hideMark/>
          </w:tcPr>
          <w:p w14:paraId="007726D9" w14:textId="77777777" w:rsidR="008060A4" w:rsidRDefault="008060A4" w:rsidP="008060A4">
            <w:pPr>
              <w:rPr>
                <w:b/>
                <w:bCs/>
                <w:sz w:val="22"/>
                <w:szCs w:val="22"/>
              </w:rPr>
            </w:pPr>
            <w:r>
              <w:rPr>
                <w:b/>
                <w:bCs/>
                <w:sz w:val="22"/>
                <w:szCs w:val="22"/>
              </w:rPr>
              <w:t>Rate Base</w:t>
            </w:r>
          </w:p>
        </w:tc>
        <w:tc>
          <w:tcPr>
            <w:tcW w:w="1476" w:type="dxa"/>
            <w:tcBorders>
              <w:top w:val="nil"/>
              <w:left w:val="nil"/>
              <w:bottom w:val="nil"/>
              <w:right w:val="nil"/>
            </w:tcBorders>
            <w:shd w:val="clear" w:color="auto" w:fill="auto"/>
            <w:noWrap/>
            <w:vAlign w:val="bottom"/>
            <w:hideMark/>
          </w:tcPr>
          <w:p w14:paraId="761A0E66" w14:textId="77777777" w:rsidR="008060A4" w:rsidRDefault="008060A4" w:rsidP="008060A4">
            <w:pPr>
              <w:jc w:val="right"/>
              <w:rPr>
                <w:sz w:val="22"/>
                <w:szCs w:val="22"/>
                <w:u w:val="double"/>
              </w:rPr>
            </w:pPr>
            <w:r>
              <w:rPr>
                <w:sz w:val="22"/>
                <w:szCs w:val="22"/>
                <w:u w:val="double"/>
              </w:rPr>
              <w:t xml:space="preserve">$6,445,536 </w:t>
            </w:r>
          </w:p>
        </w:tc>
        <w:tc>
          <w:tcPr>
            <w:tcW w:w="1476" w:type="dxa"/>
            <w:tcBorders>
              <w:top w:val="nil"/>
              <w:left w:val="nil"/>
              <w:bottom w:val="nil"/>
              <w:right w:val="nil"/>
            </w:tcBorders>
            <w:shd w:val="clear" w:color="auto" w:fill="auto"/>
            <w:noWrap/>
            <w:vAlign w:val="bottom"/>
            <w:hideMark/>
          </w:tcPr>
          <w:p w14:paraId="60A74867" w14:textId="77777777" w:rsidR="008060A4" w:rsidRDefault="008060A4" w:rsidP="008060A4">
            <w:pPr>
              <w:jc w:val="right"/>
              <w:rPr>
                <w:sz w:val="22"/>
                <w:szCs w:val="22"/>
                <w:u w:val="double"/>
              </w:rPr>
            </w:pPr>
          </w:p>
        </w:tc>
        <w:tc>
          <w:tcPr>
            <w:tcW w:w="1476" w:type="dxa"/>
            <w:tcBorders>
              <w:top w:val="nil"/>
              <w:left w:val="nil"/>
              <w:bottom w:val="nil"/>
              <w:right w:val="nil"/>
            </w:tcBorders>
            <w:shd w:val="clear" w:color="auto" w:fill="auto"/>
            <w:noWrap/>
            <w:vAlign w:val="bottom"/>
            <w:hideMark/>
          </w:tcPr>
          <w:p w14:paraId="0C918BA3" w14:textId="77777777" w:rsidR="008060A4" w:rsidRDefault="008060A4" w:rsidP="008060A4">
            <w:pPr>
              <w:jc w:val="right"/>
              <w:rPr>
                <w:sz w:val="22"/>
                <w:szCs w:val="22"/>
                <w:u w:val="double"/>
              </w:rPr>
            </w:pPr>
            <w:r>
              <w:rPr>
                <w:sz w:val="22"/>
                <w:szCs w:val="22"/>
                <w:u w:val="double"/>
              </w:rPr>
              <w:t xml:space="preserve">$2,328,564 </w:t>
            </w:r>
          </w:p>
        </w:tc>
        <w:tc>
          <w:tcPr>
            <w:tcW w:w="1738" w:type="dxa"/>
            <w:tcBorders>
              <w:top w:val="nil"/>
              <w:left w:val="nil"/>
              <w:bottom w:val="nil"/>
              <w:right w:val="nil"/>
            </w:tcBorders>
            <w:shd w:val="clear" w:color="auto" w:fill="auto"/>
            <w:noWrap/>
            <w:vAlign w:val="bottom"/>
            <w:hideMark/>
          </w:tcPr>
          <w:p w14:paraId="46A69520" w14:textId="77777777" w:rsidR="008060A4" w:rsidRDefault="008060A4" w:rsidP="008060A4">
            <w:pPr>
              <w:jc w:val="right"/>
              <w:rPr>
                <w:sz w:val="22"/>
                <w:szCs w:val="22"/>
                <w:u w:val="double"/>
              </w:rPr>
            </w:pPr>
          </w:p>
        </w:tc>
        <w:tc>
          <w:tcPr>
            <w:tcW w:w="1706" w:type="dxa"/>
            <w:tcBorders>
              <w:top w:val="nil"/>
              <w:left w:val="nil"/>
              <w:bottom w:val="nil"/>
              <w:right w:val="nil"/>
            </w:tcBorders>
            <w:shd w:val="clear" w:color="auto" w:fill="auto"/>
            <w:noWrap/>
            <w:vAlign w:val="bottom"/>
            <w:hideMark/>
          </w:tcPr>
          <w:p w14:paraId="7FB3CD34" w14:textId="77777777" w:rsidR="008060A4" w:rsidRDefault="008060A4" w:rsidP="008060A4">
            <w:pPr>
              <w:jc w:val="right"/>
              <w:rPr>
                <w:sz w:val="22"/>
                <w:szCs w:val="22"/>
                <w:u w:val="double"/>
              </w:rPr>
            </w:pPr>
            <w:r>
              <w:rPr>
                <w:sz w:val="22"/>
                <w:szCs w:val="22"/>
                <w:u w:val="double"/>
              </w:rPr>
              <w:t xml:space="preserve">$2,328,564 </w:t>
            </w:r>
          </w:p>
        </w:tc>
        <w:tc>
          <w:tcPr>
            <w:tcW w:w="334" w:type="dxa"/>
            <w:tcBorders>
              <w:top w:val="nil"/>
              <w:left w:val="nil"/>
              <w:bottom w:val="nil"/>
              <w:right w:val="single" w:sz="4" w:space="0" w:color="auto"/>
            </w:tcBorders>
            <w:shd w:val="clear" w:color="auto" w:fill="auto"/>
            <w:noWrap/>
            <w:vAlign w:val="bottom"/>
            <w:hideMark/>
          </w:tcPr>
          <w:p w14:paraId="2FD44944" w14:textId="77777777" w:rsidR="008060A4" w:rsidRDefault="008060A4" w:rsidP="008060A4">
            <w:pPr>
              <w:rPr>
                <w:rFonts w:ascii="Arial" w:hAnsi="Arial" w:cs="Arial"/>
                <w:sz w:val="20"/>
                <w:szCs w:val="20"/>
                <w:u w:val="double"/>
              </w:rPr>
            </w:pPr>
          </w:p>
        </w:tc>
      </w:tr>
      <w:tr w:rsidR="008060A4" w14:paraId="3801B01E"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18A6462D" w14:textId="77777777" w:rsidR="008060A4" w:rsidRDefault="008060A4" w:rsidP="008060A4">
            <w:pPr>
              <w:jc w:val="center"/>
              <w:rPr>
                <w:sz w:val="22"/>
                <w:szCs w:val="22"/>
              </w:rPr>
            </w:pPr>
            <w:r>
              <w:rPr>
                <w:sz w:val="22"/>
                <w:szCs w:val="22"/>
              </w:rPr>
              <w:t> </w:t>
            </w:r>
          </w:p>
        </w:tc>
        <w:tc>
          <w:tcPr>
            <w:tcW w:w="3186" w:type="dxa"/>
            <w:tcBorders>
              <w:top w:val="nil"/>
              <w:left w:val="nil"/>
              <w:bottom w:val="nil"/>
              <w:right w:val="nil"/>
            </w:tcBorders>
            <w:shd w:val="clear" w:color="auto" w:fill="auto"/>
            <w:noWrap/>
            <w:vAlign w:val="bottom"/>
            <w:hideMark/>
          </w:tcPr>
          <w:p w14:paraId="3DDEEE36" w14:textId="77777777" w:rsidR="008060A4" w:rsidRDefault="008060A4" w:rsidP="008060A4">
            <w:pPr>
              <w:jc w:val="center"/>
              <w:rPr>
                <w:sz w:val="22"/>
                <w:szCs w:val="22"/>
              </w:rPr>
            </w:pPr>
          </w:p>
        </w:tc>
        <w:tc>
          <w:tcPr>
            <w:tcW w:w="1476" w:type="dxa"/>
            <w:tcBorders>
              <w:top w:val="nil"/>
              <w:left w:val="nil"/>
              <w:bottom w:val="nil"/>
              <w:right w:val="nil"/>
            </w:tcBorders>
            <w:shd w:val="clear" w:color="auto" w:fill="auto"/>
            <w:noWrap/>
            <w:vAlign w:val="bottom"/>
            <w:hideMark/>
          </w:tcPr>
          <w:p w14:paraId="2C655A7F" w14:textId="77777777" w:rsidR="008060A4" w:rsidRDefault="008060A4" w:rsidP="008060A4">
            <w:pPr>
              <w:rPr>
                <w:sz w:val="20"/>
                <w:szCs w:val="20"/>
              </w:rPr>
            </w:pPr>
          </w:p>
        </w:tc>
        <w:tc>
          <w:tcPr>
            <w:tcW w:w="1476" w:type="dxa"/>
            <w:tcBorders>
              <w:top w:val="nil"/>
              <w:left w:val="nil"/>
              <w:bottom w:val="nil"/>
              <w:right w:val="nil"/>
            </w:tcBorders>
            <w:shd w:val="clear" w:color="auto" w:fill="auto"/>
            <w:noWrap/>
            <w:vAlign w:val="bottom"/>
            <w:hideMark/>
          </w:tcPr>
          <w:p w14:paraId="474D7B8D" w14:textId="77777777" w:rsidR="008060A4" w:rsidRDefault="008060A4" w:rsidP="008060A4">
            <w:pPr>
              <w:rPr>
                <w:sz w:val="20"/>
                <w:szCs w:val="20"/>
              </w:rPr>
            </w:pPr>
          </w:p>
        </w:tc>
        <w:tc>
          <w:tcPr>
            <w:tcW w:w="1476" w:type="dxa"/>
            <w:tcBorders>
              <w:top w:val="nil"/>
              <w:left w:val="nil"/>
              <w:bottom w:val="nil"/>
              <w:right w:val="nil"/>
            </w:tcBorders>
            <w:shd w:val="clear" w:color="auto" w:fill="auto"/>
            <w:noWrap/>
            <w:vAlign w:val="bottom"/>
            <w:hideMark/>
          </w:tcPr>
          <w:p w14:paraId="028999A8" w14:textId="77777777" w:rsidR="008060A4" w:rsidRDefault="008060A4" w:rsidP="008060A4">
            <w:pPr>
              <w:rPr>
                <w:sz w:val="20"/>
                <w:szCs w:val="20"/>
              </w:rPr>
            </w:pPr>
          </w:p>
        </w:tc>
        <w:tc>
          <w:tcPr>
            <w:tcW w:w="1738" w:type="dxa"/>
            <w:tcBorders>
              <w:top w:val="nil"/>
              <w:left w:val="nil"/>
              <w:bottom w:val="nil"/>
              <w:right w:val="nil"/>
            </w:tcBorders>
            <w:shd w:val="clear" w:color="auto" w:fill="auto"/>
            <w:noWrap/>
            <w:vAlign w:val="bottom"/>
            <w:hideMark/>
          </w:tcPr>
          <w:p w14:paraId="73D875CE" w14:textId="77777777" w:rsidR="008060A4" w:rsidRDefault="008060A4" w:rsidP="008060A4">
            <w:pPr>
              <w:rPr>
                <w:sz w:val="20"/>
                <w:szCs w:val="20"/>
              </w:rPr>
            </w:pPr>
          </w:p>
        </w:tc>
        <w:tc>
          <w:tcPr>
            <w:tcW w:w="1706" w:type="dxa"/>
            <w:tcBorders>
              <w:top w:val="nil"/>
              <w:left w:val="nil"/>
              <w:bottom w:val="nil"/>
              <w:right w:val="nil"/>
            </w:tcBorders>
            <w:shd w:val="clear" w:color="auto" w:fill="auto"/>
            <w:noWrap/>
            <w:vAlign w:val="bottom"/>
            <w:hideMark/>
          </w:tcPr>
          <w:p w14:paraId="522C4D62" w14:textId="77777777" w:rsidR="008060A4" w:rsidRDefault="008060A4" w:rsidP="008060A4">
            <w:pPr>
              <w:rPr>
                <w:sz w:val="20"/>
                <w:szCs w:val="20"/>
              </w:rPr>
            </w:pPr>
          </w:p>
        </w:tc>
        <w:tc>
          <w:tcPr>
            <w:tcW w:w="334" w:type="dxa"/>
            <w:tcBorders>
              <w:top w:val="nil"/>
              <w:left w:val="nil"/>
              <w:bottom w:val="nil"/>
              <w:right w:val="single" w:sz="4" w:space="0" w:color="auto"/>
            </w:tcBorders>
            <w:shd w:val="clear" w:color="auto" w:fill="auto"/>
            <w:noWrap/>
            <w:vAlign w:val="bottom"/>
            <w:hideMark/>
          </w:tcPr>
          <w:p w14:paraId="08A18897"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54994400" w14:textId="77777777" w:rsidTr="008060A4">
        <w:trPr>
          <w:trHeight w:val="300"/>
          <w:jc w:val="center"/>
        </w:trPr>
        <w:tc>
          <w:tcPr>
            <w:tcW w:w="436" w:type="dxa"/>
            <w:tcBorders>
              <w:top w:val="nil"/>
              <w:left w:val="single" w:sz="4" w:space="0" w:color="auto"/>
              <w:bottom w:val="nil"/>
              <w:right w:val="nil"/>
            </w:tcBorders>
            <w:shd w:val="clear" w:color="auto" w:fill="auto"/>
            <w:noWrap/>
            <w:vAlign w:val="bottom"/>
            <w:hideMark/>
          </w:tcPr>
          <w:p w14:paraId="33CE4FA2" w14:textId="77777777" w:rsidR="008060A4" w:rsidRDefault="008060A4" w:rsidP="008060A4">
            <w:pPr>
              <w:jc w:val="center"/>
              <w:rPr>
                <w:sz w:val="22"/>
                <w:szCs w:val="22"/>
              </w:rPr>
            </w:pPr>
            <w:r>
              <w:rPr>
                <w:sz w:val="22"/>
                <w:szCs w:val="22"/>
              </w:rPr>
              <w:t>10</w:t>
            </w:r>
          </w:p>
        </w:tc>
        <w:tc>
          <w:tcPr>
            <w:tcW w:w="3186" w:type="dxa"/>
            <w:tcBorders>
              <w:top w:val="nil"/>
              <w:left w:val="nil"/>
              <w:bottom w:val="nil"/>
              <w:right w:val="nil"/>
            </w:tcBorders>
            <w:shd w:val="clear" w:color="auto" w:fill="auto"/>
            <w:noWrap/>
            <w:vAlign w:val="bottom"/>
            <w:hideMark/>
          </w:tcPr>
          <w:p w14:paraId="0CD1C070" w14:textId="77777777" w:rsidR="008060A4" w:rsidRDefault="008060A4" w:rsidP="008060A4">
            <w:pPr>
              <w:rPr>
                <w:b/>
                <w:bCs/>
                <w:sz w:val="22"/>
                <w:szCs w:val="22"/>
              </w:rPr>
            </w:pPr>
            <w:r>
              <w:rPr>
                <w:b/>
                <w:bCs/>
                <w:sz w:val="22"/>
                <w:szCs w:val="22"/>
              </w:rPr>
              <w:t>Rate of Return</w:t>
            </w:r>
          </w:p>
        </w:tc>
        <w:tc>
          <w:tcPr>
            <w:tcW w:w="1476" w:type="dxa"/>
            <w:tcBorders>
              <w:top w:val="nil"/>
              <w:left w:val="nil"/>
              <w:bottom w:val="nil"/>
              <w:right w:val="nil"/>
            </w:tcBorders>
            <w:shd w:val="clear" w:color="auto" w:fill="auto"/>
            <w:noWrap/>
            <w:vAlign w:val="bottom"/>
            <w:hideMark/>
          </w:tcPr>
          <w:p w14:paraId="65D04035" w14:textId="77777777" w:rsidR="008060A4" w:rsidRDefault="008060A4" w:rsidP="008060A4">
            <w:pPr>
              <w:jc w:val="right"/>
              <w:rPr>
                <w:sz w:val="22"/>
                <w:szCs w:val="22"/>
                <w:u w:val="double"/>
              </w:rPr>
            </w:pPr>
            <w:r>
              <w:rPr>
                <w:sz w:val="22"/>
                <w:szCs w:val="22"/>
                <w:u w:val="double"/>
              </w:rPr>
              <w:t>3.74%</w:t>
            </w:r>
          </w:p>
        </w:tc>
        <w:tc>
          <w:tcPr>
            <w:tcW w:w="1476" w:type="dxa"/>
            <w:tcBorders>
              <w:top w:val="nil"/>
              <w:left w:val="nil"/>
              <w:bottom w:val="nil"/>
              <w:right w:val="nil"/>
            </w:tcBorders>
            <w:shd w:val="clear" w:color="auto" w:fill="auto"/>
            <w:noWrap/>
            <w:vAlign w:val="bottom"/>
            <w:hideMark/>
          </w:tcPr>
          <w:p w14:paraId="013C21F3" w14:textId="77777777" w:rsidR="008060A4" w:rsidRDefault="008060A4" w:rsidP="008060A4">
            <w:pPr>
              <w:jc w:val="right"/>
              <w:rPr>
                <w:sz w:val="22"/>
                <w:szCs w:val="22"/>
                <w:u w:val="double"/>
              </w:rPr>
            </w:pPr>
          </w:p>
        </w:tc>
        <w:tc>
          <w:tcPr>
            <w:tcW w:w="1476" w:type="dxa"/>
            <w:tcBorders>
              <w:top w:val="nil"/>
              <w:left w:val="nil"/>
              <w:bottom w:val="nil"/>
              <w:right w:val="nil"/>
            </w:tcBorders>
            <w:shd w:val="clear" w:color="auto" w:fill="auto"/>
            <w:noWrap/>
            <w:vAlign w:val="bottom"/>
            <w:hideMark/>
          </w:tcPr>
          <w:p w14:paraId="7AEF21F1" w14:textId="77777777" w:rsidR="008060A4" w:rsidRDefault="008060A4" w:rsidP="008060A4">
            <w:pPr>
              <w:jc w:val="right"/>
              <w:rPr>
                <w:sz w:val="22"/>
                <w:szCs w:val="22"/>
                <w:u w:val="double"/>
              </w:rPr>
            </w:pPr>
            <w:r>
              <w:rPr>
                <w:sz w:val="22"/>
                <w:szCs w:val="22"/>
                <w:u w:val="double"/>
              </w:rPr>
              <w:t>3.63%</w:t>
            </w:r>
          </w:p>
        </w:tc>
        <w:tc>
          <w:tcPr>
            <w:tcW w:w="1738" w:type="dxa"/>
            <w:tcBorders>
              <w:top w:val="nil"/>
              <w:left w:val="nil"/>
              <w:bottom w:val="nil"/>
              <w:right w:val="nil"/>
            </w:tcBorders>
            <w:shd w:val="clear" w:color="auto" w:fill="auto"/>
            <w:noWrap/>
            <w:vAlign w:val="bottom"/>
            <w:hideMark/>
          </w:tcPr>
          <w:p w14:paraId="42F6235F" w14:textId="77777777" w:rsidR="008060A4" w:rsidRDefault="008060A4" w:rsidP="008060A4">
            <w:pPr>
              <w:jc w:val="right"/>
              <w:rPr>
                <w:sz w:val="22"/>
                <w:szCs w:val="22"/>
                <w:u w:val="double"/>
              </w:rPr>
            </w:pPr>
          </w:p>
        </w:tc>
        <w:tc>
          <w:tcPr>
            <w:tcW w:w="1706" w:type="dxa"/>
            <w:tcBorders>
              <w:top w:val="nil"/>
              <w:left w:val="nil"/>
              <w:bottom w:val="nil"/>
              <w:right w:val="nil"/>
            </w:tcBorders>
            <w:shd w:val="clear" w:color="auto" w:fill="auto"/>
            <w:noWrap/>
            <w:vAlign w:val="bottom"/>
            <w:hideMark/>
          </w:tcPr>
          <w:p w14:paraId="77B7CC73" w14:textId="77777777" w:rsidR="008060A4" w:rsidRDefault="008060A4" w:rsidP="008060A4">
            <w:pPr>
              <w:jc w:val="right"/>
              <w:rPr>
                <w:sz w:val="22"/>
                <w:szCs w:val="22"/>
                <w:u w:val="double"/>
              </w:rPr>
            </w:pPr>
            <w:r>
              <w:rPr>
                <w:sz w:val="22"/>
                <w:szCs w:val="22"/>
                <w:u w:val="double"/>
              </w:rPr>
              <w:t>7.84%</w:t>
            </w:r>
          </w:p>
        </w:tc>
        <w:tc>
          <w:tcPr>
            <w:tcW w:w="334" w:type="dxa"/>
            <w:tcBorders>
              <w:top w:val="nil"/>
              <w:left w:val="nil"/>
              <w:bottom w:val="nil"/>
              <w:right w:val="single" w:sz="4" w:space="0" w:color="auto"/>
            </w:tcBorders>
            <w:shd w:val="clear" w:color="auto" w:fill="auto"/>
            <w:noWrap/>
            <w:vAlign w:val="bottom"/>
            <w:hideMark/>
          </w:tcPr>
          <w:p w14:paraId="612B48EB" w14:textId="77777777" w:rsidR="008060A4" w:rsidRDefault="008060A4" w:rsidP="008060A4">
            <w:pPr>
              <w:rPr>
                <w:rFonts w:ascii="Arial" w:hAnsi="Arial" w:cs="Arial"/>
                <w:sz w:val="20"/>
                <w:szCs w:val="20"/>
                <w:u w:val="double"/>
              </w:rPr>
            </w:pPr>
          </w:p>
        </w:tc>
      </w:tr>
      <w:tr w:rsidR="008060A4" w14:paraId="065C5882" w14:textId="77777777" w:rsidTr="008060A4">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14:paraId="16D28BAB" w14:textId="77777777" w:rsidR="008060A4" w:rsidRDefault="008060A4" w:rsidP="008060A4">
            <w:pPr>
              <w:rPr>
                <w:rFonts w:ascii="Arial" w:hAnsi="Arial" w:cs="Arial"/>
                <w:sz w:val="20"/>
                <w:szCs w:val="20"/>
              </w:rPr>
            </w:pPr>
            <w:r>
              <w:rPr>
                <w:rFonts w:ascii="Arial" w:hAnsi="Arial" w:cs="Arial"/>
                <w:sz w:val="20"/>
                <w:szCs w:val="20"/>
              </w:rPr>
              <w:t> </w:t>
            </w:r>
          </w:p>
        </w:tc>
        <w:tc>
          <w:tcPr>
            <w:tcW w:w="3186" w:type="dxa"/>
            <w:tcBorders>
              <w:top w:val="nil"/>
              <w:left w:val="nil"/>
              <w:bottom w:val="single" w:sz="4" w:space="0" w:color="auto"/>
              <w:right w:val="nil"/>
            </w:tcBorders>
            <w:shd w:val="clear" w:color="auto" w:fill="auto"/>
            <w:noWrap/>
            <w:vAlign w:val="bottom"/>
            <w:hideMark/>
          </w:tcPr>
          <w:p w14:paraId="2644E688" w14:textId="77777777" w:rsidR="008060A4" w:rsidRDefault="008060A4" w:rsidP="008060A4">
            <w:pPr>
              <w:rPr>
                <w:rFonts w:ascii="Arial" w:hAnsi="Arial" w:cs="Arial"/>
                <w:sz w:val="20"/>
                <w:szCs w:val="20"/>
              </w:rPr>
            </w:pPr>
            <w:r>
              <w:rPr>
                <w:rFonts w:ascii="Arial" w:hAnsi="Arial" w:cs="Arial"/>
                <w:sz w:val="20"/>
                <w:szCs w:val="20"/>
              </w:rPr>
              <w:t> </w:t>
            </w:r>
          </w:p>
        </w:tc>
        <w:tc>
          <w:tcPr>
            <w:tcW w:w="1476" w:type="dxa"/>
            <w:tcBorders>
              <w:top w:val="nil"/>
              <w:left w:val="nil"/>
              <w:bottom w:val="single" w:sz="4" w:space="0" w:color="auto"/>
              <w:right w:val="nil"/>
            </w:tcBorders>
            <w:shd w:val="clear" w:color="auto" w:fill="auto"/>
            <w:noWrap/>
            <w:vAlign w:val="bottom"/>
            <w:hideMark/>
          </w:tcPr>
          <w:p w14:paraId="3C4CA6DB" w14:textId="77777777" w:rsidR="008060A4" w:rsidRDefault="008060A4" w:rsidP="008060A4">
            <w:pPr>
              <w:rPr>
                <w:rFonts w:ascii="Arial" w:hAnsi="Arial" w:cs="Arial"/>
                <w:sz w:val="20"/>
                <w:szCs w:val="20"/>
              </w:rPr>
            </w:pPr>
            <w:r>
              <w:rPr>
                <w:rFonts w:ascii="Arial" w:hAnsi="Arial" w:cs="Arial"/>
                <w:sz w:val="20"/>
                <w:szCs w:val="20"/>
              </w:rPr>
              <w:t> </w:t>
            </w:r>
          </w:p>
        </w:tc>
        <w:tc>
          <w:tcPr>
            <w:tcW w:w="1476" w:type="dxa"/>
            <w:tcBorders>
              <w:top w:val="nil"/>
              <w:left w:val="nil"/>
              <w:bottom w:val="single" w:sz="4" w:space="0" w:color="auto"/>
              <w:right w:val="nil"/>
            </w:tcBorders>
            <w:shd w:val="clear" w:color="auto" w:fill="auto"/>
            <w:noWrap/>
            <w:vAlign w:val="bottom"/>
            <w:hideMark/>
          </w:tcPr>
          <w:p w14:paraId="63A9E2EB" w14:textId="77777777" w:rsidR="008060A4" w:rsidRDefault="008060A4" w:rsidP="008060A4">
            <w:pPr>
              <w:rPr>
                <w:rFonts w:ascii="Arial" w:hAnsi="Arial" w:cs="Arial"/>
                <w:sz w:val="20"/>
                <w:szCs w:val="20"/>
              </w:rPr>
            </w:pPr>
            <w:r>
              <w:rPr>
                <w:rFonts w:ascii="Arial" w:hAnsi="Arial" w:cs="Arial"/>
                <w:sz w:val="20"/>
                <w:szCs w:val="20"/>
              </w:rPr>
              <w:t> </w:t>
            </w:r>
          </w:p>
        </w:tc>
        <w:tc>
          <w:tcPr>
            <w:tcW w:w="1476" w:type="dxa"/>
            <w:tcBorders>
              <w:top w:val="nil"/>
              <w:left w:val="nil"/>
              <w:bottom w:val="single" w:sz="4" w:space="0" w:color="auto"/>
              <w:right w:val="nil"/>
            </w:tcBorders>
            <w:shd w:val="clear" w:color="auto" w:fill="auto"/>
            <w:noWrap/>
            <w:vAlign w:val="bottom"/>
            <w:hideMark/>
          </w:tcPr>
          <w:p w14:paraId="07733687" w14:textId="77777777" w:rsidR="008060A4" w:rsidRDefault="008060A4" w:rsidP="008060A4">
            <w:pPr>
              <w:rPr>
                <w:rFonts w:ascii="Arial" w:hAnsi="Arial" w:cs="Arial"/>
                <w:sz w:val="20"/>
                <w:szCs w:val="20"/>
              </w:rPr>
            </w:pPr>
            <w:r>
              <w:rPr>
                <w:rFonts w:ascii="Arial" w:hAnsi="Arial" w:cs="Arial"/>
                <w:sz w:val="20"/>
                <w:szCs w:val="20"/>
              </w:rPr>
              <w:t> </w:t>
            </w:r>
          </w:p>
        </w:tc>
        <w:tc>
          <w:tcPr>
            <w:tcW w:w="1738" w:type="dxa"/>
            <w:tcBorders>
              <w:top w:val="nil"/>
              <w:left w:val="nil"/>
              <w:bottom w:val="single" w:sz="4" w:space="0" w:color="auto"/>
              <w:right w:val="nil"/>
            </w:tcBorders>
            <w:shd w:val="clear" w:color="auto" w:fill="auto"/>
            <w:noWrap/>
            <w:vAlign w:val="bottom"/>
            <w:hideMark/>
          </w:tcPr>
          <w:p w14:paraId="69FF94C2" w14:textId="77777777" w:rsidR="008060A4" w:rsidRDefault="008060A4" w:rsidP="008060A4">
            <w:pPr>
              <w:rPr>
                <w:rFonts w:ascii="Arial" w:hAnsi="Arial" w:cs="Arial"/>
                <w:sz w:val="20"/>
                <w:szCs w:val="20"/>
              </w:rPr>
            </w:pPr>
            <w:r>
              <w:rPr>
                <w:rFonts w:ascii="Arial" w:hAnsi="Arial" w:cs="Arial"/>
                <w:sz w:val="20"/>
                <w:szCs w:val="20"/>
              </w:rPr>
              <w:t> </w:t>
            </w:r>
          </w:p>
        </w:tc>
        <w:tc>
          <w:tcPr>
            <w:tcW w:w="1706" w:type="dxa"/>
            <w:tcBorders>
              <w:top w:val="nil"/>
              <w:left w:val="nil"/>
              <w:bottom w:val="single" w:sz="4" w:space="0" w:color="auto"/>
              <w:right w:val="nil"/>
            </w:tcBorders>
            <w:shd w:val="clear" w:color="auto" w:fill="auto"/>
            <w:noWrap/>
            <w:vAlign w:val="bottom"/>
            <w:hideMark/>
          </w:tcPr>
          <w:p w14:paraId="0CFACDC4" w14:textId="77777777" w:rsidR="008060A4" w:rsidRDefault="008060A4" w:rsidP="008060A4">
            <w:pPr>
              <w:rPr>
                <w:rFonts w:ascii="Arial" w:hAnsi="Arial" w:cs="Arial"/>
                <w:sz w:val="20"/>
                <w:szCs w:val="20"/>
              </w:rPr>
            </w:pPr>
            <w:r>
              <w:rPr>
                <w:rFonts w:ascii="Arial" w:hAnsi="Arial" w:cs="Arial"/>
                <w:sz w:val="20"/>
                <w:szCs w:val="20"/>
              </w:rPr>
              <w:t> </w:t>
            </w:r>
          </w:p>
        </w:tc>
        <w:tc>
          <w:tcPr>
            <w:tcW w:w="334" w:type="dxa"/>
            <w:tcBorders>
              <w:top w:val="nil"/>
              <w:left w:val="nil"/>
              <w:bottom w:val="single" w:sz="4" w:space="0" w:color="auto"/>
              <w:right w:val="single" w:sz="4" w:space="0" w:color="auto"/>
            </w:tcBorders>
            <w:shd w:val="clear" w:color="auto" w:fill="auto"/>
            <w:noWrap/>
            <w:vAlign w:val="bottom"/>
            <w:hideMark/>
          </w:tcPr>
          <w:p w14:paraId="0CB49247" w14:textId="77777777" w:rsidR="008060A4" w:rsidRDefault="008060A4" w:rsidP="008060A4">
            <w:pPr>
              <w:rPr>
                <w:rFonts w:ascii="Arial" w:hAnsi="Arial" w:cs="Arial"/>
                <w:sz w:val="20"/>
                <w:szCs w:val="20"/>
              </w:rPr>
            </w:pPr>
            <w:r>
              <w:rPr>
                <w:rFonts w:ascii="Arial" w:hAnsi="Arial" w:cs="Arial"/>
                <w:sz w:val="20"/>
                <w:szCs w:val="20"/>
              </w:rPr>
              <w:t> </w:t>
            </w:r>
          </w:p>
        </w:tc>
      </w:tr>
    </w:tbl>
    <w:p w14:paraId="1FBC14DF" w14:textId="77777777" w:rsidR="00410424" w:rsidRDefault="00410424" w:rsidP="00E275D8">
      <w:pPr>
        <w:pStyle w:val="BodyText"/>
        <w:sectPr w:rsidR="00410424" w:rsidSect="00410424">
          <w:headerReference w:type="default" r:id="rId19"/>
          <w:footerReference w:type="default" r:id="rId20"/>
          <w:pgSz w:w="15840" w:h="12240" w:orient="landscape" w:code="1"/>
          <w:pgMar w:top="1440" w:right="1584" w:bottom="1440" w:left="1440" w:header="720" w:footer="720" w:gutter="0"/>
          <w:cols w:space="720"/>
          <w:formProt w:val="0"/>
          <w:docGrid w:linePitch="360"/>
        </w:sectPr>
      </w:pPr>
    </w:p>
    <w:p w14:paraId="0D7977D8" w14:textId="77777777" w:rsidR="00A0086F" w:rsidRDefault="00A0086F" w:rsidP="00A0086F">
      <w:pPr>
        <w:pStyle w:val="BodyText"/>
      </w:pPr>
      <w:r>
        <w:fldChar w:fldCharType="begin"/>
      </w:r>
      <w:r>
        <w:instrText xml:space="preserve"> TC "</w:instrText>
      </w:r>
      <w:bookmarkStart w:id="38" w:name="_Toc104278789"/>
      <w:r>
        <w:instrText>Schedule No. 3-B – Adjustments to Operating Income</w:instrText>
      </w:r>
      <w:bookmarkEnd w:id="38"/>
      <w:r>
        <w:instrText xml:space="preserve">" \l 1 </w:instrText>
      </w:r>
      <w:r>
        <w:fldChar w:fldCharType="end"/>
      </w:r>
    </w:p>
    <w:tbl>
      <w:tblPr>
        <w:tblpPr w:leftFromText="180" w:rightFromText="180" w:vertAnchor="page" w:horzAnchor="margin" w:tblpXSpec="center" w:tblpY="2506"/>
        <w:tblW w:w="9345" w:type="dxa"/>
        <w:tblLook w:val="04A0" w:firstRow="1" w:lastRow="0" w:firstColumn="1" w:lastColumn="0" w:noHBand="0" w:noVBand="1"/>
      </w:tblPr>
      <w:tblGrid>
        <w:gridCol w:w="272"/>
        <w:gridCol w:w="6604"/>
        <w:gridCol w:w="2186"/>
        <w:gridCol w:w="283"/>
      </w:tblGrid>
      <w:tr w:rsidR="008060A4" w14:paraId="237A19D5" w14:textId="77777777" w:rsidTr="008060A4">
        <w:trPr>
          <w:trHeight w:val="300"/>
        </w:trPr>
        <w:tc>
          <w:tcPr>
            <w:tcW w:w="6876" w:type="dxa"/>
            <w:gridSpan w:val="2"/>
            <w:tcBorders>
              <w:top w:val="single" w:sz="4" w:space="0" w:color="auto"/>
              <w:left w:val="single" w:sz="4" w:space="0" w:color="auto"/>
              <w:bottom w:val="nil"/>
              <w:right w:val="nil"/>
            </w:tcBorders>
            <w:shd w:val="clear" w:color="000000" w:fill="FFFFFF"/>
            <w:noWrap/>
            <w:vAlign w:val="bottom"/>
            <w:hideMark/>
          </w:tcPr>
          <w:p w14:paraId="07F7623A" w14:textId="77777777" w:rsidR="008060A4" w:rsidRDefault="008060A4" w:rsidP="008060A4">
            <w:pPr>
              <w:rPr>
                <w:rFonts w:ascii="Arial" w:hAnsi="Arial" w:cs="Arial"/>
                <w:b/>
                <w:bCs/>
              </w:rPr>
            </w:pPr>
            <w:bookmarkStart w:id="39" w:name="RANGE!B34:E58"/>
            <w:r>
              <w:rPr>
                <w:rFonts w:ascii="Arial" w:hAnsi="Arial" w:cs="Arial"/>
                <w:b/>
                <w:bCs/>
              </w:rPr>
              <w:t>Environmental Utilities, LLC</w:t>
            </w:r>
            <w:bookmarkEnd w:id="39"/>
          </w:p>
        </w:tc>
        <w:tc>
          <w:tcPr>
            <w:tcW w:w="2469" w:type="dxa"/>
            <w:gridSpan w:val="2"/>
            <w:tcBorders>
              <w:top w:val="single" w:sz="4" w:space="0" w:color="auto"/>
              <w:left w:val="nil"/>
              <w:bottom w:val="nil"/>
              <w:right w:val="single" w:sz="4" w:space="0" w:color="auto"/>
            </w:tcBorders>
            <w:shd w:val="clear" w:color="000000" w:fill="FFFFFF"/>
            <w:noWrap/>
            <w:vAlign w:val="bottom"/>
            <w:hideMark/>
          </w:tcPr>
          <w:p w14:paraId="38800CDC" w14:textId="77777777" w:rsidR="008060A4" w:rsidRPr="00600CE5" w:rsidRDefault="008060A4" w:rsidP="008060A4">
            <w:pPr>
              <w:jc w:val="right"/>
              <w:rPr>
                <w:rFonts w:ascii="Arial" w:hAnsi="Arial" w:cs="Arial"/>
                <w:b/>
              </w:rPr>
            </w:pPr>
            <w:r w:rsidRPr="00600CE5">
              <w:rPr>
                <w:rFonts w:ascii="Arial" w:hAnsi="Arial" w:cs="Arial"/>
                <w:b/>
              </w:rPr>
              <w:t>Schedule No. 3-B</w:t>
            </w:r>
          </w:p>
        </w:tc>
      </w:tr>
      <w:tr w:rsidR="008060A4" w14:paraId="69BE2278" w14:textId="77777777" w:rsidTr="008060A4">
        <w:trPr>
          <w:trHeight w:val="300"/>
        </w:trPr>
        <w:tc>
          <w:tcPr>
            <w:tcW w:w="6876" w:type="dxa"/>
            <w:gridSpan w:val="2"/>
            <w:tcBorders>
              <w:top w:val="nil"/>
              <w:left w:val="single" w:sz="4" w:space="0" w:color="auto"/>
              <w:bottom w:val="nil"/>
              <w:right w:val="nil"/>
            </w:tcBorders>
            <w:shd w:val="clear" w:color="000000" w:fill="FFFFFF"/>
            <w:noWrap/>
            <w:vAlign w:val="bottom"/>
            <w:hideMark/>
          </w:tcPr>
          <w:p w14:paraId="1E3DC5EA" w14:textId="77777777" w:rsidR="008060A4" w:rsidRDefault="008060A4" w:rsidP="008060A4">
            <w:pPr>
              <w:rPr>
                <w:rFonts w:ascii="Arial" w:hAnsi="Arial" w:cs="Arial"/>
                <w:b/>
                <w:bCs/>
              </w:rPr>
            </w:pPr>
            <w:r>
              <w:rPr>
                <w:rFonts w:ascii="Arial" w:hAnsi="Arial" w:cs="Arial"/>
                <w:b/>
                <w:bCs/>
              </w:rPr>
              <w:t>Adjustments to Operating Income</w:t>
            </w:r>
          </w:p>
        </w:tc>
        <w:tc>
          <w:tcPr>
            <w:tcW w:w="2469" w:type="dxa"/>
            <w:gridSpan w:val="2"/>
            <w:tcBorders>
              <w:top w:val="nil"/>
              <w:left w:val="nil"/>
              <w:bottom w:val="nil"/>
              <w:right w:val="single" w:sz="4" w:space="0" w:color="000000"/>
            </w:tcBorders>
            <w:shd w:val="clear" w:color="000000" w:fill="FFFFFF"/>
            <w:noWrap/>
            <w:vAlign w:val="bottom"/>
            <w:hideMark/>
          </w:tcPr>
          <w:p w14:paraId="42DE6B10" w14:textId="77777777" w:rsidR="008060A4" w:rsidRPr="00600CE5" w:rsidRDefault="00690DF0" w:rsidP="008060A4">
            <w:pPr>
              <w:jc w:val="right"/>
              <w:rPr>
                <w:rFonts w:ascii="Arial" w:hAnsi="Arial" w:cs="Arial"/>
                <w:b/>
              </w:rPr>
            </w:pPr>
            <w:r>
              <w:rPr>
                <w:rFonts w:ascii="Arial" w:hAnsi="Arial" w:cs="Arial"/>
                <w:b/>
              </w:rPr>
              <w:t xml:space="preserve">DN </w:t>
            </w:r>
            <w:r w:rsidR="008060A4" w:rsidRPr="00600CE5">
              <w:rPr>
                <w:rFonts w:ascii="Arial" w:hAnsi="Arial" w:cs="Arial"/>
                <w:b/>
              </w:rPr>
              <w:t>20200226-SU</w:t>
            </w:r>
          </w:p>
        </w:tc>
      </w:tr>
      <w:tr w:rsidR="008060A4" w14:paraId="154B6DDC" w14:textId="77777777" w:rsidTr="008060A4">
        <w:trPr>
          <w:trHeight w:val="300"/>
        </w:trPr>
        <w:tc>
          <w:tcPr>
            <w:tcW w:w="6876" w:type="dxa"/>
            <w:gridSpan w:val="2"/>
            <w:tcBorders>
              <w:top w:val="nil"/>
              <w:left w:val="single" w:sz="4" w:space="0" w:color="auto"/>
              <w:bottom w:val="single" w:sz="4" w:space="0" w:color="auto"/>
              <w:right w:val="nil"/>
            </w:tcBorders>
            <w:shd w:val="clear" w:color="000000" w:fill="FFFFFF"/>
            <w:noWrap/>
            <w:vAlign w:val="bottom"/>
            <w:hideMark/>
          </w:tcPr>
          <w:p w14:paraId="3E3D57BF" w14:textId="77777777" w:rsidR="008060A4" w:rsidRDefault="008060A4" w:rsidP="008060A4">
            <w:pPr>
              <w:rPr>
                <w:rFonts w:ascii="Arial" w:hAnsi="Arial" w:cs="Arial"/>
                <w:b/>
                <w:bCs/>
              </w:rPr>
            </w:pPr>
            <w:r>
              <w:rPr>
                <w:rFonts w:ascii="Arial" w:hAnsi="Arial" w:cs="Arial"/>
                <w:b/>
                <w:bCs/>
              </w:rPr>
              <w:t>80% of Design Capacity</w:t>
            </w:r>
          </w:p>
        </w:tc>
        <w:tc>
          <w:tcPr>
            <w:tcW w:w="2186" w:type="dxa"/>
            <w:tcBorders>
              <w:top w:val="nil"/>
              <w:left w:val="nil"/>
              <w:bottom w:val="nil"/>
              <w:right w:val="nil"/>
            </w:tcBorders>
            <w:shd w:val="clear" w:color="000000" w:fill="FFFFFF"/>
            <w:noWrap/>
            <w:vAlign w:val="bottom"/>
            <w:hideMark/>
          </w:tcPr>
          <w:p w14:paraId="525C016B" w14:textId="77777777" w:rsidR="008060A4" w:rsidRDefault="008060A4" w:rsidP="008060A4">
            <w:pPr>
              <w:rPr>
                <w:rFonts w:ascii="Arial" w:hAnsi="Arial" w:cs="Arial"/>
                <w:b/>
                <w:bCs/>
              </w:rPr>
            </w:pPr>
            <w:r>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14:paraId="2EAF4734" w14:textId="77777777" w:rsidR="008060A4" w:rsidRDefault="008060A4" w:rsidP="008060A4">
            <w:pPr>
              <w:rPr>
                <w:rFonts w:ascii="Arial" w:hAnsi="Arial" w:cs="Arial"/>
              </w:rPr>
            </w:pPr>
            <w:r>
              <w:rPr>
                <w:rFonts w:ascii="Arial" w:hAnsi="Arial" w:cs="Arial"/>
              </w:rPr>
              <w:t> </w:t>
            </w:r>
          </w:p>
        </w:tc>
      </w:tr>
      <w:tr w:rsidR="008060A4" w14:paraId="54601056"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09C24DD8" w14:textId="77777777" w:rsidR="008060A4" w:rsidRDefault="008060A4" w:rsidP="008060A4">
            <w:pPr>
              <w:rPr>
                <w:rFonts w:ascii="Arial" w:hAnsi="Arial" w:cs="Arial"/>
                <w:sz w:val="20"/>
                <w:szCs w:val="20"/>
              </w:rPr>
            </w:pPr>
            <w:r>
              <w:rPr>
                <w:rFonts w:ascii="Arial" w:hAnsi="Arial" w:cs="Arial"/>
                <w:sz w:val="20"/>
                <w:szCs w:val="20"/>
              </w:rPr>
              <w:t> </w:t>
            </w:r>
          </w:p>
        </w:tc>
        <w:tc>
          <w:tcPr>
            <w:tcW w:w="6604" w:type="dxa"/>
            <w:tcBorders>
              <w:top w:val="nil"/>
              <w:left w:val="nil"/>
              <w:bottom w:val="nil"/>
              <w:right w:val="nil"/>
            </w:tcBorders>
            <w:shd w:val="clear" w:color="000000" w:fill="FFFFFF"/>
            <w:noWrap/>
            <w:vAlign w:val="bottom"/>
            <w:hideMark/>
          </w:tcPr>
          <w:p w14:paraId="7E30FE6E" w14:textId="77777777" w:rsidR="008060A4" w:rsidRDefault="008060A4" w:rsidP="008060A4">
            <w:pPr>
              <w:rPr>
                <w:rFonts w:ascii="Arial" w:hAnsi="Arial" w:cs="Arial"/>
                <w:sz w:val="20"/>
                <w:szCs w:val="20"/>
              </w:rPr>
            </w:pPr>
            <w:r>
              <w:rPr>
                <w:rFonts w:ascii="Arial" w:hAnsi="Arial" w:cs="Arial"/>
                <w:sz w:val="20"/>
                <w:szCs w:val="20"/>
              </w:rPr>
              <w:t> </w:t>
            </w:r>
          </w:p>
        </w:tc>
        <w:tc>
          <w:tcPr>
            <w:tcW w:w="2186" w:type="dxa"/>
            <w:tcBorders>
              <w:top w:val="single" w:sz="4" w:space="0" w:color="000000"/>
              <w:left w:val="nil"/>
              <w:bottom w:val="nil"/>
              <w:right w:val="nil"/>
            </w:tcBorders>
            <w:shd w:val="clear" w:color="000000" w:fill="FFFFFF"/>
            <w:noWrap/>
            <w:vAlign w:val="bottom"/>
            <w:hideMark/>
          </w:tcPr>
          <w:p w14:paraId="389DAD2F" w14:textId="77777777" w:rsidR="008060A4" w:rsidRDefault="008060A4" w:rsidP="008060A4">
            <w:pPr>
              <w:jc w:val="center"/>
              <w:rPr>
                <w:rFonts w:ascii="Arial" w:hAnsi="Arial" w:cs="Arial"/>
                <w:sz w:val="20"/>
                <w:szCs w:val="20"/>
              </w:rPr>
            </w:pPr>
            <w:r>
              <w:rPr>
                <w:rFonts w:ascii="Arial" w:hAnsi="Arial" w:cs="Arial"/>
                <w:sz w:val="20"/>
                <w:szCs w:val="20"/>
              </w:rPr>
              <w:t> </w:t>
            </w:r>
          </w:p>
        </w:tc>
        <w:tc>
          <w:tcPr>
            <w:tcW w:w="283" w:type="dxa"/>
            <w:tcBorders>
              <w:top w:val="single" w:sz="4" w:space="0" w:color="000000"/>
              <w:left w:val="nil"/>
              <w:bottom w:val="nil"/>
              <w:right w:val="single" w:sz="4" w:space="0" w:color="auto"/>
            </w:tcBorders>
            <w:shd w:val="clear" w:color="000000" w:fill="FFFFFF"/>
            <w:noWrap/>
            <w:vAlign w:val="bottom"/>
            <w:hideMark/>
          </w:tcPr>
          <w:p w14:paraId="1409BB38"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5EBBAE89"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045F878A" w14:textId="77777777" w:rsidR="008060A4" w:rsidRDefault="008060A4" w:rsidP="008060A4">
            <w:pPr>
              <w:rPr>
                <w:rFonts w:ascii="Arial" w:hAnsi="Arial" w:cs="Arial"/>
                <w:sz w:val="20"/>
                <w:szCs w:val="20"/>
              </w:rPr>
            </w:pPr>
            <w:r>
              <w:rPr>
                <w:rFonts w:ascii="Arial" w:hAnsi="Arial" w:cs="Arial"/>
                <w:sz w:val="20"/>
                <w:szCs w:val="20"/>
              </w:rPr>
              <w:t> </w:t>
            </w:r>
          </w:p>
        </w:tc>
        <w:tc>
          <w:tcPr>
            <w:tcW w:w="6604" w:type="dxa"/>
            <w:tcBorders>
              <w:top w:val="nil"/>
              <w:left w:val="nil"/>
              <w:bottom w:val="nil"/>
              <w:right w:val="nil"/>
            </w:tcBorders>
            <w:shd w:val="clear" w:color="000000" w:fill="FFFFFF"/>
            <w:noWrap/>
            <w:vAlign w:val="bottom"/>
            <w:hideMark/>
          </w:tcPr>
          <w:p w14:paraId="5FDF79DF" w14:textId="77777777" w:rsidR="008060A4" w:rsidRDefault="008060A4" w:rsidP="008060A4">
            <w:pPr>
              <w:rPr>
                <w:b/>
                <w:bCs/>
                <w:sz w:val="22"/>
                <w:szCs w:val="22"/>
              </w:rPr>
            </w:pPr>
            <w:r>
              <w:rPr>
                <w:b/>
                <w:bCs/>
                <w:sz w:val="22"/>
                <w:szCs w:val="22"/>
              </w:rPr>
              <w:t>Explanation</w:t>
            </w:r>
          </w:p>
        </w:tc>
        <w:tc>
          <w:tcPr>
            <w:tcW w:w="2186" w:type="dxa"/>
            <w:tcBorders>
              <w:top w:val="nil"/>
              <w:left w:val="nil"/>
              <w:bottom w:val="nil"/>
              <w:right w:val="nil"/>
            </w:tcBorders>
            <w:shd w:val="clear" w:color="000000" w:fill="FFFFFF"/>
            <w:noWrap/>
            <w:vAlign w:val="bottom"/>
            <w:hideMark/>
          </w:tcPr>
          <w:p w14:paraId="1B533775" w14:textId="77777777" w:rsidR="008060A4" w:rsidRDefault="008060A4" w:rsidP="008060A4">
            <w:pPr>
              <w:jc w:val="center"/>
              <w:rPr>
                <w:b/>
                <w:bCs/>
                <w:sz w:val="22"/>
                <w:szCs w:val="22"/>
              </w:rPr>
            </w:pPr>
            <w:r>
              <w:rPr>
                <w:b/>
                <w:bCs/>
                <w:sz w:val="22"/>
                <w:szCs w:val="22"/>
              </w:rPr>
              <w:t>Wastewater</w:t>
            </w:r>
          </w:p>
        </w:tc>
        <w:tc>
          <w:tcPr>
            <w:tcW w:w="283" w:type="dxa"/>
            <w:tcBorders>
              <w:top w:val="nil"/>
              <w:left w:val="nil"/>
              <w:bottom w:val="nil"/>
              <w:right w:val="single" w:sz="4" w:space="0" w:color="auto"/>
            </w:tcBorders>
            <w:shd w:val="clear" w:color="000000" w:fill="FFFFFF"/>
            <w:noWrap/>
            <w:vAlign w:val="bottom"/>
            <w:hideMark/>
          </w:tcPr>
          <w:p w14:paraId="62833601" w14:textId="77777777" w:rsidR="008060A4" w:rsidRDefault="008060A4" w:rsidP="008060A4">
            <w:pPr>
              <w:jc w:val="center"/>
              <w:rPr>
                <w:rFonts w:ascii="Arial" w:hAnsi="Arial" w:cs="Arial"/>
                <w:sz w:val="20"/>
                <w:szCs w:val="20"/>
              </w:rPr>
            </w:pPr>
            <w:r>
              <w:rPr>
                <w:rFonts w:ascii="Arial" w:hAnsi="Arial" w:cs="Arial"/>
                <w:sz w:val="20"/>
                <w:szCs w:val="20"/>
              </w:rPr>
              <w:t> </w:t>
            </w:r>
          </w:p>
        </w:tc>
      </w:tr>
      <w:tr w:rsidR="008060A4" w14:paraId="3BA894C0"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6123A65E" w14:textId="77777777" w:rsidR="008060A4" w:rsidRDefault="008060A4" w:rsidP="008060A4">
            <w:pPr>
              <w:rPr>
                <w:rFonts w:ascii="Arial" w:hAnsi="Arial" w:cs="Arial"/>
                <w:sz w:val="20"/>
                <w:szCs w:val="20"/>
              </w:rPr>
            </w:pPr>
            <w:r>
              <w:rPr>
                <w:rFonts w:ascii="Arial" w:hAnsi="Arial" w:cs="Arial"/>
                <w:sz w:val="20"/>
                <w:szCs w:val="20"/>
              </w:rPr>
              <w:t> </w:t>
            </w:r>
          </w:p>
        </w:tc>
        <w:tc>
          <w:tcPr>
            <w:tcW w:w="6604" w:type="dxa"/>
            <w:tcBorders>
              <w:top w:val="nil"/>
              <w:left w:val="nil"/>
              <w:bottom w:val="nil"/>
              <w:right w:val="nil"/>
            </w:tcBorders>
            <w:shd w:val="clear" w:color="000000" w:fill="FFFFFF"/>
            <w:noWrap/>
            <w:vAlign w:val="bottom"/>
            <w:hideMark/>
          </w:tcPr>
          <w:p w14:paraId="2FB253DE" w14:textId="77777777" w:rsidR="008060A4" w:rsidRDefault="008060A4" w:rsidP="008060A4">
            <w:pPr>
              <w:rPr>
                <w:rFonts w:ascii="Arial" w:hAnsi="Arial" w:cs="Arial"/>
                <w:sz w:val="20"/>
                <w:szCs w:val="20"/>
              </w:rPr>
            </w:pPr>
            <w:r>
              <w:rPr>
                <w:rFonts w:ascii="Arial" w:hAnsi="Arial" w:cs="Arial"/>
                <w:sz w:val="20"/>
                <w:szCs w:val="20"/>
              </w:rPr>
              <w:t> </w:t>
            </w:r>
          </w:p>
        </w:tc>
        <w:tc>
          <w:tcPr>
            <w:tcW w:w="2186" w:type="dxa"/>
            <w:tcBorders>
              <w:top w:val="nil"/>
              <w:left w:val="nil"/>
              <w:bottom w:val="nil"/>
              <w:right w:val="nil"/>
            </w:tcBorders>
            <w:shd w:val="clear" w:color="000000" w:fill="FFFFFF"/>
            <w:noWrap/>
            <w:vAlign w:val="bottom"/>
            <w:hideMark/>
          </w:tcPr>
          <w:p w14:paraId="67483ED1" w14:textId="77777777" w:rsidR="008060A4" w:rsidRDefault="008060A4" w:rsidP="008060A4">
            <w:pPr>
              <w:jc w:val="center"/>
              <w:rPr>
                <w:rFonts w:ascii="Arial" w:hAnsi="Arial" w:cs="Arial"/>
                <w:sz w:val="20"/>
                <w:szCs w:val="20"/>
              </w:rPr>
            </w:pPr>
            <w:r>
              <w:rPr>
                <w:rFonts w:ascii="Arial" w:hAnsi="Arial" w:cs="Arial"/>
                <w:sz w:val="20"/>
                <w:szCs w:val="20"/>
              </w:rPr>
              <w:t> </w:t>
            </w:r>
          </w:p>
        </w:tc>
        <w:tc>
          <w:tcPr>
            <w:tcW w:w="283" w:type="dxa"/>
            <w:tcBorders>
              <w:top w:val="nil"/>
              <w:left w:val="nil"/>
              <w:bottom w:val="nil"/>
              <w:right w:val="single" w:sz="4" w:space="0" w:color="auto"/>
            </w:tcBorders>
            <w:shd w:val="clear" w:color="000000" w:fill="FFFFFF"/>
            <w:noWrap/>
            <w:vAlign w:val="bottom"/>
            <w:hideMark/>
          </w:tcPr>
          <w:p w14:paraId="599EC997" w14:textId="77777777" w:rsidR="008060A4" w:rsidRDefault="008060A4" w:rsidP="008060A4">
            <w:pPr>
              <w:rPr>
                <w:rFonts w:ascii="Arial" w:hAnsi="Arial" w:cs="Arial"/>
                <w:sz w:val="20"/>
                <w:szCs w:val="20"/>
              </w:rPr>
            </w:pPr>
            <w:r>
              <w:rPr>
                <w:rFonts w:ascii="Arial" w:hAnsi="Arial" w:cs="Arial"/>
                <w:sz w:val="20"/>
                <w:szCs w:val="20"/>
              </w:rPr>
              <w:t> </w:t>
            </w:r>
          </w:p>
        </w:tc>
      </w:tr>
      <w:tr w:rsidR="008060A4" w14:paraId="4B5C5581" w14:textId="77777777" w:rsidTr="008060A4">
        <w:trPr>
          <w:trHeight w:val="300"/>
        </w:trPr>
        <w:tc>
          <w:tcPr>
            <w:tcW w:w="272" w:type="dxa"/>
            <w:tcBorders>
              <w:top w:val="single" w:sz="4" w:space="0" w:color="000000"/>
              <w:left w:val="single" w:sz="4" w:space="0" w:color="auto"/>
              <w:bottom w:val="nil"/>
              <w:right w:val="nil"/>
            </w:tcBorders>
            <w:shd w:val="clear" w:color="000000" w:fill="FFFFFF"/>
            <w:noWrap/>
            <w:vAlign w:val="bottom"/>
            <w:hideMark/>
          </w:tcPr>
          <w:p w14:paraId="4D5F5CFF" w14:textId="77777777" w:rsidR="008060A4" w:rsidRDefault="008060A4" w:rsidP="008060A4">
            <w:pPr>
              <w:jc w:val="center"/>
              <w:rPr>
                <w:sz w:val="22"/>
                <w:szCs w:val="22"/>
              </w:rPr>
            </w:pPr>
            <w:r>
              <w:rPr>
                <w:sz w:val="22"/>
                <w:szCs w:val="22"/>
              </w:rPr>
              <w:t> </w:t>
            </w:r>
          </w:p>
        </w:tc>
        <w:tc>
          <w:tcPr>
            <w:tcW w:w="6604" w:type="dxa"/>
            <w:tcBorders>
              <w:top w:val="single" w:sz="4" w:space="0" w:color="000000"/>
              <w:left w:val="nil"/>
              <w:bottom w:val="nil"/>
              <w:right w:val="nil"/>
            </w:tcBorders>
            <w:shd w:val="clear" w:color="000000" w:fill="FFFFFF"/>
            <w:noWrap/>
            <w:vAlign w:val="bottom"/>
            <w:hideMark/>
          </w:tcPr>
          <w:p w14:paraId="5E7F74E8" w14:textId="77777777" w:rsidR="008060A4" w:rsidRDefault="008060A4" w:rsidP="008060A4">
            <w:pPr>
              <w:rPr>
                <w:sz w:val="22"/>
                <w:szCs w:val="22"/>
              </w:rPr>
            </w:pPr>
            <w:r>
              <w:rPr>
                <w:sz w:val="22"/>
                <w:szCs w:val="22"/>
              </w:rPr>
              <w:t> </w:t>
            </w:r>
          </w:p>
        </w:tc>
        <w:tc>
          <w:tcPr>
            <w:tcW w:w="2186" w:type="dxa"/>
            <w:tcBorders>
              <w:top w:val="single" w:sz="4" w:space="0" w:color="000000"/>
              <w:left w:val="nil"/>
              <w:bottom w:val="nil"/>
              <w:right w:val="nil"/>
            </w:tcBorders>
            <w:shd w:val="clear" w:color="000000" w:fill="FFFFFF"/>
            <w:noWrap/>
            <w:vAlign w:val="bottom"/>
            <w:hideMark/>
          </w:tcPr>
          <w:p w14:paraId="5AB4D30E" w14:textId="77777777" w:rsidR="008060A4" w:rsidRDefault="008060A4" w:rsidP="008060A4">
            <w:pPr>
              <w:rPr>
                <w:sz w:val="22"/>
                <w:szCs w:val="22"/>
              </w:rPr>
            </w:pPr>
            <w:r>
              <w:rPr>
                <w:sz w:val="22"/>
                <w:szCs w:val="22"/>
              </w:rPr>
              <w:t> </w:t>
            </w:r>
          </w:p>
        </w:tc>
        <w:tc>
          <w:tcPr>
            <w:tcW w:w="283" w:type="dxa"/>
            <w:tcBorders>
              <w:top w:val="single" w:sz="4" w:space="0" w:color="000000"/>
              <w:left w:val="nil"/>
              <w:bottom w:val="nil"/>
              <w:right w:val="single" w:sz="4" w:space="0" w:color="auto"/>
            </w:tcBorders>
            <w:shd w:val="clear" w:color="000000" w:fill="FFFFFF"/>
            <w:noWrap/>
            <w:vAlign w:val="bottom"/>
            <w:hideMark/>
          </w:tcPr>
          <w:p w14:paraId="661193B4" w14:textId="77777777" w:rsidR="008060A4" w:rsidRDefault="008060A4" w:rsidP="008060A4">
            <w:pPr>
              <w:rPr>
                <w:sz w:val="22"/>
                <w:szCs w:val="22"/>
              </w:rPr>
            </w:pPr>
            <w:r>
              <w:rPr>
                <w:sz w:val="22"/>
                <w:szCs w:val="22"/>
              </w:rPr>
              <w:t> </w:t>
            </w:r>
          </w:p>
        </w:tc>
      </w:tr>
      <w:tr w:rsidR="008060A4" w14:paraId="5D025392"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30490C08"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hideMark/>
          </w:tcPr>
          <w:p w14:paraId="7D5F6465" w14:textId="77777777" w:rsidR="008060A4" w:rsidRDefault="008060A4" w:rsidP="008060A4">
            <w:pPr>
              <w:rPr>
                <w:b/>
                <w:bCs/>
                <w:sz w:val="22"/>
                <w:szCs w:val="22"/>
              </w:rPr>
            </w:pPr>
            <w:r>
              <w:rPr>
                <w:b/>
                <w:bCs/>
                <w:sz w:val="22"/>
                <w:szCs w:val="22"/>
              </w:rPr>
              <w:t>Operation and Maintenance Expense</w:t>
            </w:r>
          </w:p>
        </w:tc>
        <w:tc>
          <w:tcPr>
            <w:tcW w:w="2186" w:type="dxa"/>
            <w:tcBorders>
              <w:top w:val="nil"/>
              <w:left w:val="nil"/>
              <w:bottom w:val="nil"/>
              <w:right w:val="nil"/>
            </w:tcBorders>
            <w:shd w:val="clear" w:color="000000" w:fill="FFFFFF"/>
            <w:noWrap/>
            <w:vAlign w:val="bottom"/>
            <w:hideMark/>
          </w:tcPr>
          <w:p w14:paraId="4F9B808F" w14:textId="77777777" w:rsidR="008060A4" w:rsidRDefault="008060A4" w:rsidP="008060A4">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1B9FD02F" w14:textId="77777777" w:rsidR="008060A4" w:rsidRDefault="008060A4" w:rsidP="008060A4">
            <w:pPr>
              <w:rPr>
                <w:sz w:val="22"/>
                <w:szCs w:val="22"/>
              </w:rPr>
            </w:pPr>
            <w:r>
              <w:rPr>
                <w:sz w:val="22"/>
                <w:szCs w:val="22"/>
              </w:rPr>
              <w:t> </w:t>
            </w:r>
          </w:p>
        </w:tc>
      </w:tr>
      <w:tr w:rsidR="008060A4" w14:paraId="4DC7BC45"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3D4CE03B"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hideMark/>
          </w:tcPr>
          <w:p w14:paraId="49430941" w14:textId="77777777" w:rsidR="008060A4" w:rsidRDefault="008060A4" w:rsidP="008060A4">
            <w:pPr>
              <w:rPr>
                <w:sz w:val="22"/>
                <w:szCs w:val="22"/>
              </w:rPr>
            </w:pPr>
            <w:r>
              <w:rPr>
                <w:sz w:val="22"/>
                <w:szCs w:val="22"/>
              </w:rPr>
              <w:t xml:space="preserve">To remove duplicative labor costs. </w:t>
            </w:r>
          </w:p>
        </w:tc>
        <w:tc>
          <w:tcPr>
            <w:tcW w:w="2186" w:type="dxa"/>
            <w:tcBorders>
              <w:top w:val="nil"/>
              <w:left w:val="nil"/>
              <w:right w:val="nil"/>
            </w:tcBorders>
            <w:shd w:val="clear" w:color="000000" w:fill="FFFFFF"/>
            <w:noWrap/>
            <w:vAlign w:val="bottom"/>
            <w:hideMark/>
          </w:tcPr>
          <w:p w14:paraId="2BC6E9F1" w14:textId="77777777" w:rsidR="008060A4" w:rsidRDefault="008060A4" w:rsidP="008060A4">
            <w:pPr>
              <w:jc w:val="right"/>
              <w:rPr>
                <w:sz w:val="22"/>
                <w:szCs w:val="22"/>
              </w:rPr>
            </w:pPr>
            <w:r>
              <w:rPr>
                <w:sz w:val="22"/>
                <w:szCs w:val="22"/>
              </w:rPr>
              <w:t xml:space="preserve">                  ($34,910)</w:t>
            </w:r>
          </w:p>
        </w:tc>
        <w:tc>
          <w:tcPr>
            <w:tcW w:w="283" w:type="dxa"/>
            <w:tcBorders>
              <w:top w:val="nil"/>
              <w:left w:val="nil"/>
              <w:bottom w:val="nil"/>
              <w:right w:val="single" w:sz="4" w:space="0" w:color="auto"/>
            </w:tcBorders>
            <w:shd w:val="clear" w:color="000000" w:fill="FFFFFF"/>
            <w:noWrap/>
            <w:vAlign w:val="bottom"/>
            <w:hideMark/>
          </w:tcPr>
          <w:p w14:paraId="0909888A" w14:textId="77777777" w:rsidR="008060A4" w:rsidRDefault="008060A4" w:rsidP="008060A4">
            <w:pPr>
              <w:rPr>
                <w:sz w:val="22"/>
                <w:szCs w:val="22"/>
              </w:rPr>
            </w:pPr>
            <w:r>
              <w:rPr>
                <w:sz w:val="22"/>
                <w:szCs w:val="22"/>
              </w:rPr>
              <w:t> </w:t>
            </w:r>
          </w:p>
        </w:tc>
      </w:tr>
      <w:tr w:rsidR="008060A4" w14:paraId="67C01D60"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028E8E5E"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hideMark/>
          </w:tcPr>
          <w:p w14:paraId="31F863D2" w14:textId="77777777" w:rsidR="008060A4" w:rsidRDefault="008060A4" w:rsidP="008060A4">
            <w:pPr>
              <w:rPr>
                <w:sz w:val="22"/>
                <w:szCs w:val="22"/>
              </w:rPr>
            </w:pPr>
            <w:r>
              <w:rPr>
                <w:sz w:val="22"/>
                <w:szCs w:val="22"/>
              </w:rPr>
              <w:t>To reflect correct number of ERCs.</w:t>
            </w:r>
          </w:p>
        </w:tc>
        <w:tc>
          <w:tcPr>
            <w:tcW w:w="2186" w:type="dxa"/>
            <w:tcBorders>
              <w:top w:val="nil"/>
              <w:left w:val="nil"/>
              <w:bottom w:val="nil"/>
              <w:right w:val="nil"/>
            </w:tcBorders>
            <w:shd w:val="clear" w:color="auto" w:fill="auto"/>
            <w:noWrap/>
            <w:vAlign w:val="bottom"/>
            <w:hideMark/>
          </w:tcPr>
          <w:p w14:paraId="211A478F" w14:textId="77777777" w:rsidR="008060A4" w:rsidRPr="00B27E2C" w:rsidRDefault="008060A4" w:rsidP="008060A4">
            <w:pPr>
              <w:jc w:val="right"/>
              <w:rPr>
                <w:sz w:val="22"/>
                <w:szCs w:val="22"/>
                <w:u w:val="single"/>
              </w:rPr>
            </w:pPr>
            <w:r>
              <w:rPr>
                <w:sz w:val="22"/>
                <w:szCs w:val="22"/>
              </w:rPr>
              <w:t xml:space="preserve">              </w:t>
            </w:r>
            <w:r w:rsidRPr="00753C51">
              <w:rPr>
                <w:sz w:val="22"/>
                <w:szCs w:val="22"/>
              </w:rPr>
              <w:t xml:space="preserve">  </w:t>
            </w:r>
            <w:r w:rsidRPr="00B27E2C">
              <w:rPr>
                <w:sz w:val="22"/>
                <w:szCs w:val="22"/>
              </w:rPr>
              <w:t xml:space="preserve">       </w:t>
            </w:r>
            <w:r w:rsidRPr="00B27E2C">
              <w:rPr>
                <w:sz w:val="22"/>
                <w:szCs w:val="22"/>
                <w:u w:val="single"/>
              </w:rPr>
              <w:t xml:space="preserve">65,065 </w:t>
            </w:r>
          </w:p>
        </w:tc>
        <w:tc>
          <w:tcPr>
            <w:tcW w:w="283" w:type="dxa"/>
            <w:tcBorders>
              <w:top w:val="nil"/>
              <w:left w:val="nil"/>
              <w:bottom w:val="nil"/>
              <w:right w:val="single" w:sz="4" w:space="0" w:color="auto"/>
            </w:tcBorders>
            <w:shd w:val="clear" w:color="000000" w:fill="FFFFFF"/>
            <w:noWrap/>
            <w:vAlign w:val="bottom"/>
            <w:hideMark/>
          </w:tcPr>
          <w:p w14:paraId="08380262" w14:textId="77777777" w:rsidR="008060A4" w:rsidRDefault="008060A4" w:rsidP="008060A4">
            <w:pPr>
              <w:rPr>
                <w:sz w:val="22"/>
                <w:szCs w:val="22"/>
              </w:rPr>
            </w:pPr>
            <w:r>
              <w:rPr>
                <w:sz w:val="22"/>
                <w:szCs w:val="22"/>
              </w:rPr>
              <w:t> </w:t>
            </w:r>
          </w:p>
        </w:tc>
      </w:tr>
      <w:tr w:rsidR="008060A4" w14:paraId="78C29C25"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5033D96B"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hideMark/>
          </w:tcPr>
          <w:p w14:paraId="7028CD23" w14:textId="77777777" w:rsidR="008060A4" w:rsidRDefault="008060A4" w:rsidP="008060A4">
            <w:pPr>
              <w:rPr>
                <w:b/>
                <w:bCs/>
                <w:sz w:val="22"/>
                <w:szCs w:val="22"/>
              </w:rPr>
            </w:pPr>
            <w:r>
              <w:rPr>
                <w:b/>
                <w:bCs/>
                <w:sz w:val="22"/>
                <w:szCs w:val="22"/>
              </w:rPr>
              <w:t xml:space="preserve">    Total</w:t>
            </w:r>
          </w:p>
        </w:tc>
        <w:tc>
          <w:tcPr>
            <w:tcW w:w="2186" w:type="dxa"/>
            <w:tcBorders>
              <w:left w:val="nil"/>
              <w:bottom w:val="nil"/>
              <w:right w:val="nil"/>
            </w:tcBorders>
            <w:shd w:val="clear" w:color="000000" w:fill="FFFFFF"/>
            <w:noWrap/>
            <w:vAlign w:val="bottom"/>
            <w:hideMark/>
          </w:tcPr>
          <w:p w14:paraId="6852ADCD" w14:textId="77777777" w:rsidR="008060A4" w:rsidRDefault="008060A4" w:rsidP="008060A4">
            <w:pPr>
              <w:jc w:val="right"/>
              <w:rPr>
                <w:sz w:val="22"/>
                <w:szCs w:val="22"/>
              </w:rPr>
            </w:pPr>
            <w:r>
              <w:rPr>
                <w:sz w:val="22"/>
                <w:szCs w:val="22"/>
              </w:rPr>
              <w:t xml:space="preserve">                  </w:t>
            </w:r>
            <w:r w:rsidRPr="00A147D9">
              <w:rPr>
                <w:sz w:val="22"/>
                <w:szCs w:val="22"/>
                <w:u w:val="double"/>
              </w:rPr>
              <w:t>$30,155</w:t>
            </w:r>
          </w:p>
        </w:tc>
        <w:tc>
          <w:tcPr>
            <w:tcW w:w="283" w:type="dxa"/>
            <w:tcBorders>
              <w:top w:val="nil"/>
              <w:left w:val="nil"/>
              <w:bottom w:val="nil"/>
              <w:right w:val="single" w:sz="4" w:space="0" w:color="auto"/>
            </w:tcBorders>
            <w:shd w:val="clear" w:color="000000" w:fill="FFFFFF"/>
            <w:noWrap/>
            <w:vAlign w:val="bottom"/>
            <w:hideMark/>
          </w:tcPr>
          <w:p w14:paraId="46E27580" w14:textId="77777777" w:rsidR="008060A4" w:rsidRDefault="008060A4" w:rsidP="008060A4">
            <w:pPr>
              <w:rPr>
                <w:sz w:val="22"/>
                <w:szCs w:val="22"/>
              </w:rPr>
            </w:pPr>
            <w:r>
              <w:rPr>
                <w:sz w:val="22"/>
                <w:szCs w:val="22"/>
              </w:rPr>
              <w:t> </w:t>
            </w:r>
          </w:p>
        </w:tc>
      </w:tr>
      <w:tr w:rsidR="008060A4" w14:paraId="7602E844"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5CED1FD1"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hideMark/>
          </w:tcPr>
          <w:p w14:paraId="0FEA6FD1" w14:textId="77777777" w:rsidR="008060A4" w:rsidRDefault="008060A4" w:rsidP="008060A4">
            <w:pPr>
              <w:rPr>
                <w:sz w:val="22"/>
                <w:szCs w:val="22"/>
              </w:rPr>
            </w:pPr>
            <w:r>
              <w:rPr>
                <w:sz w:val="22"/>
                <w:szCs w:val="22"/>
              </w:rPr>
              <w:t> </w:t>
            </w:r>
          </w:p>
        </w:tc>
        <w:tc>
          <w:tcPr>
            <w:tcW w:w="2186" w:type="dxa"/>
            <w:tcBorders>
              <w:top w:val="nil"/>
              <w:left w:val="nil"/>
              <w:bottom w:val="nil"/>
              <w:right w:val="nil"/>
            </w:tcBorders>
            <w:shd w:val="clear" w:color="000000" w:fill="FFFFFF"/>
            <w:noWrap/>
            <w:vAlign w:val="bottom"/>
            <w:hideMark/>
          </w:tcPr>
          <w:p w14:paraId="2FD06511" w14:textId="77777777" w:rsidR="008060A4" w:rsidRDefault="008060A4" w:rsidP="008060A4">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68C2033B" w14:textId="77777777" w:rsidR="008060A4" w:rsidRDefault="008060A4" w:rsidP="008060A4">
            <w:pPr>
              <w:rPr>
                <w:sz w:val="22"/>
                <w:szCs w:val="22"/>
              </w:rPr>
            </w:pPr>
            <w:r>
              <w:rPr>
                <w:sz w:val="22"/>
                <w:szCs w:val="22"/>
              </w:rPr>
              <w:t> </w:t>
            </w:r>
          </w:p>
        </w:tc>
      </w:tr>
      <w:tr w:rsidR="008060A4" w14:paraId="5474AF10"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68955FE1"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hideMark/>
          </w:tcPr>
          <w:p w14:paraId="458C1939" w14:textId="77777777" w:rsidR="008060A4" w:rsidRPr="008060A4" w:rsidRDefault="008060A4" w:rsidP="008060A4">
            <w:pPr>
              <w:rPr>
                <w:sz w:val="22"/>
                <w:szCs w:val="22"/>
              </w:rPr>
            </w:pPr>
            <w:r w:rsidRPr="008060A4">
              <w:rPr>
                <w:b/>
                <w:bCs/>
                <w:sz w:val="22"/>
                <w:szCs w:val="22"/>
              </w:rPr>
              <w:t xml:space="preserve">Depreciation Expense </w:t>
            </w:r>
          </w:p>
        </w:tc>
        <w:tc>
          <w:tcPr>
            <w:tcW w:w="2186" w:type="dxa"/>
            <w:tcBorders>
              <w:top w:val="nil"/>
              <w:left w:val="nil"/>
              <w:bottom w:val="nil"/>
              <w:right w:val="nil"/>
            </w:tcBorders>
            <w:shd w:val="clear" w:color="000000" w:fill="FFFFFF"/>
            <w:noWrap/>
            <w:vAlign w:val="bottom"/>
            <w:hideMark/>
          </w:tcPr>
          <w:p w14:paraId="2AB07B6C" w14:textId="77777777" w:rsidR="008060A4" w:rsidRPr="008060A4" w:rsidRDefault="008060A4" w:rsidP="008060A4">
            <w:pPr>
              <w:jc w:val="right"/>
              <w:rPr>
                <w:sz w:val="22"/>
                <w:szCs w:val="22"/>
              </w:rPr>
            </w:pPr>
            <w:r w:rsidRPr="008060A4">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4F7B9E4C" w14:textId="77777777" w:rsidR="008060A4" w:rsidRDefault="008060A4" w:rsidP="008060A4">
            <w:pPr>
              <w:rPr>
                <w:sz w:val="22"/>
                <w:szCs w:val="22"/>
              </w:rPr>
            </w:pPr>
            <w:r>
              <w:rPr>
                <w:sz w:val="22"/>
                <w:szCs w:val="22"/>
              </w:rPr>
              <w:t> </w:t>
            </w:r>
          </w:p>
        </w:tc>
      </w:tr>
      <w:tr w:rsidR="008060A4" w14:paraId="56743CF7"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1B6CD068" w14:textId="77777777" w:rsidR="008060A4" w:rsidRDefault="008060A4" w:rsidP="008060A4">
            <w:pPr>
              <w:jc w:val="center"/>
              <w:rPr>
                <w:sz w:val="22"/>
                <w:szCs w:val="22"/>
              </w:rPr>
            </w:pPr>
            <w:r>
              <w:rPr>
                <w:sz w:val="22"/>
                <w:szCs w:val="22"/>
              </w:rPr>
              <w:t> </w:t>
            </w:r>
          </w:p>
        </w:tc>
        <w:tc>
          <w:tcPr>
            <w:tcW w:w="6604" w:type="dxa"/>
            <w:tcBorders>
              <w:top w:val="nil"/>
              <w:left w:val="nil"/>
              <w:right w:val="nil"/>
            </w:tcBorders>
            <w:shd w:val="clear" w:color="000000" w:fill="FFFFFF"/>
            <w:noWrap/>
            <w:vAlign w:val="bottom"/>
            <w:hideMark/>
          </w:tcPr>
          <w:p w14:paraId="3883E638" w14:textId="77777777" w:rsidR="008060A4" w:rsidRPr="008060A4" w:rsidRDefault="008060A4" w:rsidP="008060A4">
            <w:pPr>
              <w:rPr>
                <w:b/>
                <w:bCs/>
                <w:sz w:val="22"/>
                <w:szCs w:val="22"/>
              </w:rPr>
            </w:pPr>
            <w:r w:rsidRPr="008060A4">
              <w:rPr>
                <w:sz w:val="22"/>
                <w:szCs w:val="22"/>
              </w:rPr>
              <w:t>To reclassify depreciation expense.</w:t>
            </w:r>
          </w:p>
        </w:tc>
        <w:tc>
          <w:tcPr>
            <w:tcW w:w="2186" w:type="dxa"/>
            <w:tcBorders>
              <w:top w:val="nil"/>
              <w:left w:val="nil"/>
              <w:right w:val="nil"/>
            </w:tcBorders>
            <w:shd w:val="clear" w:color="000000" w:fill="FFFFFF"/>
            <w:noWrap/>
            <w:vAlign w:val="bottom"/>
            <w:hideMark/>
          </w:tcPr>
          <w:p w14:paraId="3723D447" w14:textId="77777777" w:rsidR="008060A4" w:rsidRPr="008060A4" w:rsidRDefault="008060A4" w:rsidP="008060A4">
            <w:pPr>
              <w:jc w:val="right"/>
              <w:rPr>
                <w:sz w:val="22"/>
                <w:szCs w:val="22"/>
              </w:rPr>
            </w:pPr>
            <w:r w:rsidRPr="008060A4">
              <w:rPr>
                <w:sz w:val="22"/>
                <w:szCs w:val="22"/>
              </w:rPr>
              <w:t xml:space="preserve">                  $17,217</w:t>
            </w:r>
          </w:p>
        </w:tc>
        <w:tc>
          <w:tcPr>
            <w:tcW w:w="283" w:type="dxa"/>
            <w:tcBorders>
              <w:top w:val="nil"/>
              <w:left w:val="nil"/>
              <w:bottom w:val="nil"/>
              <w:right w:val="single" w:sz="4" w:space="0" w:color="auto"/>
            </w:tcBorders>
            <w:shd w:val="clear" w:color="000000" w:fill="FFFFFF"/>
            <w:noWrap/>
            <w:vAlign w:val="bottom"/>
            <w:hideMark/>
          </w:tcPr>
          <w:p w14:paraId="74936AC7" w14:textId="77777777" w:rsidR="008060A4" w:rsidRDefault="008060A4" w:rsidP="008060A4">
            <w:pPr>
              <w:rPr>
                <w:sz w:val="22"/>
                <w:szCs w:val="22"/>
              </w:rPr>
            </w:pPr>
            <w:r>
              <w:rPr>
                <w:sz w:val="22"/>
                <w:szCs w:val="22"/>
              </w:rPr>
              <w:t> </w:t>
            </w:r>
          </w:p>
        </w:tc>
      </w:tr>
      <w:tr w:rsidR="008060A4" w14:paraId="3BA03953"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4453C67E"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tcPr>
          <w:p w14:paraId="5CF2A5CA" w14:textId="77777777" w:rsidR="008060A4" w:rsidRPr="008060A4" w:rsidRDefault="008060A4" w:rsidP="008060A4">
            <w:pPr>
              <w:rPr>
                <w:sz w:val="22"/>
                <w:szCs w:val="22"/>
              </w:rPr>
            </w:pPr>
            <w:r w:rsidRPr="008060A4">
              <w:rPr>
                <w:sz w:val="22"/>
                <w:szCs w:val="22"/>
              </w:rPr>
              <w:t xml:space="preserve">To reflect updated Organization costs. </w:t>
            </w:r>
          </w:p>
        </w:tc>
        <w:tc>
          <w:tcPr>
            <w:tcW w:w="2186" w:type="dxa"/>
            <w:tcBorders>
              <w:top w:val="nil"/>
              <w:left w:val="nil"/>
              <w:bottom w:val="nil"/>
              <w:right w:val="nil"/>
            </w:tcBorders>
            <w:shd w:val="clear" w:color="000000" w:fill="FFFFFF"/>
            <w:noWrap/>
            <w:vAlign w:val="bottom"/>
          </w:tcPr>
          <w:p w14:paraId="63CF244D" w14:textId="77777777" w:rsidR="008060A4" w:rsidRPr="008060A4" w:rsidRDefault="008060A4" w:rsidP="008060A4">
            <w:pPr>
              <w:jc w:val="right"/>
              <w:rPr>
                <w:sz w:val="22"/>
                <w:szCs w:val="22"/>
              </w:rPr>
            </w:pPr>
            <w:r w:rsidRPr="008060A4">
              <w:rPr>
                <w:sz w:val="22"/>
                <w:szCs w:val="22"/>
              </w:rPr>
              <w:t xml:space="preserve">                  ($2,203)</w:t>
            </w:r>
          </w:p>
        </w:tc>
        <w:tc>
          <w:tcPr>
            <w:tcW w:w="283" w:type="dxa"/>
            <w:tcBorders>
              <w:top w:val="nil"/>
              <w:left w:val="nil"/>
              <w:bottom w:val="nil"/>
              <w:right w:val="single" w:sz="4" w:space="0" w:color="auto"/>
            </w:tcBorders>
            <w:shd w:val="clear" w:color="000000" w:fill="FFFFFF"/>
            <w:noWrap/>
            <w:vAlign w:val="bottom"/>
          </w:tcPr>
          <w:p w14:paraId="1CB089B9" w14:textId="77777777" w:rsidR="008060A4" w:rsidRDefault="008060A4" w:rsidP="008060A4">
            <w:pPr>
              <w:rPr>
                <w:sz w:val="22"/>
                <w:szCs w:val="22"/>
              </w:rPr>
            </w:pPr>
          </w:p>
        </w:tc>
      </w:tr>
      <w:tr w:rsidR="008060A4" w14:paraId="41D72079"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0CC40B0F"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hideMark/>
          </w:tcPr>
          <w:p w14:paraId="57E8F31F" w14:textId="77777777" w:rsidR="008060A4" w:rsidRPr="008060A4" w:rsidRDefault="008060A4" w:rsidP="008060A4">
            <w:pPr>
              <w:rPr>
                <w:sz w:val="22"/>
                <w:szCs w:val="22"/>
              </w:rPr>
            </w:pPr>
            <w:r w:rsidRPr="008060A4">
              <w:rPr>
                <w:sz w:val="22"/>
                <w:szCs w:val="22"/>
              </w:rPr>
              <w:t>To reflect Main Extension Charge.</w:t>
            </w:r>
          </w:p>
        </w:tc>
        <w:tc>
          <w:tcPr>
            <w:tcW w:w="2186" w:type="dxa"/>
            <w:tcBorders>
              <w:top w:val="nil"/>
              <w:left w:val="nil"/>
              <w:bottom w:val="nil"/>
              <w:right w:val="nil"/>
            </w:tcBorders>
            <w:shd w:val="clear" w:color="000000" w:fill="FFFFFF"/>
            <w:noWrap/>
            <w:vAlign w:val="bottom"/>
            <w:hideMark/>
          </w:tcPr>
          <w:p w14:paraId="1EC3E0B4" w14:textId="77777777" w:rsidR="008060A4" w:rsidRPr="008060A4" w:rsidRDefault="008060A4" w:rsidP="008060A4">
            <w:pPr>
              <w:jc w:val="right"/>
              <w:rPr>
                <w:sz w:val="22"/>
                <w:szCs w:val="22"/>
              </w:rPr>
            </w:pPr>
            <w:r w:rsidRPr="008060A4">
              <w:rPr>
                <w:sz w:val="22"/>
                <w:szCs w:val="22"/>
              </w:rPr>
              <w:t>(5,535)</w:t>
            </w:r>
          </w:p>
        </w:tc>
        <w:tc>
          <w:tcPr>
            <w:tcW w:w="283" w:type="dxa"/>
            <w:tcBorders>
              <w:top w:val="nil"/>
              <w:left w:val="nil"/>
              <w:bottom w:val="nil"/>
              <w:right w:val="single" w:sz="4" w:space="0" w:color="auto"/>
            </w:tcBorders>
            <w:shd w:val="clear" w:color="000000" w:fill="FFFFFF"/>
            <w:noWrap/>
            <w:vAlign w:val="bottom"/>
            <w:hideMark/>
          </w:tcPr>
          <w:p w14:paraId="5B901735" w14:textId="77777777" w:rsidR="008060A4" w:rsidRDefault="008060A4" w:rsidP="008060A4">
            <w:pPr>
              <w:rPr>
                <w:sz w:val="22"/>
                <w:szCs w:val="22"/>
              </w:rPr>
            </w:pPr>
            <w:r>
              <w:rPr>
                <w:sz w:val="22"/>
                <w:szCs w:val="22"/>
              </w:rPr>
              <w:t> </w:t>
            </w:r>
          </w:p>
        </w:tc>
      </w:tr>
      <w:tr w:rsidR="008060A4" w14:paraId="746DF2E4"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7505A216"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tcPr>
          <w:p w14:paraId="742827EA" w14:textId="77777777" w:rsidR="008060A4" w:rsidRPr="008060A4" w:rsidRDefault="008060A4" w:rsidP="008060A4">
            <w:pPr>
              <w:rPr>
                <w:sz w:val="22"/>
                <w:szCs w:val="22"/>
              </w:rPr>
            </w:pPr>
            <w:r w:rsidRPr="008060A4">
              <w:rPr>
                <w:sz w:val="22"/>
                <w:szCs w:val="22"/>
              </w:rPr>
              <w:t xml:space="preserve">To reflect appropriate asset life. </w:t>
            </w:r>
          </w:p>
        </w:tc>
        <w:tc>
          <w:tcPr>
            <w:tcW w:w="2186" w:type="dxa"/>
            <w:tcBorders>
              <w:top w:val="nil"/>
              <w:left w:val="nil"/>
              <w:bottom w:val="nil"/>
              <w:right w:val="nil"/>
            </w:tcBorders>
            <w:shd w:val="clear" w:color="000000" w:fill="FFFFFF"/>
            <w:noWrap/>
            <w:vAlign w:val="bottom"/>
          </w:tcPr>
          <w:p w14:paraId="43903B03" w14:textId="77777777" w:rsidR="008060A4" w:rsidRPr="008060A4" w:rsidRDefault="008060A4" w:rsidP="008060A4">
            <w:pPr>
              <w:jc w:val="right"/>
              <w:rPr>
                <w:sz w:val="22"/>
                <w:szCs w:val="22"/>
                <w:u w:val="single"/>
              </w:rPr>
            </w:pPr>
            <w:r w:rsidRPr="008060A4">
              <w:rPr>
                <w:sz w:val="22"/>
                <w:szCs w:val="22"/>
              </w:rPr>
              <w:t xml:space="preserve">                </w:t>
            </w:r>
            <w:r w:rsidRPr="008060A4">
              <w:rPr>
                <w:sz w:val="22"/>
                <w:szCs w:val="22"/>
                <w:u w:val="single"/>
              </w:rPr>
              <w:t xml:space="preserve">231,788 </w:t>
            </w:r>
          </w:p>
        </w:tc>
        <w:tc>
          <w:tcPr>
            <w:tcW w:w="283" w:type="dxa"/>
            <w:tcBorders>
              <w:top w:val="nil"/>
              <w:left w:val="nil"/>
              <w:bottom w:val="nil"/>
              <w:right w:val="single" w:sz="4" w:space="0" w:color="auto"/>
            </w:tcBorders>
            <w:shd w:val="clear" w:color="000000" w:fill="FFFFFF"/>
            <w:noWrap/>
            <w:vAlign w:val="bottom"/>
            <w:hideMark/>
          </w:tcPr>
          <w:p w14:paraId="0F34B770" w14:textId="77777777" w:rsidR="008060A4" w:rsidRDefault="008060A4" w:rsidP="008060A4">
            <w:pPr>
              <w:rPr>
                <w:sz w:val="22"/>
                <w:szCs w:val="22"/>
              </w:rPr>
            </w:pPr>
            <w:r>
              <w:rPr>
                <w:sz w:val="22"/>
                <w:szCs w:val="22"/>
              </w:rPr>
              <w:t> </w:t>
            </w:r>
          </w:p>
        </w:tc>
      </w:tr>
      <w:tr w:rsidR="008060A4" w14:paraId="75C0097F"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390BFF4D"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hideMark/>
          </w:tcPr>
          <w:p w14:paraId="1C4E0B29" w14:textId="77777777" w:rsidR="008060A4" w:rsidRDefault="008060A4" w:rsidP="008060A4">
            <w:pPr>
              <w:rPr>
                <w:b/>
                <w:bCs/>
                <w:sz w:val="22"/>
                <w:szCs w:val="22"/>
              </w:rPr>
            </w:pPr>
            <w:r>
              <w:rPr>
                <w:b/>
                <w:bCs/>
                <w:sz w:val="22"/>
                <w:szCs w:val="22"/>
              </w:rPr>
              <w:t xml:space="preserve">    Total</w:t>
            </w:r>
          </w:p>
        </w:tc>
        <w:tc>
          <w:tcPr>
            <w:tcW w:w="2186" w:type="dxa"/>
            <w:tcBorders>
              <w:left w:val="nil"/>
              <w:bottom w:val="nil"/>
              <w:right w:val="nil"/>
            </w:tcBorders>
            <w:shd w:val="clear" w:color="000000" w:fill="FFFFFF"/>
            <w:noWrap/>
            <w:vAlign w:val="bottom"/>
            <w:hideMark/>
          </w:tcPr>
          <w:p w14:paraId="790EE3BB" w14:textId="77777777" w:rsidR="008060A4" w:rsidRDefault="008060A4" w:rsidP="008060A4">
            <w:pPr>
              <w:jc w:val="right"/>
              <w:rPr>
                <w:sz w:val="22"/>
                <w:szCs w:val="22"/>
              </w:rPr>
            </w:pPr>
            <w:r>
              <w:rPr>
                <w:sz w:val="22"/>
                <w:szCs w:val="22"/>
              </w:rPr>
              <w:t xml:space="preserve">               </w:t>
            </w:r>
            <w:r w:rsidRPr="00A147D9">
              <w:rPr>
                <w:sz w:val="22"/>
                <w:szCs w:val="22"/>
                <w:u w:val="double"/>
              </w:rPr>
              <w:t xml:space="preserve"> $2</w:t>
            </w:r>
            <w:r>
              <w:rPr>
                <w:sz w:val="22"/>
                <w:szCs w:val="22"/>
                <w:u w:val="double"/>
              </w:rPr>
              <w:t>41,267</w:t>
            </w:r>
            <w:r>
              <w:rPr>
                <w:sz w:val="22"/>
                <w:szCs w:val="22"/>
              </w:rPr>
              <w:t xml:space="preserve"> </w:t>
            </w:r>
          </w:p>
        </w:tc>
        <w:tc>
          <w:tcPr>
            <w:tcW w:w="283" w:type="dxa"/>
            <w:tcBorders>
              <w:top w:val="nil"/>
              <w:left w:val="nil"/>
              <w:bottom w:val="nil"/>
              <w:right w:val="single" w:sz="4" w:space="0" w:color="auto"/>
            </w:tcBorders>
            <w:shd w:val="clear" w:color="000000" w:fill="FFFFFF"/>
            <w:noWrap/>
            <w:vAlign w:val="bottom"/>
            <w:hideMark/>
          </w:tcPr>
          <w:p w14:paraId="4B4373D8" w14:textId="77777777" w:rsidR="008060A4" w:rsidRDefault="008060A4" w:rsidP="008060A4">
            <w:pPr>
              <w:rPr>
                <w:sz w:val="22"/>
                <w:szCs w:val="22"/>
              </w:rPr>
            </w:pPr>
            <w:r>
              <w:rPr>
                <w:sz w:val="22"/>
                <w:szCs w:val="22"/>
              </w:rPr>
              <w:t> </w:t>
            </w:r>
          </w:p>
        </w:tc>
      </w:tr>
      <w:tr w:rsidR="008060A4" w14:paraId="733780D2"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633939C8"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tcPr>
          <w:p w14:paraId="256A962F" w14:textId="77777777" w:rsidR="008060A4" w:rsidRDefault="008060A4" w:rsidP="008060A4">
            <w:pPr>
              <w:rPr>
                <w:sz w:val="22"/>
                <w:szCs w:val="22"/>
              </w:rPr>
            </w:pPr>
          </w:p>
        </w:tc>
        <w:tc>
          <w:tcPr>
            <w:tcW w:w="2186" w:type="dxa"/>
            <w:tcBorders>
              <w:top w:val="nil"/>
              <w:left w:val="nil"/>
              <w:bottom w:val="nil"/>
              <w:right w:val="nil"/>
            </w:tcBorders>
            <w:shd w:val="clear" w:color="000000" w:fill="FFFFFF"/>
            <w:noWrap/>
            <w:vAlign w:val="bottom"/>
          </w:tcPr>
          <w:p w14:paraId="05104B77" w14:textId="77777777" w:rsidR="008060A4" w:rsidRDefault="008060A4" w:rsidP="008060A4">
            <w:pPr>
              <w:jc w:val="right"/>
              <w:rPr>
                <w:sz w:val="22"/>
                <w:szCs w:val="22"/>
              </w:rPr>
            </w:pPr>
          </w:p>
        </w:tc>
        <w:tc>
          <w:tcPr>
            <w:tcW w:w="283" w:type="dxa"/>
            <w:tcBorders>
              <w:top w:val="nil"/>
              <w:left w:val="nil"/>
              <w:bottom w:val="nil"/>
              <w:right w:val="single" w:sz="4" w:space="0" w:color="auto"/>
            </w:tcBorders>
            <w:shd w:val="clear" w:color="000000" w:fill="FFFFFF"/>
            <w:noWrap/>
            <w:vAlign w:val="bottom"/>
          </w:tcPr>
          <w:p w14:paraId="5D2BC528" w14:textId="77777777" w:rsidR="008060A4" w:rsidRDefault="008060A4" w:rsidP="008060A4">
            <w:pPr>
              <w:rPr>
                <w:sz w:val="22"/>
                <w:szCs w:val="22"/>
              </w:rPr>
            </w:pPr>
            <w:r>
              <w:rPr>
                <w:sz w:val="22"/>
                <w:szCs w:val="22"/>
              </w:rPr>
              <w:t> </w:t>
            </w:r>
          </w:p>
        </w:tc>
      </w:tr>
      <w:tr w:rsidR="008060A4" w14:paraId="7EF07ADF"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3355EAB5" w14:textId="77777777" w:rsidR="008060A4" w:rsidRDefault="008060A4" w:rsidP="008060A4">
            <w:pPr>
              <w:jc w:val="center"/>
              <w:rPr>
                <w:sz w:val="22"/>
                <w:szCs w:val="22"/>
              </w:rPr>
            </w:pPr>
            <w:r>
              <w:rPr>
                <w:sz w:val="22"/>
                <w:szCs w:val="22"/>
              </w:rPr>
              <w:t xml:space="preserve">  </w:t>
            </w:r>
          </w:p>
        </w:tc>
        <w:tc>
          <w:tcPr>
            <w:tcW w:w="6604" w:type="dxa"/>
            <w:tcBorders>
              <w:top w:val="nil"/>
              <w:left w:val="nil"/>
              <w:bottom w:val="nil"/>
              <w:right w:val="nil"/>
            </w:tcBorders>
            <w:shd w:val="clear" w:color="000000" w:fill="FFFFFF"/>
            <w:noWrap/>
            <w:vAlign w:val="bottom"/>
            <w:hideMark/>
          </w:tcPr>
          <w:p w14:paraId="0219E352" w14:textId="77777777" w:rsidR="008060A4" w:rsidRDefault="008060A4" w:rsidP="008060A4">
            <w:pPr>
              <w:rPr>
                <w:sz w:val="22"/>
                <w:szCs w:val="22"/>
              </w:rPr>
            </w:pPr>
            <w:r w:rsidRPr="00753C51">
              <w:rPr>
                <w:b/>
                <w:bCs/>
                <w:sz w:val="22"/>
                <w:szCs w:val="22"/>
              </w:rPr>
              <w:t>Amortization Expense</w:t>
            </w:r>
          </w:p>
        </w:tc>
        <w:tc>
          <w:tcPr>
            <w:tcW w:w="2186" w:type="dxa"/>
            <w:tcBorders>
              <w:top w:val="nil"/>
              <w:left w:val="nil"/>
              <w:right w:val="nil"/>
            </w:tcBorders>
            <w:shd w:val="clear" w:color="000000" w:fill="FFFFFF"/>
            <w:noWrap/>
            <w:vAlign w:val="bottom"/>
            <w:hideMark/>
          </w:tcPr>
          <w:p w14:paraId="363271CB" w14:textId="77777777" w:rsidR="008060A4" w:rsidRDefault="008060A4" w:rsidP="008060A4">
            <w:pPr>
              <w:jc w:val="right"/>
              <w:rPr>
                <w:sz w:val="22"/>
                <w:szCs w:val="22"/>
              </w:rPr>
            </w:pPr>
          </w:p>
        </w:tc>
        <w:tc>
          <w:tcPr>
            <w:tcW w:w="283" w:type="dxa"/>
            <w:tcBorders>
              <w:top w:val="nil"/>
              <w:left w:val="nil"/>
              <w:bottom w:val="nil"/>
              <w:right w:val="single" w:sz="4" w:space="0" w:color="auto"/>
            </w:tcBorders>
            <w:shd w:val="clear" w:color="000000" w:fill="FFFFFF"/>
            <w:noWrap/>
            <w:vAlign w:val="bottom"/>
            <w:hideMark/>
          </w:tcPr>
          <w:p w14:paraId="48444AA5" w14:textId="77777777" w:rsidR="008060A4" w:rsidRDefault="008060A4" w:rsidP="008060A4">
            <w:pPr>
              <w:rPr>
                <w:sz w:val="22"/>
                <w:szCs w:val="22"/>
              </w:rPr>
            </w:pPr>
          </w:p>
        </w:tc>
      </w:tr>
      <w:tr w:rsidR="008060A4" w14:paraId="102A4535"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6AA6C288"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hideMark/>
          </w:tcPr>
          <w:p w14:paraId="1A81CF9F" w14:textId="77777777" w:rsidR="008060A4" w:rsidRDefault="008060A4" w:rsidP="008060A4">
            <w:pPr>
              <w:rPr>
                <w:sz w:val="22"/>
                <w:szCs w:val="22"/>
              </w:rPr>
            </w:pPr>
            <w:r>
              <w:rPr>
                <w:sz w:val="22"/>
                <w:szCs w:val="22"/>
              </w:rPr>
              <w:t>To reclassify depreciation expense</w:t>
            </w:r>
          </w:p>
        </w:tc>
        <w:tc>
          <w:tcPr>
            <w:tcW w:w="2186" w:type="dxa"/>
            <w:tcBorders>
              <w:top w:val="nil"/>
              <w:left w:val="nil"/>
              <w:right w:val="nil"/>
            </w:tcBorders>
            <w:shd w:val="clear" w:color="000000" w:fill="FFFFFF"/>
            <w:noWrap/>
            <w:vAlign w:val="bottom"/>
            <w:hideMark/>
          </w:tcPr>
          <w:p w14:paraId="0106D60A" w14:textId="77777777" w:rsidR="008060A4" w:rsidRPr="00A147D9" w:rsidRDefault="008060A4" w:rsidP="008060A4">
            <w:pPr>
              <w:jc w:val="right"/>
              <w:rPr>
                <w:sz w:val="22"/>
                <w:szCs w:val="22"/>
              </w:rPr>
            </w:pPr>
            <w:r>
              <w:rPr>
                <w:sz w:val="22"/>
                <w:szCs w:val="22"/>
              </w:rPr>
              <w:t xml:space="preserve">              </w:t>
            </w:r>
            <w:r w:rsidRPr="00A147D9">
              <w:rPr>
                <w:sz w:val="22"/>
                <w:szCs w:val="22"/>
              </w:rPr>
              <w:t xml:space="preserve">    </w:t>
            </w:r>
            <w:r w:rsidRPr="00A147D9">
              <w:rPr>
                <w:sz w:val="22"/>
                <w:szCs w:val="22"/>
                <w:u w:val="double"/>
              </w:rPr>
              <w:t>($</w:t>
            </w:r>
            <w:r>
              <w:rPr>
                <w:sz w:val="22"/>
                <w:szCs w:val="22"/>
                <w:u w:val="double"/>
              </w:rPr>
              <w:t>17,217</w:t>
            </w:r>
            <w:r w:rsidRPr="00A147D9">
              <w:rPr>
                <w:sz w:val="22"/>
                <w:szCs w:val="22"/>
                <w:u w:val="double"/>
              </w:rPr>
              <w:t>)</w:t>
            </w:r>
            <w:r w:rsidRPr="00A147D9">
              <w:rPr>
                <w:sz w:val="22"/>
                <w:szCs w:val="22"/>
              </w:rPr>
              <w:t xml:space="preserve"> </w:t>
            </w:r>
          </w:p>
        </w:tc>
        <w:tc>
          <w:tcPr>
            <w:tcW w:w="283" w:type="dxa"/>
            <w:tcBorders>
              <w:top w:val="nil"/>
              <w:left w:val="nil"/>
              <w:bottom w:val="nil"/>
              <w:right w:val="single" w:sz="4" w:space="0" w:color="auto"/>
            </w:tcBorders>
            <w:shd w:val="clear" w:color="000000" w:fill="FFFFFF"/>
            <w:noWrap/>
            <w:vAlign w:val="bottom"/>
            <w:hideMark/>
          </w:tcPr>
          <w:p w14:paraId="7E4DF7D9" w14:textId="77777777" w:rsidR="008060A4" w:rsidRDefault="008060A4" w:rsidP="008060A4">
            <w:pPr>
              <w:rPr>
                <w:sz w:val="22"/>
                <w:szCs w:val="22"/>
              </w:rPr>
            </w:pPr>
            <w:r>
              <w:rPr>
                <w:sz w:val="22"/>
                <w:szCs w:val="22"/>
              </w:rPr>
              <w:t> </w:t>
            </w:r>
          </w:p>
        </w:tc>
      </w:tr>
      <w:tr w:rsidR="008060A4" w14:paraId="2AEF70B5"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40ADCD8F"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hideMark/>
          </w:tcPr>
          <w:p w14:paraId="66B3AF7A" w14:textId="77777777" w:rsidR="008060A4" w:rsidRDefault="008060A4" w:rsidP="008060A4">
            <w:pPr>
              <w:rPr>
                <w:b/>
                <w:bCs/>
                <w:sz w:val="22"/>
                <w:szCs w:val="22"/>
              </w:rPr>
            </w:pPr>
          </w:p>
        </w:tc>
        <w:tc>
          <w:tcPr>
            <w:tcW w:w="2186" w:type="dxa"/>
            <w:tcBorders>
              <w:top w:val="nil"/>
              <w:left w:val="nil"/>
              <w:bottom w:val="nil"/>
              <w:right w:val="nil"/>
            </w:tcBorders>
            <w:shd w:val="clear" w:color="000000" w:fill="FFFFFF"/>
            <w:noWrap/>
            <w:vAlign w:val="bottom"/>
            <w:hideMark/>
          </w:tcPr>
          <w:p w14:paraId="165FD4EF" w14:textId="77777777" w:rsidR="008060A4" w:rsidRDefault="008060A4" w:rsidP="008060A4">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757880BB" w14:textId="77777777" w:rsidR="008060A4" w:rsidRDefault="008060A4" w:rsidP="008060A4">
            <w:pPr>
              <w:rPr>
                <w:sz w:val="22"/>
                <w:szCs w:val="22"/>
              </w:rPr>
            </w:pPr>
            <w:r>
              <w:rPr>
                <w:sz w:val="22"/>
                <w:szCs w:val="22"/>
              </w:rPr>
              <w:t> </w:t>
            </w:r>
          </w:p>
        </w:tc>
      </w:tr>
      <w:tr w:rsidR="008060A4" w14:paraId="36CBCF68" w14:textId="77777777" w:rsidTr="008060A4">
        <w:trPr>
          <w:trHeight w:val="300"/>
        </w:trPr>
        <w:tc>
          <w:tcPr>
            <w:tcW w:w="272" w:type="dxa"/>
            <w:tcBorders>
              <w:top w:val="nil"/>
              <w:left w:val="single" w:sz="4" w:space="0" w:color="auto"/>
              <w:bottom w:val="nil"/>
              <w:right w:val="nil"/>
            </w:tcBorders>
            <w:shd w:val="clear" w:color="000000" w:fill="FFFFFF"/>
            <w:noWrap/>
            <w:vAlign w:val="bottom"/>
            <w:hideMark/>
          </w:tcPr>
          <w:p w14:paraId="3EC3A373"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hideMark/>
          </w:tcPr>
          <w:p w14:paraId="7262487E" w14:textId="77777777" w:rsidR="008060A4" w:rsidRDefault="008060A4" w:rsidP="008060A4">
            <w:pPr>
              <w:rPr>
                <w:sz w:val="22"/>
                <w:szCs w:val="22"/>
              </w:rPr>
            </w:pPr>
            <w:r>
              <w:rPr>
                <w:b/>
                <w:bCs/>
                <w:sz w:val="22"/>
                <w:szCs w:val="22"/>
              </w:rPr>
              <w:t>Taxes Other Than Income</w:t>
            </w:r>
          </w:p>
        </w:tc>
        <w:tc>
          <w:tcPr>
            <w:tcW w:w="2186" w:type="dxa"/>
            <w:tcBorders>
              <w:top w:val="nil"/>
              <w:left w:val="nil"/>
              <w:right w:val="nil"/>
            </w:tcBorders>
            <w:shd w:val="clear" w:color="000000" w:fill="FFFFFF"/>
            <w:noWrap/>
            <w:vAlign w:val="bottom"/>
            <w:hideMark/>
          </w:tcPr>
          <w:p w14:paraId="3F84022F" w14:textId="77777777" w:rsidR="008060A4" w:rsidRDefault="008060A4" w:rsidP="008060A4">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46549B04" w14:textId="77777777" w:rsidR="008060A4" w:rsidRDefault="008060A4" w:rsidP="008060A4">
            <w:pPr>
              <w:rPr>
                <w:sz w:val="22"/>
                <w:szCs w:val="22"/>
              </w:rPr>
            </w:pPr>
            <w:r>
              <w:rPr>
                <w:sz w:val="22"/>
                <w:szCs w:val="22"/>
              </w:rPr>
              <w:t> </w:t>
            </w:r>
          </w:p>
        </w:tc>
      </w:tr>
      <w:tr w:rsidR="008060A4" w14:paraId="528FA511" w14:textId="77777777" w:rsidTr="008060A4">
        <w:trPr>
          <w:trHeight w:val="300"/>
        </w:trPr>
        <w:tc>
          <w:tcPr>
            <w:tcW w:w="272" w:type="dxa"/>
            <w:tcBorders>
              <w:top w:val="nil"/>
              <w:left w:val="single" w:sz="4" w:space="0" w:color="auto"/>
              <w:right w:val="nil"/>
            </w:tcBorders>
            <w:shd w:val="clear" w:color="000000" w:fill="FFFFFF"/>
            <w:noWrap/>
            <w:vAlign w:val="bottom"/>
            <w:hideMark/>
          </w:tcPr>
          <w:p w14:paraId="43E09249" w14:textId="77777777" w:rsidR="008060A4" w:rsidRDefault="008060A4" w:rsidP="008060A4">
            <w:pPr>
              <w:jc w:val="center"/>
              <w:rPr>
                <w:sz w:val="22"/>
                <w:szCs w:val="22"/>
              </w:rPr>
            </w:pPr>
            <w:r>
              <w:rPr>
                <w:sz w:val="22"/>
                <w:szCs w:val="22"/>
              </w:rPr>
              <w:t> </w:t>
            </w:r>
          </w:p>
        </w:tc>
        <w:tc>
          <w:tcPr>
            <w:tcW w:w="6604" w:type="dxa"/>
            <w:tcBorders>
              <w:top w:val="nil"/>
              <w:left w:val="nil"/>
              <w:bottom w:val="nil"/>
              <w:right w:val="nil"/>
            </w:tcBorders>
            <w:shd w:val="clear" w:color="000000" w:fill="FFFFFF"/>
            <w:noWrap/>
            <w:vAlign w:val="bottom"/>
            <w:hideMark/>
          </w:tcPr>
          <w:p w14:paraId="1958DBA1" w14:textId="77777777" w:rsidR="008060A4" w:rsidRDefault="008060A4" w:rsidP="008060A4">
            <w:pPr>
              <w:rPr>
                <w:b/>
                <w:bCs/>
                <w:sz w:val="22"/>
                <w:szCs w:val="22"/>
              </w:rPr>
            </w:pPr>
            <w:r>
              <w:rPr>
                <w:sz w:val="22"/>
                <w:szCs w:val="22"/>
              </w:rPr>
              <w:t xml:space="preserve">To reflect a corresponding adjustment to Salaries and Wages. </w:t>
            </w:r>
          </w:p>
        </w:tc>
        <w:tc>
          <w:tcPr>
            <w:tcW w:w="2186" w:type="dxa"/>
            <w:tcBorders>
              <w:top w:val="nil"/>
              <w:left w:val="nil"/>
              <w:bottom w:val="nil"/>
              <w:right w:val="nil"/>
            </w:tcBorders>
            <w:shd w:val="clear" w:color="000000" w:fill="FFFFFF"/>
            <w:noWrap/>
            <w:vAlign w:val="bottom"/>
            <w:hideMark/>
          </w:tcPr>
          <w:p w14:paraId="00EE728E" w14:textId="77777777" w:rsidR="008060A4" w:rsidRDefault="008060A4" w:rsidP="008060A4">
            <w:pPr>
              <w:jc w:val="right"/>
              <w:rPr>
                <w:sz w:val="22"/>
                <w:szCs w:val="22"/>
              </w:rPr>
            </w:pPr>
            <w:r>
              <w:rPr>
                <w:sz w:val="22"/>
                <w:szCs w:val="22"/>
              </w:rPr>
              <w:t xml:space="preserve">                    ($5,719)</w:t>
            </w:r>
          </w:p>
        </w:tc>
        <w:tc>
          <w:tcPr>
            <w:tcW w:w="283" w:type="dxa"/>
            <w:tcBorders>
              <w:top w:val="nil"/>
              <w:left w:val="nil"/>
              <w:right w:val="single" w:sz="4" w:space="0" w:color="auto"/>
            </w:tcBorders>
            <w:shd w:val="clear" w:color="000000" w:fill="FFFFFF"/>
            <w:noWrap/>
            <w:vAlign w:val="bottom"/>
            <w:hideMark/>
          </w:tcPr>
          <w:p w14:paraId="56AD5480" w14:textId="77777777" w:rsidR="008060A4" w:rsidRDefault="008060A4" w:rsidP="008060A4">
            <w:pPr>
              <w:rPr>
                <w:sz w:val="22"/>
                <w:szCs w:val="22"/>
              </w:rPr>
            </w:pPr>
            <w:r>
              <w:rPr>
                <w:sz w:val="22"/>
                <w:szCs w:val="22"/>
              </w:rPr>
              <w:t> </w:t>
            </w:r>
          </w:p>
        </w:tc>
      </w:tr>
      <w:tr w:rsidR="008060A4" w14:paraId="7B65BC21" w14:textId="77777777" w:rsidTr="008060A4">
        <w:trPr>
          <w:trHeight w:val="300"/>
        </w:trPr>
        <w:tc>
          <w:tcPr>
            <w:tcW w:w="272" w:type="dxa"/>
            <w:tcBorders>
              <w:top w:val="nil"/>
              <w:left w:val="single" w:sz="4" w:space="0" w:color="auto"/>
              <w:bottom w:val="single" w:sz="4" w:space="0" w:color="auto"/>
              <w:right w:val="nil"/>
            </w:tcBorders>
            <w:shd w:val="clear" w:color="000000" w:fill="FFFFFF"/>
            <w:noWrap/>
            <w:vAlign w:val="bottom"/>
            <w:hideMark/>
          </w:tcPr>
          <w:p w14:paraId="6BBC5810" w14:textId="77777777" w:rsidR="008060A4" w:rsidRDefault="008060A4" w:rsidP="008060A4">
            <w:pPr>
              <w:jc w:val="center"/>
              <w:rPr>
                <w:sz w:val="22"/>
                <w:szCs w:val="22"/>
              </w:rPr>
            </w:pPr>
            <w:r>
              <w:rPr>
                <w:sz w:val="22"/>
                <w:szCs w:val="22"/>
              </w:rPr>
              <w:t> </w:t>
            </w:r>
          </w:p>
        </w:tc>
        <w:tc>
          <w:tcPr>
            <w:tcW w:w="6604" w:type="dxa"/>
            <w:tcBorders>
              <w:left w:val="nil"/>
              <w:bottom w:val="single" w:sz="4" w:space="0" w:color="auto"/>
              <w:right w:val="nil"/>
            </w:tcBorders>
            <w:shd w:val="clear" w:color="000000" w:fill="FFFFFF"/>
            <w:noWrap/>
            <w:vAlign w:val="bottom"/>
          </w:tcPr>
          <w:p w14:paraId="338B4451" w14:textId="77777777" w:rsidR="008060A4" w:rsidRPr="001D7B49" w:rsidRDefault="008060A4" w:rsidP="008060A4">
            <w:pPr>
              <w:rPr>
                <w:b/>
                <w:bCs/>
                <w:sz w:val="22"/>
                <w:szCs w:val="22"/>
              </w:rPr>
            </w:pPr>
          </w:p>
        </w:tc>
        <w:tc>
          <w:tcPr>
            <w:tcW w:w="2186" w:type="dxa"/>
            <w:tcBorders>
              <w:left w:val="nil"/>
              <w:bottom w:val="single" w:sz="4" w:space="0" w:color="auto"/>
              <w:right w:val="nil"/>
            </w:tcBorders>
            <w:shd w:val="clear" w:color="000000" w:fill="FFFFFF"/>
            <w:noWrap/>
            <w:vAlign w:val="bottom"/>
          </w:tcPr>
          <w:p w14:paraId="00C89D7D" w14:textId="77777777" w:rsidR="008060A4" w:rsidRPr="001D7B49" w:rsidRDefault="008060A4" w:rsidP="008060A4">
            <w:pPr>
              <w:jc w:val="right"/>
              <w:rPr>
                <w:sz w:val="22"/>
                <w:szCs w:val="22"/>
              </w:rPr>
            </w:pPr>
          </w:p>
        </w:tc>
        <w:tc>
          <w:tcPr>
            <w:tcW w:w="283" w:type="dxa"/>
            <w:tcBorders>
              <w:top w:val="nil"/>
              <w:left w:val="nil"/>
              <w:bottom w:val="single" w:sz="4" w:space="0" w:color="auto"/>
              <w:right w:val="single" w:sz="4" w:space="0" w:color="auto"/>
            </w:tcBorders>
            <w:shd w:val="clear" w:color="000000" w:fill="FFFFFF"/>
            <w:noWrap/>
            <w:vAlign w:val="bottom"/>
            <w:hideMark/>
          </w:tcPr>
          <w:p w14:paraId="2B4E7185" w14:textId="77777777" w:rsidR="008060A4" w:rsidRDefault="008060A4" w:rsidP="008060A4">
            <w:pPr>
              <w:rPr>
                <w:sz w:val="22"/>
                <w:szCs w:val="22"/>
                <w:u w:val="double"/>
              </w:rPr>
            </w:pPr>
            <w:r>
              <w:rPr>
                <w:sz w:val="22"/>
                <w:szCs w:val="22"/>
              </w:rPr>
              <w:t> </w:t>
            </w:r>
          </w:p>
        </w:tc>
      </w:tr>
    </w:tbl>
    <w:p w14:paraId="08EF27E7" w14:textId="77777777" w:rsidR="005E6E8A" w:rsidRDefault="005E6E8A" w:rsidP="00E275D8">
      <w:pPr>
        <w:pStyle w:val="BodyText"/>
        <w:sectPr w:rsidR="005E6E8A" w:rsidSect="00A0086F">
          <w:headerReference w:type="default" r:id="rId21"/>
          <w:footerReference w:type="default" r:id="rId22"/>
          <w:pgSz w:w="12240" w:h="15840" w:code="1"/>
          <w:pgMar w:top="1584" w:right="1440" w:bottom="1440" w:left="1440" w:header="720" w:footer="720" w:gutter="0"/>
          <w:cols w:space="720"/>
          <w:formProt w:val="0"/>
          <w:docGrid w:linePitch="360"/>
        </w:sectPr>
      </w:pPr>
    </w:p>
    <w:tbl>
      <w:tblPr>
        <w:tblpPr w:leftFromText="180" w:rightFromText="180" w:horzAnchor="margin" w:tblpY="495"/>
        <w:tblW w:w="9541" w:type="dxa"/>
        <w:tblLook w:val="04A0" w:firstRow="1" w:lastRow="0" w:firstColumn="1" w:lastColumn="0" w:noHBand="0" w:noVBand="1"/>
      </w:tblPr>
      <w:tblGrid>
        <w:gridCol w:w="4878"/>
        <w:gridCol w:w="257"/>
        <w:gridCol w:w="362"/>
        <w:gridCol w:w="1674"/>
        <w:gridCol w:w="2352"/>
        <w:gridCol w:w="18"/>
      </w:tblGrid>
      <w:tr w:rsidR="00690DF0" w:rsidRPr="00473B1C" w14:paraId="3207AB87" w14:textId="77777777" w:rsidTr="00F14CF2">
        <w:trPr>
          <w:trHeight w:val="303"/>
        </w:trPr>
        <w:tc>
          <w:tcPr>
            <w:tcW w:w="5497" w:type="dxa"/>
            <w:gridSpan w:val="3"/>
            <w:shd w:val="clear" w:color="000000" w:fill="auto"/>
            <w:noWrap/>
            <w:vAlign w:val="bottom"/>
            <w:hideMark/>
          </w:tcPr>
          <w:p w14:paraId="59DA85FC" w14:textId="77777777" w:rsidR="00690DF0" w:rsidRPr="00690DF0" w:rsidRDefault="00690DF0" w:rsidP="00A30BB4">
            <w:pPr>
              <w:ind w:left="-90"/>
              <w:rPr>
                <w:rFonts w:ascii="Arial" w:hAnsi="Arial" w:cs="Arial"/>
                <w:b/>
                <w:bCs/>
              </w:rPr>
            </w:pPr>
            <w:r w:rsidRPr="00690DF0">
              <w:rPr>
                <w:rFonts w:ascii="Arial" w:hAnsi="Arial" w:cs="Arial"/>
                <w:b/>
                <w:bCs/>
              </w:rPr>
              <w:t> Environmental Utilities, LLC</w:t>
            </w:r>
          </w:p>
        </w:tc>
        <w:tc>
          <w:tcPr>
            <w:tcW w:w="1674" w:type="dxa"/>
            <w:shd w:val="clear" w:color="000000" w:fill="auto"/>
            <w:noWrap/>
            <w:vAlign w:val="bottom"/>
          </w:tcPr>
          <w:p w14:paraId="2F52EFD0" w14:textId="77777777" w:rsidR="00690DF0" w:rsidRPr="00473B1C" w:rsidRDefault="00690DF0" w:rsidP="00690DF0">
            <w:pPr>
              <w:jc w:val="right"/>
              <w:rPr>
                <w:rFonts w:ascii="Arial" w:hAnsi="Arial" w:cs="Arial"/>
                <w:b/>
                <w:bCs/>
                <w:color w:val="000000"/>
                <w:sz w:val="22"/>
              </w:rPr>
            </w:pPr>
          </w:p>
        </w:tc>
        <w:tc>
          <w:tcPr>
            <w:tcW w:w="2370" w:type="dxa"/>
            <w:gridSpan w:val="2"/>
            <w:shd w:val="clear" w:color="000000" w:fill="auto"/>
            <w:noWrap/>
          </w:tcPr>
          <w:p w14:paraId="1BC6BB2F" w14:textId="77777777" w:rsidR="00690DF0" w:rsidRPr="00690DF0" w:rsidRDefault="00690DF0" w:rsidP="00690DF0">
            <w:pPr>
              <w:jc w:val="right"/>
              <w:rPr>
                <w:rFonts w:ascii="Arial" w:hAnsi="Arial" w:cs="Arial"/>
                <w:b/>
              </w:rPr>
            </w:pPr>
            <w:r w:rsidRPr="00690DF0">
              <w:rPr>
                <w:rFonts w:ascii="Arial" w:hAnsi="Arial" w:cs="Arial"/>
                <w:b/>
              </w:rPr>
              <w:t xml:space="preserve">Schedule No. </w:t>
            </w:r>
            <w:r>
              <w:rPr>
                <w:rFonts w:ascii="Arial" w:hAnsi="Arial" w:cs="Arial"/>
                <w:b/>
              </w:rPr>
              <w:t>4</w:t>
            </w:r>
          </w:p>
        </w:tc>
      </w:tr>
      <w:tr w:rsidR="00690DF0" w:rsidRPr="00473B1C" w14:paraId="0C9BC298" w14:textId="77777777" w:rsidTr="00F14CF2">
        <w:trPr>
          <w:trHeight w:val="303"/>
        </w:trPr>
        <w:tc>
          <w:tcPr>
            <w:tcW w:w="5497" w:type="dxa"/>
            <w:gridSpan w:val="3"/>
            <w:shd w:val="clear" w:color="000000" w:fill="auto"/>
            <w:noWrap/>
            <w:vAlign w:val="bottom"/>
          </w:tcPr>
          <w:p w14:paraId="6B4C2F62" w14:textId="77777777" w:rsidR="00690DF0" w:rsidRPr="00690DF0" w:rsidRDefault="00690DF0" w:rsidP="00690DF0">
            <w:pPr>
              <w:rPr>
                <w:rFonts w:ascii="Arial" w:hAnsi="Arial" w:cs="Arial"/>
                <w:b/>
                <w:bCs/>
              </w:rPr>
            </w:pPr>
            <w:r w:rsidRPr="00690DF0">
              <w:rPr>
                <w:rFonts w:ascii="Arial" w:hAnsi="Arial" w:cs="Arial"/>
                <w:b/>
                <w:bCs/>
              </w:rPr>
              <w:t>Monthly Wastewater Rates</w:t>
            </w:r>
          </w:p>
        </w:tc>
        <w:tc>
          <w:tcPr>
            <w:tcW w:w="1674" w:type="dxa"/>
            <w:shd w:val="clear" w:color="000000" w:fill="auto"/>
            <w:noWrap/>
            <w:vAlign w:val="bottom"/>
          </w:tcPr>
          <w:p w14:paraId="64C2BE88" w14:textId="77777777" w:rsidR="00690DF0" w:rsidRPr="00473B1C" w:rsidRDefault="00690DF0" w:rsidP="00690DF0">
            <w:pPr>
              <w:jc w:val="right"/>
              <w:rPr>
                <w:rFonts w:ascii="Arial" w:hAnsi="Arial" w:cs="Arial"/>
                <w:b/>
                <w:bCs/>
                <w:color w:val="000000"/>
                <w:sz w:val="22"/>
              </w:rPr>
            </w:pPr>
          </w:p>
        </w:tc>
        <w:tc>
          <w:tcPr>
            <w:tcW w:w="2370" w:type="dxa"/>
            <w:gridSpan w:val="2"/>
            <w:shd w:val="clear" w:color="000000" w:fill="auto"/>
            <w:noWrap/>
          </w:tcPr>
          <w:p w14:paraId="1E145208" w14:textId="77777777" w:rsidR="00690DF0" w:rsidRPr="00690DF0" w:rsidRDefault="00690DF0" w:rsidP="00690DF0">
            <w:pPr>
              <w:jc w:val="right"/>
              <w:rPr>
                <w:rFonts w:ascii="Arial" w:hAnsi="Arial" w:cs="Arial"/>
                <w:b/>
              </w:rPr>
            </w:pPr>
            <w:r>
              <w:rPr>
                <w:rFonts w:ascii="Arial" w:hAnsi="Arial" w:cs="Arial"/>
                <w:b/>
              </w:rPr>
              <w:t xml:space="preserve">DN </w:t>
            </w:r>
            <w:r w:rsidRPr="00690DF0">
              <w:rPr>
                <w:rFonts w:ascii="Arial" w:hAnsi="Arial" w:cs="Arial"/>
                <w:b/>
              </w:rPr>
              <w:t>20200226-SU</w:t>
            </w:r>
          </w:p>
        </w:tc>
      </w:tr>
      <w:tr w:rsidR="00473B1C" w:rsidRPr="00473B1C" w14:paraId="47532B5F" w14:textId="77777777" w:rsidTr="00133D40">
        <w:trPr>
          <w:trHeight w:val="405"/>
        </w:trPr>
        <w:tc>
          <w:tcPr>
            <w:tcW w:w="5497" w:type="dxa"/>
            <w:gridSpan w:val="3"/>
            <w:shd w:val="clear" w:color="000000" w:fill="auto"/>
            <w:noWrap/>
            <w:vAlign w:val="center"/>
            <w:hideMark/>
          </w:tcPr>
          <w:p w14:paraId="4E84F1D9" w14:textId="77777777" w:rsidR="00473B1C" w:rsidRPr="00690DF0" w:rsidRDefault="00473B1C" w:rsidP="008060A4">
            <w:pPr>
              <w:pStyle w:val="BodyText"/>
              <w:jc w:val="left"/>
              <w:rPr>
                <w:rFonts w:ascii="Arial" w:hAnsi="Arial" w:cs="Arial"/>
                <w:b/>
                <w:bCs/>
              </w:rPr>
            </w:pPr>
          </w:p>
        </w:tc>
        <w:tc>
          <w:tcPr>
            <w:tcW w:w="1674" w:type="dxa"/>
            <w:shd w:val="clear" w:color="000000" w:fill="auto"/>
            <w:noWrap/>
            <w:vAlign w:val="bottom"/>
          </w:tcPr>
          <w:p w14:paraId="5D3EE740" w14:textId="77777777" w:rsidR="00473B1C" w:rsidRPr="00473B1C" w:rsidRDefault="00473B1C" w:rsidP="00473B1C">
            <w:pPr>
              <w:jc w:val="right"/>
              <w:rPr>
                <w:rFonts w:ascii="Arial" w:hAnsi="Arial" w:cs="Arial"/>
                <w:b/>
                <w:bCs/>
                <w:color w:val="000000"/>
                <w:sz w:val="22"/>
              </w:rPr>
            </w:pPr>
            <w:r w:rsidRPr="00473B1C">
              <w:rPr>
                <w:rFonts w:ascii="Arial" w:hAnsi="Arial" w:cs="Arial"/>
                <w:b/>
                <w:bCs/>
                <w:color w:val="000000"/>
                <w:sz w:val="22"/>
              </w:rPr>
              <w:t>UTILITY</w:t>
            </w:r>
          </w:p>
        </w:tc>
        <w:tc>
          <w:tcPr>
            <w:tcW w:w="2370" w:type="dxa"/>
            <w:gridSpan w:val="2"/>
            <w:shd w:val="clear" w:color="000000" w:fill="auto"/>
            <w:noWrap/>
            <w:vAlign w:val="bottom"/>
          </w:tcPr>
          <w:p w14:paraId="513A5EC9" w14:textId="77777777" w:rsidR="00473B1C" w:rsidRPr="00473B1C" w:rsidRDefault="00473B1C" w:rsidP="00473B1C">
            <w:pPr>
              <w:jc w:val="right"/>
              <w:rPr>
                <w:rFonts w:ascii="Arial" w:hAnsi="Arial" w:cs="Arial"/>
                <w:b/>
                <w:bCs/>
                <w:color w:val="000000"/>
                <w:sz w:val="22"/>
              </w:rPr>
            </w:pPr>
            <w:r w:rsidRPr="00473B1C">
              <w:rPr>
                <w:rFonts w:ascii="Arial" w:hAnsi="Arial" w:cs="Arial"/>
                <w:b/>
                <w:bCs/>
                <w:color w:val="000000"/>
                <w:sz w:val="22"/>
              </w:rPr>
              <w:t xml:space="preserve">STAFF </w:t>
            </w:r>
          </w:p>
        </w:tc>
      </w:tr>
      <w:tr w:rsidR="00473B1C" w:rsidRPr="00473B1C" w14:paraId="09078302" w14:textId="77777777" w:rsidTr="00473B1C">
        <w:trPr>
          <w:trHeight w:val="318"/>
        </w:trPr>
        <w:tc>
          <w:tcPr>
            <w:tcW w:w="5497" w:type="dxa"/>
            <w:gridSpan w:val="3"/>
            <w:shd w:val="clear" w:color="000000" w:fill="auto"/>
            <w:noWrap/>
            <w:vAlign w:val="bottom"/>
            <w:hideMark/>
          </w:tcPr>
          <w:p w14:paraId="5CB3B9FF" w14:textId="77777777" w:rsidR="00473B1C" w:rsidRPr="00473B1C" w:rsidRDefault="00473B1C" w:rsidP="00473B1C">
            <w:pPr>
              <w:rPr>
                <w:b/>
                <w:bCs/>
                <w:sz w:val="20"/>
                <w:szCs w:val="20"/>
                <w:u w:val="single"/>
              </w:rPr>
            </w:pPr>
          </w:p>
        </w:tc>
        <w:tc>
          <w:tcPr>
            <w:tcW w:w="1674" w:type="dxa"/>
            <w:shd w:val="clear" w:color="000000" w:fill="auto"/>
            <w:noWrap/>
            <w:vAlign w:val="bottom"/>
          </w:tcPr>
          <w:p w14:paraId="75F34759" w14:textId="77777777" w:rsidR="00473B1C" w:rsidRPr="00473B1C" w:rsidRDefault="00473B1C" w:rsidP="00473B1C">
            <w:pPr>
              <w:jc w:val="right"/>
              <w:rPr>
                <w:rFonts w:ascii="Arial" w:hAnsi="Arial" w:cs="Arial"/>
                <w:b/>
                <w:bCs/>
                <w:color w:val="000000"/>
                <w:sz w:val="22"/>
              </w:rPr>
            </w:pPr>
            <w:r w:rsidRPr="00473B1C">
              <w:rPr>
                <w:rFonts w:ascii="Arial" w:hAnsi="Arial" w:cs="Arial"/>
                <w:b/>
                <w:bCs/>
                <w:color w:val="000000"/>
                <w:sz w:val="22"/>
              </w:rPr>
              <w:t>REQUESTED</w:t>
            </w:r>
          </w:p>
        </w:tc>
        <w:tc>
          <w:tcPr>
            <w:tcW w:w="2370" w:type="dxa"/>
            <w:gridSpan w:val="2"/>
            <w:shd w:val="clear" w:color="000000" w:fill="auto"/>
            <w:noWrap/>
            <w:vAlign w:val="bottom"/>
          </w:tcPr>
          <w:p w14:paraId="110507C3" w14:textId="77777777" w:rsidR="00473B1C" w:rsidRPr="00473B1C" w:rsidRDefault="00473B1C" w:rsidP="00473B1C">
            <w:pPr>
              <w:jc w:val="right"/>
              <w:rPr>
                <w:rFonts w:ascii="Arial" w:hAnsi="Arial" w:cs="Arial"/>
                <w:b/>
                <w:bCs/>
                <w:color w:val="000000"/>
                <w:sz w:val="22"/>
              </w:rPr>
            </w:pPr>
            <w:r w:rsidRPr="00473B1C">
              <w:rPr>
                <w:rFonts w:ascii="Arial" w:hAnsi="Arial" w:cs="Arial"/>
                <w:b/>
                <w:bCs/>
                <w:color w:val="000000"/>
                <w:sz w:val="22"/>
              </w:rPr>
              <w:t>RECOMMENDED</w:t>
            </w:r>
          </w:p>
        </w:tc>
      </w:tr>
      <w:tr w:rsidR="00473B1C" w:rsidRPr="00473B1C" w14:paraId="35119AC7" w14:textId="77777777" w:rsidTr="00473B1C">
        <w:trPr>
          <w:trHeight w:val="303"/>
        </w:trPr>
        <w:tc>
          <w:tcPr>
            <w:tcW w:w="5497" w:type="dxa"/>
            <w:gridSpan w:val="3"/>
            <w:tcBorders>
              <w:bottom w:val="single" w:sz="4" w:space="0" w:color="auto"/>
            </w:tcBorders>
            <w:shd w:val="clear" w:color="auto" w:fill="auto"/>
            <w:noWrap/>
            <w:vAlign w:val="bottom"/>
            <w:hideMark/>
          </w:tcPr>
          <w:p w14:paraId="00399BED" w14:textId="77777777" w:rsidR="00473B1C" w:rsidRPr="00473B1C" w:rsidRDefault="00473B1C" w:rsidP="00473B1C">
            <w:pPr>
              <w:rPr>
                <w:sz w:val="20"/>
                <w:szCs w:val="20"/>
              </w:rPr>
            </w:pPr>
            <w:r w:rsidRPr="00473B1C">
              <w:rPr>
                <w:sz w:val="20"/>
                <w:szCs w:val="20"/>
              </w:rPr>
              <w:t> </w:t>
            </w:r>
          </w:p>
        </w:tc>
        <w:tc>
          <w:tcPr>
            <w:tcW w:w="1674" w:type="dxa"/>
            <w:tcBorders>
              <w:bottom w:val="single" w:sz="4" w:space="0" w:color="auto"/>
            </w:tcBorders>
            <w:shd w:val="clear" w:color="000000" w:fill="auto"/>
            <w:noWrap/>
            <w:vAlign w:val="bottom"/>
            <w:hideMark/>
          </w:tcPr>
          <w:p w14:paraId="3D1F8F6A" w14:textId="77777777" w:rsidR="00473B1C" w:rsidRPr="00473B1C" w:rsidRDefault="00473B1C" w:rsidP="00473B1C">
            <w:pPr>
              <w:jc w:val="right"/>
              <w:rPr>
                <w:rFonts w:ascii="Arial" w:hAnsi="Arial" w:cs="Arial"/>
                <w:b/>
                <w:bCs/>
                <w:color w:val="000000"/>
                <w:sz w:val="22"/>
              </w:rPr>
            </w:pPr>
            <w:r w:rsidRPr="00473B1C">
              <w:rPr>
                <w:rFonts w:ascii="Arial" w:hAnsi="Arial" w:cs="Arial"/>
                <w:b/>
                <w:bCs/>
                <w:color w:val="000000"/>
                <w:sz w:val="22"/>
              </w:rPr>
              <w:t xml:space="preserve">RATES </w:t>
            </w:r>
          </w:p>
        </w:tc>
        <w:tc>
          <w:tcPr>
            <w:tcW w:w="2370" w:type="dxa"/>
            <w:gridSpan w:val="2"/>
            <w:tcBorders>
              <w:bottom w:val="single" w:sz="4" w:space="0" w:color="auto"/>
            </w:tcBorders>
            <w:shd w:val="clear" w:color="000000" w:fill="auto"/>
            <w:noWrap/>
            <w:vAlign w:val="bottom"/>
            <w:hideMark/>
          </w:tcPr>
          <w:p w14:paraId="7ECDB7D0" w14:textId="77777777" w:rsidR="00473B1C" w:rsidRPr="00473B1C" w:rsidRDefault="00473B1C" w:rsidP="00473B1C">
            <w:pPr>
              <w:jc w:val="right"/>
              <w:rPr>
                <w:rFonts w:ascii="Arial" w:hAnsi="Arial" w:cs="Arial"/>
                <w:b/>
                <w:bCs/>
                <w:color w:val="000000"/>
                <w:sz w:val="22"/>
              </w:rPr>
            </w:pPr>
            <w:r w:rsidRPr="00473B1C">
              <w:rPr>
                <w:rFonts w:ascii="Arial" w:hAnsi="Arial" w:cs="Arial"/>
                <w:b/>
                <w:bCs/>
                <w:color w:val="000000"/>
                <w:sz w:val="22"/>
              </w:rPr>
              <w:t>RATES</w:t>
            </w:r>
          </w:p>
        </w:tc>
      </w:tr>
      <w:tr w:rsidR="00473B1C" w:rsidRPr="00473B1C" w14:paraId="0721C59F" w14:textId="77777777" w:rsidTr="00473B1C">
        <w:trPr>
          <w:trHeight w:val="303"/>
        </w:trPr>
        <w:tc>
          <w:tcPr>
            <w:tcW w:w="5497" w:type="dxa"/>
            <w:gridSpan w:val="3"/>
            <w:tcBorders>
              <w:top w:val="single" w:sz="4" w:space="0" w:color="auto"/>
            </w:tcBorders>
            <w:shd w:val="clear" w:color="auto" w:fill="auto"/>
            <w:noWrap/>
            <w:vAlign w:val="bottom"/>
            <w:hideMark/>
          </w:tcPr>
          <w:p w14:paraId="7F6B93A3" w14:textId="77777777" w:rsidR="00473B1C" w:rsidRPr="00473B1C" w:rsidRDefault="00473B1C" w:rsidP="00473B1C">
            <w:pPr>
              <w:rPr>
                <w:b/>
                <w:bCs/>
                <w:sz w:val="22"/>
                <w:u w:val="thick"/>
              </w:rPr>
            </w:pPr>
            <w:r w:rsidRPr="00473B1C">
              <w:rPr>
                <w:b/>
                <w:bCs/>
                <w:sz w:val="22"/>
                <w:u w:val="thick"/>
              </w:rPr>
              <w:t xml:space="preserve">Residential Service </w:t>
            </w:r>
          </w:p>
        </w:tc>
        <w:tc>
          <w:tcPr>
            <w:tcW w:w="1674" w:type="dxa"/>
            <w:tcBorders>
              <w:top w:val="single" w:sz="4" w:space="0" w:color="auto"/>
            </w:tcBorders>
            <w:shd w:val="clear" w:color="auto" w:fill="auto"/>
            <w:noWrap/>
            <w:vAlign w:val="bottom"/>
            <w:hideMark/>
          </w:tcPr>
          <w:p w14:paraId="5D0BE221" w14:textId="77777777" w:rsidR="00473B1C" w:rsidRPr="00473B1C" w:rsidRDefault="00473B1C" w:rsidP="00473B1C">
            <w:pPr>
              <w:jc w:val="right"/>
              <w:rPr>
                <w:color w:val="000000"/>
                <w:sz w:val="22"/>
              </w:rPr>
            </w:pPr>
          </w:p>
        </w:tc>
        <w:tc>
          <w:tcPr>
            <w:tcW w:w="2370" w:type="dxa"/>
            <w:gridSpan w:val="2"/>
            <w:tcBorders>
              <w:top w:val="single" w:sz="4" w:space="0" w:color="auto"/>
            </w:tcBorders>
            <w:shd w:val="clear" w:color="auto" w:fill="auto"/>
            <w:noWrap/>
            <w:vAlign w:val="bottom"/>
            <w:hideMark/>
          </w:tcPr>
          <w:p w14:paraId="2BEEE707" w14:textId="77777777" w:rsidR="00473B1C" w:rsidRPr="00473B1C" w:rsidRDefault="00473B1C" w:rsidP="00473B1C">
            <w:pPr>
              <w:rPr>
                <w:color w:val="000000"/>
                <w:sz w:val="22"/>
              </w:rPr>
            </w:pPr>
            <w:r w:rsidRPr="00473B1C">
              <w:rPr>
                <w:color w:val="000000"/>
                <w:sz w:val="22"/>
              </w:rPr>
              <w:t> </w:t>
            </w:r>
          </w:p>
        </w:tc>
      </w:tr>
      <w:tr w:rsidR="00473B1C" w:rsidRPr="00473B1C" w14:paraId="0ACA98C7" w14:textId="77777777" w:rsidTr="00473B1C">
        <w:trPr>
          <w:trHeight w:val="303"/>
        </w:trPr>
        <w:tc>
          <w:tcPr>
            <w:tcW w:w="5497" w:type="dxa"/>
            <w:gridSpan w:val="3"/>
            <w:shd w:val="clear" w:color="auto" w:fill="auto"/>
            <w:noWrap/>
            <w:vAlign w:val="bottom"/>
            <w:hideMark/>
          </w:tcPr>
          <w:p w14:paraId="35A72294" w14:textId="77777777" w:rsidR="00473B1C" w:rsidRPr="00473B1C" w:rsidRDefault="00473B1C" w:rsidP="00473B1C">
            <w:pPr>
              <w:rPr>
                <w:sz w:val="22"/>
              </w:rPr>
            </w:pPr>
            <w:r w:rsidRPr="00473B1C">
              <w:rPr>
                <w:sz w:val="22"/>
              </w:rPr>
              <w:t>Base Facility Charge- All Meter Sizes</w:t>
            </w:r>
          </w:p>
        </w:tc>
        <w:tc>
          <w:tcPr>
            <w:tcW w:w="1674" w:type="dxa"/>
            <w:shd w:val="clear" w:color="auto" w:fill="auto"/>
            <w:noWrap/>
            <w:vAlign w:val="bottom"/>
            <w:hideMark/>
          </w:tcPr>
          <w:p w14:paraId="67E65BFC" w14:textId="77777777" w:rsidR="00473B1C" w:rsidRPr="00473B1C" w:rsidRDefault="00473B1C" w:rsidP="00473B1C">
            <w:pPr>
              <w:jc w:val="right"/>
              <w:rPr>
                <w:color w:val="000000"/>
                <w:sz w:val="22"/>
              </w:rPr>
            </w:pPr>
            <w:r w:rsidRPr="00473B1C">
              <w:rPr>
                <w:color w:val="000000"/>
                <w:sz w:val="22"/>
              </w:rPr>
              <w:t>$112.78</w:t>
            </w:r>
          </w:p>
        </w:tc>
        <w:tc>
          <w:tcPr>
            <w:tcW w:w="2370" w:type="dxa"/>
            <w:gridSpan w:val="2"/>
            <w:shd w:val="clear" w:color="auto" w:fill="auto"/>
            <w:noWrap/>
            <w:vAlign w:val="bottom"/>
            <w:hideMark/>
          </w:tcPr>
          <w:p w14:paraId="0B63B2AF" w14:textId="77777777" w:rsidR="00473B1C" w:rsidRPr="00473B1C" w:rsidRDefault="00473B1C" w:rsidP="00473B1C">
            <w:pPr>
              <w:jc w:val="right"/>
              <w:rPr>
                <w:color w:val="000000"/>
              </w:rPr>
            </w:pPr>
            <w:r w:rsidRPr="00473B1C">
              <w:rPr>
                <w:color w:val="000000"/>
              </w:rPr>
              <w:t>$106.52</w:t>
            </w:r>
          </w:p>
        </w:tc>
      </w:tr>
      <w:tr w:rsidR="00473B1C" w:rsidRPr="00473B1C" w14:paraId="2B1334CD" w14:textId="77777777" w:rsidTr="00473B1C">
        <w:trPr>
          <w:trHeight w:val="303"/>
        </w:trPr>
        <w:tc>
          <w:tcPr>
            <w:tcW w:w="5497" w:type="dxa"/>
            <w:gridSpan w:val="3"/>
            <w:shd w:val="clear" w:color="auto" w:fill="auto"/>
            <w:noWrap/>
            <w:vAlign w:val="bottom"/>
            <w:hideMark/>
          </w:tcPr>
          <w:p w14:paraId="1953BC6C" w14:textId="77777777" w:rsidR="00473B1C" w:rsidRPr="00473B1C" w:rsidRDefault="00473B1C" w:rsidP="00473B1C">
            <w:pPr>
              <w:rPr>
                <w:sz w:val="22"/>
              </w:rPr>
            </w:pPr>
            <w:r w:rsidRPr="00473B1C">
              <w:rPr>
                <w:sz w:val="22"/>
              </w:rPr>
              <w:t> </w:t>
            </w:r>
          </w:p>
        </w:tc>
        <w:tc>
          <w:tcPr>
            <w:tcW w:w="1674" w:type="dxa"/>
            <w:shd w:val="clear" w:color="auto" w:fill="auto"/>
            <w:noWrap/>
            <w:vAlign w:val="bottom"/>
            <w:hideMark/>
          </w:tcPr>
          <w:p w14:paraId="3C704291" w14:textId="77777777" w:rsidR="00473B1C" w:rsidRPr="00473B1C" w:rsidRDefault="00473B1C" w:rsidP="00473B1C">
            <w:pPr>
              <w:jc w:val="right"/>
              <w:rPr>
                <w:color w:val="000000"/>
                <w:sz w:val="22"/>
              </w:rPr>
            </w:pPr>
          </w:p>
        </w:tc>
        <w:tc>
          <w:tcPr>
            <w:tcW w:w="2370" w:type="dxa"/>
            <w:gridSpan w:val="2"/>
            <w:shd w:val="clear" w:color="auto" w:fill="auto"/>
            <w:noWrap/>
            <w:vAlign w:val="bottom"/>
            <w:hideMark/>
          </w:tcPr>
          <w:p w14:paraId="39B68B85" w14:textId="77777777" w:rsidR="00473B1C" w:rsidRPr="00473B1C" w:rsidRDefault="00473B1C" w:rsidP="00473B1C">
            <w:pPr>
              <w:rPr>
                <w:color w:val="000000"/>
              </w:rPr>
            </w:pPr>
            <w:r w:rsidRPr="00473B1C">
              <w:rPr>
                <w:color w:val="000000"/>
              </w:rPr>
              <w:t> </w:t>
            </w:r>
          </w:p>
        </w:tc>
      </w:tr>
      <w:tr w:rsidR="00473B1C" w:rsidRPr="00473B1C" w14:paraId="6DC460F3" w14:textId="77777777" w:rsidTr="00473B1C">
        <w:trPr>
          <w:trHeight w:val="303"/>
        </w:trPr>
        <w:tc>
          <w:tcPr>
            <w:tcW w:w="5497" w:type="dxa"/>
            <w:gridSpan w:val="3"/>
            <w:shd w:val="clear" w:color="auto" w:fill="auto"/>
            <w:noWrap/>
            <w:vAlign w:val="bottom"/>
            <w:hideMark/>
          </w:tcPr>
          <w:p w14:paraId="1ADD5AE4" w14:textId="77777777" w:rsidR="00473B1C" w:rsidRPr="00473B1C" w:rsidRDefault="00473B1C" w:rsidP="00473B1C">
            <w:pPr>
              <w:rPr>
                <w:sz w:val="22"/>
              </w:rPr>
            </w:pPr>
            <w:r w:rsidRPr="00473B1C">
              <w:rPr>
                <w:sz w:val="22"/>
              </w:rPr>
              <w:t>Charge per 1,000 gallons- Residential</w:t>
            </w:r>
          </w:p>
        </w:tc>
        <w:tc>
          <w:tcPr>
            <w:tcW w:w="1674" w:type="dxa"/>
            <w:shd w:val="clear" w:color="auto" w:fill="auto"/>
            <w:noWrap/>
            <w:vAlign w:val="bottom"/>
            <w:hideMark/>
          </w:tcPr>
          <w:p w14:paraId="38F49C12" w14:textId="77777777" w:rsidR="00473B1C" w:rsidRPr="00473B1C" w:rsidRDefault="00473B1C" w:rsidP="00473B1C">
            <w:pPr>
              <w:jc w:val="right"/>
              <w:rPr>
                <w:color w:val="000000"/>
                <w:sz w:val="22"/>
              </w:rPr>
            </w:pPr>
            <w:r w:rsidRPr="00473B1C">
              <w:rPr>
                <w:color w:val="000000"/>
                <w:sz w:val="22"/>
              </w:rPr>
              <w:t>$35.97</w:t>
            </w:r>
          </w:p>
        </w:tc>
        <w:tc>
          <w:tcPr>
            <w:tcW w:w="2370" w:type="dxa"/>
            <w:gridSpan w:val="2"/>
            <w:shd w:val="clear" w:color="auto" w:fill="auto"/>
            <w:noWrap/>
            <w:vAlign w:val="bottom"/>
            <w:hideMark/>
          </w:tcPr>
          <w:p w14:paraId="1B141DB5" w14:textId="77777777" w:rsidR="00473B1C" w:rsidRPr="00473B1C" w:rsidRDefault="00473B1C" w:rsidP="00473B1C">
            <w:pPr>
              <w:jc w:val="right"/>
              <w:rPr>
                <w:color w:val="000000"/>
              </w:rPr>
            </w:pPr>
            <w:r w:rsidRPr="00473B1C">
              <w:rPr>
                <w:color w:val="000000"/>
              </w:rPr>
              <w:t>$30.58</w:t>
            </w:r>
          </w:p>
        </w:tc>
      </w:tr>
      <w:tr w:rsidR="00473B1C" w:rsidRPr="00473B1C" w14:paraId="7B7AC200" w14:textId="77777777" w:rsidTr="00473B1C">
        <w:trPr>
          <w:trHeight w:val="303"/>
        </w:trPr>
        <w:tc>
          <w:tcPr>
            <w:tcW w:w="5497" w:type="dxa"/>
            <w:gridSpan w:val="3"/>
            <w:shd w:val="clear" w:color="auto" w:fill="auto"/>
            <w:noWrap/>
            <w:vAlign w:val="bottom"/>
            <w:hideMark/>
          </w:tcPr>
          <w:p w14:paraId="21C82CF6" w14:textId="77777777" w:rsidR="00473B1C" w:rsidRPr="00473B1C" w:rsidRDefault="00473B1C" w:rsidP="00473B1C">
            <w:pPr>
              <w:rPr>
                <w:sz w:val="22"/>
              </w:rPr>
            </w:pPr>
            <w:r w:rsidRPr="00473B1C">
              <w:rPr>
                <w:sz w:val="22"/>
              </w:rPr>
              <w:t>10,000 gallon cap</w:t>
            </w:r>
          </w:p>
        </w:tc>
        <w:tc>
          <w:tcPr>
            <w:tcW w:w="1674" w:type="dxa"/>
            <w:shd w:val="clear" w:color="auto" w:fill="auto"/>
            <w:noWrap/>
            <w:vAlign w:val="bottom"/>
            <w:hideMark/>
          </w:tcPr>
          <w:p w14:paraId="17719563" w14:textId="77777777" w:rsidR="00473B1C" w:rsidRPr="00473B1C" w:rsidRDefault="00473B1C" w:rsidP="00473B1C">
            <w:pPr>
              <w:jc w:val="right"/>
              <w:rPr>
                <w:color w:val="000000"/>
                <w:sz w:val="22"/>
              </w:rPr>
            </w:pPr>
          </w:p>
        </w:tc>
        <w:tc>
          <w:tcPr>
            <w:tcW w:w="2370" w:type="dxa"/>
            <w:gridSpan w:val="2"/>
            <w:shd w:val="clear" w:color="auto" w:fill="auto"/>
            <w:noWrap/>
            <w:vAlign w:val="bottom"/>
            <w:hideMark/>
          </w:tcPr>
          <w:p w14:paraId="7B7CBD65" w14:textId="77777777" w:rsidR="00473B1C" w:rsidRPr="00473B1C" w:rsidRDefault="00473B1C" w:rsidP="00473B1C">
            <w:pPr>
              <w:rPr>
                <w:color w:val="000000"/>
              </w:rPr>
            </w:pPr>
            <w:r w:rsidRPr="00473B1C">
              <w:rPr>
                <w:color w:val="000000"/>
              </w:rPr>
              <w:t> </w:t>
            </w:r>
          </w:p>
        </w:tc>
      </w:tr>
      <w:tr w:rsidR="00473B1C" w:rsidRPr="00473B1C" w14:paraId="4561950A" w14:textId="77777777" w:rsidTr="00473B1C">
        <w:trPr>
          <w:trHeight w:val="303"/>
        </w:trPr>
        <w:tc>
          <w:tcPr>
            <w:tcW w:w="5497" w:type="dxa"/>
            <w:gridSpan w:val="3"/>
            <w:shd w:val="clear" w:color="auto" w:fill="auto"/>
            <w:noWrap/>
            <w:vAlign w:val="bottom"/>
            <w:hideMark/>
          </w:tcPr>
          <w:p w14:paraId="2F717303" w14:textId="77777777" w:rsidR="00473B1C" w:rsidRPr="00473B1C" w:rsidRDefault="00473B1C" w:rsidP="00473B1C">
            <w:pPr>
              <w:rPr>
                <w:sz w:val="22"/>
              </w:rPr>
            </w:pPr>
            <w:r w:rsidRPr="00473B1C">
              <w:rPr>
                <w:sz w:val="22"/>
              </w:rPr>
              <w:t> </w:t>
            </w:r>
          </w:p>
        </w:tc>
        <w:tc>
          <w:tcPr>
            <w:tcW w:w="1674" w:type="dxa"/>
            <w:shd w:val="clear" w:color="auto" w:fill="auto"/>
            <w:noWrap/>
            <w:vAlign w:val="bottom"/>
            <w:hideMark/>
          </w:tcPr>
          <w:p w14:paraId="2E55FB0E" w14:textId="77777777" w:rsidR="00473B1C" w:rsidRPr="00473B1C" w:rsidRDefault="00473B1C" w:rsidP="00473B1C">
            <w:pPr>
              <w:jc w:val="right"/>
              <w:rPr>
                <w:color w:val="000000"/>
                <w:sz w:val="22"/>
              </w:rPr>
            </w:pPr>
          </w:p>
        </w:tc>
        <w:tc>
          <w:tcPr>
            <w:tcW w:w="2370" w:type="dxa"/>
            <w:gridSpan w:val="2"/>
            <w:shd w:val="clear" w:color="auto" w:fill="auto"/>
            <w:noWrap/>
            <w:vAlign w:val="bottom"/>
            <w:hideMark/>
          </w:tcPr>
          <w:p w14:paraId="338D0E12" w14:textId="77777777" w:rsidR="00473B1C" w:rsidRPr="00473B1C" w:rsidRDefault="00473B1C" w:rsidP="00473B1C">
            <w:pPr>
              <w:rPr>
                <w:color w:val="000000"/>
              </w:rPr>
            </w:pPr>
            <w:r w:rsidRPr="00473B1C">
              <w:rPr>
                <w:color w:val="000000"/>
              </w:rPr>
              <w:t> </w:t>
            </w:r>
          </w:p>
        </w:tc>
      </w:tr>
      <w:tr w:rsidR="00473B1C" w:rsidRPr="00473B1C" w14:paraId="06292736" w14:textId="77777777" w:rsidTr="00473B1C">
        <w:trPr>
          <w:trHeight w:val="387"/>
        </w:trPr>
        <w:tc>
          <w:tcPr>
            <w:tcW w:w="5497" w:type="dxa"/>
            <w:gridSpan w:val="3"/>
            <w:shd w:val="clear" w:color="auto" w:fill="auto"/>
            <w:noWrap/>
            <w:vAlign w:val="bottom"/>
            <w:hideMark/>
          </w:tcPr>
          <w:p w14:paraId="4B9F8BEE" w14:textId="77777777" w:rsidR="00473B1C" w:rsidRPr="00473B1C" w:rsidRDefault="00473B1C" w:rsidP="00473B1C">
            <w:pPr>
              <w:rPr>
                <w:b/>
                <w:bCs/>
                <w:sz w:val="22"/>
                <w:u w:val="single"/>
              </w:rPr>
            </w:pPr>
            <w:r w:rsidRPr="00473B1C">
              <w:rPr>
                <w:b/>
                <w:bCs/>
                <w:sz w:val="22"/>
                <w:u w:val="single"/>
              </w:rPr>
              <w:t>General Service</w:t>
            </w:r>
          </w:p>
        </w:tc>
        <w:tc>
          <w:tcPr>
            <w:tcW w:w="1674" w:type="dxa"/>
            <w:shd w:val="clear" w:color="auto" w:fill="auto"/>
            <w:noWrap/>
            <w:vAlign w:val="bottom"/>
            <w:hideMark/>
          </w:tcPr>
          <w:p w14:paraId="42C8077F" w14:textId="77777777" w:rsidR="00473B1C" w:rsidRPr="00473B1C" w:rsidRDefault="00473B1C" w:rsidP="00473B1C">
            <w:pPr>
              <w:rPr>
                <w:color w:val="000000"/>
                <w:sz w:val="22"/>
              </w:rPr>
            </w:pPr>
          </w:p>
        </w:tc>
        <w:tc>
          <w:tcPr>
            <w:tcW w:w="2370" w:type="dxa"/>
            <w:gridSpan w:val="2"/>
            <w:shd w:val="clear" w:color="auto" w:fill="auto"/>
            <w:noWrap/>
            <w:vAlign w:val="bottom"/>
            <w:hideMark/>
          </w:tcPr>
          <w:p w14:paraId="0ED46B68" w14:textId="77777777" w:rsidR="00473B1C" w:rsidRPr="00473B1C" w:rsidRDefault="00473B1C" w:rsidP="00473B1C">
            <w:pPr>
              <w:rPr>
                <w:color w:val="000000"/>
              </w:rPr>
            </w:pPr>
            <w:r w:rsidRPr="00473B1C">
              <w:rPr>
                <w:color w:val="000000"/>
              </w:rPr>
              <w:t> </w:t>
            </w:r>
          </w:p>
        </w:tc>
      </w:tr>
      <w:tr w:rsidR="00473B1C" w:rsidRPr="00473B1C" w14:paraId="3397D349" w14:textId="77777777" w:rsidTr="00473B1C">
        <w:trPr>
          <w:trHeight w:val="303"/>
        </w:trPr>
        <w:tc>
          <w:tcPr>
            <w:tcW w:w="5497" w:type="dxa"/>
            <w:gridSpan w:val="3"/>
            <w:shd w:val="clear" w:color="auto" w:fill="auto"/>
            <w:noWrap/>
            <w:vAlign w:val="bottom"/>
            <w:hideMark/>
          </w:tcPr>
          <w:p w14:paraId="73D1FF75" w14:textId="77777777" w:rsidR="00473B1C" w:rsidRPr="00473B1C" w:rsidRDefault="00473B1C" w:rsidP="00473B1C">
            <w:pPr>
              <w:rPr>
                <w:sz w:val="22"/>
              </w:rPr>
            </w:pPr>
            <w:r w:rsidRPr="00473B1C">
              <w:rPr>
                <w:sz w:val="22"/>
              </w:rPr>
              <w:t>Base Facility Charge by Meter Size</w:t>
            </w:r>
          </w:p>
        </w:tc>
        <w:tc>
          <w:tcPr>
            <w:tcW w:w="1674" w:type="dxa"/>
            <w:shd w:val="clear" w:color="auto" w:fill="auto"/>
            <w:noWrap/>
            <w:vAlign w:val="bottom"/>
            <w:hideMark/>
          </w:tcPr>
          <w:p w14:paraId="5A421839" w14:textId="77777777" w:rsidR="00473B1C" w:rsidRPr="00473B1C" w:rsidRDefault="00473B1C" w:rsidP="00473B1C">
            <w:pPr>
              <w:rPr>
                <w:color w:val="000000"/>
                <w:sz w:val="22"/>
              </w:rPr>
            </w:pPr>
          </w:p>
        </w:tc>
        <w:tc>
          <w:tcPr>
            <w:tcW w:w="2370" w:type="dxa"/>
            <w:gridSpan w:val="2"/>
            <w:shd w:val="clear" w:color="auto" w:fill="auto"/>
            <w:noWrap/>
            <w:vAlign w:val="bottom"/>
            <w:hideMark/>
          </w:tcPr>
          <w:p w14:paraId="34A83220" w14:textId="77777777" w:rsidR="00473B1C" w:rsidRPr="00473B1C" w:rsidRDefault="00473B1C" w:rsidP="00473B1C">
            <w:pPr>
              <w:rPr>
                <w:color w:val="000000"/>
              </w:rPr>
            </w:pPr>
            <w:r w:rsidRPr="00473B1C">
              <w:rPr>
                <w:color w:val="000000"/>
              </w:rPr>
              <w:t> </w:t>
            </w:r>
          </w:p>
        </w:tc>
      </w:tr>
      <w:tr w:rsidR="00473B1C" w:rsidRPr="00473B1C" w14:paraId="782877AB" w14:textId="77777777" w:rsidTr="00473B1C">
        <w:trPr>
          <w:trHeight w:val="303"/>
        </w:trPr>
        <w:tc>
          <w:tcPr>
            <w:tcW w:w="5497" w:type="dxa"/>
            <w:gridSpan w:val="3"/>
            <w:shd w:val="clear" w:color="auto" w:fill="auto"/>
            <w:noWrap/>
            <w:vAlign w:val="bottom"/>
            <w:hideMark/>
          </w:tcPr>
          <w:p w14:paraId="6291734E" w14:textId="77777777" w:rsidR="00473B1C" w:rsidRPr="00473B1C" w:rsidRDefault="00473B1C" w:rsidP="00473B1C">
            <w:pPr>
              <w:rPr>
                <w:color w:val="000000"/>
                <w:sz w:val="22"/>
              </w:rPr>
            </w:pPr>
            <w:r w:rsidRPr="00473B1C">
              <w:rPr>
                <w:color w:val="000000"/>
                <w:sz w:val="22"/>
              </w:rPr>
              <w:t>5/8" x 3/4"</w:t>
            </w:r>
          </w:p>
        </w:tc>
        <w:tc>
          <w:tcPr>
            <w:tcW w:w="1674" w:type="dxa"/>
            <w:shd w:val="clear" w:color="auto" w:fill="auto"/>
            <w:noWrap/>
            <w:vAlign w:val="bottom"/>
            <w:hideMark/>
          </w:tcPr>
          <w:p w14:paraId="010164BC" w14:textId="77777777" w:rsidR="00473B1C" w:rsidRPr="00473B1C" w:rsidRDefault="00473B1C" w:rsidP="00473B1C">
            <w:pPr>
              <w:jc w:val="right"/>
              <w:rPr>
                <w:color w:val="000000"/>
                <w:sz w:val="22"/>
              </w:rPr>
            </w:pPr>
            <w:r w:rsidRPr="00473B1C">
              <w:rPr>
                <w:color w:val="000000"/>
                <w:sz w:val="22"/>
              </w:rPr>
              <w:t>$112.78</w:t>
            </w:r>
          </w:p>
        </w:tc>
        <w:tc>
          <w:tcPr>
            <w:tcW w:w="2370" w:type="dxa"/>
            <w:gridSpan w:val="2"/>
            <w:shd w:val="clear" w:color="auto" w:fill="auto"/>
            <w:noWrap/>
            <w:vAlign w:val="bottom"/>
            <w:hideMark/>
          </w:tcPr>
          <w:p w14:paraId="2D823B44" w14:textId="77777777" w:rsidR="00473B1C" w:rsidRPr="00473B1C" w:rsidRDefault="00473B1C" w:rsidP="00473B1C">
            <w:pPr>
              <w:jc w:val="right"/>
              <w:rPr>
                <w:color w:val="000000"/>
              </w:rPr>
            </w:pPr>
            <w:r w:rsidRPr="00473B1C">
              <w:rPr>
                <w:color w:val="000000"/>
              </w:rPr>
              <w:t>$106.52</w:t>
            </w:r>
          </w:p>
        </w:tc>
      </w:tr>
      <w:tr w:rsidR="00473B1C" w:rsidRPr="00473B1C" w14:paraId="3B1D23EA" w14:textId="77777777" w:rsidTr="00473B1C">
        <w:trPr>
          <w:trHeight w:val="303"/>
        </w:trPr>
        <w:tc>
          <w:tcPr>
            <w:tcW w:w="5497" w:type="dxa"/>
            <w:gridSpan w:val="3"/>
            <w:shd w:val="clear" w:color="auto" w:fill="auto"/>
            <w:noWrap/>
            <w:vAlign w:val="bottom"/>
            <w:hideMark/>
          </w:tcPr>
          <w:p w14:paraId="4383C9E7" w14:textId="77777777" w:rsidR="00473B1C" w:rsidRPr="00473B1C" w:rsidRDefault="00473B1C" w:rsidP="00473B1C">
            <w:pPr>
              <w:rPr>
                <w:color w:val="000000"/>
                <w:sz w:val="22"/>
              </w:rPr>
            </w:pPr>
            <w:r w:rsidRPr="00473B1C">
              <w:rPr>
                <w:color w:val="000000"/>
                <w:sz w:val="22"/>
              </w:rPr>
              <w:t>3/4"</w:t>
            </w:r>
          </w:p>
        </w:tc>
        <w:tc>
          <w:tcPr>
            <w:tcW w:w="1674" w:type="dxa"/>
            <w:shd w:val="clear" w:color="auto" w:fill="auto"/>
            <w:noWrap/>
            <w:vAlign w:val="bottom"/>
            <w:hideMark/>
          </w:tcPr>
          <w:p w14:paraId="31E57F02" w14:textId="77777777" w:rsidR="00473B1C" w:rsidRPr="00473B1C" w:rsidRDefault="00473B1C" w:rsidP="00473B1C">
            <w:pPr>
              <w:jc w:val="right"/>
              <w:rPr>
                <w:color w:val="000000"/>
                <w:sz w:val="22"/>
              </w:rPr>
            </w:pPr>
            <w:r w:rsidRPr="00473B1C">
              <w:rPr>
                <w:color w:val="000000"/>
                <w:sz w:val="22"/>
              </w:rPr>
              <w:t>$169.16</w:t>
            </w:r>
          </w:p>
        </w:tc>
        <w:tc>
          <w:tcPr>
            <w:tcW w:w="2370" w:type="dxa"/>
            <w:gridSpan w:val="2"/>
            <w:shd w:val="clear" w:color="auto" w:fill="auto"/>
            <w:noWrap/>
            <w:vAlign w:val="bottom"/>
            <w:hideMark/>
          </w:tcPr>
          <w:p w14:paraId="4C462C45" w14:textId="77777777" w:rsidR="00473B1C" w:rsidRPr="00473B1C" w:rsidRDefault="00473B1C" w:rsidP="00473B1C">
            <w:pPr>
              <w:jc w:val="right"/>
              <w:rPr>
                <w:color w:val="000000"/>
              </w:rPr>
            </w:pPr>
            <w:r w:rsidRPr="00473B1C">
              <w:rPr>
                <w:color w:val="000000"/>
              </w:rPr>
              <w:t>$159.78</w:t>
            </w:r>
          </w:p>
        </w:tc>
      </w:tr>
      <w:tr w:rsidR="00473B1C" w:rsidRPr="00473B1C" w14:paraId="55D25BD3" w14:textId="77777777" w:rsidTr="00473B1C">
        <w:trPr>
          <w:trHeight w:val="303"/>
        </w:trPr>
        <w:tc>
          <w:tcPr>
            <w:tcW w:w="5497" w:type="dxa"/>
            <w:gridSpan w:val="3"/>
            <w:shd w:val="clear" w:color="auto" w:fill="auto"/>
            <w:noWrap/>
            <w:vAlign w:val="bottom"/>
            <w:hideMark/>
          </w:tcPr>
          <w:p w14:paraId="67F7A178" w14:textId="77777777" w:rsidR="00473B1C" w:rsidRPr="00473B1C" w:rsidRDefault="00473B1C" w:rsidP="00473B1C">
            <w:pPr>
              <w:rPr>
                <w:color w:val="000000"/>
                <w:sz w:val="22"/>
              </w:rPr>
            </w:pPr>
            <w:r w:rsidRPr="00473B1C">
              <w:rPr>
                <w:color w:val="000000"/>
                <w:sz w:val="22"/>
              </w:rPr>
              <w:t>1"</w:t>
            </w:r>
          </w:p>
        </w:tc>
        <w:tc>
          <w:tcPr>
            <w:tcW w:w="1674" w:type="dxa"/>
            <w:shd w:val="clear" w:color="auto" w:fill="auto"/>
            <w:noWrap/>
            <w:vAlign w:val="bottom"/>
            <w:hideMark/>
          </w:tcPr>
          <w:p w14:paraId="21FA7427" w14:textId="77777777" w:rsidR="00473B1C" w:rsidRPr="00473B1C" w:rsidRDefault="00473B1C" w:rsidP="00473B1C">
            <w:pPr>
              <w:jc w:val="right"/>
              <w:rPr>
                <w:color w:val="000000"/>
                <w:sz w:val="22"/>
              </w:rPr>
            </w:pPr>
            <w:r w:rsidRPr="00473B1C">
              <w:rPr>
                <w:color w:val="000000"/>
                <w:sz w:val="22"/>
              </w:rPr>
              <w:t>$281.94</w:t>
            </w:r>
          </w:p>
        </w:tc>
        <w:tc>
          <w:tcPr>
            <w:tcW w:w="2370" w:type="dxa"/>
            <w:gridSpan w:val="2"/>
            <w:shd w:val="clear" w:color="auto" w:fill="auto"/>
            <w:noWrap/>
            <w:vAlign w:val="bottom"/>
            <w:hideMark/>
          </w:tcPr>
          <w:p w14:paraId="2046C3CD" w14:textId="77777777" w:rsidR="00473B1C" w:rsidRPr="00473B1C" w:rsidRDefault="00473B1C" w:rsidP="00473B1C">
            <w:pPr>
              <w:jc w:val="right"/>
              <w:rPr>
                <w:color w:val="000000"/>
              </w:rPr>
            </w:pPr>
            <w:r w:rsidRPr="00473B1C">
              <w:rPr>
                <w:color w:val="000000"/>
              </w:rPr>
              <w:t>$266.30</w:t>
            </w:r>
          </w:p>
        </w:tc>
      </w:tr>
      <w:tr w:rsidR="00473B1C" w:rsidRPr="00473B1C" w14:paraId="02642199" w14:textId="77777777" w:rsidTr="00473B1C">
        <w:trPr>
          <w:trHeight w:val="303"/>
        </w:trPr>
        <w:tc>
          <w:tcPr>
            <w:tcW w:w="5497" w:type="dxa"/>
            <w:gridSpan w:val="3"/>
            <w:shd w:val="clear" w:color="auto" w:fill="auto"/>
            <w:noWrap/>
            <w:vAlign w:val="bottom"/>
            <w:hideMark/>
          </w:tcPr>
          <w:p w14:paraId="02198B04" w14:textId="77777777" w:rsidR="00473B1C" w:rsidRPr="00473B1C" w:rsidRDefault="00473B1C" w:rsidP="00473B1C">
            <w:pPr>
              <w:rPr>
                <w:color w:val="000000"/>
                <w:sz w:val="22"/>
              </w:rPr>
            </w:pPr>
            <w:r w:rsidRPr="00473B1C">
              <w:rPr>
                <w:color w:val="000000"/>
                <w:sz w:val="22"/>
              </w:rPr>
              <w:t>1-1/2" Turbine</w:t>
            </w:r>
          </w:p>
        </w:tc>
        <w:tc>
          <w:tcPr>
            <w:tcW w:w="1674" w:type="dxa"/>
            <w:shd w:val="clear" w:color="auto" w:fill="auto"/>
            <w:noWrap/>
            <w:vAlign w:val="bottom"/>
            <w:hideMark/>
          </w:tcPr>
          <w:p w14:paraId="28F6D85E" w14:textId="77777777" w:rsidR="00473B1C" w:rsidRPr="00473B1C" w:rsidRDefault="00473B1C" w:rsidP="00473B1C">
            <w:pPr>
              <w:jc w:val="right"/>
              <w:rPr>
                <w:color w:val="000000"/>
                <w:sz w:val="22"/>
              </w:rPr>
            </w:pPr>
            <w:r w:rsidRPr="00473B1C">
              <w:rPr>
                <w:color w:val="000000"/>
                <w:sz w:val="22"/>
              </w:rPr>
              <w:t>$563.88</w:t>
            </w:r>
          </w:p>
        </w:tc>
        <w:tc>
          <w:tcPr>
            <w:tcW w:w="2370" w:type="dxa"/>
            <w:gridSpan w:val="2"/>
            <w:shd w:val="clear" w:color="auto" w:fill="auto"/>
            <w:noWrap/>
            <w:vAlign w:val="bottom"/>
            <w:hideMark/>
          </w:tcPr>
          <w:p w14:paraId="20D765AB" w14:textId="77777777" w:rsidR="00473B1C" w:rsidRPr="00473B1C" w:rsidRDefault="00473B1C" w:rsidP="00473B1C">
            <w:pPr>
              <w:jc w:val="right"/>
              <w:rPr>
                <w:color w:val="000000"/>
              </w:rPr>
            </w:pPr>
            <w:r w:rsidRPr="00473B1C">
              <w:rPr>
                <w:color w:val="000000"/>
              </w:rPr>
              <w:t>$532.60</w:t>
            </w:r>
          </w:p>
        </w:tc>
      </w:tr>
      <w:tr w:rsidR="00473B1C" w:rsidRPr="00473B1C" w14:paraId="120DAAB6" w14:textId="77777777" w:rsidTr="00473B1C">
        <w:trPr>
          <w:trHeight w:val="303"/>
        </w:trPr>
        <w:tc>
          <w:tcPr>
            <w:tcW w:w="5497" w:type="dxa"/>
            <w:gridSpan w:val="3"/>
            <w:shd w:val="clear" w:color="auto" w:fill="auto"/>
            <w:noWrap/>
            <w:vAlign w:val="bottom"/>
            <w:hideMark/>
          </w:tcPr>
          <w:p w14:paraId="5669A134" w14:textId="77777777" w:rsidR="00473B1C" w:rsidRPr="00473B1C" w:rsidRDefault="00473B1C" w:rsidP="00473B1C">
            <w:pPr>
              <w:rPr>
                <w:color w:val="000000"/>
                <w:sz w:val="22"/>
              </w:rPr>
            </w:pPr>
            <w:r w:rsidRPr="00473B1C">
              <w:rPr>
                <w:color w:val="000000"/>
                <w:sz w:val="22"/>
              </w:rPr>
              <w:t>2" Turbine</w:t>
            </w:r>
          </w:p>
        </w:tc>
        <w:tc>
          <w:tcPr>
            <w:tcW w:w="1674" w:type="dxa"/>
            <w:shd w:val="clear" w:color="auto" w:fill="auto"/>
            <w:noWrap/>
            <w:vAlign w:val="bottom"/>
            <w:hideMark/>
          </w:tcPr>
          <w:p w14:paraId="2D5A31B1" w14:textId="77777777" w:rsidR="00473B1C" w:rsidRPr="00473B1C" w:rsidRDefault="00473B1C" w:rsidP="00473B1C">
            <w:pPr>
              <w:jc w:val="right"/>
              <w:rPr>
                <w:color w:val="000000"/>
                <w:sz w:val="22"/>
              </w:rPr>
            </w:pPr>
            <w:r w:rsidRPr="00473B1C">
              <w:rPr>
                <w:color w:val="000000"/>
                <w:sz w:val="22"/>
              </w:rPr>
              <w:t>$902.20</w:t>
            </w:r>
          </w:p>
        </w:tc>
        <w:tc>
          <w:tcPr>
            <w:tcW w:w="2370" w:type="dxa"/>
            <w:gridSpan w:val="2"/>
            <w:shd w:val="clear" w:color="auto" w:fill="auto"/>
            <w:noWrap/>
            <w:vAlign w:val="bottom"/>
            <w:hideMark/>
          </w:tcPr>
          <w:p w14:paraId="7831300F" w14:textId="77777777" w:rsidR="00473B1C" w:rsidRPr="00473B1C" w:rsidRDefault="00473B1C" w:rsidP="00473B1C">
            <w:pPr>
              <w:jc w:val="right"/>
              <w:rPr>
                <w:color w:val="000000"/>
              </w:rPr>
            </w:pPr>
            <w:r w:rsidRPr="00473B1C">
              <w:rPr>
                <w:color w:val="000000"/>
              </w:rPr>
              <w:t>$852.16</w:t>
            </w:r>
          </w:p>
        </w:tc>
      </w:tr>
      <w:tr w:rsidR="00473B1C" w:rsidRPr="00473B1C" w14:paraId="1D61B0F7" w14:textId="77777777" w:rsidTr="00473B1C">
        <w:trPr>
          <w:trHeight w:val="303"/>
        </w:trPr>
        <w:tc>
          <w:tcPr>
            <w:tcW w:w="5497" w:type="dxa"/>
            <w:gridSpan w:val="3"/>
            <w:shd w:val="clear" w:color="auto" w:fill="auto"/>
            <w:noWrap/>
            <w:vAlign w:val="bottom"/>
            <w:hideMark/>
          </w:tcPr>
          <w:p w14:paraId="315AB3F4" w14:textId="77777777" w:rsidR="00473B1C" w:rsidRPr="00473B1C" w:rsidRDefault="00473B1C" w:rsidP="00473B1C">
            <w:pPr>
              <w:rPr>
                <w:color w:val="000000"/>
                <w:sz w:val="22"/>
              </w:rPr>
            </w:pPr>
            <w:r w:rsidRPr="00473B1C">
              <w:rPr>
                <w:color w:val="000000"/>
                <w:sz w:val="22"/>
              </w:rPr>
              <w:t>3" Turbine</w:t>
            </w:r>
          </w:p>
        </w:tc>
        <w:tc>
          <w:tcPr>
            <w:tcW w:w="1674" w:type="dxa"/>
            <w:shd w:val="clear" w:color="auto" w:fill="auto"/>
            <w:noWrap/>
            <w:vAlign w:val="bottom"/>
            <w:hideMark/>
          </w:tcPr>
          <w:p w14:paraId="7FB65514" w14:textId="77777777" w:rsidR="00473B1C" w:rsidRPr="00473B1C" w:rsidRDefault="00473B1C" w:rsidP="00473B1C">
            <w:pPr>
              <w:jc w:val="right"/>
              <w:rPr>
                <w:color w:val="000000"/>
                <w:sz w:val="22"/>
              </w:rPr>
            </w:pPr>
            <w:r w:rsidRPr="00473B1C">
              <w:rPr>
                <w:color w:val="000000"/>
                <w:sz w:val="22"/>
              </w:rPr>
              <w:t>$1,973.56</w:t>
            </w:r>
          </w:p>
        </w:tc>
        <w:tc>
          <w:tcPr>
            <w:tcW w:w="2370" w:type="dxa"/>
            <w:gridSpan w:val="2"/>
            <w:shd w:val="clear" w:color="auto" w:fill="auto"/>
            <w:noWrap/>
            <w:vAlign w:val="bottom"/>
            <w:hideMark/>
          </w:tcPr>
          <w:p w14:paraId="10EADE60" w14:textId="77777777" w:rsidR="00473B1C" w:rsidRPr="00473B1C" w:rsidRDefault="00473B1C" w:rsidP="00473B1C">
            <w:pPr>
              <w:jc w:val="right"/>
              <w:rPr>
                <w:color w:val="000000"/>
              </w:rPr>
            </w:pPr>
            <w:r w:rsidRPr="00473B1C">
              <w:rPr>
                <w:color w:val="000000"/>
              </w:rPr>
              <w:t>$1,864.10</w:t>
            </w:r>
          </w:p>
        </w:tc>
      </w:tr>
      <w:tr w:rsidR="00473B1C" w:rsidRPr="00473B1C" w14:paraId="28A76A17" w14:textId="77777777" w:rsidTr="00473B1C">
        <w:trPr>
          <w:trHeight w:val="303"/>
        </w:trPr>
        <w:tc>
          <w:tcPr>
            <w:tcW w:w="5497" w:type="dxa"/>
            <w:gridSpan w:val="3"/>
            <w:shd w:val="clear" w:color="auto" w:fill="auto"/>
            <w:noWrap/>
            <w:vAlign w:val="bottom"/>
            <w:hideMark/>
          </w:tcPr>
          <w:p w14:paraId="47CEAE06" w14:textId="77777777" w:rsidR="00473B1C" w:rsidRPr="00473B1C" w:rsidRDefault="00473B1C" w:rsidP="00473B1C">
            <w:pPr>
              <w:rPr>
                <w:color w:val="000000"/>
                <w:sz w:val="22"/>
              </w:rPr>
            </w:pPr>
            <w:r w:rsidRPr="00473B1C">
              <w:rPr>
                <w:color w:val="000000"/>
                <w:sz w:val="22"/>
              </w:rPr>
              <w:t> </w:t>
            </w:r>
          </w:p>
        </w:tc>
        <w:tc>
          <w:tcPr>
            <w:tcW w:w="1674" w:type="dxa"/>
            <w:shd w:val="clear" w:color="auto" w:fill="auto"/>
            <w:noWrap/>
            <w:vAlign w:val="bottom"/>
            <w:hideMark/>
          </w:tcPr>
          <w:p w14:paraId="5EF70228" w14:textId="77777777" w:rsidR="00473B1C" w:rsidRPr="00473B1C" w:rsidRDefault="00473B1C" w:rsidP="00473B1C">
            <w:pPr>
              <w:jc w:val="right"/>
              <w:rPr>
                <w:color w:val="000000"/>
                <w:sz w:val="22"/>
              </w:rPr>
            </w:pPr>
          </w:p>
        </w:tc>
        <w:tc>
          <w:tcPr>
            <w:tcW w:w="2370" w:type="dxa"/>
            <w:gridSpan w:val="2"/>
            <w:shd w:val="clear" w:color="auto" w:fill="auto"/>
            <w:noWrap/>
            <w:vAlign w:val="bottom"/>
            <w:hideMark/>
          </w:tcPr>
          <w:p w14:paraId="451A9A8A" w14:textId="77777777" w:rsidR="00473B1C" w:rsidRPr="00473B1C" w:rsidRDefault="00473B1C" w:rsidP="00473B1C">
            <w:pPr>
              <w:jc w:val="right"/>
              <w:rPr>
                <w:color w:val="000000"/>
              </w:rPr>
            </w:pPr>
            <w:r w:rsidRPr="00473B1C">
              <w:rPr>
                <w:color w:val="000000"/>
              </w:rPr>
              <w:t> </w:t>
            </w:r>
          </w:p>
        </w:tc>
      </w:tr>
      <w:tr w:rsidR="00473B1C" w:rsidRPr="00473B1C" w14:paraId="498FB7C1" w14:textId="77777777" w:rsidTr="00473B1C">
        <w:trPr>
          <w:trHeight w:val="303"/>
        </w:trPr>
        <w:tc>
          <w:tcPr>
            <w:tcW w:w="5497" w:type="dxa"/>
            <w:gridSpan w:val="3"/>
            <w:shd w:val="clear" w:color="auto" w:fill="auto"/>
            <w:noWrap/>
            <w:vAlign w:val="bottom"/>
            <w:hideMark/>
          </w:tcPr>
          <w:p w14:paraId="399DB28C" w14:textId="77777777" w:rsidR="00473B1C" w:rsidRPr="00473B1C" w:rsidRDefault="00473B1C" w:rsidP="00473B1C">
            <w:pPr>
              <w:rPr>
                <w:color w:val="000000"/>
                <w:sz w:val="22"/>
              </w:rPr>
            </w:pPr>
            <w:r w:rsidRPr="00473B1C">
              <w:rPr>
                <w:color w:val="000000"/>
                <w:sz w:val="22"/>
              </w:rPr>
              <w:t>Charge per 1,000 gallons - General Service</w:t>
            </w:r>
          </w:p>
        </w:tc>
        <w:tc>
          <w:tcPr>
            <w:tcW w:w="1674" w:type="dxa"/>
            <w:shd w:val="clear" w:color="auto" w:fill="auto"/>
            <w:noWrap/>
            <w:vAlign w:val="bottom"/>
            <w:hideMark/>
          </w:tcPr>
          <w:p w14:paraId="71D7758E" w14:textId="77777777" w:rsidR="00473B1C" w:rsidRPr="00473B1C" w:rsidRDefault="00473B1C" w:rsidP="00473B1C">
            <w:pPr>
              <w:jc w:val="right"/>
              <w:rPr>
                <w:color w:val="000000"/>
                <w:sz w:val="22"/>
              </w:rPr>
            </w:pPr>
            <w:r w:rsidRPr="00473B1C">
              <w:rPr>
                <w:color w:val="000000"/>
                <w:sz w:val="22"/>
              </w:rPr>
              <w:t>$43.16</w:t>
            </w:r>
          </w:p>
        </w:tc>
        <w:tc>
          <w:tcPr>
            <w:tcW w:w="2370" w:type="dxa"/>
            <w:gridSpan w:val="2"/>
            <w:shd w:val="clear" w:color="auto" w:fill="auto"/>
            <w:noWrap/>
            <w:vAlign w:val="bottom"/>
            <w:hideMark/>
          </w:tcPr>
          <w:p w14:paraId="71C5BA79" w14:textId="77777777" w:rsidR="00473B1C" w:rsidRPr="00473B1C" w:rsidRDefault="00473B1C" w:rsidP="00473B1C">
            <w:pPr>
              <w:jc w:val="right"/>
              <w:rPr>
                <w:color w:val="000000"/>
              </w:rPr>
            </w:pPr>
            <w:r w:rsidRPr="00473B1C">
              <w:rPr>
                <w:color w:val="000000"/>
              </w:rPr>
              <w:t>$36.69</w:t>
            </w:r>
          </w:p>
        </w:tc>
      </w:tr>
      <w:tr w:rsidR="00473B1C" w:rsidRPr="00473B1C" w14:paraId="33379516" w14:textId="77777777" w:rsidTr="00473B1C">
        <w:trPr>
          <w:trHeight w:val="303"/>
        </w:trPr>
        <w:tc>
          <w:tcPr>
            <w:tcW w:w="5497" w:type="dxa"/>
            <w:gridSpan w:val="3"/>
            <w:shd w:val="clear" w:color="auto" w:fill="auto"/>
            <w:noWrap/>
            <w:vAlign w:val="bottom"/>
            <w:hideMark/>
          </w:tcPr>
          <w:p w14:paraId="2989546F" w14:textId="77777777" w:rsidR="00473B1C" w:rsidRPr="00473B1C" w:rsidRDefault="00473B1C" w:rsidP="00473B1C">
            <w:pPr>
              <w:rPr>
                <w:color w:val="000000"/>
                <w:sz w:val="22"/>
              </w:rPr>
            </w:pPr>
            <w:r w:rsidRPr="00473B1C">
              <w:rPr>
                <w:color w:val="000000"/>
                <w:sz w:val="22"/>
              </w:rPr>
              <w:t> </w:t>
            </w:r>
          </w:p>
        </w:tc>
        <w:tc>
          <w:tcPr>
            <w:tcW w:w="1674" w:type="dxa"/>
            <w:shd w:val="clear" w:color="auto" w:fill="auto"/>
            <w:noWrap/>
            <w:vAlign w:val="bottom"/>
            <w:hideMark/>
          </w:tcPr>
          <w:p w14:paraId="147900B1" w14:textId="77777777" w:rsidR="00473B1C" w:rsidRPr="00473B1C" w:rsidRDefault="00473B1C" w:rsidP="00473B1C">
            <w:pPr>
              <w:jc w:val="right"/>
              <w:rPr>
                <w:color w:val="000000"/>
                <w:sz w:val="22"/>
              </w:rPr>
            </w:pPr>
          </w:p>
        </w:tc>
        <w:tc>
          <w:tcPr>
            <w:tcW w:w="2370" w:type="dxa"/>
            <w:gridSpan w:val="2"/>
            <w:shd w:val="clear" w:color="auto" w:fill="auto"/>
            <w:noWrap/>
            <w:vAlign w:val="bottom"/>
            <w:hideMark/>
          </w:tcPr>
          <w:p w14:paraId="011C3C07" w14:textId="77777777" w:rsidR="00473B1C" w:rsidRPr="00473B1C" w:rsidRDefault="00473B1C" w:rsidP="00473B1C">
            <w:pPr>
              <w:jc w:val="right"/>
              <w:rPr>
                <w:color w:val="000000"/>
              </w:rPr>
            </w:pPr>
            <w:r w:rsidRPr="00473B1C">
              <w:rPr>
                <w:color w:val="000000"/>
              </w:rPr>
              <w:t> </w:t>
            </w:r>
          </w:p>
        </w:tc>
      </w:tr>
      <w:tr w:rsidR="00473B1C" w:rsidRPr="00473B1C" w14:paraId="06635B96" w14:textId="77777777" w:rsidTr="00473B1C">
        <w:trPr>
          <w:trHeight w:val="303"/>
        </w:trPr>
        <w:tc>
          <w:tcPr>
            <w:tcW w:w="5497" w:type="dxa"/>
            <w:gridSpan w:val="3"/>
            <w:shd w:val="clear" w:color="auto" w:fill="auto"/>
            <w:noWrap/>
            <w:vAlign w:val="bottom"/>
          </w:tcPr>
          <w:p w14:paraId="765F3DD7" w14:textId="77777777" w:rsidR="00473B1C" w:rsidRPr="00473B1C" w:rsidRDefault="00473B1C" w:rsidP="00473B1C">
            <w:pPr>
              <w:rPr>
                <w:color w:val="000000"/>
                <w:sz w:val="22"/>
              </w:rPr>
            </w:pPr>
          </w:p>
        </w:tc>
        <w:tc>
          <w:tcPr>
            <w:tcW w:w="1674" w:type="dxa"/>
            <w:shd w:val="clear" w:color="auto" w:fill="auto"/>
            <w:noWrap/>
            <w:vAlign w:val="bottom"/>
          </w:tcPr>
          <w:p w14:paraId="3ED44612" w14:textId="77777777" w:rsidR="00473B1C" w:rsidRPr="00473B1C" w:rsidRDefault="00473B1C" w:rsidP="00473B1C">
            <w:pPr>
              <w:jc w:val="right"/>
              <w:rPr>
                <w:color w:val="000000"/>
                <w:sz w:val="22"/>
              </w:rPr>
            </w:pPr>
          </w:p>
        </w:tc>
        <w:tc>
          <w:tcPr>
            <w:tcW w:w="2370" w:type="dxa"/>
            <w:gridSpan w:val="2"/>
            <w:shd w:val="clear" w:color="auto" w:fill="auto"/>
            <w:noWrap/>
            <w:vAlign w:val="bottom"/>
          </w:tcPr>
          <w:p w14:paraId="7091046A" w14:textId="77777777" w:rsidR="00473B1C" w:rsidRPr="00473B1C" w:rsidRDefault="00473B1C" w:rsidP="00473B1C">
            <w:pPr>
              <w:jc w:val="right"/>
              <w:rPr>
                <w:color w:val="000000"/>
              </w:rPr>
            </w:pPr>
          </w:p>
        </w:tc>
      </w:tr>
      <w:tr w:rsidR="00473B1C" w:rsidRPr="00473B1C" w14:paraId="683E7A55" w14:textId="77777777" w:rsidTr="00473B1C">
        <w:trPr>
          <w:trHeight w:val="303"/>
        </w:trPr>
        <w:tc>
          <w:tcPr>
            <w:tcW w:w="7171" w:type="dxa"/>
            <w:gridSpan w:val="4"/>
            <w:shd w:val="clear" w:color="auto" w:fill="auto"/>
            <w:noWrap/>
            <w:vAlign w:val="bottom"/>
            <w:hideMark/>
          </w:tcPr>
          <w:p w14:paraId="2CBD2D62" w14:textId="77777777" w:rsidR="00473B1C" w:rsidRPr="00473B1C" w:rsidRDefault="00473B1C" w:rsidP="00473B1C">
            <w:pPr>
              <w:rPr>
                <w:b/>
                <w:bCs/>
                <w:color w:val="000000"/>
                <w:sz w:val="22"/>
                <w:u w:val="single"/>
              </w:rPr>
            </w:pPr>
            <w:r w:rsidRPr="00473B1C">
              <w:rPr>
                <w:b/>
                <w:bCs/>
                <w:color w:val="000000"/>
                <w:sz w:val="22"/>
                <w:u w:val="single"/>
              </w:rPr>
              <w:t>Typical Residential 5/8" x 3/4" Meter Bill Comparison</w:t>
            </w:r>
          </w:p>
        </w:tc>
        <w:tc>
          <w:tcPr>
            <w:tcW w:w="2370" w:type="dxa"/>
            <w:gridSpan w:val="2"/>
            <w:shd w:val="clear" w:color="auto" w:fill="auto"/>
            <w:noWrap/>
            <w:vAlign w:val="bottom"/>
            <w:hideMark/>
          </w:tcPr>
          <w:p w14:paraId="7082E2AA" w14:textId="77777777" w:rsidR="00473B1C" w:rsidRPr="00473B1C" w:rsidRDefault="00473B1C" w:rsidP="00473B1C">
            <w:pPr>
              <w:jc w:val="right"/>
              <w:rPr>
                <w:color w:val="000000"/>
                <w:sz w:val="22"/>
              </w:rPr>
            </w:pPr>
            <w:r w:rsidRPr="00473B1C">
              <w:rPr>
                <w:color w:val="000000"/>
                <w:sz w:val="22"/>
              </w:rPr>
              <w:t> </w:t>
            </w:r>
          </w:p>
        </w:tc>
      </w:tr>
      <w:tr w:rsidR="00473B1C" w:rsidRPr="00473B1C" w14:paraId="1B1FAC8B" w14:textId="77777777" w:rsidTr="00473B1C">
        <w:trPr>
          <w:trHeight w:val="303"/>
        </w:trPr>
        <w:tc>
          <w:tcPr>
            <w:tcW w:w="5497" w:type="dxa"/>
            <w:gridSpan w:val="3"/>
            <w:shd w:val="clear" w:color="auto" w:fill="auto"/>
            <w:noWrap/>
            <w:vAlign w:val="bottom"/>
            <w:hideMark/>
          </w:tcPr>
          <w:p w14:paraId="3FE80258" w14:textId="77777777" w:rsidR="00473B1C" w:rsidRPr="00473B1C" w:rsidRDefault="00473B1C" w:rsidP="00473B1C">
            <w:pPr>
              <w:rPr>
                <w:color w:val="000000"/>
                <w:sz w:val="22"/>
              </w:rPr>
            </w:pPr>
            <w:r w:rsidRPr="00473B1C">
              <w:rPr>
                <w:color w:val="000000"/>
                <w:sz w:val="22"/>
              </w:rPr>
              <w:t>3,000 Gallons</w:t>
            </w:r>
          </w:p>
        </w:tc>
        <w:tc>
          <w:tcPr>
            <w:tcW w:w="1674" w:type="dxa"/>
            <w:shd w:val="clear" w:color="auto" w:fill="auto"/>
            <w:noWrap/>
            <w:vAlign w:val="bottom"/>
            <w:hideMark/>
          </w:tcPr>
          <w:p w14:paraId="42AEC049" w14:textId="77777777" w:rsidR="00473B1C" w:rsidRPr="00473B1C" w:rsidRDefault="00473B1C" w:rsidP="00473B1C">
            <w:pPr>
              <w:jc w:val="right"/>
              <w:rPr>
                <w:color w:val="000000"/>
                <w:sz w:val="22"/>
              </w:rPr>
            </w:pPr>
            <w:r w:rsidRPr="00473B1C">
              <w:rPr>
                <w:color w:val="000000"/>
                <w:sz w:val="22"/>
              </w:rPr>
              <w:t xml:space="preserve">$220.69 </w:t>
            </w:r>
          </w:p>
        </w:tc>
        <w:tc>
          <w:tcPr>
            <w:tcW w:w="2370" w:type="dxa"/>
            <w:gridSpan w:val="2"/>
            <w:shd w:val="clear" w:color="auto" w:fill="auto"/>
            <w:noWrap/>
            <w:vAlign w:val="bottom"/>
            <w:hideMark/>
          </w:tcPr>
          <w:p w14:paraId="451393F3" w14:textId="77777777" w:rsidR="00473B1C" w:rsidRPr="00473B1C" w:rsidRDefault="00473B1C" w:rsidP="00473B1C">
            <w:pPr>
              <w:jc w:val="right"/>
              <w:rPr>
                <w:color w:val="000000"/>
              </w:rPr>
            </w:pPr>
            <w:r w:rsidRPr="00473B1C">
              <w:rPr>
                <w:color w:val="000000"/>
              </w:rPr>
              <w:t>$198.26</w:t>
            </w:r>
          </w:p>
        </w:tc>
      </w:tr>
      <w:tr w:rsidR="00473B1C" w:rsidRPr="00473B1C" w14:paraId="43B81047" w14:textId="77777777" w:rsidTr="00473B1C">
        <w:trPr>
          <w:trHeight w:val="303"/>
        </w:trPr>
        <w:tc>
          <w:tcPr>
            <w:tcW w:w="5497" w:type="dxa"/>
            <w:gridSpan w:val="3"/>
            <w:shd w:val="clear" w:color="auto" w:fill="auto"/>
            <w:noWrap/>
            <w:vAlign w:val="bottom"/>
            <w:hideMark/>
          </w:tcPr>
          <w:p w14:paraId="292B0D1D" w14:textId="77777777" w:rsidR="00473B1C" w:rsidRPr="00473B1C" w:rsidRDefault="00473B1C" w:rsidP="00473B1C">
            <w:pPr>
              <w:rPr>
                <w:color w:val="000000"/>
                <w:sz w:val="22"/>
              </w:rPr>
            </w:pPr>
            <w:r w:rsidRPr="00473B1C">
              <w:rPr>
                <w:color w:val="000000"/>
                <w:sz w:val="22"/>
              </w:rPr>
              <w:t>6,000 Gallons</w:t>
            </w:r>
          </w:p>
        </w:tc>
        <w:tc>
          <w:tcPr>
            <w:tcW w:w="1674" w:type="dxa"/>
            <w:shd w:val="clear" w:color="auto" w:fill="auto"/>
            <w:noWrap/>
            <w:vAlign w:val="bottom"/>
            <w:hideMark/>
          </w:tcPr>
          <w:p w14:paraId="73A2E959" w14:textId="77777777" w:rsidR="00473B1C" w:rsidRPr="00473B1C" w:rsidRDefault="00473B1C" w:rsidP="00473B1C">
            <w:pPr>
              <w:jc w:val="right"/>
              <w:rPr>
                <w:color w:val="000000"/>
                <w:sz w:val="22"/>
              </w:rPr>
            </w:pPr>
            <w:r w:rsidRPr="00473B1C">
              <w:rPr>
                <w:color w:val="000000"/>
                <w:sz w:val="22"/>
              </w:rPr>
              <w:t xml:space="preserve">$328.60 </w:t>
            </w:r>
          </w:p>
        </w:tc>
        <w:tc>
          <w:tcPr>
            <w:tcW w:w="2370" w:type="dxa"/>
            <w:gridSpan w:val="2"/>
            <w:shd w:val="clear" w:color="auto" w:fill="auto"/>
            <w:noWrap/>
            <w:vAlign w:val="bottom"/>
            <w:hideMark/>
          </w:tcPr>
          <w:p w14:paraId="4BDEF70A" w14:textId="77777777" w:rsidR="00473B1C" w:rsidRPr="00473B1C" w:rsidRDefault="00473B1C" w:rsidP="00473B1C">
            <w:pPr>
              <w:jc w:val="right"/>
              <w:rPr>
                <w:color w:val="000000"/>
              </w:rPr>
            </w:pPr>
            <w:r w:rsidRPr="00473B1C">
              <w:rPr>
                <w:color w:val="000000"/>
              </w:rPr>
              <w:t>$290.00</w:t>
            </w:r>
          </w:p>
        </w:tc>
      </w:tr>
      <w:tr w:rsidR="00473B1C" w:rsidRPr="00473B1C" w14:paraId="2A4A97D2" w14:textId="77777777" w:rsidTr="00473B1C">
        <w:trPr>
          <w:trHeight w:val="303"/>
        </w:trPr>
        <w:tc>
          <w:tcPr>
            <w:tcW w:w="5497" w:type="dxa"/>
            <w:gridSpan w:val="3"/>
            <w:shd w:val="clear" w:color="auto" w:fill="auto"/>
            <w:noWrap/>
            <w:vAlign w:val="bottom"/>
            <w:hideMark/>
          </w:tcPr>
          <w:p w14:paraId="07553EE0" w14:textId="77777777" w:rsidR="00473B1C" w:rsidRPr="00473B1C" w:rsidRDefault="00473B1C" w:rsidP="00473B1C">
            <w:pPr>
              <w:rPr>
                <w:color w:val="000000"/>
                <w:sz w:val="22"/>
              </w:rPr>
            </w:pPr>
            <w:r w:rsidRPr="00473B1C">
              <w:rPr>
                <w:color w:val="000000"/>
                <w:sz w:val="22"/>
              </w:rPr>
              <w:t>10,000 Gallons</w:t>
            </w:r>
          </w:p>
        </w:tc>
        <w:tc>
          <w:tcPr>
            <w:tcW w:w="1674" w:type="dxa"/>
            <w:shd w:val="clear" w:color="auto" w:fill="auto"/>
            <w:noWrap/>
            <w:vAlign w:val="bottom"/>
            <w:hideMark/>
          </w:tcPr>
          <w:p w14:paraId="6C59CB00" w14:textId="77777777" w:rsidR="00473B1C" w:rsidRPr="00473B1C" w:rsidRDefault="00473B1C" w:rsidP="00473B1C">
            <w:pPr>
              <w:jc w:val="right"/>
              <w:rPr>
                <w:color w:val="000000"/>
                <w:sz w:val="22"/>
              </w:rPr>
            </w:pPr>
            <w:r w:rsidRPr="00473B1C">
              <w:rPr>
                <w:color w:val="000000"/>
                <w:sz w:val="22"/>
              </w:rPr>
              <w:t xml:space="preserve">$472.48 </w:t>
            </w:r>
          </w:p>
        </w:tc>
        <w:tc>
          <w:tcPr>
            <w:tcW w:w="2370" w:type="dxa"/>
            <w:gridSpan w:val="2"/>
            <w:shd w:val="clear" w:color="auto" w:fill="auto"/>
            <w:noWrap/>
            <w:vAlign w:val="bottom"/>
            <w:hideMark/>
          </w:tcPr>
          <w:p w14:paraId="4BCD9E9C" w14:textId="77777777" w:rsidR="00473B1C" w:rsidRPr="00473B1C" w:rsidRDefault="00473B1C" w:rsidP="00473B1C">
            <w:pPr>
              <w:jc w:val="right"/>
              <w:rPr>
                <w:color w:val="000000"/>
              </w:rPr>
            </w:pPr>
            <w:r w:rsidRPr="00473B1C">
              <w:rPr>
                <w:color w:val="000000"/>
              </w:rPr>
              <w:t>$412.32</w:t>
            </w:r>
          </w:p>
        </w:tc>
      </w:tr>
      <w:tr w:rsidR="00473B1C" w:rsidRPr="00473B1C" w14:paraId="686D5EA3" w14:textId="77777777" w:rsidTr="00473B1C">
        <w:tblPrEx>
          <w:tblLook w:val="01E0" w:firstRow="1" w:lastRow="1" w:firstColumn="1" w:lastColumn="1" w:noHBand="0" w:noVBand="0"/>
        </w:tblPrEx>
        <w:trPr>
          <w:gridAfter w:val="1"/>
          <w:wAfter w:w="18" w:type="dxa"/>
        </w:trPr>
        <w:tc>
          <w:tcPr>
            <w:tcW w:w="9523" w:type="dxa"/>
            <w:gridSpan w:val="5"/>
            <w:hideMark/>
          </w:tcPr>
          <w:p w14:paraId="0AAF2244"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14:paraId="7BC24F69"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473B1C">
              <w:rPr>
                <w:rFonts w:ascii="Arial" w:hAnsi="Arial" w:cs="Arial"/>
                <w:b/>
              </w:rPr>
              <w:t>Initial Customer Deposits</w:t>
            </w:r>
          </w:p>
        </w:tc>
      </w:tr>
      <w:tr w:rsidR="00473B1C" w:rsidRPr="00473B1C" w14:paraId="60067122" w14:textId="77777777" w:rsidTr="00473B1C">
        <w:tblPrEx>
          <w:tblLook w:val="01E0" w:firstRow="1" w:lastRow="1" w:firstColumn="1" w:lastColumn="1" w:noHBand="0" w:noVBand="0"/>
        </w:tblPrEx>
        <w:trPr>
          <w:gridAfter w:val="1"/>
          <w:wAfter w:w="18" w:type="dxa"/>
        </w:trPr>
        <w:tc>
          <w:tcPr>
            <w:tcW w:w="9523" w:type="dxa"/>
            <w:gridSpan w:val="5"/>
          </w:tcPr>
          <w:p w14:paraId="46D477D8"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p>
        </w:tc>
      </w:tr>
      <w:tr w:rsidR="00473B1C" w:rsidRPr="00473B1C" w14:paraId="5724D57E" w14:textId="77777777" w:rsidTr="00A30BB4">
        <w:tblPrEx>
          <w:tblLook w:val="01E0" w:firstRow="1" w:lastRow="1" w:firstColumn="1" w:lastColumn="1" w:noHBand="0" w:noVBand="0"/>
        </w:tblPrEx>
        <w:trPr>
          <w:gridAfter w:val="1"/>
          <w:wAfter w:w="18" w:type="dxa"/>
        </w:trPr>
        <w:tc>
          <w:tcPr>
            <w:tcW w:w="4878" w:type="dxa"/>
          </w:tcPr>
          <w:p w14:paraId="722F131E"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57" w:type="dxa"/>
          </w:tcPr>
          <w:p w14:paraId="12FD6A13"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388" w:type="dxa"/>
            <w:gridSpan w:val="3"/>
          </w:tcPr>
          <w:p w14:paraId="1EDB1E44"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73B1C" w:rsidRPr="00473B1C" w14:paraId="2854E8F9" w14:textId="77777777" w:rsidTr="00A30BB4">
        <w:tblPrEx>
          <w:tblLook w:val="01E0" w:firstRow="1" w:lastRow="1" w:firstColumn="1" w:lastColumn="1" w:noHBand="0" w:noVBand="0"/>
        </w:tblPrEx>
        <w:trPr>
          <w:gridAfter w:val="1"/>
          <w:wAfter w:w="18" w:type="dxa"/>
        </w:trPr>
        <w:tc>
          <w:tcPr>
            <w:tcW w:w="4878" w:type="dxa"/>
            <w:hideMark/>
          </w:tcPr>
          <w:p w14:paraId="3B1F24DB"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473B1C">
              <w:rPr>
                <w:rFonts w:ascii="Arial" w:hAnsi="Arial" w:cs="Arial"/>
                <w:b/>
              </w:rPr>
              <w:t>Residential Service and General Service</w:t>
            </w:r>
          </w:p>
        </w:tc>
        <w:tc>
          <w:tcPr>
            <w:tcW w:w="257" w:type="dxa"/>
          </w:tcPr>
          <w:p w14:paraId="34D5B67B"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388" w:type="dxa"/>
            <w:gridSpan w:val="3"/>
          </w:tcPr>
          <w:p w14:paraId="05C66D1F"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73B1C" w:rsidRPr="00473B1C" w14:paraId="018E46D5" w14:textId="77777777" w:rsidTr="00A30BB4">
        <w:tblPrEx>
          <w:tblLook w:val="01E0" w:firstRow="1" w:lastRow="1" w:firstColumn="1" w:lastColumn="1" w:noHBand="0" w:noVBand="0"/>
        </w:tblPrEx>
        <w:trPr>
          <w:gridAfter w:val="1"/>
          <w:wAfter w:w="18" w:type="dxa"/>
        </w:trPr>
        <w:tc>
          <w:tcPr>
            <w:tcW w:w="4878" w:type="dxa"/>
            <w:hideMark/>
          </w:tcPr>
          <w:p w14:paraId="5C7A6076"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73B1C">
              <w:t>5/8” x 3/4”</w:t>
            </w:r>
          </w:p>
        </w:tc>
        <w:tc>
          <w:tcPr>
            <w:tcW w:w="257" w:type="dxa"/>
          </w:tcPr>
          <w:p w14:paraId="5DD37E0F"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388" w:type="dxa"/>
            <w:gridSpan w:val="3"/>
            <w:hideMark/>
          </w:tcPr>
          <w:p w14:paraId="1597F492"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$380.00</w:t>
            </w:r>
          </w:p>
        </w:tc>
      </w:tr>
      <w:tr w:rsidR="00473B1C" w:rsidRPr="00473B1C" w14:paraId="44660A28" w14:textId="77777777" w:rsidTr="00A30BB4">
        <w:tblPrEx>
          <w:tblLook w:val="01E0" w:firstRow="1" w:lastRow="1" w:firstColumn="1" w:lastColumn="1" w:noHBand="0" w:noVBand="0"/>
        </w:tblPrEx>
        <w:trPr>
          <w:gridAfter w:val="1"/>
          <w:wAfter w:w="18" w:type="dxa"/>
        </w:trPr>
        <w:tc>
          <w:tcPr>
            <w:tcW w:w="4878" w:type="dxa"/>
          </w:tcPr>
          <w:p w14:paraId="4A3FF8EC"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73B1C">
              <w:t>All over 5/8” x 3/4”</w:t>
            </w:r>
          </w:p>
        </w:tc>
        <w:tc>
          <w:tcPr>
            <w:tcW w:w="257" w:type="dxa"/>
          </w:tcPr>
          <w:p w14:paraId="133D61A3"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388" w:type="dxa"/>
            <w:gridSpan w:val="3"/>
          </w:tcPr>
          <w:p w14:paraId="34D7585F"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2x Average Estimated Bill</w:t>
            </w:r>
          </w:p>
        </w:tc>
      </w:tr>
    </w:tbl>
    <w:p w14:paraId="19A06B9D" w14:textId="77777777" w:rsidR="00473B1C" w:rsidRDefault="00473B1C" w:rsidP="00473B1C">
      <w:pPr>
        <w:pStyle w:val="BodyText"/>
      </w:pPr>
      <w:r>
        <w:fldChar w:fldCharType="begin"/>
      </w:r>
      <w:r>
        <w:instrText xml:space="preserve"> TC "</w:instrText>
      </w:r>
      <w:bookmarkStart w:id="40" w:name="_Toc104278790"/>
      <w:r>
        <w:instrText xml:space="preserve">Schedule No. 4 – </w:instrText>
      </w:r>
      <w:r w:rsidR="00134844">
        <w:instrText>Monthly Wastewater</w:instrText>
      </w:r>
      <w:r>
        <w:instrText xml:space="preserve"> Rates</w:instrText>
      </w:r>
      <w:bookmarkEnd w:id="40"/>
      <w:r>
        <w:instrText xml:space="preserve">" \l 1 </w:instrText>
      </w:r>
      <w:r>
        <w:fldChar w:fldCharType="end"/>
      </w:r>
    </w:p>
    <w:p w14:paraId="3A4D19A9" w14:textId="77777777" w:rsidR="00473B1C" w:rsidRPr="00473B1C" w:rsidRDefault="00473B1C" w:rsidP="00473B1C">
      <w:pPr>
        <w:sectPr w:rsidR="00473B1C" w:rsidRPr="00473B1C">
          <w:headerReference w:type="default" r:id="rId23"/>
          <w:pgSz w:w="12240" w:h="15840"/>
          <w:pgMar w:top="1440" w:right="1440" w:bottom="1440" w:left="1440" w:header="720" w:footer="720" w:gutter="0"/>
          <w:cols w:space="720"/>
          <w:docGrid w:linePitch="360"/>
        </w:sectPr>
      </w:pPr>
    </w:p>
    <w:p w14:paraId="3ADE4801" w14:textId="77777777" w:rsidR="00134844" w:rsidRDefault="00134844" w:rsidP="00134844">
      <w:pPr>
        <w:pStyle w:val="BodyText"/>
      </w:pPr>
      <w:r>
        <w:fldChar w:fldCharType="begin"/>
      </w:r>
      <w:r>
        <w:instrText xml:space="preserve"> TC "</w:instrText>
      </w:r>
      <w:bookmarkStart w:id="41" w:name="_Toc104278791"/>
      <w:r>
        <w:instrText>Schedule No. 5 – Service Availability Charges</w:instrText>
      </w:r>
      <w:bookmarkEnd w:id="41"/>
      <w:r>
        <w:instrText xml:space="preserve">" \l 1 </w:instrText>
      </w:r>
      <w:r>
        <w:fldChar w:fldCharType="end"/>
      </w:r>
    </w:p>
    <w:p w14:paraId="7C7D1F82" w14:textId="77777777" w:rsidR="00473B1C" w:rsidRPr="008060A4" w:rsidRDefault="00473B1C" w:rsidP="00473B1C">
      <w:pPr>
        <w:rPr>
          <w:sz w:val="28"/>
          <w:szCs w:val="28"/>
        </w:rPr>
      </w:pPr>
    </w:p>
    <w:tbl>
      <w:tblPr>
        <w:tblW w:w="9896" w:type="dxa"/>
        <w:jc w:val="center"/>
        <w:tblLook w:val="01E0" w:firstRow="1" w:lastRow="1" w:firstColumn="1" w:lastColumn="1" w:noHBand="0" w:noVBand="0"/>
      </w:tblPr>
      <w:tblGrid>
        <w:gridCol w:w="180"/>
        <w:gridCol w:w="2970"/>
        <w:gridCol w:w="1440"/>
        <w:gridCol w:w="1879"/>
        <w:gridCol w:w="3179"/>
        <w:gridCol w:w="248"/>
      </w:tblGrid>
      <w:tr w:rsidR="00473B1C" w:rsidRPr="00473B1C" w14:paraId="051F06FE" w14:textId="77777777" w:rsidTr="00603C13">
        <w:trPr>
          <w:gridBefore w:val="1"/>
          <w:wBefore w:w="180" w:type="dxa"/>
          <w:jc w:val="center"/>
        </w:trPr>
        <w:tc>
          <w:tcPr>
            <w:tcW w:w="9716" w:type="dxa"/>
            <w:gridSpan w:val="5"/>
            <w:hideMark/>
          </w:tcPr>
          <w:p w14:paraId="672EB390" w14:textId="77777777" w:rsidR="00473B1C" w:rsidRPr="00690DF0" w:rsidRDefault="008060A4" w:rsidP="00690DF0">
            <w:pPr>
              <w:rPr>
                <w:rFonts w:ascii="Arial" w:hAnsi="Arial" w:cs="Arial"/>
                <w:b/>
              </w:rPr>
            </w:pPr>
            <w:r w:rsidRPr="00690DF0">
              <w:rPr>
                <w:rFonts w:ascii="Arial" w:hAnsi="Arial" w:cs="Arial"/>
                <w:b/>
              </w:rPr>
              <w:t>Environmental Utilities, LLC</w:t>
            </w:r>
            <w:r w:rsidR="00690DF0">
              <w:rPr>
                <w:rFonts w:ascii="Arial" w:hAnsi="Arial" w:cs="Arial"/>
                <w:b/>
              </w:rPr>
              <w:t xml:space="preserve">                                                                  Schedule No. 5</w:t>
            </w:r>
          </w:p>
          <w:p w14:paraId="05AB868A" w14:textId="0447C4EE" w:rsidR="00473B1C" w:rsidRPr="00690DF0" w:rsidRDefault="00A30BB4" w:rsidP="00A30BB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3675" w:hanging="3675"/>
              <w:rPr>
                <w:rFonts w:ascii="Arial" w:hAnsi="Arial" w:cs="Arial"/>
                <w:b/>
              </w:rPr>
            </w:pPr>
            <w:r>
              <w:rPr>
                <w:rFonts w:ascii="Arial" w:hAnsi="Arial" w:cs="Arial"/>
                <w:b/>
              </w:rPr>
              <w:t xml:space="preserve">                                         </w:t>
            </w:r>
            <w:r w:rsidR="00690DF0">
              <w:rPr>
                <w:rFonts w:ascii="Arial" w:hAnsi="Arial" w:cs="Arial"/>
                <w:b/>
              </w:rPr>
              <w:t xml:space="preserve">                                                               </w:t>
            </w:r>
            <w:r>
              <w:rPr>
                <w:rFonts w:ascii="Arial" w:hAnsi="Arial" w:cs="Arial"/>
                <w:b/>
              </w:rPr>
              <w:t xml:space="preserve">       </w:t>
            </w:r>
            <w:r w:rsidR="00690DF0">
              <w:rPr>
                <w:rFonts w:ascii="Arial" w:hAnsi="Arial" w:cs="Arial"/>
                <w:b/>
              </w:rPr>
              <w:t>DN 20200226-SU</w:t>
            </w:r>
          </w:p>
          <w:p w14:paraId="20550CD7" w14:textId="70BEBEF6" w:rsidR="00473B1C" w:rsidRDefault="00A30BB4" w:rsidP="00A30BB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u w:val="single"/>
              </w:rPr>
            </w:pPr>
            <w:r w:rsidRPr="00A30BB4">
              <w:rPr>
                <w:rFonts w:ascii="Arial" w:hAnsi="Arial" w:cs="Arial"/>
                <w:b/>
                <w:u w:val="single"/>
              </w:rPr>
              <w:t>Service Availability Charges</w:t>
            </w:r>
          </w:p>
          <w:p w14:paraId="60B0D914" w14:textId="77777777" w:rsidR="00A30BB4" w:rsidRPr="00690DF0" w:rsidRDefault="00A30BB4" w:rsidP="00A30BB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2845"/>
              <w:gridCol w:w="2985"/>
            </w:tblGrid>
            <w:tr w:rsidR="00133D40" w14:paraId="2B4EB068" w14:textId="77777777" w:rsidTr="00815BBC">
              <w:tc>
                <w:tcPr>
                  <w:tcW w:w="3734" w:type="dxa"/>
                </w:tcPr>
                <w:p w14:paraId="79DA4A20" w14:textId="77777777" w:rsidR="00133D4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883" w:type="dxa"/>
                </w:tcPr>
                <w:p w14:paraId="465AAC67"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Pr>
                      <w:rFonts w:ascii="Arial" w:hAnsi="Arial" w:cs="Arial"/>
                      <w:b/>
                    </w:rPr>
                    <w:t>Utility</w:t>
                  </w:r>
                </w:p>
              </w:tc>
              <w:tc>
                <w:tcPr>
                  <w:tcW w:w="3013" w:type="dxa"/>
                </w:tcPr>
                <w:p w14:paraId="1F94D226"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sidRPr="00DB7A50">
                    <w:rPr>
                      <w:rFonts w:ascii="Arial" w:hAnsi="Arial" w:cs="Arial"/>
                      <w:b/>
                    </w:rPr>
                    <w:t>Staff</w:t>
                  </w:r>
                </w:p>
              </w:tc>
            </w:tr>
            <w:tr w:rsidR="00133D40" w14:paraId="5483FF03" w14:textId="77777777" w:rsidTr="00815BBC">
              <w:tc>
                <w:tcPr>
                  <w:tcW w:w="3734" w:type="dxa"/>
                </w:tcPr>
                <w:p w14:paraId="04D24CE4" w14:textId="77777777" w:rsidR="00133D4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883" w:type="dxa"/>
                </w:tcPr>
                <w:p w14:paraId="12DC88C5"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sidRPr="00DB7A50">
                    <w:rPr>
                      <w:rFonts w:ascii="Arial" w:hAnsi="Arial" w:cs="Arial"/>
                      <w:b/>
                    </w:rPr>
                    <w:t>Requested</w:t>
                  </w:r>
                </w:p>
              </w:tc>
              <w:tc>
                <w:tcPr>
                  <w:tcW w:w="3013" w:type="dxa"/>
                </w:tcPr>
                <w:p w14:paraId="31779B0D"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sidRPr="00DB7A50">
                    <w:rPr>
                      <w:rFonts w:ascii="Arial" w:hAnsi="Arial" w:cs="Arial"/>
                      <w:b/>
                    </w:rPr>
                    <w:t xml:space="preserve">Recommended </w:t>
                  </w:r>
                </w:p>
              </w:tc>
            </w:tr>
            <w:tr w:rsidR="00133D40" w14:paraId="23E537C0" w14:textId="77777777" w:rsidTr="00815BBC">
              <w:tc>
                <w:tcPr>
                  <w:tcW w:w="3734" w:type="dxa"/>
                </w:tcPr>
                <w:p w14:paraId="66DB0641" w14:textId="77777777" w:rsidR="00133D4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883" w:type="dxa"/>
                </w:tcPr>
                <w:p w14:paraId="7B8BE897"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sidRPr="00DB7A50">
                    <w:rPr>
                      <w:rFonts w:ascii="Arial" w:hAnsi="Arial" w:cs="Arial"/>
                      <w:b/>
                    </w:rPr>
                    <w:t>Rates</w:t>
                  </w:r>
                </w:p>
              </w:tc>
              <w:tc>
                <w:tcPr>
                  <w:tcW w:w="3013" w:type="dxa"/>
                </w:tcPr>
                <w:p w14:paraId="4166E829"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sidRPr="00DB7A50">
                    <w:rPr>
                      <w:rFonts w:ascii="Arial" w:hAnsi="Arial" w:cs="Arial"/>
                      <w:b/>
                    </w:rPr>
                    <w:t>Rates</w:t>
                  </w:r>
                </w:p>
              </w:tc>
            </w:tr>
            <w:tr w:rsidR="00133D40" w14:paraId="55D07062" w14:textId="77777777" w:rsidTr="00815BBC">
              <w:tc>
                <w:tcPr>
                  <w:tcW w:w="3734" w:type="dxa"/>
                </w:tcPr>
                <w:p w14:paraId="2B9885D6"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2883" w:type="dxa"/>
                </w:tcPr>
                <w:p w14:paraId="1553285A"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013" w:type="dxa"/>
                </w:tcPr>
                <w:p w14:paraId="323FD4B8"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33D40" w14:paraId="47B35918" w14:textId="77777777" w:rsidTr="00815BBC">
              <w:tc>
                <w:tcPr>
                  <w:tcW w:w="3734" w:type="dxa"/>
                </w:tcPr>
                <w:p w14:paraId="38743BC4"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pPr>
                  <w:r w:rsidRPr="00DB7A50">
                    <w:t>Main Capacity Charge</w:t>
                  </w:r>
                </w:p>
              </w:tc>
              <w:tc>
                <w:tcPr>
                  <w:tcW w:w="2883" w:type="dxa"/>
                </w:tcPr>
                <w:p w14:paraId="5E2591B6"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3013" w:type="dxa"/>
                </w:tcPr>
                <w:p w14:paraId="6253E635"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r>
            <w:tr w:rsidR="00133D40" w14:paraId="4198B34B" w14:textId="77777777" w:rsidTr="00815BBC">
              <w:tc>
                <w:tcPr>
                  <w:tcW w:w="3734" w:type="dxa"/>
                </w:tcPr>
                <w:p w14:paraId="466DBF64"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pPr>
                </w:p>
              </w:tc>
              <w:tc>
                <w:tcPr>
                  <w:tcW w:w="2883" w:type="dxa"/>
                </w:tcPr>
                <w:p w14:paraId="7B5438B7"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3013" w:type="dxa"/>
                </w:tcPr>
                <w:p w14:paraId="6910B911"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r>
            <w:tr w:rsidR="00133D40" w14:paraId="3A5A0C85" w14:textId="77777777" w:rsidTr="00815BBC">
              <w:tc>
                <w:tcPr>
                  <w:tcW w:w="3734" w:type="dxa"/>
                </w:tcPr>
                <w:p w14:paraId="1A23103A"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pPr>
                  <w:r w:rsidRPr="00DB7A50">
                    <w:t>Residential per ERC</w:t>
                  </w:r>
                </w:p>
              </w:tc>
              <w:tc>
                <w:tcPr>
                  <w:tcW w:w="2883" w:type="dxa"/>
                </w:tcPr>
                <w:p w14:paraId="4E323B97"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$11,928.00</w:t>
                  </w:r>
                </w:p>
              </w:tc>
              <w:tc>
                <w:tcPr>
                  <w:tcW w:w="3013" w:type="dxa"/>
                </w:tcPr>
                <w:p w14:paraId="7824E45F"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$11,782.00</w:t>
                  </w:r>
                </w:p>
              </w:tc>
            </w:tr>
            <w:tr w:rsidR="00133D40" w14:paraId="2B12C8A4" w14:textId="77777777" w:rsidTr="00815BBC">
              <w:tc>
                <w:tcPr>
                  <w:tcW w:w="3734" w:type="dxa"/>
                </w:tcPr>
                <w:p w14:paraId="2B9F1579"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pPr>
                  <w:r w:rsidRPr="00DB7A50">
                    <w:t>All others per gallons</w:t>
                  </w:r>
                </w:p>
              </w:tc>
              <w:tc>
                <w:tcPr>
                  <w:tcW w:w="2883" w:type="dxa"/>
                </w:tcPr>
                <w:p w14:paraId="11077D8E"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$55.22</w:t>
                  </w:r>
                </w:p>
              </w:tc>
              <w:tc>
                <w:tcPr>
                  <w:tcW w:w="3013" w:type="dxa"/>
                </w:tcPr>
                <w:p w14:paraId="676865B5"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$54.55</w:t>
                  </w:r>
                </w:p>
              </w:tc>
            </w:tr>
            <w:tr w:rsidR="00133D40" w14:paraId="0E2617D6" w14:textId="77777777" w:rsidTr="00815BBC">
              <w:tc>
                <w:tcPr>
                  <w:tcW w:w="3734" w:type="dxa"/>
                </w:tcPr>
                <w:p w14:paraId="0AA80709"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pPr>
                </w:p>
              </w:tc>
              <w:tc>
                <w:tcPr>
                  <w:tcW w:w="2883" w:type="dxa"/>
                </w:tcPr>
                <w:p w14:paraId="6B22945F"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013" w:type="dxa"/>
                </w:tcPr>
                <w:p w14:paraId="28A2F1E1"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33D40" w14:paraId="2BB51A51" w14:textId="77777777" w:rsidTr="00815BBC">
              <w:tc>
                <w:tcPr>
                  <w:tcW w:w="3734" w:type="dxa"/>
                </w:tcPr>
                <w:p w14:paraId="666D3113"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pPr>
                  <w:r w:rsidRPr="00DB7A50">
                    <w:t>Sewer Lateral Installation Fee</w:t>
                  </w:r>
                </w:p>
              </w:tc>
              <w:tc>
                <w:tcPr>
                  <w:tcW w:w="2883" w:type="dxa"/>
                </w:tcPr>
                <w:p w14:paraId="060098EC"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$1,292.85</w:t>
                  </w:r>
                </w:p>
              </w:tc>
              <w:tc>
                <w:tcPr>
                  <w:tcW w:w="3013" w:type="dxa"/>
                </w:tcPr>
                <w:p w14:paraId="5FF7423D"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$1,290.17</w:t>
                  </w:r>
                </w:p>
              </w:tc>
            </w:tr>
            <w:tr w:rsidR="00133D40" w14:paraId="7A9C15B2" w14:textId="77777777" w:rsidTr="00815BBC">
              <w:tc>
                <w:tcPr>
                  <w:tcW w:w="3734" w:type="dxa"/>
                </w:tcPr>
                <w:p w14:paraId="5DBF6E70"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2883" w:type="dxa"/>
                </w:tcPr>
                <w:p w14:paraId="13FCB6CD"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013" w:type="dxa"/>
                </w:tcPr>
                <w:p w14:paraId="60FD9077" w14:textId="77777777" w:rsidR="00133D40" w:rsidRPr="00DB7A50" w:rsidRDefault="00133D40"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14:paraId="50F94027" w14:textId="77777777" w:rsidR="00473B1C" w:rsidRPr="00473B1C" w:rsidRDefault="00473B1C"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r>
      <w:tr w:rsidR="00473B1C" w:rsidRPr="00473B1C" w14:paraId="6A4DDBD4" w14:textId="77777777" w:rsidTr="00603C13">
        <w:trPr>
          <w:gridBefore w:val="1"/>
          <w:wBefore w:w="180" w:type="dxa"/>
          <w:jc w:val="center"/>
        </w:trPr>
        <w:tc>
          <w:tcPr>
            <w:tcW w:w="9716" w:type="dxa"/>
            <w:gridSpan w:val="5"/>
          </w:tcPr>
          <w:p w14:paraId="125BE431" w14:textId="75F1B1DC" w:rsidR="00473B1C" w:rsidRPr="00473B1C" w:rsidRDefault="00A30BB4"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Pr>
                <w:rFonts w:ascii="Arial" w:hAnsi="Arial" w:cs="Arial"/>
                <w:b/>
              </w:rPr>
              <w:t xml:space="preserve"> </w:t>
            </w:r>
          </w:p>
        </w:tc>
      </w:tr>
      <w:tr w:rsidR="00473B1C" w:rsidRPr="00473B1C" w14:paraId="73223FA6" w14:textId="77777777" w:rsidTr="00603C13">
        <w:trPr>
          <w:gridBefore w:val="1"/>
          <w:wBefore w:w="180" w:type="dxa"/>
          <w:jc w:val="center"/>
        </w:trPr>
        <w:tc>
          <w:tcPr>
            <w:tcW w:w="9716" w:type="dxa"/>
            <w:gridSpan w:val="5"/>
          </w:tcPr>
          <w:p w14:paraId="47F73E6A"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r w:rsidRPr="00473B1C">
              <w:rPr>
                <w:rFonts w:ascii="Arial" w:hAnsi="Arial" w:cs="Arial"/>
                <w:b/>
              </w:rPr>
              <w:t>Utility Requested</w:t>
            </w:r>
          </w:p>
        </w:tc>
      </w:tr>
      <w:tr w:rsidR="00473B1C" w:rsidRPr="00473B1C" w14:paraId="423675D7" w14:textId="77777777" w:rsidTr="00603C13">
        <w:tblPrEx>
          <w:jc w:val="left"/>
        </w:tblPrEx>
        <w:trPr>
          <w:gridAfter w:val="1"/>
          <w:wAfter w:w="248" w:type="dxa"/>
        </w:trPr>
        <w:tc>
          <w:tcPr>
            <w:tcW w:w="9648" w:type="dxa"/>
            <w:gridSpan w:val="5"/>
            <w:hideMark/>
          </w:tcPr>
          <w:p w14:paraId="03F0A6AA"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473B1C">
              <w:rPr>
                <w:rFonts w:ascii="Arial" w:hAnsi="Arial" w:cs="Arial"/>
                <w:b/>
              </w:rPr>
              <w:t>Miscellaneous Service Charges</w:t>
            </w:r>
          </w:p>
        </w:tc>
      </w:tr>
      <w:tr w:rsidR="00473B1C" w:rsidRPr="00473B1C" w14:paraId="62A77C1D" w14:textId="77777777" w:rsidTr="00603C13">
        <w:tblPrEx>
          <w:jc w:val="left"/>
        </w:tblPrEx>
        <w:trPr>
          <w:gridAfter w:val="1"/>
          <w:wAfter w:w="248" w:type="dxa"/>
        </w:trPr>
        <w:tc>
          <w:tcPr>
            <w:tcW w:w="4590" w:type="dxa"/>
            <w:gridSpan w:val="3"/>
          </w:tcPr>
          <w:p w14:paraId="3E5387C8"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79" w:type="dxa"/>
          </w:tcPr>
          <w:p w14:paraId="258CD2DB"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179" w:type="dxa"/>
          </w:tcPr>
          <w:p w14:paraId="2681F52D"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73B1C" w:rsidRPr="00473B1C" w14:paraId="4C0443B7" w14:textId="77777777" w:rsidTr="00603C13">
        <w:tblPrEx>
          <w:jc w:val="left"/>
        </w:tblPrEx>
        <w:trPr>
          <w:gridAfter w:val="1"/>
          <w:wAfter w:w="248" w:type="dxa"/>
        </w:trPr>
        <w:tc>
          <w:tcPr>
            <w:tcW w:w="4590" w:type="dxa"/>
            <w:gridSpan w:val="3"/>
          </w:tcPr>
          <w:p w14:paraId="4E514A4A"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79" w:type="dxa"/>
            <w:hideMark/>
          </w:tcPr>
          <w:p w14:paraId="1F9BC5FD"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473B1C">
              <w:rPr>
                <w:u w:val="single"/>
              </w:rPr>
              <w:t xml:space="preserve">Normal Hours </w:t>
            </w:r>
          </w:p>
        </w:tc>
        <w:tc>
          <w:tcPr>
            <w:tcW w:w="3179" w:type="dxa"/>
            <w:hideMark/>
          </w:tcPr>
          <w:p w14:paraId="36072ADD"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473B1C">
              <w:rPr>
                <w:u w:val="single"/>
              </w:rPr>
              <w:t>After Hours</w:t>
            </w:r>
          </w:p>
        </w:tc>
      </w:tr>
      <w:tr w:rsidR="00473B1C" w:rsidRPr="00473B1C" w14:paraId="0796520F" w14:textId="77777777" w:rsidTr="00603C13">
        <w:tblPrEx>
          <w:jc w:val="left"/>
        </w:tblPrEx>
        <w:trPr>
          <w:gridAfter w:val="1"/>
          <w:wAfter w:w="248" w:type="dxa"/>
        </w:trPr>
        <w:tc>
          <w:tcPr>
            <w:tcW w:w="4590" w:type="dxa"/>
            <w:gridSpan w:val="3"/>
          </w:tcPr>
          <w:p w14:paraId="5AA69EBE"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79" w:type="dxa"/>
          </w:tcPr>
          <w:p w14:paraId="4524C201"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179" w:type="dxa"/>
          </w:tcPr>
          <w:p w14:paraId="2E33782E"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73B1C" w:rsidRPr="00473B1C" w14:paraId="115138AD" w14:textId="77777777" w:rsidTr="00603C13">
        <w:tblPrEx>
          <w:jc w:val="left"/>
        </w:tblPrEx>
        <w:trPr>
          <w:gridAfter w:val="1"/>
          <w:wAfter w:w="248" w:type="dxa"/>
        </w:trPr>
        <w:tc>
          <w:tcPr>
            <w:tcW w:w="4590" w:type="dxa"/>
            <w:gridSpan w:val="3"/>
            <w:hideMark/>
          </w:tcPr>
          <w:p w14:paraId="2CD6B8A8" w14:textId="77777777" w:rsidR="00473B1C" w:rsidRPr="00473B1C" w:rsidRDefault="00473B1C" w:rsidP="00133D40">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firstLine="90"/>
            </w:pPr>
            <w:r w:rsidRPr="00473B1C">
              <w:t>Initial Connection Charge</w:t>
            </w:r>
          </w:p>
        </w:tc>
        <w:tc>
          <w:tcPr>
            <w:tcW w:w="1879" w:type="dxa"/>
            <w:hideMark/>
          </w:tcPr>
          <w:p w14:paraId="4476C924"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$30.00</w:t>
            </w:r>
          </w:p>
        </w:tc>
        <w:tc>
          <w:tcPr>
            <w:tcW w:w="3179" w:type="dxa"/>
            <w:hideMark/>
          </w:tcPr>
          <w:p w14:paraId="1C0F4831"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N/A</w:t>
            </w:r>
          </w:p>
        </w:tc>
      </w:tr>
      <w:tr w:rsidR="00473B1C" w:rsidRPr="00473B1C" w14:paraId="00E02F1B" w14:textId="77777777" w:rsidTr="00603C13">
        <w:tblPrEx>
          <w:jc w:val="left"/>
        </w:tblPrEx>
        <w:trPr>
          <w:gridAfter w:val="1"/>
          <w:wAfter w:w="248" w:type="dxa"/>
        </w:trPr>
        <w:tc>
          <w:tcPr>
            <w:tcW w:w="4590" w:type="dxa"/>
            <w:gridSpan w:val="3"/>
            <w:hideMark/>
          </w:tcPr>
          <w:p w14:paraId="73F7F327" w14:textId="77777777" w:rsidR="00473B1C" w:rsidRPr="00473B1C" w:rsidRDefault="00473B1C" w:rsidP="00133D40">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firstLine="90"/>
            </w:pPr>
            <w:r w:rsidRPr="00473B1C">
              <w:t>Normal Reconnection Charge</w:t>
            </w:r>
          </w:p>
        </w:tc>
        <w:tc>
          <w:tcPr>
            <w:tcW w:w="1879" w:type="dxa"/>
            <w:hideMark/>
          </w:tcPr>
          <w:p w14:paraId="0A3802C0"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$30.00</w:t>
            </w:r>
          </w:p>
        </w:tc>
        <w:tc>
          <w:tcPr>
            <w:tcW w:w="3179" w:type="dxa"/>
            <w:hideMark/>
          </w:tcPr>
          <w:p w14:paraId="21CE42AA"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N/A</w:t>
            </w:r>
          </w:p>
        </w:tc>
      </w:tr>
      <w:tr w:rsidR="00473B1C" w:rsidRPr="00473B1C" w14:paraId="664F0C93" w14:textId="77777777" w:rsidTr="00603C13">
        <w:tblPrEx>
          <w:jc w:val="left"/>
        </w:tblPrEx>
        <w:trPr>
          <w:gridAfter w:val="1"/>
          <w:wAfter w:w="248" w:type="dxa"/>
        </w:trPr>
        <w:tc>
          <w:tcPr>
            <w:tcW w:w="4590" w:type="dxa"/>
            <w:gridSpan w:val="3"/>
            <w:hideMark/>
          </w:tcPr>
          <w:p w14:paraId="337BCCE4" w14:textId="77777777" w:rsidR="00473B1C" w:rsidRPr="00473B1C" w:rsidRDefault="00473B1C" w:rsidP="00133D40">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firstLine="90"/>
            </w:pPr>
            <w:r w:rsidRPr="00473B1C">
              <w:t>Violation Reconnection Charge</w:t>
            </w:r>
          </w:p>
        </w:tc>
        <w:tc>
          <w:tcPr>
            <w:tcW w:w="1879" w:type="dxa"/>
            <w:hideMark/>
          </w:tcPr>
          <w:p w14:paraId="2F701581"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Actual Cost</w:t>
            </w:r>
          </w:p>
        </w:tc>
        <w:tc>
          <w:tcPr>
            <w:tcW w:w="3179" w:type="dxa"/>
            <w:hideMark/>
          </w:tcPr>
          <w:p w14:paraId="79F5D090"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Actual Cost</w:t>
            </w:r>
          </w:p>
        </w:tc>
      </w:tr>
      <w:tr w:rsidR="00473B1C" w:rsidRPr="00473B1C" w14:paraId="2D0BA3A3" w14:textId="77777777" w:rsidTr="00603C13">
        <w:tblPrEx>
          <w:jc w:val="left"/>
        </w:tblPrEx>
        <w:trPr>
          <w:gridAfter w:val="1"/>
          <w:wAfter w:w="248" w:type="dxa"/>
        </w:trPr>
        <w:tc>
          <w:tcPr>
            <w:tcW w:w="4590" w:type="dxa"/>
            <w:gridSpan w:val="3"/>
          </w:tcPr>
          <w:p w14:paraId="01A246FC" w14:textId="77777777" w:rsidR="00473B1C" w:rsidRPr="00473B1C" w:rsidRDefault="00473B1C" w:rsidP="00133D40">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firstLine="90"/>
            </w:pPr>
            <w:r w:rsidRPr="00473B1C">
              <w:t>Premises Visit Charge</w:t>
            </w:r>
          </w:p>
        </w:tc>
        <w:tc>
          <w:tcPr>
            <w:tcW w:w="1879" w:type="dxa"/>
          </w:tcPr>
          <w:p w14:paraId="4989F462"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$30.00</w:t>
            </w:r>
          </w:p>
        </w:tc>
        <w:tc>
          <w:tcPr>
            <w:tcW w:w="3179" w:type="dxa"/>
          </w:tcPr>
          <w:p w14:paraId="4C712E57"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N/A</w:t>
            </w:r>
          </w:p>
        </w:tc>
      </w:tr>
      <w:tr w:rsidR="00473B1C" w:rsidRPr="00473B1C" w14:paraId="2E3BDCF4" w14:textId="77777777" w:rsidTr="00603C13">
        <w:tblPrEx>
          <w:jc w:val="left"/>
        </w:tblPrEx>
        <w:trPr>
          <w:gridAfter w:val="1"/>
          <w:wAfter w:w="248" w:type="dxa"/>
          <w:trHeight w:val="225"/>
        </w:trPr>
        <w:tc>
          <w:tcPr>
            <w:tcW w:w="4590" w:type="dxa"/>
            <w:gridSpan w:val="3"/>
            <w:hideMark/>
          </w:tcPr>
          <w:p w14:paraId="32916A80" w14:textId="77777777" w:rsidR="00473B1C" w:rsidRPr="00473B1C" w:rsidRDefault="00473B1C" w:rsidP="00133D40">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firstLine="90"/>
            </w:pPr>
            <w:r w:rsidRPr="00473B1C">
              <w:t xml:space="preserve">Late Payment Charge </w:t>
            </w:r>
          </w:p>
        </w:tc>
        <w:tc>
          <w:tcPr>
            <w:tcW w:w="1879" w:type="dxa"/>
            <w:hideMark/>
          </w:tcPr>
          <w:p w14:paraId="0FAF7284"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 xml:space="preserve">      </w:t>
            </w:r>
          </w:p>
        </w:tc>
        <w:tc>
          <w:tcPr>
            <w:tcW w:w="3179" w:type="dxa"/>
            <w:hideMark/>
          </w:tcPr>
          <w:p w14:paraId="58C8E667"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73B1C">
              <w:t xml:space="preserve">                </w:t>
            </w:r>
            <w:r w:rsidR="00134844">
              <w:t xml:space="preserve">                       </w:t>
            </w:r>
            <w:r w:rsidRPr="00473B1C">
              <w:t>$7.50</w:t>
            </w:r>
          </w:p>
        </w:tc>
      </w:tr>
      <w:tr w:rsidR="00473B1C" w:rsidRPr="00473B1C" w14:paraId="7B91CF4C" w14:textId="77777777" w:rsidTr="00603C13">
        <w:tblPrEx>
          <w:jc w:val="left"/>
        </w:tblPrEx>
        <w:trPr>
          <w:gridAfter w:val="1"/>
          <w:wAfter w:w="248" w:type="dxa"/>
          <w:trHeight w:val="315"/>
        </w:trPr>
        <w:tc>
          <w:tcPr>
            <w:tcW w:w="4590" w:type="dxa"/>
            <w:gridSpan w:val="3"/>
            <w:hideMark/>
          </w:tcPr>
          <w:p w14:paraId="499846D2" w14:textId="77777777" w:rsidR="00473B1C" w:rsidRPr="00473B1C" w:rsidRDefault="00473B1C" w:rsidP="00133D40">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firstLine="90"/>
            </w:pPr>
            <w:r w:rsidRPr="00473B1C">
              <w:t>NSF Check Charge</w:t>
            </w:r>
          </w:p>
        </w:tc>
        <w:tc>
          <w:tcPr>
            <w:tcW w:w="5058" w:type="dxa"/>
            <w:gridSpan w:val="2"/>
            <w:hideMark/>
          </w:tcPr>
          <w:p w14:paraId="71E1B962"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73B1C">
              <w:t xml:space="preserve">                            Pursuant to Section 68.065, F.S.</w:t>
            </w:r>
          </w:p>
        </w:tc>
      </w:tr>
      <w:tr w:rsidR="00473B1C" w:rsidRPr="00473B1C" w14:paraId="0633F3DF" w14:textId="77777777" w:rsidTr="00603C13">
        <w:tblPrEx>
          <w:jc w:val="left"/>
        </w:tblPrEx>
        <w:trPr>
          <w:gridAfter w:val="1"/>
          <w:wAfter w:w="248" w:type="dxa"/>
          <w:trHeight w:val="315"/>
        </w:trPr>
        <w:tc>
          <w:tcPr>
            <w:tcW w:w="3150" w:type="dxa"/>
            <w:gridSpan w:val="2"/>
          </w:tcPr>
          <w:p w14:paraId="23CA89A0"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6498" w:type="dxa"/>
            <w:gridSpan w:val="3"/>
          </w:tcPr>
          <w:p w14:paraId="2C0E9212"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p w14:paraId="4606994D"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473B1C">
              <w:rPr>
                <w:rFonts w:ascii="Arial" w:hAnsi="Arial" w:cs="Arial"/>
                <w:b/>
              </w:rPr>
              <w:t xml:space="preserve">        Staff Recommended</w:t>
            </w:r>
          </w:p>
        </w:tc>
      </w:tr>
      <w:tr w:rsidR="00473B1C" w:rsidRPr="00473B1C" w14:paraId="0956EA49" w14:textId="77777777" w:rsidTr="00603C13">
        <w:tblPrEx>
          <w:jc w:val="left"/>
        </w:tblPrEx>
        <w:trPr>
          <w:gridAfter w:val="1"/>
          <w:wAfter w:w="248" w:type="dxa"/>
          <w:trHeight w:val="315"/>
        </w:trPr>
        <w:tc>
          <w:tcPr>
            <w:tcW w:w="3150" w:type="dxa"/>
            <w:gridSpan w:val="2"/>
          </w:tcPr>
          <w:p w14:paraId="121F5DC6"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6498" w:type="dxa"/>
            <w:gridSpan w:val="3"/>
          </w:tcPr>
          <w:p w14:paraId="585D2B67"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r w:rsidRPr="00473B1C">
              <w:rPr>
                <w:rFonts w:ascii="Arial" w:hAnsi="Arial" w:cs="Arial"/>
                <w:b/>
              </w:rPr>
              <w:t>Miscellaneous Service Charges</w:t>
            </w:r>
          </w:p>
        </w:tc>
      </w:tr>
      <w:tr w:rsidR="00473B1C" w:rsidRPr="00473B1C" w14:paraId="49C5CA5D" w14:textId="77777777" w:rsidTr="00603C13">
        <w:tblPrEx>
          <w:jc w:val="left"/>
        </w:tblPrEx>
        <w:trPr>
          <w:gridAfter w:val="1"/>
          <w:wAfter w:w="248" w:type="dxa"/>
          <w:trHeight w:val="315"/>
        </w:trPr>
        <w:tc>
          <w:tcPr>
            <w:tcW w:w="4590" w:type="dxa"/>
            <w:gridSpan w:val="3"/>
          </w:tcPr>
          <w:p w14:paraId="66669A28"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5058" w:type="dxa"/>
            <w:gridSpan w:val="2"/>
          </w:tcPr>
          <w:p w14:paraId="0934CDBF"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r>
    </w:tbl>
    <w:p w14:paraId="43F1318B" w14:textId="77777777" w:rsidR="00473B1C" w:rsidRPr="00473B1C" w:rsidRDefault="00473B1C" w:rsidP="00473B1C">
      <w:pPr>
        <w:rPr>
          <w:vanish/>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
        <w:gridCol w:w="9"/>
        <w:gridCol w:w="4416"/>
        <w:gridCol w:w="102"/>
        <w:gridCol w:w="1047"/>
        <w:gridCol w:w="832"/>
        <w:gridCol w:w="1586"/>
        <w:gridCol w:w="1593"/>
        <w:gridCol w:w="36"/>
        <w:gridCol w:w="18"/>
      </w:tblGrid>
      <w:tr w:rsidR="00473B1C" w:rsidRPr="00473B1C" w14:paraId="7068C28C" w14:textId="77777777" w:rsidTr="00603C13">
        <w:trPr>
          <w:gridBefore w:val="2"/>
          <w:gridAfter w:val="1"/>
          <w:wBefore w:w="72" w:type="dxa"/>
          <w:wAfter w:w="18" w:type="dxa"/>
          <w:jc w:val="center"/>
        </w:trPr>
        <w:tc>
          <w:tcPr>
            <w:tcW w:w="4416" w:type="dxa"/>
            <w:tcBorders>
              <w:top w:val="nil"/>
              <w:left w:val="nil"/>
              <w:bottom w:val="nil"/>
              <w:right w:val="nil"/>
            </w:tcBorders>
            <w:shd w:val="clear" w:color="auto" w:fill="auto"/>
          </w:tcPr>
          <w:p w14:paraId="17068095" w14:textId="77777777" w:rsidR="00473B1C" w:rsidRPr="00473B1C" w:rsidRDefault="00473B1C" w:rsidP="00473B1C">
            <w:pPr>
              <w:rPr>
                <w:rFonts w:eastAsia="Calibri"/>
              </w:rPr>
            </w:pPr>
          </w:p>
        </w:tc>
        <w:tc>
          <w:tcPr>
            <w:tcW w:w="3567" w:type="dxa"/>
            <w:gridSpan w:val="4"/>
            <w:tcBorders>
              <w:top w:val="nil"/>
              <w:left w:val="nil"/>
              <w:bottom w:val="nil"/>
              <w:right w:val="nil"/>
            </w:tcBorders>
            <w:shd w:val="clear" w:color="auto" w:fill="auto"/>
          </w:tcPr>
          <w:p w14:paraId="6F7F9ADC" w14:textId="77777777" w:rsidR="00473B1C" w:rsidRPr="00473B1C" w:rsidRDefault="00473B1C" w:rsidP="00473B1C">
            <w:pPr>
              <w:jc w:val="center"/>
              <w:rPr>
                <w:rFonts w:eastAsia="Calibri"/>
                <w:u w:val="single"/>
              </w:rPr>
            </w:pPr>
            <w:r w:rsidRPr="00473B1C">
              <w:rPr>
                <w:rFonts w:eastAsia="Calibri"/>
                <w:u w:val="single"/>
              </w:rPr>
              <w:t>Normal Hours</w:t>
            </w:r>
          </w:p>
        </w:tc>
        <w:tc>
          <w:tcPr>
            <w:tcW w:w="1629" w:type="dxa"/>
            <w:gridSpan w:val="2"/>
            <w:tcBorders>
              <w:top w:val="nil"/>
              <w:left w:val="nil"/>
              <w:bottom w:val="nil"/>
              <w:right w:val="nil"/>
            </w:tcBorders>
            <w:shd w:val="clear" w:color="auto" w:fill="auto"/>
          </w:tcPr>
          <w:p w14:paraId="0D64D5BF" w14:textId="77777777" w:rsidR="00473B1C" w:rsidRPr="00473B1C" w:rsidRDefault="00473B1C" w:rsidP="00473B1C">
            <w:pPr>
              <w:jc w:val="center"/>
              <w:rPr>
                <w:rFonts w:eastAsia="Calibri"/>
                <w:u w:val="single"/>
              </w:rPr>
            </w:pPr>
            <w:r w:rsidRPr="00473B1C">
              <w:rPr>
                <w:rFonts w:eastAsia="Calibri"/>
                <w:u w:val="single"/>
              </w:rPr>
              <w:t>After Hours</w:t>
            </w:r>
          </w:p>
        </w:tc>
      </w:tr>
      <w:tr w:rsidR="00473B1C" w:rsidRPr="00473B1C" w14:paraId="1801A91A" w14:textId="77777777" w:rsidTr="00603C13">
        <w:trPr>
          <w:gridBefore w:val="2"/>
          <w:gridAfter w:val="1"/>
          <w:wBefore w:w="72" w:type="dxa"/>
          <w:wAfter w:w="18" w:type="dxa"/>
          <w:jc w:val="center"/>
        </w:trPr>
        <w:tc>
          <w:tcPr>
            <w:tcW w:w="4416" w:type="dxa"/>
            <w:tcBorders>
              <w:top w:val="nil"/>
              <w:left w:val="nil"/>
              <w:bottom w:val="nil"/>
              <w:right w:val="nil"/>
            </w:tcBorders>
            <w:shd w:val="clear" w:color="auto" w:fill="auto"/>
          </w:tcPr>
          <w:p w14:paraId="7DFC5D9B" w14:textId="77777777" w:rsidR="00473B1C" w:rsidRPr="00473B1C" w:rsidRDefault="00473B1C" w:rsidP="00133D40">
            <w:pPr>
              <w:ind w:left="180"/>
              <w:rPr>
                <w:rFonts w:eastAsia="Calibri"/>
              </w:rPr>
            </w:pPr>
            <w:r w:rsidRPr="00473B1C">
              <w:rPr>
                <w:rFonts w:eastAsia="Calibri"/>
              </w:rPr>
              <w:t>Premises Visit Charge</w:t>
            </w:r>
          </w:p>
        </w:tc>
        <w:tc>
          <w:tcPr>
            <w:tcW w:w="3567" w:type="dxa"/>
            <w:gridSpan w:val="4"/>
            <w:tcBorders>
              <w:top w:val="nil"/>
              <w:left w:val="nil"/>
              <w:bottom w:val="nil"/>
              <w:right w:val="nil"/>
            </w:tcBorders>
            <w:shd w:val="clear" w:color="auto" w:fill="auto"/>
          </w:tcPr>
          <w:p w14:paraId="55A0011D" w14:textId="77777777" w:rsidR="00473B1C" w:rsidRPr="00473B1C" w:rsidRDefault="00473B1C" w:rsidP="00473B1C">
            <w:pPr>
              <w:jc w:val="center"/>
              <w:rPr>
                <w:rFonts w:eastAsia="Calibri"/>
              </w:rPr>
            </w:pPr>
            <w:r w:rsidRPr="00473B1C">
              <w:rPr>
                <w:rFonts w:eastAsia="Calibri"/>
              </w:rPr>
              <w:t>$30.00</w:t>
            </w:r>
          </w:p>
        </w:tc>
        <w:tc>
          <w:tcPr>
            <w:tcW w:w="1629" w:type="dxa"/>
            <w:gridSpan w:val="2"/>
            <w:tcBorders>
              <w:top w:val="nil"/>
              <w:left w:val="nil"/>
              <w:bottom w:val="nil"/>
              <w:right w:val="nil"/>
            </w:tcBorders>
            <w:shd w:val="clear" w:color="auto" w:fill="auto"/>
          </w:tcPr>
          <w:p w14:paraId="76578E79" w14:textId="77777777" w:rsidR="00473B1C" w:rsidRPr="00473B1C" w:rsidRDefault="00473B1C" w:rsidP="00473B1C">
            <w:pPr>
              <w:jc w:val="center"/>
              <w:rPr>
                <w:rFonts w:eastAsia="Calibri"/>
              </w:rPr>
            </w:pPr>
            <w:r w:rsidRPr="00473B1C">
              <w:rPr>
                <w:rFonts w:eastAsia="Calibri"/>
              </w:rPr>
              <w:t>N/A</w:t>
            </w:r>
          </w:p>
        </w:tc>
      </w:tr>
      <w:tr w:rsidR="00473B1C" w:rsidRPr="00473B1C" w14:paraId="2EC3AE69" w14:textId="77777777" w:rsidTr="00603C13">
        <w:trPr>
          <w:gridBefore w:val="2"/>
          <w:gridAfter w:val="1"/>
          <w:wBefore w:w="72" w:type="dxa"/>
          <w:wAfter w:w="18" w:type="dxa"/>
          <w:jc w:val="center"/>
        </w:trPr>
        <w:tc>
          <w:tcPr>
            <w:tcW w:w="4416" w:type="dxa"/>
            <w:tcBorders>
              <w:top w:val="nil"/>
              <w:left w:val="nil"/>
              <w:bottom w:val="nil"/>
              <w:right w:val="nil"/>
            </w:tcBorders>
            <w:shd w:val="clear" w:color="auto" w:fill="auto"/>
          </w:tcPr>
          <w:p w14:paraId="12C108B7" w14:textId="77777777" w:rsidR="00473B1C" w:rsidRPr="00473B1C" w:rsidRDefault="00473B1C"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left="180"/>
              <w:rPr>
                <w:rFonts w:eastAsia="Calibri"/>
              </w:rPr>
            </w:pPr>
            <w:r w:rsidRPr="00473B1C">
              <w:rPr>
                <w:rFonts w:eastAsia="Calibri"/>
              </w:rPr>
              <w:t>Violation Reconnection Charge</w:t>
            </w:r>
            <w:r w:rsidRPr="00473B1C">
              <w:rPr>
                <w:rFonts w:eastAsia="Calibri"/>
                <w:sz w:val="22"/>
              </w:rPr>
              <w:t xml:space="preserve"> </w:t>
            </w:r>
          </w:p>
        </w:tc>
        <w:tc>
          <w:tcPr>
            <w:tcW w:w="3567" w:type="dxa"/>
            <w:gridSpan w:val="4"/>
            <w:tcBorders>
              <w:top w:val="nil"/>
              <w:left w:val="nil"/>
              <w:bottom w:val="nil"/>
              <w:right w:val="nil"/>
            </w:tcBorders>
            <w:shd w:val="clear" w:color="auto" w:fill="auto"/>
          </w:tcPr>
          <w:p w14:paraId="127805C9" w14:textId="77777777" w:rsidR="00473B1C" w:rsidRPr="00473B1C" w:rsidRDefault="00473B1C" w:rsidP="00473B1C">
            <w:pPr>
              <w:rPr>
                <w:rFonts w:eastAsia="Calibri"/>
              </w:rPr>
            </w:pPr>
            <w:r w:rsidRPr="00473B1C">
              <w:rPr>
                <w:rFonts w:eastAsia="Calibri"/>
              </w:rPr>
              <w:t xml:space="preserve">                 Actual Cost</w:t>
            </w:r>
          </w:p>
        </w:tc>
        <w:tc>
          <w:tcPr>
            <w:tcW w:w="1629" w:type="dxa"/>
            <w:gridSpan w:val="2"/>
            <w:tcBorders>
              <w:top w:val="nil"/>
              <w:left w:val="nil"/>
              <w:bottom w:val="nil"/>
              <w:right w:val="nil"/>
            </w:tcBorders>
            <w:shd w:val="clear" w:color="auto" w:fill="auto"/>
          </w:tcPr>
          <w:p w14:paraId="2182B76E" w14:textId="77777777" w:rsidR="00473B1C" w:rsidRPr="00473B1C" w:rsidRDefault="00473B1C" w:rsidP="00473B1C">
            <w:pPr>
              <w:rPr>
                <w:rFonts w:eastAsia="Calibri"/>
              </w:rPr>
            </w:pPr>
            <w:r w:rsidRPr="00473B1C">
              <w:rPr>
                <w:rFonts w:eastAsia="Calibri"/>
              </w:rPr>
              <w:t>Actual Cost</w:t>
            </w:r>
          </w:p>
        </w:tc>
      </w:tr>
      <w:tr w:rsidR="00473B1C" w:rsidRPr="00473B1C" w14:paraId="6CF21AB1" w14:textId="77777777" w:rsidTr="00603C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54" w:type="dxa"/>
          <w:trHeight w:val="225"/>
        </w:trPr>
        <w:tc>
          <w:tcPr>
            <w:tcW w:w="4590" w:type="dxa"/>
            <w:gridSpan w:val="4"/>
            <w:hideMark/>
          </w:tcPr>
          <w:p w14:paraId="2406B582" w14:textId="77777777" w:rsidR="00473B1C" w:rsidRPr="00473B1C" w:rsidRDefault="00473B1C" w:rsidP="00133D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80"/>
            </w:pPr>
            <w:r w:rsidRPr="00473B1C">
              <w:t xml:space="preserve">Late Payment Charge </w:t>
            </w:r>
          </w:p>
        </w:tc>
        <w:tc>
          <w:tcPr>
            <w:tcW w:w="1879" w:type="dxa"/>
            <w:gridSpan w:val="2"/>
            <w:hideMark/>
          </w:tcPr>
          <w:p w14:paraId="306DFB05"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 xml:space="preserve">      </w:t>
            </w:r>
          </w:p>
        </w:tc>
        <w:tc>
          <w:tcPr>
            <w:tcW w:w="3179" w:type="dxa"/>
            <w:gridSpan w:val="2"/>
            <w:hideMark/>
          </w:tcPr>
          <w:p w14:paraId="0643AA8A" w14:textId="77777777" w:rsidR="00473B1C" w:rsidRPr="00473B1C" w:rsidRDefault="00473B1C" w:rsidP="00473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73B1C">
              <w:t xml:space="preserve">         </w:t>
            </w:r>
            <w:r w:rsidR="00134844">
              <w:t xml:space="preserve">                       </w:t>
            </w:r>
            <w:r w:rsidRPr="00473B1C">
              <w:t xml:space="preserve">       $7.50</w:t>
            </w:r>
          </w:p>
        </w:tc>
      </w:tr>
      <w:tr w:rsidR="00473B1C" w:rsidRPr="00473B1C" w14:paraId="43D76563" w14:textId="77777777" w:rsidTr="00473B1C">
        <w:trPr>
          <w:gridBefore w:val="1"/>
          <w:wBefore w:w="63" w:type="dxa"/>
          <w:jc w:val="center"/>
        </w:trPr>
        <w:tc>
          <w:tcPr>
            <w:tcW w:w="5574" w:type="dxa"/>
            <w:gridSpan w:val="4"/>
            <w:tcBorders>
              <w:top w:val="nil"/>
              <w:left w:val="nil"/>
              <w:bottom w:val="nil"/>
              <w:right w:val="nil"/>
            </w:tcBorders>
            <w:shd w:val="clear" w:color="auto" w:fill="auto"/>
          </w:tcPr>
          <w:p w14:paraId="1EF6D8BC" w14:textId="77777777" w:rsidR="00473B1C" w:rsidRPr="00473B1C" w:rsidRDefault="00473B1C" w:rsidP="00133D40">
            <w:pPr>
              <w:ind w:left="180"/>
              <w:rPr>
                <w:rFonts w:eastAsia="Calibri"/>
              </w:rPr>
            </w:pPr>
            <w:r w:rsidRPr="00473B1C">
              <w:rPr>
                <w:rFonts w:eastAsia="Calibri"/>
              </w:rPr>
              <w:t>NSF Charges</w:t>
            </w:r>
          </w:p>
        </w:tc>
        <w:tc>
          <w:tcPr>
            <w:tcW w:w="4065" w:type="dxa"/>
            <w:gridSpan w:val="5"/>
            <w:tcBorders>
              <w:top w:val="nil"/>
              <w:left w:val="nil"/>
              <w:bottom w:val="nil"/>
              <w:right w:val="nil"/>
            </w:tcBorders>
            <w:shd w:val="clear" w:color="auto" w:fill="auto"/>
          </w:tcPr>
          <w:p w14:paraId="7EE57571" w14:textId="77777777" w:rsidR="00473B1C" w:rsidRPr="00473B1C" w:rsidRDefault="00473B1C" w:rsidP="00473B1C">
            <w:pPr>
              <w:jc w:val="center"/>
              <w:rPr>
                <w:rFonts w:eastAsia="Calibri"/>
              </w:rPr>
            </w:pPr>
            <w:r w:rsidRPr="00473B1C">
              <w:rPr>
                <w:rFonts w:eastAsia="Calibri"/>
              </w:rPr>
              <w:t>Pursuant to Section 68.065, F.S.</w:t>
            </w:r>
          </w:p>
        </w:tc>
      </w:tr>
    </w:tbl>
    <w:p w14:paraId="39597230" w14:textId="77777777" w:rsidR="00473B1C" w:rsidRPr="00473B1C" w:rsidRDefault="00473B1C" w:rsidP="00473B1C"/>
    <w:sectPr w:rsidR="00473B1C" w:rsidRPr="00473B1C" w:rsidSect="00603C1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4696" w14:textId="77777777" w:rsidR="007E76B9" w:rsidRDefault="007E76B9">
      <w:r>
        <w:separator/>
      </w:r>
    </w:p>
  </w:endnote>
  <w:endnote w:type="continuationSeparator" w:id="0">
    <w:p w14:paraId="6B14B688" w14:textId="77777777" w:rsidR="007E76B9" w:rsidRDefault="007E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BEFE5" w14:textId="29AEE8A5" w:rsidR="002A4029" w:rsidRDefault="002A402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536D3">
      <w:rPr>
        <w:rStyle w:val="PageNumber"/>
        <w:noProof/>
      </w:rPr>
      <w:t>48</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2D6E" w14:textId="77777777" w:rsidR="002A4029" w:rsidRDefault="002A4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8C621" w14:textId="77777777" w:rsidR="002A4029" w:rsidRDefault="002A4029" w:rsidP="008B6FA8">
    <w:pPr>
      <w:pStyle w:val="Footer"/>
      <w:jc w:val="center"/>
    </w:pPr>
    <w:r>
      <w:t>- i</w:t>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060E" w14:textId="22A9929E" w:rsidR="002A4029" w:rsidRDefault="002A402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536D3">
      <w:rPr>
        <w:rStyle w:val="PageNumber"/>
        <w:noProof/>
      </w:rPr>
      <w:t>49</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3354" w14:textId="1CF1E027" w:rsidR="002A4029" w:rsidRDefault="002A402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536D3">
      <w:rPr>
        <w:rStyle w:val="PageNumber"/>
        <w:noProof/>
      </w:rPr>
      <w:t>50</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EFBFF" w14:textId="4F30E4B4" w:rsidR="002A4029" w:rsidRDefault="002A4029" w:rsidP="00410424">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9536D3">
      <w:rPr>
        <w:rStyle w:val="PageNumber"/>
        <w:noProof/>
      </w:rPr>
      <w:t>51</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6895" w14:textId="46A1510F" w:rsidR="002A4029" w:rsidRDefault="002A4029" w:rsidP="00410424">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9536D3">
      <w:rPr>
        <w:rStyle w:val="PageNumber"/>
        <w:noProof/>
      </w:rPr>
      <w:t>52</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1091" w14:textId="1E89AAB9" w:rsidR="002A4029" w:rsidRDefault="002A4029" w:rsidP="00410424">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9536D3">
      <w:rPr>
        <w:rStyle w:val="PageNumber"/>
        <w:noProof/>
      </w:rPr>
      <w:t>54</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5E8BB" w14:textId="77777777" w:rsidR="002A4029" w:rsidRDefault="002A402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1F6F" w14:textId="011D9689" w:rsidR="002A4029" w:rsidRDefault="002A4029" w:rsidP="00473B1C">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9536D3">
      <w:rPr>
        <w:rStyle w:val="PageNumber"/>
        <w:noProof/>
      </w:rPr>
      <w:t>55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9F3A" w14:textId="77777777" w:rsidR="007E76B9" w:rsidRDefault="007E76B9">
      <w:r>
        <w:separator/>
      </w:r>
    </w:p>
  </w:footnote>
  <w:footnote w:type="continuationSeparator" w:id="0">
    <w:p w14:paraId="5D51001C" w14:textId="77777777" w:rsidR="007E76B9" w:rsidRDefault="007E76B9">
      <w:r>
        <w:continuationSeparator/>
      </w:r>
    </w:p>
  </w:footnote>
  <w:footnote w:id="1">
    <w:p w14:paraId="3A271553" w14:textId="77777777" w:rsidR="002A4029" w:rsidRDefault="002A4029" w:rsidP="00FC4139">
      <w:pPr>
        <w:pStyle w:val="FootnoteText"/>
      </w:pPr>
      <w:r>
        <w:rPr>
          <w:rStyle w:val="FootnoteReference"/>
        </w:rPr>
        <w:footnoteRef/>
      </w:r>
      <w:r>
        <w:t xml:space="preserve"> Order No. PSC-2021-0066-PAA-SU, issued February 2, 2021, in Docket No. 20200226-SU, </w:t>
      </w:r>
      <w:r w:rsidRPr="004A1549">
        <w:rPr>
          <w:i/>
        </w:rPr>
        <w:t>In re: Application for certificate to provide wastewater service in Charlotte County, by Environmental Utilities, LLC</w:t>
      </w:r>
      <w:r>
        <w:rPr>
          <w:i/>
        </w:rPr>
        <w:t>.</w:t>
      </w:r>
    </w:p>
  </w:footnote>
  <w:footnote w:id="2">
    <w:p w14:paraId="0869EDEB" w14:textId="77777777" w:rsidR="002A4029" w:rsidRDefault="002A4029" w:rsidP="00FC4139">
      <w:pPr>
        <w:pStyle w:val="FootnoteText"/>
      </w:pPr>
      <w:r>
        <w:rPr>
          <w:rStyle w:val="FootnoteReference"/>
        </w:rPr>
        <w:footnoteRef/>
      </w:r>
      <w:r>
        <w:t xml:space="preserve"> Order No. PSC-2021-0376-PCO-SU, issued September 28, 2021, in Docket No. 20200226-SU, </w:t>
      </w:r>
      <w:r w:rsidRPr="004A1549">
        <w:rPr>
          <w:i/>
        </w:rPr>
        <w:t>In re: Application for certificate to provide wastewater service in Charlotte County, by Environmental Utilities, LLC</w:t>
      </w:r>
      <w:r>
        <w:rPr>
          <w:i/>
        </w:rPr>
        <w:t>.</w:t>
      </w:r>
    </w:p>
  </w:footnote>
  <w:footnote w:id="3">
    <w:p w14:paraId="62D8FEE6" w14:textId="77777777" w:rsidR="002A4029" w:rsidRDefault="002A4029" w:rsidP="00FC4139">
      <w:pPr>
        <w:pStyle w:val="FootnoteText"/>
      </w:pPr>
      <w:r>
        <w:rPr>
          <w:rStyle w:val="FootnoteReference"/>
        </w:rPr>
        <w:footnoteRef/>
      </w:r>
      <w:r>
        <w:t xml:space="preserve"> Order No. PSC-2022-0046-PCO-SU, issued January 28, 2022, in Docket No. 20200226-SU, </w:t>
      </w:r>
      <w:r w:rsidRPr="004A1549">
        <w:rPr>
          <w:i/>
        </w:rPr>
        <w:t>In re: Application for certificate to provide wastewater service in Charlotte County, by Environmental Utilities, LLC</w:t>
      </w:r>
      <w:r>
        <w:rPr>
          <w:i/>
        </w:rPr>
        <w:t>.</w:t>
      </w:r>
    </w:p>
  </w:footnote>
  <w:footnote w:id="4">
    <w:p w14:paraId="39B7B60A" w14:textId="77777777" w:rsidR="002A4029" w:rsidRDefault="002A4029">
      <w:pPr>
        <w:pStyle w:val="FootnoteText"/>
      </w:pPr>
      <w:r>
        <w:rPr>
          <w:rStyle w:val="FootnoteReference"/>
        </w:rPr>
        <w:footnoteRef/>
      </w:r>
      <w:r>
        <w:t xml:space="preserve"> </w:t>
      </w:r>
      <w:r w:rsidRPr="00DB30CC">
        <w:t>The objections included that a need for service had not been shown, the proposed service is not in the public interest, and a belief that EU does not have the financial or technical ability to provide wastewater service.</w:t>
      </w:r>
    </w:p>
  </w:footnote>
  <w:footnote w:id="5">
    <w:p w14:paraId="57CF7A78" w14:textId="091C3805" w:rsidR="002A4029" w:rsidRDefault="002A4029" w:rsidP="00281CE3">
      <w:pPr>
        <w:pStyle w:val="FootnoteText"/>
      </w:pPr>
      <w:r>
        <w:rPr>
          <w:rStyle w:val="FootnoteReference"/>
        </w:rPr>
        <w:footnoteRef/>
      </w:r>
      <w:r>
        <w:t xml:space="preserve"> Charlotte County is not a party to the instant docket; but, its designated representative Mr. Craig Rudy provided testimony via a deposition resulting from a subpoena by PIE. Pursuant to the Prehearing Order, EU was permitted to utilize the deposition at hearing. (EXH 42)</w:t>
      </w:r>
    </w:p>
  </w:footnote>
  <w:footnote w:id="6">
    <w:p w14:paraId="4D9A2975" w14:textId="77777777" w:rsidR="002A4029" w:rsidRDefault="002A4029">
      <w:pPr>
        <w:pStyle w:val="FootnoteText"/>
      </w:pPr>
      <w:r>
        <w:rPr>
          <w:rStyle w:val="FootnoteReference"/>
        </w:rPr>
        <w:footnoteRef/>
      </w:r>
      <w:r>
        <w:t xml:space="preserve"> A total of 53 potential customers spoke at the February 8, 2022, (21 speakers) and February 9, 2022, (32 speakers) service hearings.</w:t>
      </w:r>
    </w:p>
  </w:footnote>
  <w:footnote w:id="7">
    <w:p w14:paraId="2E353B81" w14:textId="77777777" w:rsidR="002A4029" w:rsidRDefault="002A4029" w:rsidP="003E0B1E">
      <w:pPr>
        <w:pStyle w:val="FootnoteText"/>
      </w:pPr>
      <w:r w:rsidRPr="001F14D1">
        <w:rPr>
          <w:rStyle w:val="FootnoteReference"/>
        </w:rPr>
        <w:footnoteRef/>
      </w:r>
      <w:r w:rsidRPr="001F14D1">
        <w:t xml:space="preserve"> The Sewer Plan used an environmental impact</w:t>
      </w:r>
      <w:r>
        <w:t xml:space="preserve"> level</w:t>
      </w:r>
      <w:r w:rsidRPr="001F14D1">
        <w:t xml:space="preserve"> scoring criteria to identify project areas as part of its methodology to prioritize areas for future </w:t>
      </w:r>
      <w:r>
        <w:t xml:space="preserve">capital </w:t>
      </w:r>
      <w:r w:rsidRPr="001F14D1">
        <w:t xml:space="preserve">improvement plans, </w:t>
      </w:r>
      <w:r>
        <w:t>which also considered</w:t>
      </w:r>
      <w:r w:rsidRPr="001F14D1">
        <w:t xml:space="preserve"> infrastructure sequencing, utility input, cost considerations, and other factors. The</w:t>
      </w:r>
      <w:r>
        <w:t xml:space="preserve"> environmental</w:t>
      </w:r>
      <w:r w:rsidRPr="001F14D1">
        <w:t xml:space="preserve"> impact </w:t>
      </w:r>
      <w:r>
        <w:t xml:space="preserve">level </w:t>
      </w:r>
      <w:r w:rsidRPr="001F14D1">
        <w:t>score is an average of three factors which are each given a score between 1 and 5. Those factors are</w:t>
      </w:r>
      <w:r>
        <w:t>:</w:t>
      </w:r>
      <w:r w:rsidRPr="001F14D1">
        <w:t xml:space="preserve"> (1) proximity to surface waters</w:t>
      </w:r>
      <w:r>
        <w:t>;</w:t>
      </w:r>
      <w:r w:rsidRPr="001F14D1">
        <w:t xml:space="preserve"> (2) age of septic tanks</w:t>
      </w:r>
      <w:r>
        <w:t>;</w:t>
      </w:r>
      <w:r w:rsidRPr="001F14D1">
        <w:t xml:space="preserve"> and (3) nitrogen loading.</w:t>
      </w:r>
      <w:r>
        <w:t xml:space="preserve"> The impact scores of the areas addressed in this docket are those that range from 4 to 5. (EXH 44 BSP 2938-2944)</w:t>
      </w:r>
    </w:p>
  </w:footnote>
  <w:footnote w:id="8">
    <w:p w14:paraId="4B38A113" w14:textId="77777777" w:rsidR="002A4029" w:rsidRDefault="002A4029" w:rsidP="003E0B1E">
      <w:pPr>
        <w:pStyle w:val="FootnoteText"/>
      </w:pPr>
      <w:r>
        <w:rPr>
          <w:rStyle w:val="FootnoteReference"/>
        </w:rPr>
        <w:footnoteRef/>
      </w:r>
      <w:r>
        <w:t xml:space="preserve"> </w:t>
      </w:r>
      <w:r>
        <w:rPr>
          <w:color w:val="000000"/>
        </w:rPr>
        <w:t>The Sewer Plan recommends conversion for areas with an average impact score of 4 to 5 during the 5-year, 10-year, 15-year plans, or in the case of at least six areas, no conversion at all. (EXH 44 BSP 2944, 2957)</w:t>
      </w:r>
    </w:p>
  </w:footnote>
  <w:footnote w:id="9">
    <w:p w14:paraId="368C5135" w14:textId="51D9F702" w:rsidR="002A4029" w:rsidRDefault="002A4029" w:rsidP="007B44A9">
      <w:pPr>
        <w:pStyle w:val="FootnoteText"/>
      </w:pPr>
      <w:r>
        <w:rPr>
          <w:rStyle w:val="FootnoteReference"/>
        </w:rPr>
        <w:footnoteRef/>
      </w:r>
      <w:r>
        <w:t xml:space="preserve"> </w:t>
      </w:r>
      <w:r w:rsidRPr="009C5C0A">
        <w:rPr>
          <w:i/>
        </w:rPr>
        <w:t>City of Oviedo v. Clark</w:t>
      </w:r>
      <w:r>
        <w:t xml:space="preserve">, 699 So. 2d 316, 318 (Fla. 1st DCA 1997) </w:t>
      </w:r>
      <w:r w:rsidRPr="000E25A4">
        <w:t xml:space="preserve">(“The plain language of the statute only requires the </w:t>
      </w:r>
      <w:r>
        <w:t>Commission</w:t>
      </w:r>
      <w:r w:rsidRPr="000E25A4">
        <w:t xml:space="preserve"> to consider the comprehensive plan. The </w:t>
      </w:r>
      <w:r>
        <w:t>Commission</w:t>
      </w:r>
      <w:r w:rsidRPr="000E25A4">
        <w:t xml:space="preserve"> is expressly granted discretion in the decision of whether to defer to the plan.”)</w:t>
      </w:r>
    </w:p>
  </w:footnote>
  <w:footnote w:id="10">
    <w:p w14:paraId="4162E048" w14:textId="77777777" w:rsidR="002A4029" w:rsidRDefault="002A4029" w:rsidP="00A4666F">
      <w:pPr>
        <w:pStyle w:val="FootnoteText"/>
      </w:pPr>
      <w:r w:rsidRPr="001F14D1">
        <w:rPr>
          <w:rStyle w:val="FootnoteReference"/>
        </w:rPr>
        <w:footnoteRef/>
      </w:r>
      <w:r w:rsidRPr="001F14D1">
        <w:t xml:space="preserve"> The Sewer Plan used an environmental impact</w:t>
      </w:r>
      <w:r>
        <w:t xml:space="preserve"> level</w:t>
      </w:r>
      <w:r w:rsidRPr="001F14D1">
        <w:t xml:space="preserve"> scoring criteria to identify project areas as part of its methodology to prioritize areas for future </w:t>
      </w:r>
      <w:r>
        <w:t xml:space="preserve">capital </w:t>
      </w:r>
      <w:r w:rsidRPr="001F14D1">
        <w:t xml:space="preserve">improvement plans, </w:t>
      </w:r>
      <w:r>
        <w:t>which also considered</w:t>
      </w:r>
      <w:r w:rsidRPr="001F14D1">
        <w:t xml:space="preserve"> infrastructure sequencing, utility input, cost considerations, and other factors. The</w:t>
      </w:r>
      <w:r>
        <w:t xml:space="preserve"> environmental</w:t>
      </w:r>
      <w:r w:rsidRPr="001F14D1">
        <w:t xml:space="preserve"> impact </w:t>
      </w:r>
      <w:r>
        <w:t xml:space="preserve">level </w:t>
      </w:r>
      <w:r w:rsidRPr="001F14D1">
        <w:t>score is an average of three factors which are each given a score between 1 and 5. Those factors are</w:t>
      </w:r>
      <w:r>
        <w:t>:</w:t>
      </w:r>
      <w:r w:rsidRPr="001F14D1">
        <w:t xml:space="preserve"> (1) proximity to surface waters</w:t>
      </w:r>
      <w:r>
        <w:t>;</w:t>
      </w:r>
      <w:r w:rsidRPr="001F14D1">
        <w:t xml:space="preserve"> (2) age of septic tanks</w:t>
      </w:r>
      <w:r>
        <w:t>;</w:t>
      </w:r>
      <w:r w:rsidRPr="001F14D1">
        <w:t xml:space="preserve"> and (3) nitrogen loading.</w:t>
      </w:r>
      <w:r>
        <w:t xml:space="preserve"> The impact scores of the areas addressed in this docket are those that range from 4 to 5. (EXH 44 BSP 2938-2944)</w:t>
      </w:r>
    </w:p>
  </w:footnote>
  <w:footnote w:id="11">
    <w:p w14:paraId="0943093E" w14:textId="77777777" w:rsidR="002A4029" w:rsidRDefault="002A4029" w:rsidP="00A4666F">
      <w:pPr>
        <w:pStyle w:val="FootnoteText"/>
      </w:pPr>
      <w:r>
        <w:rPr>
          <w:rStyle w:val="FootnoteReference"/>
        </w:rPr>
        <w:footnoteRef/>
      </w:r>
      <w:r>
        <w:t xml:space="preserve"> </w:t>
      </w:r>
      <w:r>
        <w:rPr>
          <w:color w:val="000000"/>
        </w:rPr>
        <w:t>The Sewer Plan prioritizes conversion for areas with an average impact score of 4 to 5 during the 5-year, 10-year, 15-year plans, or in the case of at least six areas, no conversion at all. (EXH 44 BSP 2944, 2957)</w:t>
      </w:r>
    </w:p>
  </w:footnote>
  <w:footnote w:id="12">
    <w:p w14:paraId="6BC65641" w14:textId="61BBEDBF" w:rsidR="002A4029" w:rsidRPr="007C1E60" w:rsidRDefault="002A4029" w:rsidP="005E2847">
      <w:pPr>
        <w:pStyle w:val="FootnoteText"/>
      </w:pPr>
      <w:r>
        <w:rPr>
          <w:rStyle w:val="FootnoteReference"/>
        </w:rPr>
        <w:footnoteRef/>
      </w:r>
      <w:r>
        <w:t xml:space="preserve"> See Order No. PSC-08-0243-FOF-WS, issued April 16, 2008, in Docket No. 20070109-WS, </w:t>
      </w:r>
      <w:r w:rsidRPr="00CE6C6D">
        <w:rPr>
          <w:i/>
        </w:rPr>
        <w:t>In re: Application for amendment of Certificates 611-W and 527-S to extend water and wastewater service areas to include certain land in Charlotte County by Sun River Utilities, Inc. (f/k/a MSM Utilities, LLC)</w:t>
      </w:r>
      <w:r>
        <w:t xml:space="preserve">, pp. 11-13; Order No. PSC-04-0980-FOF-WU, issued October 8, 2004, in Docket No. 20021256-WU, </w:t>
      </w:r>
      <w:r w:rsidRPr="00CE6C6D">
        <w:rPr>
          <w:i/>
        </w:rPr>
        <w:t>In re: Application for certificate to provide water service in Volusia and Brevard Counties by Farmton Water Resources LLC</w:t>
      </w:r>
      <w:r>
        <w:t>, p. 26; Order No.</w:t>
      </w:r>
      <w:r w:rsidRPr="00A855DB">
        <w:t xml:space="preserve"> PSC-92-0104-FOF-WU, issued March 27, 1992, in Docket No. </w:t>
      </w:r>
      <w:r>
        <w:t>19910114-WU,</w:t>
      </w:r>
      <w:r w:rsidRPr="000C2F48">
        <w:rPr>
          <w:i/>
        </w:rPr>
        <w:t xml:space="preserve"> In re: Application for water certificate in Brevard, Orange and Osceola Counties by </w:t>
      </w:r>
      <w:r>
        <w:rPr>
          <w:i/>
        </w:rPr>
        <w:t>East Central Florida Services, Inc.</w:t>
      </w:r>
      <w:r>
        <w:t>, pp. 33-34.</w:t>
      </w:r>
    </w:p>
  </w:footnote>
  <w:footnote w:id="13">
    <w:p w14:paraId="543B8709" w14:textId="2B649391" w:rsidR="002A4029" w:rsidRPr="008B7D3E" w:rsidRDefault="002A4029" w:rsidP="0056006B">
      <w:pPr>
        <w:pStyle w:val="FootnoteText"/>
      </w:pPr>
      <w:r>
        <w:rPr>
          <w:rStyle w:val="FootnoteReference"/>
        </w:rPr>
        <w:footnoteRef/>
      </w:r>
      <w:r>
        <w:t xml:space="preserve"> </w:t>
      </w:r>
      <w:r>
        <w:rPr>
          <w:i/>
        </w:rPr>
        <w:t xml:space="preserve">See </w:t>
      </w:r>
      <w:r>
        <w:t xml:space="preserve">Order No. 14536, issued July 3, 1985, in Docket Nos. 19840387-WS and 19850072-WS, </w:t>
      </w:r>
      <w:r>
        <w:rPr>
          <w:i/>
        </w:rPr>
        <w:t xml:space="preserve">In re: Application of Gulf Utility Company for Amendment of Water Certificate No. 72-W and Sewer Certificate No. 64-S in Lee County, Florida </w:t>
      </w:r>
      <w:r w:rsidRPr="00146083">
        <w:t>(</w:t>
      </w:r>
      <w:r>
        <w:t xml:space="preserve">Utility failed to demonstrate a clear need for service in presenting the testimony of only one witness who demonstrated a need for service within a portion of the area in contention. Accordingly, the application was approved only with respect to the area where a clear need for service had been demonstrated.); Order No. 22847, issued April 23, 1990, in Docket No. 19890459-WU, </w:t>
      </w:r>
      <w:r>
        <w:rPr>
          <w:i/>
        </w:rPr>
        <w:t xml:space="preserve">In re: Objection to notice of Conrock Utility Company of intent to apply for a wastewater certificate in Hernando County </w:t>
      </w:r>
      <w:r>
        <w:t>(Certification denied where, among other things, the applicant failed to demonstrate the need for the proposed utility).</w:t>
      </w:r>
    </w:p>
  </w:footnote>
  <w:footnote w:id="14">
    <w:p w14:paraId="5628CF6A" w14:textId="33027C7D" w:rsidR="002A4029" w:rsidRDefault="002A4029" w:rsidP="009428A3">
      <w:pPr>
        <w:jc w:val="both"/>
      </w:pPr>
      <w:r>
        <w:rPr>
          <w:rStyle w:val="FootnoteReference"/>
        </w:rPr>
        <w:footnoteRef/>
      </w:r>
      <w:r>
        <w:t xml:space="preserve"> </w:t>
      </w:r>
      <w:r w:rsidRPr="00CC3425">
        <w:rPr>
          <w:sz w:val="20"/>
          <w:szCs w:val="20"/>
        </w:rPr>
        <w:t xml:space="preserve">The easements referenced here are in relation </w:t>
      </w:r>
      <w:r>
        <w:rPr>
          <w:sz w:val="20"/>
          <w:szCs w:val="20"/>
        </w:rPr>
        <w:t xml:space="preserve">to </w:t>
      </w:r>
      <w:r w:rsidRPr="00CC3425">
        <w:rPr>
          <w:sz w:val="20"/>
          <w:szCs w:val="20"/>
        </w:rPr>
        <w:t>Mr. Boyer’s ownership and operation of Little Gasparilla Water Utility, Inc.</w:t>
      </w:r>
      <w:r>
        <w:rPr>
          <w:sz w:val="20"/>
          <w:szCs w:val="20"/>
        </w:rPr>
        <w:t xml:space="preserve">, </w:t>
      </w:r>
      <w:r w:rsidRPr="00CC3425">
        <w:rPr>
          <w:sz w:val="20"/>
          <w:szCs w:val="20"/>
        </w:rPr>
        <w:t>in Charlotte County.</w:t>
      </w:r>
    </w:p>
  </w:footnote>
  <w:footnote w:id="15">
    <w:p w14:paraId="32E7E770" w14:textId="77777777" w:rsidR="002A4029" w:rsidRPr="00E31111" w:rsidRDefault="002A4029" w:rsidP="008060A4">
      <w:pPr>
        <w:pStyle w:val="FootnoteText"/>
        <w:keepLines/>
        <w:widowControl w:val="0"/>
      </w:pPr>
      <w:r>
        <w:rPr>
          <w:rStyle w:val="FootnoteReference"/>
        </w:rPr>
        <w:footnoteRef/>
      </w:r>
      <w:r>
        <w:t xml:space="preserve"> O</w:t>
      </w:r>
      <w:r w:rsidRPr="00AB47AC">
        <w:t xml:space="preserve">rder No. PSC-2018-0271-PAA-WS, issued May 30, 2018, in Docket No. 20160220-WS, </w:t>
      </w:r>
      <w:r w:rsidRPr="00AB47AC">
        <w:rPr>
          <w:i/>
        </w:rPr>
        <w:t xml:space="preserve">In re: Application for original water and wastewater certificates in Sumter County, by South Sumter Utility Company, LLC.; </w:t>
      </w:r>
      <w:r w:rsidRPr="0089651A">
        <w:t>O</w:t>
      </w:r>
      <w:r w:rsidRPr="00AB47AC">
        <w:t xml:space="preserve">rder No. PSC-17-0113-PAA-WS, issued March 28, 2017, in Docket No. </w:t>
      </w:r>
      <w:r>
        <w:t>20</w:t>
      </w:r>
      <w:r w:rsidRPr="00AB47AC">
        <w:t xml:space="preserve">130105-WS, </w:t>
      </w:r>
      <w:r w:rsidRPr="00AB47AC">
        <w:rPr>
          <w:i/>
        </w:rPr>
        <w:t>In re: Application for certificates to provide water and wastewater service and Hendry and Collier Counties, by Consolidated Services o</w:t>
      </w:r>
      <w:r>
        <w:rPr>
          <w:i/>
        </w:rPr>
        <w:t>f</w:t>
      </w:r>
      <w:r w:rsidRPr="00AB47AC">
        <w:rPr>
          <w:i/>
        </w:rPr>
        <w:t xml:space="preserve"> Hendry &amp; Collier, LLC.</w:t>
      </w:r>
      <w:r>
        <w:t>, p. 3.</w:t>
      </w:r>
    </w:p>
  </w:footnote>
  <w:footnote w:id="16">
    <w:p w14:paraId="05A675DA" w14:textId="77777777" w:rsidR="002A4029" w:rsidRPr="00E31111" w:rsidRDefault="002A4029" w:rsidP="00B91B33">
      <w:pPr>
        <w:pStyle w:val="FootnoteText"/>
      </w:pPr>
      <w:r>
        <w:rPr>
          <w:rStyle w:val="FootnoteReference"/>
        </w:rPr>
        <w:footnoteRef/>
      </w:r>
      <w:r>
        <w:t xml:space="preserve"> Order No. PSC-12-0353-PAA-WU, issued July 9, 2012, in Docket No. 20110022-WU, </w:t>
      </w:r>
      <w:r>
        <w:rPr>
          <w:i/>
        </w:rPr>
        <w:t>In re: Application for certificate to operate water utility in Pasco County by HV Utility Systems, L.L.C.</w:t>
      </w:r>
      <w:r>
        <w:t>, p. 5.</w:t>
      </w:r>
    </w:p>
  </w:footnote>
  <w:footnote w:id="17">
    <w:p w14:paraId="5E03EE95" w14:textId="77777777" w:rsidR="002A4029" w:rsidRPr="00E31111" w:rsidRDefault="002A4029" w:rsidP="00B4450D">
      <w:pPr>
        <w:autoSpaceDE w:val="0"/>
        <w:autoSpaceDN w:val="0"/>
        <w:adjustRightInd w:val="0"/>
        <w:jc w:val="both"/>
      </w:pPr>
      <w:r w:rsidRPr="00AB47AC">
        <w:rPr>
          <w:rStyle w:val="FootnoteReference"/>
          <w:sz w:val="20"/>
          <w:szCs w:val="20"/>
        </w:rPr>
        <w:footnoteRef/>
      </w:r>
      <w:r w:rsidRPr="00AB47AC">
        <w:rPr>
          <w:sz w:val="20"/>
          <w:szCs w:val="20"/>
        </w:rPr>
        <w:t xml:space="preserve"> </w:t>
      </w:r>
      <w:r w:rsidRPr="00976C9F">
        <w:rPr>
          <w:sz w:val="20"/>
          <w:szCs w:val="20"/>
        </w:rPr>
        <w:t xml:space="preserve">Order No. </w:t>
      </w:r>
      <w:bookmarkStart w:id="24" w:name="SMOrderNo"/>
      <w:bookmarkEnd w:id="24"/>
      <w:r w:rsidRPr="00976C9F">
        <w:rPr>
          <w:sz w:val="20"/>
          <w:szCs w:val="20"/>
        </w:rPr>
        <w:t xml:space="preserve">PSC-2020-0059-PAA-WS, issued February 24, 2020, in Docket No. 20190147-WS, </w:t>
      </w:r>
      <w:r w:rsidRPr="00976C9F">
        <w:rPr>
          <w:i/>
          <w:sz w:val="20"/>
          <w:szCs w:val="20"/>
        </w:rPr>
        <w:t xml:space="preserve">In re: </w:t>
      </w:r>
      <w:bookmarkStart w:id="25" w:name="SMInRe"/>
      <w:bookmarkEnd w:id="25"/>
      <w:r w:rsidRPr="00976C9F">
        <w:rPr>
          <w:i/>
          <w:sz w:val="20"/>
          <w:szCs w:val="20"/>
        </w:rPr>
        <w:t>Application for certificates to provide water and wastewater service in Brevard County by River Grove Utilities, Inc.</w:t>
      </w:r>
      <w:r>
        <w:rPr>
          <w:sz w:val="20"/>
          <w:szCs w:val="20"/>
        </w:rPr>
        <w:t>, p. 4</w:t>
      </w:r>
      <w:r w:rsidRPr="00976C9F">
        <w:rPr>
          <w:i/>
          <w:sz w:val="20"/>
          <w:szCs w:val="20"/>
        </w:rPr>
        <w:t xml:space="preserve">; </w:t>
      </w:r>
      <w:r w:rsidRPr="00976C9F">
        <w:rPr>
          <w:sz w:val="20"/>
          <w:szCs w:val="20"/>
        </w:rPr>
        <w:t>Order No.</w:t>
      </w:r>
      <w:r w:rsidRPr="00AB47AC">
        <w:rPr>
          <w:sz w:val="20"/>
          <w:szCs w:val="20"/>
        </w:rPr>
        <w:t xml:space="preserve"> PSC-17-0113-PAA-WS,</w:t>
      </w:r>
      <w:r>
        <w:rPr>
          <w:sz w:val="20"/>
          <w:szCs w:val="20"/>
        </w:rPr>
        <w:t xml:space="preserve"> </w:t>
      </w:r>
      <w:r w:rsidRPr="00AB47AC">
        <w:rPr>
          <w:sz w:val="20"/>
          <w:szCs w:val="20"/>
        </w:rPr>
        <w:t xml:space="preserve">issued March 28, 2017, in Docket No. </w:t>
      </w:r>
      <w:r>
        <w:rPr>
          <w:sz w:val="20"/>
          <w:szCs w:val="20"/>
        </w:rPr>
        <w:t>20</w:t>
      </w:r>
      <w:r w:rsidRPr="00AB47AC">
        <w:rPr>
          <w:sz w:val="20"/>
          <w:szCs w:val="20"/>
        </w:rPr>
        <w:t xml:space="preserve">130105-WS, </w:t>
      </w:r>
      <w:r w:rsidRPr="00AB47AC">
        <w:rPr>
          <w:i/>
          <w:sz w:val="20"/>
          <w:szCs w:val="20"/>
        </w:rPr>
        <w:t>In re: Application for certificates to provide water and wastewater service and Hendry and Collier Counties, by Consolidated Services o Hendry &amp; Collie</w:t>
      </w:r>
      <w:r>
        <w:rPr>
          <w:i/>
          <w:sz w:val="20"/>
          <w:szCs w:val="20"/>
        </w:rPr>
        <w:t>r, LLC.</w:t>
      </w:r>
      <w:r>
        <w:rPr>
          <w:sz w:val="20"/>
          <w:szCs w:val="20"/>
        </w:rPr>
        <w:t>, p. 3.</w:t>
      </w:r>
    </w:p>
  </w:footnote>
  <w:footnote w:id="18">
    <w:p w14:paraId="57E4A16B" w14:textId="77777777" w:rsidR="002A4029" w:rsidRPr="00BE521F" w:rsidRDefault="002A4029" w:rsidP="00B91B33">
      <w:pPr>
        <w:pStyle w:val="FootnoteText"/>
        <w:rPr>
          <w:i/>
        </w:rPr>
      </w:pPr>
      <w:r>
        <w:rPr>
          <w:rStyle w:val="FootnoteReference"/>
        </w:rPr>
        <w:footnoteRef/>
      </w:r>
      <w:r>
        <w:t xml:space="preserve"> Order No. PSC-2021-0244-PAA-WS, issued July 6, 2021, in Docket No. 20210006-WS, </w:t>
      </w:r>
      <w:r>
        <w:rPr>
          <w:i/>
        </w:rPr>
        <w:t xml:space="preserve">In re; </w:t>
      </w:r>
      <w:r w:rsidRPr="00F432BE">
        <w:rPr>
          <w:i/>
        </w:rPr>
        <w:t>Water and wastewater industry annual reestablishment of authorized range of return on common equity for water and wastewater utilities pursuant to Section 367.081(4)(f), F.S.</w:t>
      </w:r>
    </w:p>
  </w:footnote>
  <w:footnote w:id="19">
    <w:p w14:paraId="79117729" w14:textId="77777777" w:rsidR="002A4029" w:rsidRDefault="002A4029" w:rsidP="005E6E8A">
      <w:pPr>
        <w:pStyle w:val="FootnoteText"/>
      </w:pPr>
      <w:r>
        <w:rPr>
          <w:rStyle w:val="FootnoteReference"/>
        </w:rPr>
        <w:footnoteRef/>
      </w:r>
      <w:r>
        <w:t xml:space="preserve"> Order No. PSC-2020-0118-PAA-WS, issued April 20, 2020, in Docket No. 20190071-WS, </w:t>
      </w:r>
      <w:r w:rsidRPr="00660D9D">
        <w:rPr>
          <w:i/>
        </w:rPr>
        <w:t xml:space="preserve">In re: Application for staff-assisted rate case in Polk County by </w:t>
      </w:r>
      <w:r>
        <w:rPr>
          <w:i/>
        </w:rPr>
        <w:t>Deer Creek RV Golf &amp; Country Club, Inc.</w:t>
      </w:r>
    </w:p>
  </w:footnote>
  <w:footnote w:id="20">
    <w:p w14:paraId="2E155250" w14:textId="77777777" w:rsidR="002A4029" w:rsidRDefault="002A4029" w:rsidP="005E6E8A">
      <w:pPr>
        <w:pStyle w:val="FootnoteText"/>
      </w:pPr>
      <w:r>
        <w:rPr>
          <w:rStyle w:val="FootnoteReference"/>
        </w:rPr>
        <w:footnoteRef/>
      </w:r>
      <w:r w:rsidRPr="006B134E">
        <w:rPr>
          <w:sz w:val="10"/>
          <w:szCs w:val="10"/>
        </w:rPr>
        <w:t xml:space="preserve"> </w:t>
      </w:r>
      <w:r>
        <w:t xml:space="preserve">Order No. PSC-2017-0459-PAA-WS, issued November 30, 2017, in Docket No. 20160176-WS, </w:t>
      </w:r>
      <w:r w:rsidRPr="003C692B">
        <w:rPr>
          <w:i/>
        </w:rPr>
        <w:t>In re: Application for staff-assisted rate case in Polk County by Four Lakes Golf Club, Ltd.</w:t>
      </w:r>
    </w:p>
  </w:footnote>
  <w:footnote w:id="21">
    <w:p w14:paraId="030388A1" w14:textId="25E361AB" w:rsidR="002A4029" w:rsidRDefault="002A4029">
      <w:pPr>
        <w:pStyle w:val="FootnoteText"/>
      </w:pPr>
      <w:r>
        <w:rPr>
          <w:rStyle w:val="FootnoteReference"/>
        </w:rPr>
        <w:footnoteRef/>
      </w:r>
      <w:r>
        <w:t xml:space="preserve"> </w:t>
      </w:r>
      <w:r w:rsidRPr="00B30703">
        <w:rPr>
          <w:rFonts w:eastAsiaTheme="minorHAnsi" w:cstheme="minorBidi"/>
        </w:rPr>
        <w:t xml:space="preserve">Order No. PSC-2017-0459-PAA-WS, </w:t>
      </w:r>
      <w:r>
        <w:rPr>
          <w:rFonts w:eastAsiaTheme="minorHAnsi" w:cstheme="minorBidi"/>
        </w:rPr>
        <w:t xml:space="preserve">issued November 30, 2017, </w:t>
      </w:r>
      <w:r w:rsidRPr="00B30703">
        <w:rPr>
          <w:rFonts w:eastAsiaTheme="minorHAnsi" w:cstheme="minorBidi"/>
        </w:rPr>
        <w:t xml:space="preserve">in Docket No. 20160176-WS, </w:t>
      </w:r>
      <w:r w:rsidRPr="00B30703">
        <w:rPr>
          <w:rFonts w:eastAsiaTheme="minorHAnsi" w:cstheme="minorBidi"/>
          <w:i/>
        </w:rPr>
        <w:t>In re: Application for staff-assisted rate case in Polk County by Four Lakes Golf Club, Ltd.</w:t>
      </w:r>
    </w:p>
  </w:footnote>
  <w:footnote w:id="22">
    <w:p w14:paraId="399D397E" w14:textId="12F2C48E" w:rsidR="002A4029" w:rsidRDefault="002A4029" w:rsidP="003640D1">
      <w:pPr>
        <w:pStyle w:val="FootnoteText"/>
      </w:pPr>
      <w:r>
        <w:rPr>
          <w:rStyle w:val="FootnoteReference"/>
        </w:rPr>
        <w:footnoteRef/>
      </w:r>
      <w:r>
        <w:t xml:space="preserve"> Order No. PSC-2020-0059-PAA-WS, issued February 24, 2020, in Docket No. 20190147-WS, </w:t>
      </w:r>
      <w:r w:rsidRPr="004D5A30">
        <w:rPr>
          <w:i/>
        </w:rPr>
        <w:t>In re: Application for certificates to provide water and wastewater service in Brevard County by River Grove Utilities, Inc</w:t>
      </w:r>
      <w:r>
        <w:t>.</w:t>
      </w:r>
    </w:p>
  </w:footnote>
  <w:footnote w:id="23">
    <w:p w14:paraId="5FB368AC" w14:textId="77777777" w:rsidR="002A4029" w:rsidRDefault="002A4029" w:rsidP="003640D1">
      <w:pPr>
        <w:pStyle w:val="FootnoteText"/>
      </w:pPr>
      <w:r w:rsidRPr="00AA37BD">
        <w:rPr>
          <w:rStyle w:val="FootnoteReference"/>
        </w:rPr>
        <w:footnoteRef/>
      </w:r>
      <w:r w:rsidRPr="00AA37BD">
        <w:t xml:space="preserve"> Id.</w:t>
      </w:r>
    </w:p>
  </w:footnote>
  <w:footnote w:id="24">
    <w:p w14:paraId="00C36D6C" w14:textId="77777777" w:rsidR="002A4029" w:rsidRDefault="002A4029" w:rsidP="003640D1">
      <w:pPr>
        <w:pStyle w:val="FootnoteText"/>
      </w:pPr>
      <w:r>
        <w:rPr>
          <w:rStyle w:val="FootnoteReference"/>
        </w:rPr>
        <w:footnoteRef/>
      </w:r>
      <w:r>
        <w:t xml:space="preserve"> Order No. PSC-2020-0059-PAA-WS, issued February 24, 2020, in Docket No. 20190147-WS, </w:t>
      </w:r>
      <w:r w:rsidRPr="004D5A30">
        <w:rPr>
          <w:i/>
        </w:rPr>
        <w:t>In re: Application for certificates to provide water and wastewater service in Brevard County by River Grove Utilities, Inc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982D1" w14:textId="77777777" w:rsidR="002A4029" w:rsidRDefault="002A4029" w:rsidP="00220732">
    <w:pPr>
      <w:pStyle w:val="Header"/>
      <w:tabs>
        <w:tab w:val="clear" w:pos="4320"/>
        <w:tab w:val="clear" w:pos="8640"/>
        <w:tab w:val="right" w:pos="9360"/>
      </w:tabs>
    </w:pPr>
    <w:r>
      <w:t>Docket No. 20200226-SU</w:t>
    </w:r>
  </w:p>
  <w:p w14:paraId="2D7C6B29" w14:textId="77777777" w:rsidR="002A4029" w:rsidRDefault="002A4029">
    <w:pPr>
      <w:pStyle w:val="Header"/>
    </w:pPr>
    <w:r>
      <w:t xml:space="preserve">Date: </w:t>
    </w:r>
    <w:fldSimple w:instr=" REF FilingDate ">
      <w:r>
        <w:t>May 25, 2022</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412F5" w14:textId="77777777" w:rsidR="002A4029" w:rsidRDefault="002A4029" w:rsidP="00473B1C">
    <w:pPr>
      <w:pStyle w:val="Header"/>
      <w:tabs>
        <w:tab w:val="clear" w:pos="4320"/>
        <w:tab w:val="clear" w:pos="8640"/>
        <w:tab w:val="right" w:pos="9000"/>
        <w:tab w:val="left" w:pos="909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20200226-SU</w:t>
    </w:r>
    <w:r>
      <w:fldChar w:fldCharType="end"/>
    </w:r>
    <w:r>
      <w:tab/>
      <w:t>Schedule No. 5</w:t>
    </w:r>
  </w:p>
  <w:p w14:paraId="4CE8234F" w14:textId="77777777" w:rsidR="002A4029" w:rsidRDefault="002A4029" w:rsidP="00473B1C">
    <w:pPr>
      <w:pStyle w:val="Header"/>
      <w:tabs>
        <w:tab w:val="clear" w:pos="4320"/>
        <w:tab w:val="clear" w:pos="8640"/>
        <w:tab w:val="center" w:pos="8460"/>
        <w:tab w:val="right" w:pos="11070"/>
      </w:tabs>
    </w:pPr>
    <w:r>
      <w:t xml:space="preserve">Date: </w:t>
    </w:r>
    <w:fldSimple w:instr=" REF FilingDate ">
      <w:r>
        <w:t>May 25, 2022</w:t>
      </w:r>
    </w:fldSimple>
    <w:r>
      <w:tab/>
      <w:t>Page 1 of 1</w:t>
    </w:r>
  </w:p>
  <w:p w14:paraId="009F7388" w14:textId="77777777" w:rsidR="002A4029" w:rsidRPr="00473B1C" w:rsidRDefault="002A4029" w:rsidP="00473B1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64EC" w14:textId="77777777" w:rsidR="002A4029" w:rsidRDefault="002A4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E24E1" w14:textId="09D07340" w:rsidR="002A4029" w:rsidRDefault="002A402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20200226-SU</w:t>
    </w:r>
    <w:r>
      <w:fldChar w:fldCharType="end"/>
    </w:r>
    <w:r>
      <w:tab/>
      <w:t xml:space="preserve">Issue </w:t>
    </w:r>
    <w:fldSimple w:instr=" Seq Issue \c \* Arabic ">
      <w:r w:rsidR="009536D3">
        <w:rPr>
          <w:noProof/>
        </w:rPr>
        <w:t>14</w:t>
      </w:r>
    </w:fldSimple>
  </w:p>
  <w:p w14:paraId="54F993D1" w14:textId="77777777" w:rsidR="002A4029" w:rsidRDefault="002A4029">
    <w:pPr>
      <w:pStyle w:val="Header"/>
    </w:pPr>
    <w:r>
      <w:t xml:space="preserve">Date: </w:t>
    </w:r>
    <w:fldSimple w:instr=" REF FilingDate ">
      <w:r>
        <w:t>May 25,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15322" w14:textId="77777777" w:rsidR="002A4029" w:rsidRDefault="002A402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20200226-SU</w:t>
    </w:r>
    <w:r>
      <w:fldChar w:fldCharType="end"/>
    </w:r>
    <w:r>
      <w:tab/>
      <w:t>Schedule No. 1-A</w:t>
    </w:r>
  </w:p>
  <w:p w14:paraId="325F0842" w14:textId="77777777" w:rsidR="002A4029" w:rsidRDefault="002A4029" w:rsidP="009211C4">
    <w:pPr>
      <w:pStyle w:val="Header"/>
      <w:tabs>
        <w:tab w:val="clear" w:pos="8640"/>
        <w:tab w:val="right" w:pos="9360"/>
      </w:tabs>
    </w:pPr>
    <w:r>
      <w:t xml:space="preserve">Date: </w:t>
    </w:r>
    <w:fldSimple w:instr=" REF FilingDate ">
      <w:r>
        <w:t>May 25, 2022</w:t>
      </w:r>
    </w:fldSimple>
    <w:r>
      <w:tab/>
    </w:r>
    <w:r>
      <w:tab/>
      <w:t>Page 1 of 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C8C62" w14:textId="77777777" w:rsidR="002A4029" w:rsidRDefault="002A402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20200226-SU</w:t>
    </w:r>
    <w:r>
      <w:fldChar w:fldCharType="end"/>
    </w:r>
    <w:r>
      <w:tab/>
      <w:t>Schedule No. 1-B</w:t>
    </w:r>
  </w:p>
  <w:p w14:paraId="7F628AAD" w14:textId="77777777" w:rsidR="002A4029" w:rsidRDefault="002A4029" w:rsidP="00F915FE">
    <w:pPr>
      <w:pStyle w:val="Header"/>
      <w:tabs>
        <w:tab w:val="clear" w:pos="8640"/>
        <w:tab w:val="right" w:pos="9360"/>
      </w:tabs>
    </w:pPr>
    <w:r>
      <w:t xml:space="preserve">Date: </w:t>
    </w:r>
    <w:fldSimple w:instr=" REF FilingDate ">
      <w:r>
        <w:t>May 25, 2022</w:t>
      </w:r>
    </w:fldSimple>
    <w:r>
      <w:tab/>
    </w:r>
    <w:r>
      <w:tab/>
      <w:t>Page 1 of 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23651" w14:textId="77777777" w:rsidR="002A4029" w:rsidRDefault="002A402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20200226-SU</w:t>
    </w:r>
    <w:r>
      <w:fldChar w:fldCharType="end"/>
    </w:r>
    <w:r>
      <w:tab/>
    </w:r>
    <w:r>
      <w:tab/>
    </w:r>
    <w:r>
      <w:tab/>
      <w:t>Schedule No. 2</w:t>
    </w:r>
  </w:p>
  <w:p w14:paraId="470A677E" w14:textId="77777777" w:rsidR="002A4029" w:rsidRDefault="002A4029" w:rsidP="00410424">
    <w:pPr>
      <w:pStyle w:val="Header"/>
      <w:tabs>
        <w:tab w:val="clear" w:pos="8640"/>
        <w:tab w:val="right" w:pos="9360"/>
      </w:tabs>
      <w:ind w:right="486"/>
    </w:pPr>
    <w:r>
      <w:t xml:space="preserve">Date: </w:t>
    </w:r>
    <w:fldSimple w:instr=" REF FilingDate ">
      <w:r>
        <w:t>May 25, 2022</w:t>
      </w:r>
    </w:fldSimple>
    <w:r>
      <w:tab/>
    </w:r>
    <w:r>
      <w:tab/>
    </w:r>
    <w:r>
      <w:tab/>
    </w:r>
    <w:r>
      <w:tab/>
      <w:t xml:space="preserve">       Page 1 of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748D2" w14:textId="77777777" w:rsidR="002A4029" w:rsidRDefault="002A402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20200226-SU</w:t>
    </w:r>
    <w:r>
      <w:fldChar w:fldCharType="end"/>
    </w:r>
    <w:r>
      <w:tab/>
    </w:r>
    <w:r>
      <w:tab/>
      <w:t>Schedule No. 3-A</w:t>
    </w:r>
  </w:p>
  <w:p w14:paraId="0141715E" w14:textId="77777777" w:rsidR="002A4029" w:rsidRDefault="002A4029" w:rsidP="00410424">
    <w:pPr>
      <w:pStyle w:val="Header"/>
      <w:tabs>
        <w:tab w:val="clear" w:pos="8640"/>
        <w:tab w:val="right" w:pos="9360"/>
      </w:tabs>
      <w:ind w:right="216"/>
    </w:pPr>
    <w:r>
      <w:t xml:space="preserve">Date: </w:t>
    </w:r>
    <w:fldSimple w:instr=" REF FilingDate ">
      <w:r>
        <w:t>May 25, 2022</w:t>
      </w:r>
    </w:fldSimple>
    <w:r>
      <w:tab/>
    </w:r>
    <w:r>
      <w:tab/>
    </w:r>
    <w:r>
      <w:tab/>
      <w:t xml:space="preserve">           Page 1 of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1A8AE" w14:textId="77777777" w:rsidR="002A4029" w:rsidRDefault="002A4029" w:rsidP="00A0086F">
    <w:pPr>
      <w:pStyle w:val="Header"/>
      <w:tabs>
        <w:tab w:val="clear" w:pos="4320"/>
        <w:tab w:val="clear" w:pos="8640"/>
        <w:tab w:val="right" w:pos="9000"/>
        <w:tab w:val="left" w:pos="909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20200226-SU</w:t>
    </w:r>
    <w:r>
      <w:fldChar w:fldCharType="end"/>
    </w:r>
    <w:r>
      <w:tab/>
      <w:t>Schedule No. 3-B</w:t>
    </w:r>
  </w:p>
  <w:p w14:paraId="5170F6C6" w14:textId="77777777" w:rsidR="002A4029" w:rsidRDefault="002A4029" w:rsidP="00A0086F">
    <w:pPr>
      <w:pStyle w:val="Header"/>
      <w:tabs>
        <w:tab w:val="clear" w:pos="4320"/>
        <w:tab w:val="clear" w:pos="8640"/>
        <w:tab w:val="center" w:pos="8460"/>
        <w:tab w:val="right" w:pos="11070"/>
      </w:tabs>
    </w:pPr>
    <w:r>
      <w:t xml:space="preserve">Date: </w:t>
    </w:r>
    <w:fldSimple w:instr=" REF FilingDate ">
      <w:r>
        <w:t>May 25, 2022</w:t>
      </w:r>
    </w:fldSimple>
    <w:r>
      <w:tab/>
      <w:t>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F2CD" w14:textId="77777777" w:rsidR="002A4029" w:rsidRDefault="002A4029" w:rsidP="00A0086F">
    <w:pPr>
      <w:pStyle w:val="Header"/>
      <w:tabs>
        <w:tab w:val="clear" w:pos="4320"/>
        <w:tab w:val="clear" w:pos="8640"/>
        <w:tab w:val="right" w:pos="9000"/>
        <w:tab w:val="left" w:pos="909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20200226-SU</w:t>
    </w:r>
    <w:r>
      <w:fldChar w:fldCharType="end"/>
    </w:r>
    <w:r>
      <w:tab/>
      <w:t>Schedule No. 4</w:t>
    </w:r>
  </w:p>
  <w:p w14:paraId="13EA60E4" w14:textId="77777777" w:rsidR="002A4029" w:rsidRDefault="002A4029" w:rsidP="00A0086F">
    <w:pPr>
      <w:pStyle w:val="Header"/>
      <w:tabs>
        <w:tab w:val="clear" w:pos="4320"/>
        <w:tab w:val="clear" w:pos="8640"/>
        <w:tab w:val="center" w:pos="8460"/>
        <w:tab w:val="right" w:pos="11070"/>
      </w:tabs>
    </w:pPr>
    <w:r>
      <w:t xml:space="preserve">Date: </w:t>
    </w:r>
    <w:fldSimple w:instr=" REF FilingDate ">
      <w:r>
        <w:t>May 25, 2022</w:t>
      </w:r>
    </w:fldSimple>
    <w:r>
      <w:tab/>
      <w:t>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D3B4" w14:textId="77777777" w:rsidR="002A4029" w:rsidRDefault="002A4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150783"/>
    <w:multiLevelType w:val="hybridMultilevel"/>
    <w:tmpl w:val="DAE2BA92"/>
    <w:lvl w:ilvl="0" w:tplc="29DA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D67D5B"/>
    <w:multiLevelType w:val="hybridMultilevel"/>
    <w:tmpl w:val="9DD4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E3F46"/>
    <w:rsid w:val="000042A3"/>
    <w:rsid w:val="000043D5"/>
    <w:rsid w:val="00006170"/>
    <w:rsid w:val="00006DB2"/>
    <w:rsid w:val="000077B7"/>
    <w:rsid w:val="00007C29"/>
    <w:rsid w:val="00010E37"/>
    <w:rsid w:val="00012678"/>
    <w:rsid w:val="0001447C"/>
    <w:rsid w:val="00015476"/>
    <w:rsid w:val="000172DA"/>
    <w:rsid w:val="00017F18"/>
    <w:rsid w:val="00022585"/>
    <w:rsid w:val="000247C5"/>
    <w:rsid w:val="00027279"/>
    <w:rsid w:val="000277C2"/>
    <w:rsid w:val="00030A42"/>
    <w:rsid w:val="00030B3F"/>
    <w:rsid w:val="00033DFB"/>
    <w:rsid w:val="0003440E"/>
    <w:rsid w:val="00035B48"/>
    <w:rsid w:val="00036432"/>
    <w:rsid w:val="00036CE2"/>
    <w:rsid w:val="00037BE0"/>
    <w:rsid w:val="00040D96"/>
    <w:rsid w:val="0004108D"/>
    <w:rsid w:val="000437FE"/>
    <w:rsid w:val="00044599"/>
    <w:rsid w:val="000513BE"/>
    <w:rsid w:val="00051F27"/>
    <w:rsid w:val="00052514"/>
    <w:rsid w:val="00053C50"/>
    <w:rsid w:val="0005441B"/>
    <w:rsid w:val="000578EC"/>
    <w:rsid w:val="00060351"/>
    <w:rsid w:val="000606E9"/>
    <w:rsid w:val="00063501"/>
    <w:rsid w:val="00064A4F"/>
    <w:rsid w:val="000654E2"/>
    <w:rsid w:val="00065A06"/>
    <w:rsid w:val="000666F3"/>
    <w:rsid w:val="00070DCB"/>
    <w:rsid w:val="00071CA1"/>
    <w:rsid w:val="00072CCA"/>
    <w:rsid w:val="0007308E"/>
    <w:rsid w:val="00073120"/>
    <w:rsid w:val="00074F21"/>
    <w:rsid w:val="00075332"/>
    <w:rsid w:val="000764D0"/>
    <w:rsid w:val="00076EA8"/>
    <w:rsid w:val="00082140"/>
    <w:rsid w:val="000828D3"/>
    <w:rsid w:val="000832BF"/>
    <w:rsid w:val="00084F7C"/>
    <w:rsid w:val="00090995"/>
    <w:rsid w:val="00091A35"/>
    <w:rsid w:val="00093317"/>
    <w:rsid w:val="00094040"/>
    <w:rsid w:val="000A1AC2"/>
    <w:rsid w:val="000A2B57"/>
    <w:rsid w:val="000A3CD8"/>
    <w:rsid w:val="000A418B"/>
    <w:rsid w:val="000A6BDC"/>
    <w:rsid w:val="000A7F14"/>
    <w:rsid w:val="000B507F"/>
    <w:rsid w:val="000B7D09"/>
    <w:rsid w:val="000C4431"/>
    <w:rsid w:val="000C730E"/>
    <w:rsid w:val="000D1C06"/>
    <w:rsid w:val="000D4319"/>
    <w:rsid w:val="000E0744"/>
    <w:rsid w:val="000E316B"/>
    <w:rsid w:val="000E4159"/>
    <w:rsid w:val="000E58B5"/>
    <w:rsid w:val="000E5D30"/>
    <w:rsid w:val="000E6C11"/>
    <w:rsid w:val="000F0A8B"/>
    <w:rsid w:val="000F374A"/>
    <w:rsid w:val="000F734A"/>
    <w:rsid w:val="001007D9"/>
    <w:rsid w:val="00101001"/>
    <w:rsid w:val="001065B8"/>
    <w:rsid w:val="001076AF"/>
    <w:rsid w:val="00117C8C"/>
    <w:rsid w:val="00122454"/>
    <w:rsid w:val="00122583"/>
    <w:rsid w:val="00124C38"/>
    <w:rsid w:val="00124E2E"/>
    <w:rsid w:val="00125C10"/>
    <w:rsid w:val="00125ED4"/>
    <w:rsid w:val="0012639A"/>
    <w:rsid w:val="001305E9"/>
    <w:rsid w:val="001307AF"/>
    <w:rsid w:val="00133D40"/>
    <w:rsid w:val="00134844"/>
    <w:rsid w:val="00135687"/>
    <w:rsid w:val="0014173E"/>
    <w:rsid w:val="0014523A"/>
    <w:rsid w:val="00151B51"/>
    <w:rsid w:val="0015506E"/>
    <w:rsid w:val="00156176"/>
    <w:rsid w:val="001608C1"/>
    <w:rsid w:val="00163031"/>
    <w:rsid w:val="001643D1"/>
    <w:rsid w:val="00165489"/>
    <w:rsid w:val="00166785"/>
    <w:rsid w:val="00171A90"/>
    <w:rsid w:val="00171BF1"/>
    <w:rsid w:val="0017284A"/>
    <w:rsid w:val="00175D93"/>
    <w:rsid w:val="00180254"/>
    <w:rsid w:val="00183170"/>
    <w:rsid w:val="00183755"/>
    <w:rsid w:val="001872E8"/>
    <w:rsid w:val="00190EB1"/>
    <w:rsid w:val="00191678"/>
    <w:rsid w:val="00191E1F"/>
    <w:rsid w:val="001925FC"/>
    <w:rsid w:val="00192943"/>
    <w:rsid w:val="00193F93"/>
    <w:rsid w:val="001A4521"/>
    <w:rsid w:val="001A6AC1"/>
    <w:rsid w:val="001A7406"/>
    <w:rsid w:val="001B07D7"/>
    <w:rsid w:val="001B3CD9"/>
    <w:rsid w:val="001B4FEE"/>
    <w:rsid w:val="001B51C5"/>
    <w:rsid w:val="001B6F3F"/>
    <w:rsid w:val="001B7B67"/>
    <w:rsid w:val="001C0AB0"/>
    <w:rsid w:val="001C385A"/>
    <w:rsid w:val="001C4789"/>
    <w:rsid w:val="001C52B5"/>
    <w:rsid w:val="001C5F9A"/>
    <w:rsid w:val="001D0D3E"/>
    <w:rsid w:val="001D0E63"/>
    <w:rsid w:val="001D777B"/>
    <w:rsid w:val="001D7E88"/>
    <w:rsid w:val="001E77DE"/>
    <w:rsid w:val="001F14D1"/>
    <w:rsid w:val="001F2047"/>
    <w:rsid w:val="001F2245"/>
    <w:rsid w:val="001F2C63"/>
    <w:rsid w:val="001F2D04"/>
    <w:rsid w:val="001F48C7"/>
    <w:rsid w:val="001F6DA1"/>
    <w:rsid w:val="00202C25"/>
    <w:rsid w:val="00203096"/>
    <w:rsid w:val="002044E6"/>
    <w:rsid w:val="00205C82"/>
    <w:rsid w:val="00205DC2"/>
    <w:rsid w:val="00212B17"/>
    <w:rsid w:val="00213349"/>
    <w:rsid w:val="0021370E"/>
    <w:rsid w:val="00215747"/>
    <w:rsid w:val="002163B6"/>
    <w:rsid w:val="00220732"/>
    <w:rsid w:val="00221D32"/>
    <w:rsid w:val="00222126"/>
    <w:rsid w:val="00222FDF"/>
    <w:rsid w:val="00223D35"/>
    <w:rsid w:val="00225C3F"/>
    <w:rsid w:val="002431D6"/>
    <w:rsid w:val="00245F26"/>
    <w:rsid w:val="002517F3"/>
    <w:rsid w:val="00252302"/>
    <w:rsid w:val="0025512D"/>
    <w:rsid w:val="002631DC"/>
    <w:rsid w:val="0026364A"/>
    <w:rsid w:val="00263D44"/>
    <w:rsid w:val="002657F7"/>
    <w:rsid w:val="00270259"/>
    <w:rsid w:val="002702AD"/>
    <w:rsid w:val="0027086C"/>
    <w:rsid w:val="00270D22"/>
    <w:rsid w:val="00281CE3"/>
    <w:rsid w:val="0028227E"/>
    <w:rsid w:val="00283B56"/>
    <w:rsid w:val="0028579A"/>
    <w:rsid w:val="00287334"/>
    <w:rsid w:val="002917C1"/>
    <w:rsid w:val="00292D82"/>
    <w:rsid w:val="002963CB"/>
    <w:rsid w:val="002A0828"/>
    <w:rsid w:val="002A4029"/>
    <w:rsid w:val="002A5AA4"/>
    <w:rsid w:val="002B09CF"/>
    <w:rsid w:val="002B4A01"/>
    <w:rsid w:val="002B77EA"/>
    <w:rsid w:val="002B7C40"/>
    <w:rsid w:val="002C5ADB"/>
    <w:rsid w:val="002D226D"/>
    <w:rsid w:val="002D44DE"/>
    <w:rsid w:val="002E0BB4"/>
    <w:rsid w:val="002F0ECC"/>
    <w:rsid w:val="002F5D14"/>
    <w:rsid w:val="002F6030"/>
    <w:rsid w:val="002F6DAF"/>
    <w:rsid w:val="002F6ED5"/>
    <w:rsid w:val="00300EE8"/>
    <w:rsid w:val="003037E1"/>
    <w:rsid w:val="00303AA6"/>
    <w:rsid w:val="00305E35"/>
    <w:rsid w:val="00307E51"/>
    <w:rsid w:val="003103EC"/>
    <w:rsid w:val="003129A3"/>
    <w:rsid w:val="003144EF"/>
    <w:rsid w:val="003169A2"/>
    <w:rsid w:val="00320E81"/>
    <w:rsid w:val="003213ED"/>
    <w:rsid w:val="00322F74"/>
    <w:rsid w:val="00330F3A"/>
    <w:rsid w:val="0033160B"/>
    <w:rsid w:val="00332D52"/>
    <w:rsid w:val="003366FC"/>
    <w:rsid w:val="003376A1"/>
    <w:rsid w:val="00340073"/>
    <w:rsid w:val="00341B41"/>
    <w:rsid w:val="00341B64"/>
    <w:rsid w:val="00343D83"/>
    <w:rsid w:val="00345359"/>
    <w:rsid w:val="00350233"/>
    <w:rsid w:val="00353552"/>
    <w:rsid w:val="0035446E"/>
    <w:rsid w:val="003632FD"/>
    <w:rsid w:val="00363611"/>
    <w:rsid w:val="003640D1"/>
    <w:rsid w:val="00364E30"/>
    <w:rsid w:val="00366E1A"/>
    <w:rsid w:val="00372805"/>
    <w:rsid w:val="00373180"/>
    <w:rsid w:val="003742D7"/>
    <w:rsid w:val="00374D2A"/>
    <w:rsid w:val="00375AB9"/>
    <w:rsid w:val="003821A0"/>
    <w:rsid w:val="00385B04"/>
    <w:rsid w:val="003864CF"/>
    <w:rsid w:val="003870AF"/>
    <w:rsid w:val="00387442"/>
    <w:rsid w:val="00391107"/>
    <w:rsid w:val="003917DB"/>
    <w:rsid w:val="003948AE"/>
    <w:rsid w:val="00396FE6"/>
    <w:rsid w:val="003A014E"/>
    <w:rsid w:val="003A04E8"/>
    <w:rsid w:val="003A22A6"/>
    <w:rsid w:val="003A5494"/>
    <w:rsid w:val="003A6036"/>
    <w:rsid w:val="003B0F31"/>
    <w:rsid w:val="003B1E49"/>
    <w:rsid w:val="003B2510"/>
    <w:rsid w:val="003B4CF0"/>
    <w:rsid w:val="003B57AB"/>
    <w:rsid w:val="003C0D8E"/>
    <w:rsid w:val="003C24B8"/>
    <w:rsid w:val="003C2CC4"/>
    <w:rsid w:val="003C3710"/>
    <w:rsid w:val="003C3FCD"/>
    <w:rsid w:val="003C5EB3"/>
    <w:rsid w:val="003D3DC0"/>
    <w:rsid w:val="003E0B1E"/>
    <w:rsid w:val="003E0BC7"/>
    <w:rsid w:val="003E0EFC"/>
    <w:rsid w:val="003E0F51"/>
    <w:rsid w:val="003E284E"/>
    <w:rsid w:val="003E3535"/>
    <w:rsid w:val="003E4A2B"/>
    <w:rsid w:val="003E76C2"/>
    <w:rsid w:val="003F08AB"/>
    <w:rsid w:val="003F1679"/>
    <w:rsid w:val="003F21EB"/>
    <w:rsid w:val="003F4A35"/>
    <w:rsid w:val="003F7671"/>
    <w:rsid w:val="003F7FDD"/>
    <w:rsid w:val="0040039C"/>
    <w:rsid w:val="00401573"/>
    <w:rsid w:val="00402481"/>
    <w:rsid w:val="00402C70"/>
    <w:rsid w:val="004042B4"/>
    <w:rsid w:val="00406CEB"/>
    <w:rsid w:val="00410424"/>
    <w:rsid w:val="00410DC4"/>
    <w:rsid w:val="00411E0C"/>
    <w:rsid w:val="00412384"/>
    <w:rsid w:val="00412DAE"/>
    <w:rsid w:val="0041363D"/>
    <w:rsid w:val="00413848"/>
    <w:rsid w:val="0042175B"/>
    <w:rsid w:val="004242E6"/>
    <w:rsid w:val="00431598"/>
    <w:rsid w:val="004319AD"/>
    <w:rsid w:val="00441EB2"/>
    <w:rsid w:val="004426B8"/>
    <w:rsid w:val="00444432"/>
    <w:rsid w:val="0045427F"/>
    <w:rsid w:val="004547C1"/>
    <w:rsid w:val="00454AF9"/>
    <w:rsid w:val="004600CE"/>
    <w:rsid w:val="004623F9"/>
    <w:rsid w:val="00462BC9"/>
    <w:rsid w:val="0046542D"/>
    <w:rsid w:val="004671F8"/>
    <w:rsid w:val="00467731"/>
    <w:rsid w:val="00470C52"/>
    <w:rsid w:val="00471860"/>
    <w:rsid w:val="00473B1C"/>
    <w:rsid w:val="00477026"/>
    <w:rsid w:val="004802DD"/>
    <w:rsid w:val="00492C28"/>
    <w:rsid w:val="00497928"/>
    <w:rsid w:val="004A08C0"/>
    <w:rsid w:val="004A47DF"/>
    <w:rsid w:val="004A744D"/>
    <w:rsid w:val="004B2976"/>
    <w:rsid w:val="004B6011"/>
    <w:rsid w:val="004B60BD"/>
    <w:rsid w:val="004C05DF"/>
    <w:rsid w:val="004C104B"/>
    <w:rsid w:val="004C3150"/>
    <w:rsid w:val="004C3641"/>
    <w:rsid w:val="004C4390"/>
    <w:rsid w:val="004C4444"/>
    <w:rsid w:val="004C4AF7"/>
    <w:rsid w:val="004D03A4"/>
    <w:rsid w:val="004D1BC1"/>
    <w:rsid w:val="004D2634"/>
    <w:rsid w:val="004D2881"/>
    <w:rsid w:val="004D385F"/>
    <w:rsid w:val="004D5B39"/>
    <w:rsid w:val="004E330D"/>
    <w:rsid w:val="004E5147"/>
    <w:rsid w:val="004E5B0D"/>
    <w:rsid w:val="004E6512"/>
    <w:rsid w:val="004E69B5"/>
    <w:rsid w:val="004F241F"/>
    <w:rsid w:val="004F3260"/>
    <w:rsid w:val="004F5C43"/>
    <w:rsid w:val="004F5CF5"/>
    <w:rsid w:val="004F6C9B"/>
    <w:rsid w:val="004F7C30"/>
    <w:rsid w:val="0050652D"/>
    <w:rsid w:val="00506806"/>
    <w:rsid w:val="00506C03"/>
    <w:rsid w:val="005105AA"/>
    <w:rsid w:val="005108A2"/>
    <w:rsid w:val="00511A11"/>
    <w:rsid w:val="00511CC8"/>
    <w:rsid w:val="005152F1"/>
    <w:rsid w:val="00515A81"/>
    <w:rsid w:val="00516496"/>
    <w:rsid w:val="005170F8"/>
    <w:rsid w:val="00521536"/>
    <w:rsid w:val="00521D81"/>
    <w:rsid w:val="00523B11"/>
    <w:rsid w:val="00523F86"/>
    <w:rsid w:val="0052572A"/>
    <w:rsid w:val="00525EBB"/>
    <w:rsid w:val="00532DFB"/>
    <w:rsid w:val="00535A03"/>
    <w:rsid w:val="00540BB0"/>
    <w:rsid w:val="005432C8"/>
    <w:rsid w:val="00543CB3"/>
    <w:rsid w:val="005442E4"/>
    <w:rsid w:val="00550E2E"/>
    <w:rsid w:val="0055529B"/>
    <w:rsid w:val="00555F13"/>
    <w:rsid w:val="0056006B"/>
    <w:rsid w:val="0056030F"/>
    <w:rsid w:val="00560FF0"/>
    <w:rsid w:val="005614BD"/>
    <w:rsid w:val="00563FC6"/>
    <w:rsid w:val="0056448E"/>
    <w:rsid w:val="00567243"/>
    <w:rsid w:val="0057154F"/>
    <w:rsid w:val="00577991"/>
    <w:rsid w:val="00577D96"/>
    <w:rsid w:val="005803F0"/>
    <w:rsid w:val="00580F69"/>
    <w:rsid w:val="00581CA3"/>
    <w:rsid w:val="005833F0"/>
    <w:rsid w:val="00587A44"/>
    <w:rsid w:val="00587BF7"/>
    <w:rsid w:val="00587E00"/>
    <w:rsid w:val="0059392F"/>
    <w:rsid w:val="00594821"/>
    <w:rsid w:val="00597730"/>
    <w:rsid w:val="005977EC"/>
    <w:rsid w:val="00597DE7"/>
    <w:rsid w:val="005A0FB4"/>
    <w:rsid w:val="005A1635"/>
    <w:rsid w:val="005A21D5"/>
    <w:rsid w:val="005A274E"/>
    <w:rsid w:val="005A2781"/>
    <w:rsid w:val="005A4AA2"/>
    <w:rsid w:val="005B13E7"/>
    <w:rsid w:val="005B34B6"/>
    <w:rsid w:val="005B501B"/>
    <w:rsid w:val="005B6C8F"/>
    <w:rsid w:val="005B6EC3"/>
    <w:rsid w:val="005C6A4E"/>
    <w:rsid w:val="005D0F74"/>
    <w:rsid w:val="005D22AB"/>
    <w:rsid w:val="005D2E7D"/>
    <w:rsid w:val="005D4A8F"/>
    <w:rsid w:val="005D561B"/>
    <w:rsid w:val="005D5ECF"/>
    <w:rsid w:val="005D627F"/>
    <w:rsid w:val="005D66F1"/>
    <w:rsid w:val="005E2847"/>
    <w:rsid w:val="005E6E8A"/>
    <w:rsid w:val="005F0D3D"/>
    <w:rsid w:val="005F1DBD"/>
    <w:rsid w:val="005F2E9D"/>
    <w:rsid w:val="005F468D"/>
    <w:rsid w:val="005F69A3"/>
    <w:rsid w:val="00603C13"/>
    <w:rsid w:val="00604CC7"/>
    <w:rsid w:val="00606B64"/>
    <w:rsid w:val="006108AC"/>
    <w:rsid w:val="006123F0"/>
    <w:rsid w:val="0061381C"/>
    <w:rsid w:val="00615423"/>
    <w:rsid w:val="006165B2"/>
    <w:rsid w:val="00617276"/>
    <w:rsid w:val="00617F1A"/>
    <w:rsid w:val="0062527B"/>
    <w:rsid w:val="006255A2"/>
    <w:rsid w:val="00625D97"/>
    <w:rsid w:val="00625F1C"/>
    <w:rsid w:val="00626FB3"/>
    <w:rsid w:val="006279E1"/>
    <w:rsid w:val="00630CEB"/>
    <w:rsid w:val="00632264"/>
    <w:rsid w:val="006325DA"/>
    <w:rsid w:val="0063787C"/>
    <w:rsid w:val="00637E96"/>
    <w:rsid w:val="006409BC"/>
    <w:rsid w:val="00641E48"/>
    <w:rsid w:val="006470BC"/>
    <w:rsid w:val="006554D3"/>
    <w:rsid w:val="006566D5"/>
    <w:rsid w:val="00660033"/>
    <w:rsid w:val="00660119"/>
    <w:rsid w:val="00662F10"/>
    <w:rsid w:val="00666890"/>
    <w:rsid w:val="00667036"/>
    <w:rsid w:val="00673BDB"/>
    <w:rsid w:val="00674341"/>
    <w:rsid w:val="00674C99"/>
    <w:rsid w:val="006771B8"/>
    <w:rsid w:val="00677A11"/>
    <w:rsid w:val="006819C3"/>
    <w:rsid w:val="006837FC"/>
    <w:rsid w:val="00683AF0"/>
    <w:rsid w:val="006843B6"/>
    <w:rsid w:val="0068481F"/>
    <w:rsid w:val="006906A8"/>
    <w:rsid w:val="00690DF0"/>
    <w:rsid w:val="00691E56"/>
    <w:rsid w:val="00695495"/>
    <w:rsid w:val="00696EEE"/>
    <w:rsid w:val="00696F5D"/>
    <w:rsid w:val="00697249"/>
    <w:rsid w:val="006A0090"/>
    <w:rsid w:val="006A41CD"/>
    <w:rsid w:val="006B134E"/>
    <w:rsid w:val="006B3947"/>
    <w:rsid w:val="006B4293"/>
    <w:rsid w:val="006B624F"/>
    <w:rsid w:val="006B64EC"/>
    <w:rsid w:val="006B7F60"/>
    <w:rsid w:val="006C0595"/>
    <w:rsid w:val="006C0C95"/>
    <w:rsid w:val="006C1403"/>
    <w:rsid w:val="006C31E3"/>
    <w:rsid w:val="006C4AC9"/>
    <w:rsid w:val="006C509A"/>
    <w:rsid w:val="006C7349"/>
    <w:rsid w:val="006D18D3"/>
    <w:rsid w:val="006D6C66"/>
    <w:rsid w:val="006E08CB"/>
    <w:rsid w:val="006E3103"/>
    <w:rsid w:val="006E3F46"/>
    <w:rsid w:val="006E4AF9"/>
    <w:rsid w:val="006E598D"/>
    <w:rsid w:val="006F0D9A"/>
    <w:rsid w:val="006F19E5"/>
    <w:rsid w:val="006F2762"/>
    <w:rsid w:val="006F3F67"/>
    <w:rsid w:val="006F66A2"/>
    <w:rsid w:val="006F72C3"/>
    <w:rsid w:val="006F7F47"/>
    <w:rsid w:val="007025A0"/>
    <w:rsid w:val="007034EA"/>
    <w:rsid w:val="0070437D"/>
    <w:rsid w:val="00704CF1"/>
    <w:rsid w:val="00704CF8"/>
    <w:rsid w:val="00705B04"/>
    <w:rsid w:val="00705B1E"/>
    <w:rsid w:val="00710A36"/>
    <w:rsid w:val="0071613B"/>
    <w:rsid w:val="007203DB"/>
    <w:rsid w:val="00720511"/>
    <w:rsid w:val="00720CCA"/>
    <w:rsid w:val="00723DF6"/>
    <w:rsid w:val="00724992"/>
    <w:rsid w:val="00726DDF"/>
    <w:rsid w:val="007279A4"/>
    <w:rsid w:val="007279EC"/>
    <w:rsid w:val="0073145E"/>
    <w:rsid w:val="00731BFD"/>
    <w:rsid w:val="00733A16"/>
    <w:rsid w:val="00733C15"/>
    <w:rsid w:val="0073449A"/>
    <w:rsid w:val="007345E0"/>
    <w:rsid w:val="00734820"/>
    <w:rsid w:val="007349DC"/>
    <w:rsid w:val="00737865"/>
    <w:rsid w:val="0074365E"/>
    <w:rsid w:val="00744049"/>
    <w:rsid w:val="00744B55"/>
    <w:rsid w:val="00747D27"/>
    <w:rsid w:val="007515FD"/>
    <w:rsid w:val="00756F7C"/>
    <w:rsid w:val="0076095C"/>
    <w:rsid w:val="00760D80"/>
    <w:rsid w:val="0076247D"/>
    <w:rsid w:val="00766023"/>
    <w:rsid w:val="0076686E"/>
    <w:rsid w:val="00767BD4"/>
    <w:rsid w:val="007706DF"/>
    <w:rsid w:val="00773249"/>
    <w:rsid w:val="007746FB"/>
    <w:rsid w:val="00780C09"/>
    <w:rsid w:val="00780DDF"/>
    <w:rsid w:val="00781AAF"/>
    <w:rsid w:val="007834E9"/>
    <w:rsid w:val="00783C4F"/>
    <w:rsid w:val="007844B4"/>
    <w:rsid w:val="00784C92"/>
    <w:rsid w:val="00787BA0"/>
    <w:rsid w:val="00787DBC"/>
    <w:rsid w:val="0079019A"/>
    <w:rsid w:val="00792935"/>
    <w:rsid w:val="00793989"/>
    <w:rsid w:val="007948DD"/>
    <w:rsid w:val="00795FE7"/>
    <w:rsid w:val="007978ED"/>
    <w:rsid w:val="007A04A1"/>
    <w:rsid w:val="007A1840"/>
    <w:rsid w:val="007A3A36"/>
    <w:rsid w:val="007B0984"/>
    <w:rsid w:val="007B1F0B"/>
    <w:rsid w:val="007B2946"/>
    <w:rsid w:val="007B44A9"/>
    <w:rsid w:val="007C0528"/>
    <w:rsid w:val="007C28F2"/>
    <w:rsid w:val="007C3D38"/>
    <w:rsid w:val="007D0F35"/>
    <w:rsid w:val="007D2194"/>
    <w:rsid w:val="007D225A"/>
    <w:rsid w:val="007D4FEB"/>
    <w:rsid w:val="007D5027"/>
    <w:rsid w:val="007D6146"/>
    <w:rsid w:val="007E0CE7"/>
    <w:rsid w:val="007E54E4"/>
    <w:rsid w:val="007E76B9"/>
    <w:rsid w:val="007E7CFF"/>
    <w:rsid w:val="007F1193"/>
    <w:rsid w:val="007F417F"/>
    <w:rsid w:val="007F7644"/>
    <w:rsid w:val="007F777B"/>
    <w:rsid w:val="00802E86"/>
    <w:rsid w:val="008042BD"/>
    <w:rsid w:val="00804A63"/>
    <w:rsid w:val="008060A4"/>
    <w:rsid w:val="008115F1"/>
    <w:rsid w:val="00811E58"/>
    <w:rsid w:val="00813E2A"/>
    <w:rsid w:val="00814CCF"/>
    <w:rsid w:val="00815BBC"/>
    <w:rsid w:val="00816624"/>
    <w:rsid w:val="00822427"/>
    <w:rsid w:val="00822562"/>
    <w:rsid w:val="008234E2"/>
    <w:rsid w:val="00823663"/>
    <w:rsid w:val="0082420D"/>
    <w:rsid w:val="008244C3"/>
    <w:rsid w:val="0082725E"/>
    <w:rsid w:val="00827626"/>
    <w:rsid w:val="00832DDC"/>
    <w:rsid w:val="00834617"/>
    <w:rsid w:val="00837D75"/>
    <w:rsid w:val="00840799"/>
    <w:rsid w:val="00844BA9"/>
    <w:rsid w:val="00850BAC"/>
    <w:rsid w:val="00851BC0"/>
    <w:rsid w:val="00853D54"/>
    <w:rsid w:val="00854A3E"/>
    <w:rsid w:val="00855D08"/>
    <w:rsid w:val="00864B5B"/>
    <w:rsid w:val="008703CF"/>
    <w:rsid w:val="00874344"/>
    <w:rsid w:val="008770E6"/>
    <w:rsid w:val="00882155"/>
    <w:rsid w:val="0088233B"/>
    <w:rsid w:val="00882D5D"/>
    <w:rsid w:val="00883EB8"/>
    <w:rsid w:val="0088599E"/>
    <w:rsid w:val="00886B8C"/>
    <w:rsid w:val="00886C37"/>
    <w:rsid w:val="008904C9"/>
    <w:rsid w:val="00892CC7"/>
    <w:rsid w:val="00892D99"/>
    <w:rsid w:val="00893315"/>
    <w:rsid w:val="008950C2"/>
    <w:rsid w:val="008A477E"/>
    <w:rsid w:val="008A5D29"/>
    <w:rsid w:val="008A5D3D"/>
    <w:rsid w:val="008B62AE"/>
    <w:rsid w:val="008B6FA8"/>
    <w:rsid w:val="008B7B3B"/>
    <w:rsid w:val="008C04B5"/>
    <w:rsid w:val="008C14FA"/>
    <w:rsid w:val="008C3152"/>
    <w:rsid w:val="008C7B0B"/>
    <w:rsid w:val="008D000E"/>
    <w:rsid w:val="008D1951"/>
    <w:rsid w:val="008D3672"/>
    <w:rsid w:val="008D4057"/>
    <w:rsid w:val="008D4429"/>
    <w:rsid w:val="008D64FD"/>
    <w:rsid w:val="008E1F19"/>
    <w:rsid w:val="008E30DE"/>
    <w:rsid w:val="008F1F4D"/>
    <w:rsid w:val="008F2262"/>
    <w:rsid w:val="008F2555"/>
    <w:rsid w:val="008F4D2B"/>
    <w:rsid w:val="008F7736"/>
    <w:rsid w:val="0090019E"/>
    <w:rsid w:val="00901086"/>
    <w:rsid w:val="00901C8A"/>
    <w:rsid w:val="00902AF2"/>
    <w:rsid w:val="00905886"/>
    <w:rsid w:val="009070D6"/>
    <w:rsid w:val="009076C6"/>
    <w:rsid w:val="0091019E"/>
    <w:rsid w:val="009106F1"/>
    <w:rsid w:val="00912404"/>
    <w:rsid w:val="009145D6"/>
    <w:rsid w:val="009157A1"/>
    <w:rsid w:val="00915D5D"/>
    <w:rsid w:val="009160F0"/>
    <w:rsid w:val="00920E64"/>
    <w:rsid w:val="009211C4"/>
    <w:rsid w:val="00922002"/>
    <w:rsid w:val="00924020"/>
    <w:rsid w:val="0092546B"/>
    <w:rsid w:val="00925FFF"/>
    <w:rsid w:val="009271A7"/>
    <w:rsid w:val="00930276"/>
    <w:rsid w:val="0093069F"/>
    <w:rsid w:val="00933488"/>
    <w:rsid w:val="009347B8"/>
    <w:rsid w:val="0093658B"/>
    <w:rsid w:val="0094095C"/>
    <w:rsid w:val="009428A3"/>
    <w:rsid w:val="009429FF"/>
    <w:rsid w:val="00945BD6"/>
    <w:rsid w:val="0094687A"/>
    <w:rsid w:val="009479FB"/>
    <w:rsid w:val="00951C45"/>
    <w:rsid w:val="009528DF"/>
    <w:rsid w:val="009536D3"/>
    <w:rsid w:val="00953F78"/>
    <w:rsid w:val="0095668F"/>
    <w:rsid w:val="00956C68"/>
    <w:rsid w:val="00960348"/>
    <w:rsid w:val="009641E1"/>
    <w:rsid w:val="009656F2"/>
    <w:rsid w:val="00965F60"/>
    <w:rsid w:val="00966A08"/>
    <w:rsid w:val="00970CF1"/>
    <w:rsid w:val="00971207"/>
    <w:rsid w:val="00971FB0"/>
    <w:rsid w:val="009741F9"/>
    <w:rsid w:val="00975CB4"/>
    <w:rsid w:val="009863B0"/>
    <w:rsid w:val="00987047"/>
    <w:rsid w:val="0098740C"/>
    <w:rsid w:val="00987DE1"/>
    <w:rsid w:val="00990571"/>
    <w:rsid w:val="009907EF"/>
    <w:rsid w:val="00992E02"/>
    <w:rsid w:val="009935EB"/>
    <w:rsid w:val="0099605A"/>
    <w:rsid w:val="0099673A"/>
    <w:rsid w:val="009A0B14"/>
    <w:rsid w:val="009A3330"/>
    <w:rsid w:val="009A6222"/>
    <w:rsid w:val="009A649C"/>
    <w:rsid w:val="009A7C96"/>
    <w:rsid w:val="009A7D25"/>
    <w:rsid w:val="009B71CA"/>
    <w:rsid w:val="009B7306"/>
    <w:rsid w:val="009C0B35"/>
    <w:rsid w:val="009C3DB9"/>
    <w:rsid w:val="009D46E5"/>
    <w:rsid w:val="009D568A"/>
    <w:rsid w:val="009E006B"/>
    <w:rsid w:val="009E36EB"/>
    <w:rsid w:val="009F04EC"/>
    <w:rsid w:val="009F088B"/>
    <w:rsid w:val="009F0BFD"/>
    <w:rsid w:val="009F2A7C"/>
    <w:rsid w:val="009F3159"/>
    <w:rsid w:val="009F3B36"/>
    <w:rsid w:val="00A0086F"/>
    <w:rsid w:val="00A019B9"/>
    <w:rsid w:val="00A12508"/>
    <w:rsid w:val="00A1282B"/>
    <w:rsid w:val="00A13837"/>
    <w:rsid w:val="00A13A27"/>
    <w:rsid w:val="00A13F0B"/>
    <w:rsid w:val="00A175B6"/>
    <w:rsid w:val="00A20CDE"/>
    <w:rsid w:val="00A216A1"/>
    <w:rsid w:val="00A217B2"/>
    <w:rsid w:val="00A21835"/>
    <w:rsid w:val="00A235C1"/>
    <w:rsid w:val="00A2374B"/>
    <w:rsid w:val="00A249B3"/>
    <w:rsid w:val="00A26755"/>
    <w:rsid w:val="00A27D6E"/>
    <w:rsid w:val="00A30BB4"/>
    <w:rsid w:val="00A328EC"/>
    <w:rsid w:val="00A32A94"/>
    <w:rsid w:val="00A33A51"/>
    <w:rsid w:val="00A351B5"/>
    <w:rsid w:val="00A41CA6"/>
    <w:rsid w:val="00A4666F"/>
    <w:rsid w:val="00A47927"/>
    <w:rsid w:val="00A47FFC"/>
    <w:rsid w:val="00A503F0"/>
    <w:rsid w:val="00A52A69"/>
    <w:rsid w:val="00A5442F"/>
    <w:rsid w:val="00A54FEC"/>
    <w:rsid w:val="00A54FF9"/>
    <w:rsid w:val="00A559A5"/>
    <w:rsid w:val="00A56765"/>
    <w:rsid w:val="00A577A4"/>
    <w:rsid w:val="00A60543"/>
    <w:rsid w:val="00A605C6"/>
    <w:rsid w:val="00A64FF4"/>
    <w:rsid w:val="00A675AC"/>
    <w:rsid w:val="00A7581F"/>
    <w:rsid w:val="00A770E3"/>
    <w:rsid w:val="00A82BE3"/>
    <w:rsid w:val="00A92234"/>
    <w:rsid w:val="00A92FB1"/>
    <w:rsid w:val="00A9349E"/>
    <w:rsid w:val="00A93F99"/>
    <w:rsid w:val="00A95A0C"/>
    <w:rsid w:val="00AA2765"/>
    <w:rsid w:val="00AA2925"/>
    <w:rsid w:val="00AA77B5"/>
    <w:rsid w:val="00AB16E6"/>
    <w:rsid w:val="00AB21CE"/>
    <w:rsid w:val="00AB3D73"/>
    <w:rsid w:val="00AB69A8"/>
    <w:rsid w:val="00AB6C5D"/>
    <w:rsid w:val="00AC3401"/>
    <w:rsid w:val="00AC36F6"/>
    <w:rsid w:val="00AC51A7"/>
    <w:rsid w:val="00AD0834"/>
    <w:rsid w:val="00AD250A"/>
    <w:rsid w:val="00AD266A"/>
    <w:rsid w:val="00AD444B"/>
    <w:rsid w:val="00AD5614"/>
    <w:rsid w:val="00AD580C"/>
    <w:rsid w:val="00AD6C78"/>
    <w:rsid w:val="00AE2990"/>
    <w:rsid w:val="00AE2EAB"/>
    <w:rsid w:val="00AE6AE0"/>
    <w:rsid w:val="00AF0F3B"/>
    <w:rsid w:val="00AF319C"/>
    <w:rsid w:val="00AF3A8A"/>
    <w:rsid w:val="00AF4189"/>
    <w:rsid w:val="00AF5F89"/>
    <w:rsid w:val="00AF73CB"/>
    <w:rsid w:val="00B002D6"/>
    <w:rsid w:val="00B0172D"/>
    <w:rsid w:val="00B02C84"/>
    <w:rsid w:val="00B03379"/>
    <w:rsid w:val="00B03C00"/>
    <w:rsid w:val="00B05B51"/>
    <w:rsid w:val="00B071BC"/>
    <w:rsid w:val="00B07A6B"/>
    <w:rsid w:val="00B11CE4"/>
    <w:rsid w:val="00B14E5A"/>
    <w:rsid w:val="00B15370"/>
    <w:rsid w:val="00B16DA4"/>
    <w:rsid w:val="00B1775E"/>
    <w:rsid w:val="00B17A4D"/>
    <w:rsid w:val="00B17BEB"/>
    <w:rsid w:val="00B21A3C"/>
    <w:rsid w:val="00B223C0"/>
    <w:rsid w:val="00B234ED"/>
    <w:rsid w:val="00B24383"/>
    <w:rsid w:val="00B249B2"/>
    <w:rsid w:val="00B25CA3"/>
    <w:rsid w:val="00B273E9"/>
    <w:rsid w:val="00B2765A"/>
    <w:rsid w:val="00B30703"/>
    <w:rsid w:val="00B3109A"/>
    <w:rsid w:val="00B31619"/>
    <w:rsid w:val="00B31BBC"/>
    <w:rsid w:val="00B33EAB"/>
    <w:rsid w:val="00B35114"/>
    <w:rsid w:val="00B41CBE"/>
    <w:rsid w:val="00B44211"/>
    <w:rsid w:val="00B4450D"/>
    <w:rsid w:val="00B44E6D"/>
    <w:rsid w:val="00B4502D"/>
    <w:rsid w:val="00B45574"/>
    <w:rsid w:val="00B5146E"/>
    <w:rsid w:val="00B516ED"/>
    <w:rsid w:val="00B57A6A"/>
    <w:rsid w:val="00B609A2"/>
    <w:rsid w:val="00B63120"/>
    <w:rsid w:val="00B66A98"/>
    <w:rsid w:val="00B7092A"/>
    <w:rsid w:val="00B75C67"/>
    <w:rsid w:val="00B760F1"/>
    <w:rsid w:val="00B7669E"/>
    <w:rsid w:val="00B77DA1"/>
    <w:rsid w:val="00B81F26"/>
    <w:rsid w:val="00B822A0"/>
    <w:rsid w:val="00B84F11"/>
    <w:rsid w:val="00B858AE"/>
    <w:rsid w:val="00B858D6"/>
    <w:rsid w:val="00B85964"/>
    <w:rsid w:val="00B91B33"/>
    <w:rsid w:val="00B9440B"/>
    <w:rsid w:val="00B96250"/>
    <w:rsid w:val="00BA0D55"/>
    <w:rsid w:val="00BA37B3"/>
    <w:rsid w:val="00BA47BD"/>
    <w:rsid w:val="00BA4CC6"/>
    <w:rsid w:val="00BA7188"/>
    <w:rsid w:val="00BB045E"/>
    <w:rsid w:val="00BB0672"/>
    <w:rsid w:val="00BB17A9"/>
    <w:rsid w:val="00BB3493"/>
    <w:rsid w:val="00BB7468"/>
    <w:rsid w:val="00BB75C9"/>
    <w:rsid w:val="00BC188A"/>
    <w:rsid w:val="00BC27C5"/>
    <w:rsid w:val="00BC3390"/>
    <w:rsid w:val="00BC402E"/>
    <w:rsid w:val="00BC5920"/>
    <w:rsid w:val="00BD0F48"/>
    <w:rsid w:val="00BD3CB4"/>
    <w:rsid w:val="00BD5DF1"/>
    <w:rsid w:val="00BD72E5"/>
    <w:rsid w:val="00BE14C9"/>
    <w:rsid w:val="00BE19A6"/>
    <w:rsid w:val="00BE2E90"/>
    <w:rsid w:val="00BE6DDB"/>
    <w:rsid w:val="00BF143E"/>
    <w:rsid w:val="00BF4597"/>
    <w:rsid w:val="00BF5010"/>
    <w:rsid w:val="00BF5C63"/>
    <w:rsid w:val="00BF7765"/>
    <w:rsid w:val="00C03D5F"/>
    <w:rsid w:val="00C07CDD"/>
    <w:rsid w:val="00C10CA3"/>
    <w:rsid w:val="00C13791"/>
    <w:rsid w:val="00C13ECE"/>
    <w:rsid w:val="00C165CD"/>
    <w:rsid w:val="00C21C4A"/>
    <w:rsid w:val="00C261B0"/>
    <w:rsid w:val="00C27D66"/>
    <w:rsid w:val="00C31BB3"/>
    <w:rsid w:val="00C34AE8"/>
    <w:rsid w:val="00C36977"/>
    <w:rsid w:val="00C467DA"/>
    <w:rsid w:val="00C477D9"/>
    <w:rsid w:val="00C56017"/>
    <w:rsid w:val="00C60BA3"/>
    <w:rsid w:val="00C61049"/>
    <w:rsid w:val="00C62156"/>
    <w:rsid w:val="00C623F7"/>
    <w:rsid w:val="00C62717"/>
    <w:rsid w:val="00C62A81"/>
    <w:rsid w:val="00C660E5"/>
    <w:rsid w:val="00C73756"/>
    <w:rsid w:val="00C75BC5"/>
    <w:rsid w:val="00C8057C"/>
    <w:rsid w:val="00C813FD"/>
    <w:rsid w:val="00C81670"/>
    <w:rsid w:val="00C81773"/>
    <w:rsid w:val="00C82861"/>
    <w:rsid w:val="00C82C2A"/>
    <w:rsid w:val="00C83B18"/>
    <w:rsid w:val="00C8606B"/>
    <w:rsid w:val="00C86896"/>
    <w:rsid w:val="00C87A8E"/>
    <w:rsid w:val="00C907A8"/>
    <w:rsid w:val="00C9253F"/>
    <w:rsid w:val="00C93211"/>
    <w:rsid w:val="00C93422"/>
    <w:rsid w:val="00C942EC"/>
    <w:rsid w:val="00C9445D"/>
    <w:rsid w:val="00C944FC"/>
    <w:rsid w:val="00C959AF"/>
    <w:rsid w:val="00C96047"/>
    <w:rsid w:val="00C961F7"/>
    <w:rsid w:val="00C9699E"/>
    <w:rsid w:val="00C979D0"/>
    <w:rsid w:val="00CA0818"/>
    <w:rsid w:val="00CA15C8"/>
    <w:rsid w:val="00CA1F5F"/>
    <w:rsid w:val="00CA2C8F"/>
    <w:rsid w:val="00CA30DA"/>
    <w:rsid w:val="00CA3A24"/>
    <w:rsid w:val="00CB1777"/>
    <w:rsid w:val="00CB33E9"/>
    <w:rsid w:val="00CB57BC"/>
    <w:rsid w:val="00CC0119"/>
    <w:rsid w:val="00CC10A9"/>
    <w:rsid w:val="00CC20A4"/>
    <w:rsid w:val="00CC5E88"/>
    <w:rsid w:val="00CC6F78"/>
    <w:rsid w:val="00CD07D9"/>
    <w:rsid w:val="00CD0CC5"/>
    <w:rsid w:val="00CD1DD7"/>
    <w:rsid w:val="00CD3DE9"/>
    <w:rsid w:val="00CD4555"/>
    <w:rsid w:val="00CD58ED"/>
    <w:rsid w:val="00CD5E7F"/>
    <w:rsid w:val="00CD7FF3"/>
    <w:rsid w:val="00CE2BF8"/>
    <w:rsid w:val="00CE3616"/>
    <w:rsid w:val="00CE484E"/>
    <w:rsid w:val="00CE60C5"/>
    <w:rsid w:val="00CE656F"/>
    <w:rsid w:val="00CE7870"/>
    <w:rsid w:val="00CF0DA8"/>
    <w:rsid w:val="00CF2252"/>
    <w:rsid w:val="00CF2E25"/>
    <w:rsid w:val="00CF4453"/>
    <w:rsid w:val="00CF4EAD"/>
    <w:rsid w:val="00CF5D94"/>
    <w:rsid w:val="00CF6EF3"/>
    <w:rsid w:val="00CF7E0F"/>
    <w:rsid w:val="00D00BFD"/>
    <w:rsid w:val="00D034D7"/>
    <w:rsid w:val="00D04BE4"/>
    <w:rsid w:val="00D0646B"/>
    <w:rsid w:val="00D06FC7"/>
    <w:rsid w:val="00D12565"/>
    <w:rsid w:val="00D14127"/>
    <w:rsid w:val="00D171ED"/>
    <w:rsid w:val="00D2016F"/>
    <w:rsid w:val="00D20275"/>
    <w:rsid w:val="00D23170"/>
    <w:rsid w:val="00D23408"/>
    <w:rsid w:val="00D23F2A"/>
    <w:rsid w:val="00D25E9A"/>
    <w:rsid w:val="00D27200"/>
    <w:rsid w:val="00D278D1"/>
    <w:rsid w:val="00D27F0D"/>
    <w:rsid w:val="00D32E6B"/>
    <w:rsid w:val="00D364EE"/>
    <w:rsid w:val="00D41EE8"/>
    <w:rsid w:val="00D44BAF"/>
    <w:rsid w:val="00D46F3E"/>
    <w:rsid w:val="00D545CA"/>
    <w:rsid w:val="00D55FF2"/>
    <w:rsid w:val="00D60B16"/>
    <w:rsid w:val="00D60F02"/>
    <w:rsid w:val="00D61CAC"/>
    <w:rsid w:val="00D64AF2"/>
    <w:rsid w:val="00D64CDE"/>
    <w:rsid w:val="00D653A5"/>
    <w:rsid w:val="00D6590D"/>
    <w:rsid w:val="00D66E49"/>
    <w:rsid w:val="00D67605"/>
    <w:rsid w:val="00D70D71"/>
    <w:rsid w:val="00D72F74"/>
    <w:rsid w:val="00D7361C"/>
    <w:rsid w:val="00D76388"/>
    <w:rsid w:val="00D81563"/>
    <w:rsid w:val="00D827B3"/>
    <w:rsid w:val="00D83121"/>
    <w:rsid w:val="00D84BF4"/>
    <w:rsid w:val="00D85907"/>
    <w:rsid w:val="00D862DD"/>
    <w:rsid w:val="00D86645"/>
    <w:rsid w:val="00D866AF"/>
    <w:rsid w:val="00D87588"/>
    <w:rsid w:val="00D9003E"/>
    <w:rsid w:val="00D9073E"/>
    <w:rsid w:val="00D91823"/>
    <w:rsid w:val="00D9221D"/>
    <w:rsid w:val="00D94D32"/>
    <w:rsid w:val="00D94F79"/>
    <w:rsid w:val="00D958DF"/>
    <w:rsid w:val="00D96023"/>
    <w:rsid w:val="00D96DA1"/>
    <w:rsid w:val="00DA4367"/>
    <w:rsid w:val="00DA51E7"/>
    <w:rsid w:val="00DA7627"/>
    <w:rsid w:val="00DB0260"/>
    <w:rsid w:val="00DB1917"/>
    <w:rsid w:val="00DB1C78"/>
    <w:rsid w:val="00DB30CC"/>
    <w:rsid w:val="00DB3D58"/>
    <w:rsid w:val="00DB65BA"/>
    <w:rsid w:val="00DB796F"/>
    <w:rsid w:val="00DB7D96"/>
    <w:rsid w:val="00DC23FE"/>
    <w:rsid w:val="00DC501C"/>
    <w:rsid w:val="00DC59E6"/>
    <w:rsid w:val="00DC64F9"/>
    <w:rsid w:val="00DD150B"/>
    <w:rsid w:val="00DD2F78"/>
    <w:rsid w:val="00DD3A8D"/>
    <w:rsid w:val="00DD47E3"/>
    <w:rsid w:val="00DD5009"/>
    <w:rsid w:val="00DD5025"/>
    <w:rsid w:val="00DE075B"/>
    <w:rsid w:val="00DE21E7"/>
    <w:rsid w:val="00DE223D"/>
    <w:rsid w:val="00DE2B7E"/>
    <w:rsid w:val="00DE4013"/>
    <w:rsid w:val="00DF0CD2"/>
    <w:rsid w:val="00DF1510"/>
    <w:rsid w:val="00DF7FAB"/>
    <w:rsid w:val="00E0192B"/>
    <w:rsid w:val="00E02F1F"/>
    <w:rsid w:val="00E06391"/>
    <w:rsid w:val="00E06484"/>
    <w:rsid w:val="00E077C2"/>
    <w:rsid w:val="00E07FD5"/>
    <w:rsid w:val="00E107A2"/>
    <w:rsid w:val="00E114E2"/>
    <w:rsid w:val="00E2038D"/>
    <w:rsid w:val="00E20A7D"/>
    <w:rsid w:val="00E20B8D"/>
    <w:rsid w:val="00E245CC"/>
    <w:rsid w:val="00E24C0E"/>
    <w:rsid w:val="00E275D8"/>
    <w:rsid w:val="00E27FF8"/>
    <w:rsid w:val="00E30F6A"/>
    <w:rsid w:val="00E31111"/>
    <w:rsid w:val="00E3117C"/>
    <w:rsid w:val="00E33162"/>
    <w:rsid w:val="00E375CA"/>
    <w:rsid w:val="00E400FC"/>
    <w:rsid w:val="00E43DCA"/>
    <w:rsid w:val="00E45C59"/>
    <w:rsid w:val="00E46E17"/>
    <w:rsid w:val="00E46E28"/>
    <w:rsid w:val="00E51B1D"/>
    <w:rsid w:val="00E52969"/>
    <w:rsid w:val="00E5364F"/>
    <w:rsid w:val="00E567E8"/>
    <w:rsid w:val="00E64679"/>
    <w:rsid w:val="00E64A39"/>
    <w:rsid w:val="00E65EBC"/>
    <w:rsid w:val="00E677FE"/>
    <w:rsid w:val="00E67964"/>
    <w:rsid w:val="00E67C09"/>
    <w:rsid w:val="00E7127B"/>
    <w:rsid w:val="00E717E6"/>
    <w:rsid w:val="00E73432"/>
    <w:rsid w:val="00E75CB2"/>
    <w:rsid w:val="00E77B0C"/>
    <w:rsid w:val="00E77FB8"/>
    <w:rsid w:val="00E82F11"/>
    <w:rsid w:val="00E838B0"/>
    <w:rsid w:val="00E86A7C"/>
    <w:rsid w:val="00E878E1"/>
    <w:rsid w:val="00E87F2C"/>
    <w:rsid w:val="00E95278"/>
    <w:rsid w:val="00E973DC"/>
    <w:rsid w:val="00EA1FB3"/>
    <w:rsid w:val="00EA2273"/>
    <w:rsid w:val="00EA49C1"/>
    <w:rsid w:val="00EA7C3C"/>
    <w:rsid w:val="00EB2DB3"/>
    <w:rsid w:val="00EB3856"/>
    <w:rsid w:val="00EB600D"/>
    <w:rsid w:val="00EC3FBB"/>
    <w:rsid w:val="00EC6B7A"/>
    <w:rsid w:val="00ED3A87"/>
    <w:rsid w:val="00ED4B0F"/>
    <w:rsid w:val="00ED55F4"/>
    <w:rsid w:val="00ED5B67"/>
    <w:rsid w:val="00ED6E19"/>
    <w:rsid w:val="00EE18B7"/>
    <w:rsid w:val="00EE3964"/>
    <w:rsid w:val="00EF009C"/>
    <w:rsid w:val="00EF264C"/>
    <w:rsid w:val="00EF3FEE"/>
    <w:rsid w:val="00EF672A"/>
    <w:rsid w:val="00F00810"/>
    <w:rsid w:val="00F04B59"/>
    <w:rsid w:val="00F05A33"/>
    <w:rsid w:val="00F072E1"/>
    <w:rsid w:val="00F11741"/>
    <w:rsid w:val="00F12B1C"/>
    <w:rsid w:val="00F13CF8"/>
    <w:rsid w:val="00F14CF2"/>
    <w:rsid w:val="00F15855"/>
    <w:rsid w:val="00F15DB7"/>
    <w:rsid w:val="00F171E6"/>
    <w:rsid w:val="00F200B2"/>
    <w:rsid w:val="00F20F24"/>
    <w:rsid w:val="00F21722"/>
    <w:rsid w:val="00F227DC"/>
    <w:rsid w:val="00F25C37"/>
    <w:rsid w:val="00F26EBE"/>
    <w:rsid w:val="00F32978"/>
    <w:rsid w:val="00F373B1"/>
    <w:rsid w:val="00F3748B"/>
    <w:rsid w:val="00F4051A"/>
    <w:rsid w:val="00F42877"/>
    <w:rsid w:val="00F432BE"/>
    <w:rsid w:val="00F44297"/>
    <w:rsid w:val="00F45B3F"/>
    <w:rsid w:val="00F45CB2"/>
    <w:rsid w:val="00F46896"/>
    <w:rsid w:val="00F51E12"/>
    <w:rsid w:val="00F5435C"/>
    <w:rsid w:val="00F544C0"/>
    <w:rsid w:val="00F55233"/>
    <w:rsid w:val="00F55332"/>
    <w:rsid w:val="00F5754A"/>
    <w:rsid w:val="00F63188"/>
    <w:rsid w:val="00F6504A"/>
    <w:rsid w:val="00F65519"/>
    <w:rsid w:val="00F65F63"/>
    <w:rsid w:val="00F66771"/>
    <w:rsid w:val="00F713C0"/>
    <w:rsid w:val="00F72620"/>
    <w:rsid w:val="00F741DE"/>
    <w:rsid w:val="00F75DDC"/>
    <w:rsid w:val="00F7792F"/>
    <w:rsid w:val="00F814E1"/>
    <w:rsid w:val="00F82C0C"/>
    <w:rsid w:val="00F842AA"/>
    <w:rsid w:val="00F8476F"/>
    <w:rsid w:val="00F853E1"/>
    <w:rsid w:val="00F85604"/>
    <w:rsid w:val="00F90FF6"/>
    <w:rsid w:val="00F915FE"/>
    <w:rsid w:val="00F94B7A"/>
    <w:rsid w:val="00F9519E"/>
    <w:rsid w:val="00FA0E7C"/>
    <w:rsid w:val="00FA17AC"/>
    <w:rsid w:val="00FA32DE"/>
    <w:rsid w:val="00FA3382"/>
    <w:rsid w:val="00FA418D"/>
    <w:rsid w:val="00FA59CD"/>
    <w:rsid w:val="00FB05C2"/>
    <w:rsid w:val="00FB0B17"/>
    <w:rsid w:val="00FB16F9"/>
    <w:rsid w:val="00FB1740"/>
    <w:rsid w:val="00FB4132"/>
    <w:rsid w:val="00FB6393"/>
    <w:rsid w:val="00FC2233"/>
    <w:rsid w:val="00FC4139"/>
    <w:rsid w:val="00FC5469"/>
    <w:rsid w:val="00FC6D7D"/>
    <w:rsid w:val="00FD16B0"/>
    <w:rsid w:val="00FD4FED"/>
    <w:rsid w:val="00FE0577"/>
    <w:rsid w:val="00FE4AE0"/>
    <w:rsid w:val="00FE59EC"/>
    <w:rsid w:val="00FE5B67"/>
    <w:rsid w:val="00FE60C0"/>
    <w:rsid w:val="00FE60D6"/>
    <w:rsid w:val="00FF25FE"/>
    <w:rsid w:val="00FF322C"/>
    <w:rsid w:val="00FF3716"/>
    <w:rsid w:val="00FF4864"/>
    <w:rsid w:val="00FF4A9D"/>
    <w:rsid w:val="00FF5261"/>
    <w:rsid w:val="00FF5C95"/>
    <w:rsid w:val="00FF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8E4B4"/>
  <w15:docId w15:val="{EADACAB8-42AB-4108-9438-FD0C0C0C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link w:val="Heading3Char"/>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9F088B"/>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uiPriority w:val="39"/>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8B6FA8"/>
    <w:rPr>
      <w:sz w:val="24"/>
      <w:szCs w:val="24"/>
    </w:rPr>
  </w:style>
  <w:style w:type="character" w:styleId="FootnoteReference">
    <w:name w:val="footnote reference"/>
    <w:basedOn w:val="DefaultParagraphFont"/>
    <w:uiPriority w:val="99"/>
    <w:semiHidden/>
    <w:unhideWhenUsed/>
    <w:rsid w:val="00FC4139"/>
    <w:rPr>
      <w:vertAlign w:val="superscript"/>
    </w:rPr>
  </w:style>
  <w:style w:type="character" w:styleId="CommentReference">
    <w:name w:val="annotation reference"/>
    <w:basedOn w:val="DefaultParagraphFont"/>
    <w:semiHidden/>
    <w:unhideWhenUsed/>
    <w:rsid w:val="005833F0"/>
    <w:rPr>
      <w:sz w:val="16"/>
      <w:szCs w:val="16"/>
    </w:rPr>
  </w:style>
  <w:style w:type="character" w:customStyle="1" w:styleId="Heading3Char">
    <w:name w:val="Heading 3 Char"/>
    <w:basedOn w:val="DefaultParagraphFont"/>
    <w:link w:val="Heading3"/>
    <w:rsid w:val="0099605A"/>
    <w:rPr>
      <w:sz w:val="24"/>
      <w:szCs w:val="24"/>
    </w:rPr>
  </w:style>
  <w:style w:type="character" w:customStyle="1" w:styleId="FootnoteTextChar">
    <w:name w:val="Footnote Text Char"/>
    <w:basedOn w:val="DefaultParagraphFont"/>
    <w:link w:val="FootnoteText"/>
    <w:rsid w:val="005E2847"/>
  </w:style>
  <w:style w:type="paragraph" w:styleId="ListParagraph">
    <w:name w:val="List Paragraph"/>
    <w:basedOn w:val="Normal"/>
    <w:uiPriority w:val="34"/>
    <w:qFormat/>
    <w:rsid w:val="00183170"/>
    <w:pPr>
      <w:spacing w:after="200" w:line="276" w:lineRule="auto"/>
      <w:ind w:left="720"/>
      <w:contextualSpacing/>
    </w:pPr>
    <w:rPr>
      <w:rFonts w:eastAsiaTheme="minorHAnsi" w:cstheme="minorBidi"/>
      <w:szCs w:val="22"/>
    </w:rPr>
  </w:style>
  <w:style w:type="table" w:customStyle="1" w:styleId="TableGrid1">
    <w:name w:val="Table Grid1"/>
    <w:basedOn w:val="TableNormal"/>
    <w:next w:val="TableGrid"/>
    <w:uiPriority w:val="59"/>
    <w:rsid w:val="003640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64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FB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85456">
      <w:bodyDiv w:val="1"/>
      <w:marLeft w:val="0"/>
      <w:marRight w:val="0"/>
      <w:marTop w:val="0"/>
      <w:marBottom w:val="0"/>
      <w:divBdr>
        <w:top w:val="none" w:sz="0" w:space="0" w:color="auto"/>
        <w:left w:val="none" w:sz="0" w:space="0" w:color="auto"/>
        <w:bottom w:val="none" w:sz="0" w:space="0" w:color="auto"/>
        <w:right w:val="none" w:sz="0" w:space="0" w:color="auto"/>
      </w:divBdr>
    </w:div>
    <w:div w:id="554703890">
      <w:bodyDiv w:val="1"/>
      <w:marLeft w:val="0"/>
      <w:marRight w:val="0"/>
      <w:marTop w:val="0"/>
      <w:marBottom w:val="0"/>
      <w:divBdr>
        <w:top w:val="none" w:sz="0" w:space="0" w:color="auto"/>
        <w:left w:val="none" w:sz="0" w:space="0" w:color="auto"/>
        <w:bottom w:val="none" w:sz="0" w:space="0" w:color="auto"/>
        <w:right w:val="none" w:sz="0" w:space="0" w:color="auto"/>
      </w:divBdr>
    </w:div>
    <w:div w:id="82420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02E0C-A473-4E79-B07A-5C7ABCEE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765</TotalTime>
  <Pages>56</Pages>
  <Words>19632</Words>
  <Characters>111908</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Joe Cipriani</cp:lastModifiedBy>
  <cp:revision>54</cp:revision>
  <cp:lastPrinted>2022-05-06T12:05:00Z</cp:lastPrinted>
  <dcterms:created xsi:type="dcterms:W3CDTF">2022-05-18T18:48:00Z</dcterms:created>
  <dcterms:modified xsi:type="dcterms:W3CDTF">2022-05-25T14:02:00Z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20200226-SU</vt:lpwstr>
  </property>
  <property fmtid="{D5CDD505-2E9C-101B-9397-08002B2CF9AE}" pid="3" name="MasterDocument">
    <vt:bool>false</vt:bool>
  </property>
</Properties>
</file>