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C2FA4">
            <w:pPr>
              <w:pStyle w:val="MemoHeading"/>
            </w:pPr>
            <w:bookmarkStart w:id="1" w:name="FilingDate"/>
            <w:r>
              <w:t>October 27,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C2FA4" w:rsidRDefault="006C2FA4">
            <w:pPr>
              <w:pStyle w:val="MemoHeading"/>
            </w:pPr>
            <w:bookmarkStart w:id="2" w:name="From"/>
            <w:r>
              <w:t>Division of Engineering (M. Watts, Ramos)</w:t>
            </w:r>
          </w:p>
          <w:p w:rsidR="006C2FA4" w:rsidRDefault="006C2FA4">
            <w:pPr>
              <w:pStyle w:val="MemoHeading"/>
            </w:pPr>
            <w:r>
              <w:t>Division of Accounting and Finance (</w:t>
            </w:r>
            <w:r w:rsidR="00C911A7">
              <w:t>S</w:t>
            </w:r>
            <w:r>
              <w:t>ewards, Thurmond)</w:t>
            </w:r>
          </w:p>
          <w:p w:rsidR="006C2FA4" w:rsidRDefault="006C2FA4">
            <w:pPr>
              <w:pStyle w:val="MemoHeading"/>
            </w:pPr>
            <w:r>
              <w:t>Division of Economics (Bruce, Hudson)</w:t>
            </w:r>
          </w:p>
          <w:p w:rsidR="007C0528" w:rsidRDefault="006C2FA4">
            <w:pPr>
              <w:pStyle w:val="MemoHeading"/>
            </w:pPr>
            <w:r>
              <w:t>Office of the General Counsel (Watrous)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C2FA4">
            <w:pPr>
              <w:pStyle w:val="MemoHeadingRe"/>
            </w:pPr>
            <w:bookmarkStart w:id="3" w:name="Re"/>
            <w:r>
              <w:t>Docket No. 20230033-SU – Application for transfer of wastewater Certificate No. 562-S of TKCB, Inc. to CSWR-Florida Utility Operating Company, LLC, in Brevard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C2FA4" w:rsidP="007B6A83">
            <w:pPr>
              <w:pStyle w:val="MemoHeading"/>
            </w:pPr>
            <w:bookmarkStart w:id="4" w:name="AgendaDate"/>
            <w:r>
              <w:t>11/09/23</w:t>
            </w:r>
            <w:bookmarkEnd w:id="4"/>
            <w:r w:rsidR="007C0528">
              <w:t xml:space="preserve"> – </w:t>
            </w:r>
            <w:bookmarkStart w:id="5" w:name="PermittedStatus"/>
            <w:r>
              <w:t>Regular Agenda –</w:t>
            </w:r>
            <w:r w:rsidR="00275B69">
              <w:t xml:space="preserve"> </w:t>
            </w:r>
            <w:r>
              <w:rPr>
                <w:color w:val="242424"/>
                <w:sz w:val="23"/>
                <w:szCs w:val="23"/>
              </w:rPr>
              <w:t>Propose</w:t>
            </w:r>
            <w:r>
              <w:rPr>
                <w:color w:val="0B0B0B"/>
                <w:sz w:val="23"/>
                <w:szCs w:val="23"/>
              </w:rPr>
              <w:t xml:space="preserve">d </w:t>
            </w:r>
            <w:r>
              <w:rPr>
                <w:color w:val="242424"/>
                <w:sz w:val="23"/>
                <w:szCs w:val="23"/>
              </w:rPr>
              <w:t>Age</w:t>
            </w:r>
            <w:r>
              <w:rPr>
                <w:color w:val="0B0B0B"/>
                <w:sz w:val="23"/>
                <w:szCs w:val="23"/>
              </w:rPr>
              <w:t>n</w:t>
            </w:r>
            <w:r>
              <w:rPr>
                <w:color w:val="242424"/>
                <w:sz w:val="23"/>
                <w:szCs w:val="23"/>
              </w:rPr>
              <w:t>cy Ac</w:t>
            </w:r>
            <w:r>
              <w:rPr>
                <w:color w:val="0B0B0B"/>
                <w:sz w:val="23"/>
                <w:szCs w:val="23"/>
              </w:rPr>
              <w:t>ti</w:t>
            </w:r>
            <w:r>
              <w:rPr>
                <w:color w:val="242424"/>
                <w:sz w:val="23"/>
                <w:szCs w:val="23"/>
              </w:rPr>
              <w:t>o</w:t>
            </w:r>
            <w:r>
              <w:rPr>
                <w:color w:val="0B0B0B"/>
                <w:sz w:val="23"/>
                <w:szCs w:val="23"/>
              </w:rPr>
              <w:t xml:space="preserve">n </w:t>
            </w:r>
            <w:r>
              <w:rPr>
                <w:color w:val="242424"/>
                <w:sz w:val="23"/>
                <w:szCs w:val="23"/>
              </w:rPr>
              <w:t>fo</w:t>
            </w:r>
            <w:r>
              <w:rPr>
                <w:color w:val="0B0B0B"/>
                <w:sz w:val="23"/>
                <w:szCs w:val="23"/>
              </w:rPr>
              <w:t>r I</w:t>
            </w:r>
            <w:r>
              <w:rPr>
                <w:color w:val="242424"/>
                <w:sz w:val="23"/>
                <w:szCs w:val="23"/>
              </w:rPr>
              <w:t>ss</w:t>
            </w:r>
            <w:r>
              <w:rPr>
                <w:color w:val="0B0B0B"/>
                <w:sz w:val="23"/>
                <w:szCs w:val="23"/>
              </w:rPr>
              <w:t>u</w:t>
            </w:r>
            <w:r w:rsidR="000E4AFB">
              <w:rPr>
                <w:color w:val="242424"/>
                <w:sz w:val="23"/>
                <w:szCs w:val="23"/>
              </w:rPr>
              <w:t>e</w:t>
            </w:r>
            <w:r>
              <w:rPr>
                <w:color w:val="242424"/>
                <w:sz w:val="23"/>
                <w:szCs w:val="23"/>
              </w:rPr>
              <w:t xml:space="preserve"> 2</w:t>
            </w:r>
            <w:r w:rsidR="000E4AFB">
              <w:rPr>
                <w:color w:val="242424"/>
                <w:sz w:val="23"/>
                <w:szCs w:val="23"/>
              </w:rPr>
              <w:t xml:space="preserve"> </w:t>
            </w:r>
            <w:r w:rsidRPr="00AE7534">
              <w:rPr>
                <w:color w:val="656466"/>
                <w:sz w:val="23"/>
                <w:szCs w:val="23"/>
              </w:rPr>
              <w:t>–</w:t>
            </w:r>
            <w:r w:rsidR="007B6A83">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C2FA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C2FA4">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C2FA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C2FA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53771" w:rsidRPr="003C1D2F" w:rsidRDefault="00253771" w:rsidP="00253771">
      <w:pPr>
        <w:pStyle w:val="BodyText"/>
      </w:pPr>
      <w:r w:rsidRPr="00196932">
        <w:t>TKCB, Inc. (TKCB or Utility) is a Class C utility currently providing wastewater service to 295 mobile home lots in the Sun Lake Village Estates manufactured home community (formerly Sun L</w:t>
      </w:r>
      <w:r>
        <w:t>ake Estates) in Cocoa, Florida.</w:t>
      </w:r>
      <w:r w:rsidRPr="00196932">
        <w:t xml:space="preserve"> The Utility is located in the St. Johns R</w:t>
      </w:r>
      <w:r>
        <w:t>iver Water Management District.</w:t>
      </w:r>
      <w:r w:rsidRPr="00196932">
        <w:t xml:space="preserve"> Water service is provided by the City of Cocoa.</w:t>
      </w:r>
      <w:r w:rsidRPr="003C1D2F">
        <w:t xml:space="preserve"> In its 2022 Annual Report, </w:t>
      </w:r>
      <w:r w:rsidR="003C1D2F" w:rsidRPr="003C1D2F">
        <w:t>TKCB</w:t>
      </w:r>
      <w:r w:rsidRPr="003C1D2F">
        <w:t xml:space="preserve"> reported a net operating loss of $</w:t>
      </w:r>
      <w:r w:rsidR="003C1D2F" w:rsidRPr="003C1D2F">
        <w:t>17,868</w:t>
      </w:r>
      <w:r w:rsidRPr="003C1D2F">
        <w:t>.</w:t>
      </w:r>
      <w:r w:rsidRPr="00196932">
        <w:rPr>
          <w:color w:val="00B050"/>
        </w:rPr>
        <w:t xml:space="preserve"> </w:t>
      </w:r>
      <w:r w:rsidRPr="003C1D2F">
        <w:t>The Utility’s last rate case was in 20</w:t>
      </w:r>
      <w:r w:rsidR="003C1D2F" w:rsidRPr="003C1D2F">
        <w:t>21</w:t>
      </w:r>
      <w:r w:rsidRPr="003C1D2F">
        <w:t>.</w:t>
      </w:r>
      <w:r w:rsidRPr="003C1D2F">
        <w:rPr>
          <w:vertAlign w:val="superscript"/>
        </w:rPr>
        <w:footnoteReference w:id="1"/>
      </w:r>
    </w:p>
    <w:p w:rsidR="00253771" w:rsidRDefault="005A70A4" w:rsidP="00253771">
      <w:pPr>
        <w:pStyle w:val="BodyText"/>
      </w:pPr>
      <w:r w:rsidRPr="005A70A4">
        <w:lastRenderedPageBreak/>
        <w:t>In</w:t>
      </w:r>
      <w:r w:rsidR="00253771" w:rsidRPr="005A70A4">
        <w:t xml:space="preserve"> 201</w:t>
      </w:r>
      <w:r w:rsidRPr="005A70A4">
        <w:t>1</w:t>
      </w:r>
      <w:r w:rsidR="00253771" w:rsidRPr="005A70A4">
        <w:t xml:space="preserve">, </w:t>
      </w:r>
      <w:r w:rsidRPr="005A70A4">
        <w:t xml:space="preserve">the </w:t>
      </w:r>
      <w:r w:rsidR="00DF07FA">
        <w:t xml:space="preserve">Florida Public Service </w:t>
      </w:r>
      <w:r w:rsidRPr="005A70A4">
        <w:t>Commission</w:t>
      </w:r>
      <w:r w:rsidR="00DF07FA">
        <w:t xml:space="preserve"> (Commission)</w:t>
      </w:r>
      <w:r w:rsidRPr="005A70A4">
        <w:t xml:space="preserve"> granted </w:t>
      </w:r>
      <w:r w:rsidR="00253771" w:rsidRPr="005A70A4">
        <w:t>TKCB an original wastewater certificate in Brevard County.</w:t>
      </w:r>
      <w:r w:rsidRPr="005A70A4">
        <w:rPr>
          <w:rStyle w:val="FootnoteReference"/>
        </w:rPr>
        <w:footnoteReference w:id="2"/>
      </w:r>
      <w:r w:rsidR="00253771">
        <w:t xml:space="preserve"> </w:t>
      </w:r>
      <w:r w:rsidRPr="005A70A4">
        <w:t>The certificated service territory has not been amended since that time.</w:t>
      </w:r>
    </w:p>
    <w:p w:rsidR="005A70A4" w:rsidRDefault="005A70A4" w:rsidP="00253771">
      <w:pPr>
        <w:pStyle w:val="BodyText"/>
      </w:pPr>
      <w:r w:rsidRPr="00E04F09">
        <w:t>On March 1</w:t>
      </w:r>
      <w:r>
        <w:t>3</w:t>
      </w:r>
      <w:r w:rsidRPr="00E04F09">
        <w:t>, 202</w:t>
      </w:r>
      <w:r>
        <w:t>3</w:t>
      </w:r>
      <w:r w:rsidRPr="00E04F09">
        <w:t xml:space="preserve">, </w:t>
      </w:r>
      <w:r w:rsidRPr="00E04F09">
        <w:rPr>
          <w:bCs/>
        </w:rPr>
        <w:t>CSWR-Florida Utility Operating Company, LLC</w:t>
      </w:r>
      <w:r w:rsidRPr="00E04F09">
        <w:t xml:space="preserve"> (CSWR-</w:t>
      </w:r>
      <w:r>
        <w:t>TKCB</w:t>
      </w:r>
      <w:r w:rsidRPr="00E04F09">
        <w:t xml:space="preserve"> or Buyer) filed an application with the Commission for the transfer of Certificate No. </w:t>
      </w:r>
      <w:r w:rsidR="002B3BDA">
        <w:t>562</w:t>
      </w:r>
      <w:r w:rsidRPr="00E04F09">
        <w:t xml:space="preserve">-S from </w:t>
      </w:r>
      <w:r w:rsidR="002B3BDA">
        <w:t>TKCB</w:t>
      </w:r>
      <w:r w:rsidRPr="00E04F09">
        <w:t xml:space="preserve"> to CSWR-</w:t>
      </w:r>
      <w:r w:rsidR="002B3BDA">
        <w:t>TKCB</w:t>
      </w:r>
      <w:r w:rsidRPr="00E04F09">
        <w:t xml:space="preserve"> in </w:t>
      </w:r>
      <w:r w:rsidR="002B3BDA">
        <w:t>Brevard</w:t>
      </w:r>
      <w:r w:rsidRPr="00E04F09">
        <w:t xml:space="preserve"> County. The sale will close after the Commission votes to approve the transfer. The Office of Public Counsel’s</w:t>
      </w:r>
      <w:r w:rsidR="00015979">
        <w:t xml:space="preserve"> </w:t>
      </w:r>
      <w:r w:rsidRPr="00E04F09">
        <w:t xml:space="preserve">intervention was acknowledged by Order No. </w:t>
      </w:r>
      <w:r w:rsidR="00086038" w:rsidRPr="00086038">
        <w:t>PSC-2023-0139-PCO-SU</w:t>
      </w:r>
      <w:r w:rsidRPr="00E04F09">
        <w:t xml:space="preserve">, issued </w:t>
      </w:r>
      <w:r w:rsidR="00086038">
        <w:t>April</w:t>
      </w:r>
      <w:r w:rsidRPr="00E04F09">
        <w:t xml:space="preserve"> </w:t>
      </w:r>
      <w:r w:rsidR="00086038">
        <w:t>21</w:t>
      </w:r>
      <w:r w:rsidRPr="00E04F09">
        <w:t>, 202</w:t>
      </w:r>
      <w:r w:rsidR="00086038">
        <w:t>3</w:t>
      </w:r>
      <w:r w:rsidRPr="00E04F09">
        <w:t xml:space="preserve">. </w:t>
      </w:r>
    </w:p>
    <w:p w:rsidR="0068481F" w:rsidRDefault="00253771" w:rsidP="00253771">
      <w:pPr>
        <w:pStyle w:val="BodyText"/>
      </w:pPr>
      <w:r w:rsidRPr="00E04F09">
        <w:t xml:space="preserve">This recommendation addresses the transfer of the wastewater system and Certificate No. </w:t>
      </w:r>
      <w:r>
        <w:t>562-S</w:t>
      </w:r>
      <w:r w:rsidRPr="00E04F09">
        <w:t xml:space="preserve">, </w:t>
      </w:r>
      <w:r w:rsidR="00086038">
        <w:t xml:space="preserve">and </w:t>
      </w:r>
      <w:r w:rsidRPr="00E04F09">
        <w:t xml:space="preserve">the appropriate net book value </w:t>
      </w:r>
      <w:r w:rsidR="00311B2A">
        <w:t xml:space="preserve">(NBV) </w:t>
      </w:r>
      <w:r w:rsidRPr="00E04F09">
        <w:t xml:space="preserve">of the wastewater system for transfer purposes. The Commission has jurisdiction pursuant to Sections 367.071 and 367.081, </w:t>
      </w:r>
      <w:r w:rsidR="00A76924">
        <w:t>Florida Statutes (</w:t>
      </w:r>
      <w:r w:rsidRPr="00E04F09">
        <w:t>F.S.</w:t>
      </w:r>
      <w:r w:rsidR="00A76924">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6C2FA4" w:rsidRDefault="006C2FA4">
      <w:pPr>
        <w:pStyle w:val="IssueHeading"/>
        <w:rPr>
          <w:vanish/>
          <w:specVanish/>
        </w:rPr>
      </w:pPr>
      <w:r w:rsidRPr="004C3641">
        <w:t xml:space="preserve">Issue </w:t>
      </w:r>
      <w:fldSimple w:instr=" SEQ Issue \* MERGEFORMAT ">
        <w:r w:rsidR="00DF07F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F07FA">
        <w:rPr>
          <w:noProof/>
        </w:rPr>
        <w:instrText>1</w:instrText>
      </w:r>
      <w:r>
        <w:fldChar w:fldCharType="end"/>
      </w:r>
      <w:r>
        <w:tab/>
        <w:instrText xml:space="preserve">" \l 1 </w:instrText>
      </w:r>
      <w:r>
        <w:fldChar w:fldCharType="end"/>
      </w:r>
      <w:r>
        <w:t> </w:t>
      </w:r>
    </w:p>
    <w:p w:rsidR="006C2FA4" w:rsidRDefault="006C2FA4" w:rsidP="006C2FA4">
      <w:pPr>
        <w:pStyle w:val="BodyText"/>
      </w:pPr>
      <w:r>
        <w:t xml:space="preserve"> Should the transfer of Certificate No. 562-S in Brevard County from </w:t>
      </w:r>
      <w:r w:rsidR="00556677" w:rsidRPr="00556677">
        <w:t>TKCB, Inc.</w:t>
      </w:r>
      <w:r>
        <w:t xml:space="preserve"> to CSWR-Florida Utility Operating Company, LLC be approved?</w:t>
      </w:r>
    </w:p>
    <w:p w:rsidR="006C2FA4" w:rsidRPr="004C3641" w:rsidRDefault="006C2FA4" w:rsidP="006C2FA4">
      <w:pPr>
        <w:pStyle w:val="IssueSubsectionHeading"/>
        <w:rPr>
          <w:vanish/>
          <w:specVanish/>
        </w:rPr>
      </w:pPr>
      <w:r w:rsidRPr="004C3641">
        <w:t>Recommendation: </w:t>
      </w:r>
    </w:p>
    <w:p w:rsidR="006C2FA4" w:rsidRPr="007C259F" w:rsidRDefault="006C2FA4" w:rsidP="006C2FA4">
      <w:pPr>
        <w:pStyle w:val="BodyText"/>
      </w:pPr>
      <w:r w:rsidRPr="007C259F">
        <w:t xml:space="preserve"> Yes. The transfer of the wastewater system and Certificate No. 562-S is in the public interest and should be approved effective the date that the sale becomes final. </w:t>
      </w:r>
      <w:proofErr w:type="gramStart"/>
      <w:r w:rsidRPr="007C259F">
        <w:t>The resultant Order should serve as the Buyer’s certificate and should be retained by the Buyer.</w:t>
      </w:r>
      <w:proofErr w:type="gramEnd"/>
      <w:r w:rsidRPr="007C259F">
        <w:t xml:space="preserve"> The Buyer should submit the executed and recorded deed for continued access to the land upon which its facilities are located, and a copy of its signed and executed contract for sale to the Commission within 60 days of the Order approving the transfer, which is final agency action. If the sale is not finalized within 60 days of the transfer Order, the Buyer should file a status update in the docket file. </w:t>
      </w:r>
      <w:r w:rsidR="007C259F" w:rsidRPr="007C259F">
        <w:t>The Utility’s existing rates</w:t>
      </w:r>
      <w:r w:rsidR="00A76924">
        <w:t>,</w:t>
      </w:r>
      <w:r w:rsidR="007C259F" w:rsidRPr="007C259F">
        <w:t xml:space="preserve"> as shown on Schedule No. 4, should remain in effect until a change is authorized by this Commission in a subsequent proceeding. The tariff pages reflecting the transfer should be effective on or after the stamped approval date on the tariff sheets, pursuant to Rule 25-30.475(1), Florida Administrative Code (F.A.C.).</w:t>
      </w:r>
      <w:r w:rsidRPr="007C259F">
        <w:t xml:space="preserve"> The Seller is current with respect to annual reports and regulatory assessment fees (RAFs) through December 31, 2022. The Buyer should be responsible for filing annual reports and paying RAFs for all future years. (M. Watts, Thurmond, Bruce)</w:t>
      </w:r>
    </w:p>
    <w:p w:rsidR="006C2FA4" w:rsidRPr="004C3641" w:rsidRDefault="006C2FA4" w:rsidP="006C2FA4">
      <w:pPr>
        <w:pStyle w:val="IssueSubsectionHeading"/>
        <w:rPr>
          <w:vanish/>
          <w:specVanish/>
        </w:rPr>
      </w:pPr>
      <w:r w:rsidRPr="004C3641">
        <w:t>Staff Analysis: </w:t>
      </w:r>
    </w:p>
    <w:p w:rsidR="006C2FA4" w:rsidRPr="00F16C55" w:rsidRDefault="006C2FA4" w:rsidP="006C2FA4">
      <w:pPr>
        <w:pStyle w:val="BodyText"/>
      </w:pPr>
      <w:r w:rsidRPr="00F16C55">
        <w:t> On March 1</w:t>
      </w:r>
      <w:r w:rsidR="00F16C55" w:rsidRPr="00F16C55">
        <w:t>3</w:t>
      </w:r>
      <w:r w:rsidRPr="00F16C55">
        <w:t>, 202</w:t>
      </w:r>
      <w:r w:rsidR="00F16C55" w:rsidRPr="00F16C55">
        <w:t>3</w:t>
      </w:r>
      <w:r w:rsidRPr="00F16C55">
        <w:t>, CSWR-</w:t>
      </w:r>
      <w:r w:rsidR="00F16C55" w:rsidRPr="00F16C55">
        <w:t>TKC</w:t>
      </w:r>
      <w:r w:rsidRPr="00F16C55">
        <w:t xml:space="preserve">B filed an application for the transfer of Certificate No. 562-S from </w:t>
      </w:r>
      <w:r w:rsidR="00F16C55" w:rsidRPr="00F16C55">
        <w:t>TKCB</w:t>
      </w:r>
      <w:r w:rsidRPr="00F16C55">
        <w:t xml:space="preserve"> to CSWR-</w:t>
      </w:r>
      <w:r w:rsidR="00F16C55" w:rsidRPr="00F16C55">
        <w:t>TKC</w:t>
      </w:r>
      <w:r w:rsidRPr="00F16C55">
        <w:t>B in Brevard County. The application is in compliance with Section 367.071, F.S., and Commission rules concerning applications for transfer of certificates. The sale to CSWR-</w:t>
      </w:r>
      <w:r w:rsidR="004A0265">
        <w:t>TKCB</w:t>
      </w:r>
      <w:r w:rsidRPr="00F16C55">
        <w:t xml:space="preserve"> will become final after Commission approval of the transfer, pursuant to Section 367.071(1), F.S.</w:t>
      </w:r>
    </w:p>
    <w:p w:rsidR="006C2FA4" w:rsidRDefault="006C2FA4" w:rsidP="006C2FA4">
      <w:pPr>
        <w:pStyle w:val="First-LevelSubheading"/>
      </w:pPr>
      <w:r>
        <w:t>Noticing, Territory, and Land Ownership</w:t>
      </w:r>
    </w:p>
    <w:p w:rsidR="006C2FA4" w:rsidRPr="00F16C55" w:rsidRDefault="006C2FA4" w:rsidP="006C2FA4">
      <w:pPr>
        <w:pStyle w:val="BodyText"/>
      </w:pPr>
      <w:r w:rsidRPr="00F16C55">
        <w:rPr>
          <w:bCs/>
        </w:rPr>
        <w:t>CSWR</w:t>
      </w:r>
      <w:r w:rsidRPr="00F16C55">
        <w:t>-</w:t>
      </w:r>
      <w:r w:rsidR="00F16C55" w:rsidRPr="00F16C55">
        <w:t>TKC</w:t>
      </w:r>
      <w:r w:rsidRPr="00F16C55">
        <w:t>B</w:t>
      </w:r>
      <w:r w:rsidRPr="00F16C55">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 In its application, CSWR</w:t>
      </w:r>
      <w:r w:rsidRPr="00F16C55">
        <w:t>-</w:t>
      </w:r>
      <w:r w:rsidR="00F16C55" w:rsidRPr="00F16C55">
        <w:t>TKC</w:t>
      </w:r>
      <w:r w:rsidRPr="00F16C55">
        <w:t>B</w:t>
      </w:r>
      <w:r w:rsidRPr="00F16C55">
        <w:rPr>
          <w:bCs/>
        </w:rPr>
        <w:t xml:space="preserve"> provided a copy of an unrecorded warranty deed as evidence that the Buyer will have rights to long-term use of the land upon which the treatment facilities are located pursuant to Rule 25-30.037(2</w:t>
      </w:r>
      <w:proofErr w:type="gramStart"/>
      <w:r w:rsidRPr="00F16C55">
        <w:rPr>
          <w:bCs/>
        </w:rPr>
        <w:t>)(</w:t>
      </w:r>
      <w:proofErr w:type="gramEnd"/>
      <w:r w:rsidRPr="00F16C55">
        <w:rPr>
          <w:bCs/>
        </w:rPr>
        <w:t>s), F.A.C. CSWR</w:t>
      </w:r>
      <w:r w:rsidRPr="00F16C55">
        <w:t>-</w:t>
      </w:r>
      <w:r w:rsidR="00F16C55" w:rsidRPr="00F16C55">
        <w:t>TKC</w:t>
      </w:r>
      <w:r w:rsidRPr="00F16C55">
        <w:t>B</w:t>
      </w:r>
      <w:r w:rsidRPr="00F16C55">
        <w:rPr>
          <w:bCs/>
        </w:rPr>
        <w:t xml:space="preserve"> committed to providing the executed and recorded deed to the Commission within 60 days after the closing of the sale.</w:t>
      </w:r>
    </w:p>
    <w:p w:rsidR="006C2FA4" w:rsidRDefault="006C2FA4" w:rsidP="006C2FA4">
      <w:pPr>
        <w:pStyle w:val="First-LevelSubheading"/>
      </w:pPr>
      <w:r>
        <w:t>Purchase Agreement and Financing</w:t>
      </w:r>
    </w:p>
    <w:p w:rsidR="006C2FA4" w:rsidRPr="00556677" w:rsidRDefault="00556677" w:rsidP="006C2FA4">
      <w:pPr>
        <w:pStyle w:val="BodyText"/>
      </w:pPr>
      <w:r w:rsidRPr="00556677">
        <w:t>Pursuant to Rule 25-30.037(2</w:t>
      </w:r>
      <w:proofErr w:type="gramStart"/>
      <w:r w:rsidRPr="00556677">
        <w:t>)(</w:t>
      </w:r>
      <w:proofErr w:type="gramEnd"/>
      <w:r w:rsidRPr="00556677">
        <w:t xml:space="preserve">i) and (j), </w:t>
      </w:r>
      <w:r>
        <w:t>F.A.C.</w:t>
      </w:r>
      <w:r w:rsidRPr="00556677">
        <w:t>, the application contains a statement regarding financing and a copy of the purchase agreement, which includes the purchase price, terms of payment, and a list of the assets purchased. There are no guaranteed revenue contracts or customer advances of TKCB that must be disposed of wit</w:t>
      </w:r>
      <w:r w:rsidR="00966864">
        <w:t>h regard to the transfer. CSWR-</w:t>
      </w:r>
      <w:r w:rsidR="004A0265">
        <w:t xml:space="preserve">TKCB </w:t>
      </w:r>
      <w:r w:rsidRPr="00556677">
        <w:t xml:space="preserve">will review all leases and developer agreements and will assume or renegotiate those agreements on a case-by-case basis prior to closing. Any customer deposits will be refunded to customers by the Seller prior to the closing. According to the purchase and sale agreement, the total purchase price for the assets is $425,000. According to the Buyer, the closing has not yet taken place and is dependent on Commission approval of the transfer, pursuant to Section 367.071(1), </w:t>
      </w:r>
      <w:r w:rsidR="00975557">
        <w:t>F.S.</w:t>
      </w:r>
    </w:p>
    <w:p w:rsidR="006C2FA4" w:rsidRDefault="006C2FA4" w:rsidP="006C2FA4">
      <w:pPr>
        <w:pStyle w:val="First-LevelSubheading"/>
      </w:pPr>
      <w:r>
        <w:t>Facility Description and Compliance</w:t>
      </w:r>
    </w:p>
    <w:p w:rsidR="002A4FB0" w:rsidRPr="00BB56CB" w:rsidRDefault="002A4FB0" w:rsidP="002A4FB0">
      <w:pPr>
        <w:pStyle w:val="BodyText"/>
      </w:pPr>
      <w:r w:rsidRPr="00BB56CB">
        <w:t xml:space="preserve">The TKCB wastewater treatment plant (WWTP) is a 0.099 million gallon per day annual average daily flow (AADF) permitted capacity extended aeration domestic wastewater treatment plant consisting of flow equalization, influent screening, aeration, secondary clarification, filtration, chlorination, and aerobic digestion of bio solids. Chlorinated effluent is discharged to one of four percolation ponds. The collection system consists of gravity mains served by </w:t>
      </w:r>
      <w:r w:rsidR="00BB56CB" w:rsidRPr="00BB56CB">
        <w:t>two</w:t>
      </w:r>
      <w:r w:rsidRPr="00BB56CB">
        <w:t xml:space="preserve"> lift stations.</w:t>
      </w:r>
    </w:p>
    <w:p w:rsidR="00464267" w:rsidRPr="00464267" w:rsidRDefault="002A4FB0" w:rsidP="002A4FB0">
      <w:pPr>
        <w:pStyle w:val="BodyText"/>
      </w:pPr>
      <w:r w:rsidRPr="00464267">
        <w:t xml:space="preserve">Staff reviewed the most recent </w:t>
      </w:r>
      <w:r w:rsidR="004A0265">
        <w:t>Florida Department of Environmental Protection (</w:t>
      </w:r>
      <w:r w:rsidRPr="00464267">
        <w:t>DEP</w:t>
      </w:r>
      <w:r w:rsidR="004A0265">
        <w:t>)</w:t>
      </w:r>
      <w:r w:rsidRPr="00464267">
        <w:t xml:space="preserve"> compliance evaluation inspection (CEI) for the WWTP. The DEP’s </w:t>
      </w:r>
      <w:r w:rsidR="00FA4E14" w:rsidRPr="00464267">
        <w:t>October 31</w:t>
      </w:r>
      <w:r w:rsidRPr="00464267">
        <w:t>, 20</w:t>
      </w:r>
      <w:r w:rsidR="00FA4E14" w:rsidRPr="00464267">
        <w:t>19</w:t>
      </w:r>
      <w:r w:rsidRPr="00464267">
        <w:t xml:space="preserve"> CEI noted the following </w:t>
      </w:r>
      <w:r w:rsidR="00464267" w:rsidRPr="00464267">
        <w:t>deficiencie</w:t>
      </w:r>
      <w:r w:rsidRPr="00464267">
        <w:t xml:space="preserve">s. First, the Discharge Monitoring Reports (DMR) </w:t>
      </w:r>
      <w:r w:rsidR="00CC39F6" w:rsidRPr="00464267">
        <w:t>for the review period (September 1, 2018 to September 30, 2019) revealed one exceedance of the permitted allowable AADF in October 2018</w:t>
      </w:r>
      <w:r w:rsidRPr="00464267">
        <w:t xml:space="preserve">. Second, </w:t>
      </w:r>
      <w:r w:rsidR="00464267" w:rsidRPr="00464267">
        <w:t xml:space="preserve">the CEI noted three deficiencies with respect to the Utility’s wastewater permit compliance schedule. The Utility failed to remove grit from the surge tank, repair tank leaks, and register for and begin using the DEP’s </w:t>
      </w:r>
      <w:r w:rsidR="00FE5EAB">
        <w:t>electr</w:t>
      </w:r>
      <w:r w:rsidR="00A76924">
        <w:t>on</w:t>
      </w:r>
      <w:r w:rsidR="00FE5EAB">
        <w:t>ic</w:t>
      </w:r>
      <w:r w:rsidR="00464267" w:rsidRPr="00464267">
        <w:t xml:space="preserve"> system for filing its DMRs. On April 10, 2020, the DEP notified TKCB that it had corrected all of the deficiencies noted in the October 31, 2019 CEI.</w:t>
      </w:r>
    </w:p>
    <w:p w:rsidR="006C2FA4" w:rsidRDefault="006C2FA4" w:rsidP="006C2FA4">
      <w:pPr>
        <w:pStyle w:val="First-LevelSubheading"/>
      </w:pPr>
      <w:r>
        <w:t>Technical and Financial Ability</w:t>
      </w:r>
    </w:p>
    <w:p w:rsidR="001973AE" w:rsidRDefault="006C2FA4" w:rsidP="006C2FA4">
      <w:pPr>
        <w:pStyle w:val="BodyText"/>
        <w:sectPr w:rsidR="001973AE"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7C05F1">
        <w:t>Pursuant to Rule 25-30.037(2</w:t>
      </w:r>
      <w:proofErr w:type="gramStart"/>
      <w:r w:rsidRPr="007C05F1">
        <w:t>)(</w:t>
      </w:r>
      <w:proofErr w:type="gramEnd"/>
      <w:r w:rsidRPr="007C05F1">
        <w:t>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w:t>
      </w:r>
      <w:r w:rsidR="002C4C13">
        <w:t>TKCB</w:t>
      </w:r>
      <w:r w:rsidRPr="007C05F1">
        <w:t xml:space="preserve">’s application states that it owns and operates water and wastewater systems in </w:t>
      </w:r>
      <w:r w:rsidR="00454CA5">
        <w:t xml:space="preserve">Florida, </w:t>
      </w:r>
      <w:r w:rsidRPr="00975557">
        <w:t xml:space="preserve">Missouri, Arkansas, Kentucky, Louisiana, Texas, Mississippi, Arizona, North Carolina, </w:t>
      </w:r>
      <w:r w:rsidR="00975557" w:rsidRPr="00975557">
        <w:t xml:space="preserve">South Carolina, </w:t>
      </w:r>
      <w:r w:rsidRPr="00975557">
        <w:t xml:space="preserve">and Tennessee that currently serve more than </w:t>
      </w:r>
      <w:r w:rsidR="00975557" w:rsidRPr="00975557">
        <w:t>136,000</w:t>
      </w:r>
      <w:r w:rsidRPr="00975557">
        <w:t xml:space="preserve"> water and </w:t>
      </w:r>
      <w:r w:rsidR="00975557" w:rsidRPr="00975557">
        <w:t>210,600</w:t>
      </w:r>
      <w:r w:rsidRPr="00975557">
        <w:t xml:space="preserve"> wastewater customers. </w:t>
      </w:r>
    </w:p>
    <w:p w:rsidR="006C2FA4" w:rsidRPr="007C05F1" w:rsidRDefault="006C2FA4" w:rsidP="006C2FA4">
      <w:pPr>
        <w:pStyle w:val="BodyText"/>
      </w:pPr>
      <w:r w:rsidRPr="00975557">
        <w:t xml:space="preserve">The Commission has also approved </w:t>
      </w:r>
      <w:r w:rsidR="00966864" w:rsidRPr="00966864">
        <w:t>CSWR-Florida Utility Operating Company,</w:t>
      </w:r>
      <w:r w:rsidR="00966864">
        <w:t xml:space="preserve"> LLC</w:t>
      </w:r>
      <w:r w:rsidRPr="00975557">
        <w:t xml:space="preserve">’s purchase of </w:t>
      </w:r>
      <w:r w:rsidR="0082133B" w:rsidRPr="00975557">
        <w:t>nine</w:t>
      </w:r>
      <w:r w:rsidRPr="00975557">
        <w:t xml:space="preserve"> Florida certificated utilities in p</w:t>
      </w:r>
      <w:r w:rsidRPr="007C05F1">
        <w:t>rior dockets.</w:t>
      </w:r>
      <w:r w:rsidRPr="007C05F1">
        <w:rPr>
          <w:rStyle w:val="FootnoteReference"/>
        </w:rPr>
        <w:footnoteReference w:id="3"/>
      </w:r>
    </w:p>
    <w:p w:rsidR="006C2FA4" w:rsidRPr="008077A6" w:rsidRDefault="006C2FA4" w:rsidP="006C2FA4">
      <w:pPr>
        <w:pStyle w:val="BodyText"/>
      </w:pPr>
      <w:r w:rsidRPr="007C05F1">
        <w:t xml:space="preserve">The Buyer plans to use qualified and licensed contractors to provide routine operation and maintenance of the systems, as well as to handle billing and customer service. </w:t>
      </w:r>
      <w:r w:rsidR="0082133B" w:rsidRPr="0082133B">
        <w:t>Staff reviewed the financial statements of CSWR</w:t>
      </w:r>
      <w:r w:rsidR="0082133B">
        <w:t>-TKCB</w:t>
      </w:r>
      <w:r w:rsidR="0082133B" w:rsidRPr="0082133B">
        <w:t xml:space="preserve"> and believes the Buyer has documented adequate resources to support the Utility’s wastewater operations.</w:t>
      </w:r>
      <w:r w:rsidRPr="007C05F1">
        <w:t xml:space="preserve"> Based on the above, the Buyer has demonstrated the technical and financial ability to provide service to the existing service territory.</w:t>
      </w:r>
    </w:p>
    <w:p w:rsidR="006C2FA4" w:rsidRPr="008077A6" w:rsidRDefault="006C2FA4" w:rsidP="006C2FA4">
      <w:pPr>
        <w:pStyle w:val="First-LevelSubheading"/>
      </w:pPr>
      <w:r w:rsidRPr="008077A6">
        <w:t>Rates and Charges</w:t>
      </w:r>
    </w:p>
    <w:p w:rsidR="006C2FA4" w:rsidRPr="007C259F" w:rsidRDefault="007C259F" w:rsidP="006C2FA4">
      <w:pPr>
        <w:pStyle w:val="BodyText"/>
      </w:pPr>
      <w:r w:rsidRPr="007C259F">
        <w:rPr>
          <w:rFonts w:eastAsiaTheme="minorHAnsi" w:cstheme="minorBidi"/>
          <w:szCs w:val="22"/>
        </w:rPr>
        <w:t xml:space="preserve">TKCB’s wastewater rates were last approved in a 2021 limited alternative rate increase proceeding.  Subsequently, the rates were amended by a price index in June 2022. The Utility also had a rate decrease to remove expired rate case expense amortization in 2023. Rule 25-9.044(1), F.A.C., provides that, in the case of a change of ownership or control of a Utility, the rates, classifications, and regulations of the former owner must continue unless authorized to change by this Commission. Therefore, staff recommends that the Utility's existing rates shown on Schedule No. </w:t>
      </w:r>
      <w:proofErr w:type="gramStart"/>
      <w:r w:rsidRPr="007C259F">
        <w:rPr>
          <w:rFonts w:eastAsiaTheme="minorHAnsi" w:cstheme="minorBidi"/>
          <w:szCs w:val="22"/>
        </w:rPr>
        <w:t>4,</w:t>
      </w:r>
      <w:proofErr w:type="gramEnd"/>
      <w:r w:rsidRPr="007C259F">
        <w:rPr>
          <w:rFonts w:eastAsiaTheme="minorHAnsi" w:cstheme="minorBidi"/>
          <w:szCs w:val="22"/>
        </w:rPr>
        <w:t xml:space="preserve"> remain in effect, until a change is authorized by this Commission in a subsequent proceeding. The tariff pages reflecting the transfer should be effective on or after the stamped approval date on the tariff sheets, pursuant to Rule 25-30.475(1), F.A.C</w:t>
      </w:r>
      <w:r w:rsidR="006C2FA4" w:rsidRPr="007C259F">
        <w:rPr>
          <w:rFonts w:eastAsiaTheme="minorHAnsi" w:cstheme="minorBidi"/>
          <w:szCs w:val="22"/>
        </w:rPr>
        <w:t>.</w:t>
      </w:r>
    </w:p>
    <w:p w:rsidR="00393652" w:rsidRDefault="00393652"/>
    <w:p w:rsidR="00393652" w:rsidRDefault="00393652">
      <w:pPr>
        <w:sectPr w:rsidR="00393652" w:rsidSect="0068481F">
          <w:pgSz w:w="12240" w:h="15840" w:code="1"/>
          <w:pgMar w:top="1584" w:right="1440" w:bottom="1440" w:left="1440" w:header="720" w:footer="720" w:gutter="0"/>
          <w:cols w:space="720"/>
          <w:formProt w:val="0"/>
          <w:docGrid w:linePitch="360"/>
        </w:sectPr>
      </w:pPr>
    </w:p>
    <w:p w:rsidR="006C2FA4" w:rsidRDefault="006C2FA4" w:rsidP="006C2FA4">
      <w:pPr>
        <w:pStyle w:val="First-LevelSubheading"/>
      </w:pPr>
      <w:r>
        <w:t>Regulatory Assessment Fees and Annual Report</w:t>
      </w:r>
    </w:p>
    <w:p w:rsidR="006C2FA4" w:rsidRPr="007C05F1" w:rsidRDefault="0082133B" w:rsidP="006C2FA4">
      <w:pPr>
        <w:pStyle w:val="BodyText"/>
      </w:pPr>
      <w:r w:rsidRPr="0082133B">
        <w:t>Staff has verified that the Utility is current on the filing of annual reports and RAFs through December 31, 2022. The Buyer will be responsible for filing the Utility’s annual reports and paying RAFs for all future years</w:t>
      </w:r>
      <w:r w:rsidR="006C2FA4" w:rsidRPr="00313ECB">
        <w:t>.</w:t>
      </w:r>
    </w:p>
    <w:p w:rsidR="006C2FA4" w:rsidRDefault="006C2FA4" w:rsidP="006C2FA4">
      <w:pPr>
        <w:pStyle w:val="First-LevelSubheading"/>
      </w:pPr>
      <w:r>
        <w:t>Conclusion</w:t>
      </w:r>
    </w:p>
    <w:p w:rsidR="006C2FA4" w:rsidRPr="007C259F" w:rsidRDefault="006C2FA4" w:rsidP="006C2FA4">
      <w:pPr>
        <w:pStyle w:val="BodyText"/>
      </w:pPr>
      <w:r w:rsidRPr="007C259F">
        <w:t xml:space="preserve">Based on the foregoing, staff recommends that the transfer of the wastewater system and Certificate No. 562-S is in the public interest and should be approved effective the date that the sale becomes final. </w:t>
      </w:r>
      <w:proofErr w:type="gramStart"/>
      <w:r w:rsidRPr="007C259F">
        <w:t>The resultant Order should serve as the Buyer’s certificate and should be retained by the Buyer.</w:t>
      </w:r>
      <w:proofErr w:type="gramEnd"/>
      <w:r w:rsidRPr="007C259F">
        <w:t xml:space="preserve"> The Buyer should submit the executed and recorded deed for continued access to the land upon which its facilities are located, and a copy of its signed and executed contract for sale to the Commission within 60 days of the Order approving the transfer, which is final agency action. If the sale is not finalized within 60 days of the transfer Order, the Buyer should file a status update in the docket file. </w:t>
      </w:r>
      <w:r w:rsidR="007C259F" w:rsidRPr="007C259F">
        <w:t>The Utility’s existing rates</w:t>
      </w:r>
      <w:r w:rsidR="00A76924">
        <w:t>,</w:t>
      </w:r>
      <w:r w:rsidR="007C259F" w:rsidRPr="007C259F">
        <w:t xml:space="preserve"> as shown on Schedule No. 4, should remain in effect until a change is authorized by this Commission in a subsequent proceeding. The tariff pages reflecting the transfer should be effective on or after the stamped approval date on the tariff sheets, pursuant to Rule 25-30.475(1),</w:t>
      </w:r>
      <w:r w:rsidRPr="007C259F">
        <w:t xml:space="preserve"> F.A.C. The Seller is current with respect to annual reports and RAFs through December 31, 2022. The Buyer should be responsible for filing annual reports and paying RAFs for all future years.</w:t>
      </w:r>
    </w:p>
    <w:p w:rsidR="006C2FA4" w:rsidRDefault="006C2FA4">
      <w:pPr>
        <w:pStyle w:val="IssueHeading"/>
        <w:rPr>
          <w:vanish/>
          <w:specVanish/>
        </w:rPr>
      </w:pPr>
      <w:r w:rsidRPr="004C3641">
        <w:rPr>
          <w:b w:val="0"/>
          <w:i w:val="0"/>
        </w:rPr>
        <w:br w:type="page"/>
      </w:r>
      <w:r w:rsidRPr="004C3641">
        <w:t xml:space="preserve">Issue </w:t>
      </w:r>
      <w:fldSimple w:instr=" SEQ Issue \* MERGEFORMAT ">
        <w:r w:rsidR="00DF07F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F07FA">
        <w:rPr>
          <w:noProof/>
        </w:rPr>
        <w:instrText>2</w:instrText>
      </w:r>
      <w:r>
        <w:fldChar w:fldCharType="end"/>
      </w:r>
      <w:r>
        <w:tab/>
        <w:instrText xml:space="preserve">" \l 1 </w:instrText>
      </w:r>
      <w:r>
        <w:fldChar w:fldCharType="end"/>
      </w:r>
      <w:r>
        <w:t> </w:t>
      </w:r>
    </w:p>
    <w:p w:rsidR="006C2FA4" w:rsidRDefault="006C2FA4" w:rsidP="006C2FA4">
      <w:pPr>
        <w:pStyle w:val="BodyText"/>
      </w:pPr>
      <w:r>
        <w:t> What is the appropriate net book value for CSWR-Florida Utility Operating Company LLC’s wastewater system for transfer purposes?</w:t>
      </w:r>
    </w:p>
    <w:p w:rsidR="006C2FA4" w:rsidRPr="004C3641" w:rsidRDefault="006C2FA4" w:rsidP="006C2FA4">
      <w:pPr>
        <w:pStyle w:val="IssueSubsectionHeading"/>
        <w:rPr>
          <w:vanish/>
          <w:specVanish/>
        </w:rPr>
      </w:pPr>
      <w:r w:rsidRPr="004C3641">
        <w:t>Recommendation: </w:t>
      </w:r>
    </w:p>
    <w:p w:rsidR="00293161" w:rsidRPr="00293161" w:rsidRDefault="006C2FA4" w:rsidP="00293161">
      <w:pPr>
        <w:pStyle w:val="BodyText"/>
      </w:pPr>
      <w:r>
        <w:t> </w:t>
      </w:r>
      <w:r w:rsidR="00293161" w:rsidRPr="00293161">
        <w:t xml:space="preserve">For transfer purposes, the NBV of the wastewater system is $127,878 as of March 31, 2023. An acquisition adjustment should not be included in rate base. Within 90 days of the date of the </w:t>
      </w:r>
      <w:r w:rsidR="00BC23ED">
        <w:t>C</w:t>
      </w:r>
      <w:r w:rsidR="00293161" w:rsidRPr="00293161">
        <w:t>onsummating Order, CSWR</w:t>
      </w:r>
      <w:r w:rsidR="00F16C55">
        <w:t>-TKCB</w:t>
      </w:r>
      <w:r w:rsidR="00293161" w:rsidRPr="00293161">
        <w:t xml:space="preserve"> should be required to n</w:t>
      </w:r>
      <w:r w:rsidR="00A76924">
        <w:t>otify the Commission in writing</w:t>
      </w:r>
      <w:r w:rsidR="00293161" w:rsidRPr="00293161">
        <w:t xml:space="preserve"> that it has adjusted its books in accordance with the Commission’s decision. The adjustments should be reflected in the Utility’s 2023 Annual Report when filed. (Thurmond)</w:t>
      </w:r>
    </w:p>
    <w:p w:rsidR="00293161" w:rsidRPr="00293161" w:rsidRDefault="00293161" w:rsidP="007C1810">
      <w:pPr>
        <w:spacing w:after="240"/>
        <w:jc w:val="both"/>
        <w:outlineLvl w:val="1"/>
      </w:pPr>
      <w:r w:rsidRPr="00293161">
        <w:rPr>
          <w:rFonts w:ascii="Arial" w:hAnsi="Arial" w:cs="Arial"/>
          <w:b/>
          <w:bCs/>
          <w:i/>
          <w:iCs/>
          <w:szCs w:val="28"/>
        </w:rPr>
        <w:t>Staff Analysis: </w:t>
      </w:r>
      <w:r w:rsidRPr="00293161">
        <w:t> Rate base was last established as of September 30, 2018, by Order No. PSC-2019-0362-PAA-SU.</w:t>
      </w:r>
      <w:r w:rsidRPr="00293161">
        <w:rPr>
          <w:vertAlign w:val="superscript"/>
        </w:rPr>
        <w:footnoteReference w:id="4"/>
      </w:r>
      <w:r w:rsidRPr="00293161">
        <w:t xml:space="preserve"> The purpose of establishing NBV for transfers is to determine whether an acquisition</w:t>
      </w:r>
      <w:r w:rsidR="00FE5EAB">
        <w:t xml:space="preserve"> adjustment should be approved. </w:t>
      </w:r>
      <w:r w:rsidRPr="00293161">
        <w:t>The NBV does not include normal ratemaking adjustments for used and useful plant or working capital. The Utility’s NBV has been updated to reflect balances as of March 31, 2023.</w:t>
      </w:r>
      <w:r w:rsidRPr="00293161">
        <w:rPr>
          <w:vertAlign w:val="superscript"/>
        </w:rPr>
        <w:footnoteReference w:id="5"/>
      </w:r>
      <w:r w:rsidRPr="00293161">
        <w:t xml:space="preserve"> Staff’s recommended NBV, as described below, is shown on Schedule No. 1.</w:t>
      </w:r>
    </w:p>
    <w:p w:rsidR="00293161" w:rsidRPr="00293161" w:rsidRDefault="00293161" w:rsidP="00293161">
      <w:pPr>
        <w:spacing w:after="240"/>
        <w:contextualSpacing/>
        <w:jc w:val="both"/>
        <w:rPr>
          <w:rFonts w:ascii="Arial" w:hAnsi="Arial" w:cs="Arial"/>
          <w:b/>
        </w:rPr>
      </w:pPr>
      <w:r w:rsidRPr="00293161">
        <w:rPr>
          <w:rFonts w:ascii="Arial" w:hAnsi="Arial" w:cs="Arial"/>
          <w:b/>
        </w:rPr>
        <w:t>Utility Plant in Service (UPIS)</w:t>
      </w:r>
    </w:p>
    <w:p w:rsidR="00293161" w:rsidRPr="00293161" w:rsidRDefault="00293161" w:rsidP="00293161">
      <w:pPr>
        <w:spacing w:after="240"/>
        <w:contextualSpacing/>
        <w:jc w:val="both"/>
      </w:pPr>
      <w:r w:rsidRPr="00293161">
        <w:t>According to the Utility’s general ledger, the total UPIS balance was $96,163 as of March 31, 2023. Staff traced additions and retirements since the Utility’s last order and found no adjustments were necessary. Accordingly, staff recommends a total UPIS balance of $96,163 as of March 31, 2023.</w:t>
      </w:r>
    </w:p>
    <w:p w:rsidR="00293161" w:rsidRDefault="00293161" w:rsidP="00293161">
      <w:pPr>
        <w:spacing w:after="240"/>
        <w:contextualSpacing/>
        <w:jc w:val="both"/>
        <w:rPr>
          <w:rFonts w:ascii="Arial" w:hAnsi="Arial" w:cs="Arial"/>
          <w:b/>
        </w:rPr>
      </w:pPr>
    </w:p>
    <w:p w:rsidR="00293161" w:rsidRPr="00293161" w:rsidRDefault="00293161" w:rsidP="00293161">
      <w:pPr>
        <w:spacing w:after="240"/>
        <w:contextualSpacing/>
        <w:jc w:val="both"/>
        <w:rPr>
          <w:rFonts w:ascii="Arial" w:hAnsi="Arial" w:cs="Arial"/>
          <w:b/>
        </w:rPr>
      </w:pPr>
      <w:r w:rsidRPr="00293161">
        <w:rPr>
          <w:rFonts w:ascii="Arial" w:hAnsi="Arial" w:cs="Arial"/>
          <w:b/>
        </w:rPr>
        <w:t>Land</w:t>
      </w:r>
    </w:p>
    <w:p w:rsidR="00293161" w:rsidRPr="00293161" w:rsidRDefault="00293161" w:rsidP="00293161">
      <w:pPr>
        <w:spacing w:after="240"/>
        <w:contextualSpacing/>
        <w:jc w:val="both"/>
      </w:pPr>
      <w:r w:rsidRPr="00293161">
        <w:t>The Utility’s general ledger reflected a land balance of $36,203 as of March 31, 2023. There have been no additions to land since the Utility’s last order. Accordingly, staff recommends a total land balance of $36,203 as of March 31, 2023.</w:t>
      </w:r>
    </w:p>
    <w:p w:rsidR="00293161" w:rsidRDefault="00293161" w:rsidP="00293161">
      <w:pPr>
        <w:spacing w:after="240"/>
        <w:contextualSpacing/>
        <w:jc w:val="both"/>
        <w:rPr>
          <w:rFonts w:ascii="Arial" w:hAnsi="Arial" w:cs="Arial"/>
          <w:b/>
        </w:rPr>
      </w:pPr>
    </w:p>
    <w:p w:rsidR="00293161" w:rsidRPr="00293161" w:rsidRDefault="00293161" w:rsidP="00293161">
      <w:pPr>
        <w:spacing w:after="240"/>
        <w:contextualSpacing/>
        <w:jc w:val="both"/>
        <w:rPr>
          <w:rFonts w:ascii="Arial" w:hAnsi="Arial" w:cs="Arial"/>
          <w:b/>
        </w:rPr>
      </w:pPr>
      <w:r w:rsidRPr="00293161">
        <w:rPr>
          <w:rFonts w:ascii="Arial" w:hAnsi="Arial" w:cs="Arial"/>
          <w:b/>
        </w:rPr>
        <w:t>Accumulated Depreciation</w:t>
      </w:r>
    </w:p>
    <w:p w:rsidR="00293161" w:rsidRPr="00293161" w:rsidRDefault="00293161" w:rsidP="00293161">
      <w:pPr>
        <w:spacing w:after="240"/>
        <w:contextualSpacing/>
        <w:jc w:val="both"/>
      </w:pPr>
      <w:r w:rsidRPr="00293161">
        <w:t>According to the Utility’s general ledger, the total accumulated depreciation balance was $5,143 as of March 31, 2023. Staff auditors recalculated depreciation accruals using the depreciation rates established by Rule 25-30.140, F.A.C. As a result, staff recommends that the accumulated depreciation balance be decreased by $655 as of March 31, 2023. Accordingly, staff recommends a total accumulated depreciation balance of $4,488 as of March 31, 2023.</w:t>
      </w:r>
    </w:p>
    <w:p w:rsidR="00293161" w:rsidRDefault="00293161" w:rsidP="00293161">
      <w:pPr>
        <w:spacing w:after="240"/>
        <w:contextualSpacing/>
        <w:jc w:val="both"/>
        <w:rPr>
          <w:rFonts w:ascii="Arial" w:hAnsi="Arial" w:cs="Arial"/>
          <w:b/>
        </w:rPr>
      </w:pPr>
    </w:p>
    <w:p w:rsidR="00293161" w:rsidRPr="00293161" w:rsidRDefault="00293161" w:rsidP="00293161">
      <w:pPr>
        <w:spacing w:after="240"/>
        <w:contextualSpacing/>
        <w:jc w:val="both"/>
        <w:rPr>
          <w:rFonts w:ascii="Arial" w:hAnsi="Arial" w:cs="Arial"/>
          <w:b/>
        </w:rPr>
      </w:pPr>
      <w:r w:rsidRPr="00293161">
        <w:rPr>
          <w:rFonts w:ascii="Arial" w:hAnsi="Arial" w:cs="Arial"/>
          <w:b/>
        </w:rPr>
        <w:t>Contributions-in-Aid-of-Construction (CIAC) and Accumulated Amortization of CIAC</w:t>
      </w:r>
    </w:p>
    <w:p w:rsidR="00293161" w:rsidRPr="00293161" w:rsidRDefault="00293161" w:rsidP="00293161">
      <w:pPr>
        <w:spacing w:after="240"/>
        <w:contextualSpacing/>
        <w:jc w:val="both"/>
      </w:pPr>
      <w:r w:rsidRPr="00293161">
        <w:t>According to the Utility’s general ledger, the CIAC and accumulated amortization of CIAC both had balances of $0 as of March 31, 2023. Staff reconciled both balances from the date of the Utility’s last order to March 31, 2023</w:t>
      </w:r>
      <w:r w:rsidR="009A5496">
        <w:t>,</w:t>
      </w:r>
      <w:r w:rsidRPr="00293161">
        <w:t xml:space="preserve"> and found no adjustments necessary. Accordingly, staff recommends total CIAC and Accumulated Amortization of CIAC balances of $0 and $0, respectively, as of March 31, 2023. </w:t>
      </w:r>
    </w:p>
    <w:p w:rsidR="007C1810" w:rsidRDefault="007C1810" w:rsidP="00293161">
      <w:pPr>
        <w:spacing w:after="240"/>
        <w:contextualSpacing/>
        <w:jc w:val="both"/>
        <w:rPr>
          <w:rFonts w:ascii="Arial" w:hAnsi="Arial" w:cs="Arial"/>
          <w:b/>
        </w:rPr>
      </w:pPr>
    </w:p>
    <w:p w:rsidR="00293161" w:rsidRPr="00293161" w:rsidRDefault="00293161" w:rsidP="00293161">
      <w:pPr>
        <w:spacing w:after="240"/>
        <w:contextualSpacing/>
        <w:jc w:val="both"/>
        <w:rPr>
          <w:rFonts w:ascii="Arial" w:hAnsi="Arial" w:cs="Arial"/>
          <w:b/>
        </w:rPr>
      </w:pPr>
      <w:r w:rsidRPr="00293161">
        <w:rPr>
          <w:rFonts w:ascii="Arial" w:hAnsi="Arial" w:cs="Arial"/>
          <w:b/>
        </w:rPr>
        <w:t>Net Book Value</w:t>
      </w:r>
    </w:p>
    <w:p w:rsidR="00293161" w:rsidRPr="00293161" w:rsidRDefault="00293161" w:rsidP="00293161">
      <w:pPr>
        <w:spacing w:after="240"/>
        <w:contextualSpacing/>
        <w:jc w:val="both"/>
      </w:pPr>
      <w:r w:rsidRPr="00293161">
        <w:t>The Utility’s general ledger reflected a</w:t>
      </w:r>
      <w:r w:rsidR="009A5496">
        <w:t>n</w:t>
      </w:r>
      <w:r w:rsidRPr="00293161">
        <w:t xml:space="preserve"> NBV of $127,223 as of March 31, 2023. Based on the adjustments described above, staff recommends a</w:t>
      </w:r>
      <w:r w:rsidR="009A5496">
        <w:t>n</w:t>
      </w:r>
      <w:r w:rsidRPr="00293161">
        <w:t xml:space="preserve"> NBV of $128,878 as of March 31, 2023. Staff’s recommended NBV and the National Association of Regulatory Utility Commissioners, Uniform System of Accounts balances for UPIS and accumulated depreciation are shown on Schedule No. 1 as of March 31, 2023. </w:t>
      </w:r>
    </w:p>
    <w:p w:rsidR="00293161" w:rsidRDefault="00293161" w:rsidP="00293161">
      <w:pPr>
        <w:spacing w:after="240"/>
        <w:contextualSpacing/>
        <w:jc w:val="both"/>
        <w:rPr>
          <w:rFonts w:ascii="Arial" w:hAnsi="Arial" w:cs="Arial"/>
          <w:b/>
        </w:rPr>
      </w:pPr>
    </w:p>
    <w:p w:rsidR="00293161" w:rsidRPr="00293161" w:rsidRDefault="00293161" w:rsidP="00293161">
      <w:pPr>
        <w:spacing w:after="240"/>
        <w:contextualSpacing/>
        <w:jc w:val="both"/>
        <w:rPr>
          <w:rFonts w:ascii="Arial" w:hAnsi="Arial" w:cs="Arial"/>
          <w:b/>
        </w:rPr>
      </w:pPr>
      <w:r w:rsidRPr="00293161">
        <w:rPr>
          <w:rFonts w:ascii="Arial" w:hAnsi="Arial" w:cs="Arial"/>
          <w:b/>
        </w:rPr>
        <w:t>Acquisition Adjustment</w:t>
      </w:r>
    </w:p>
    <w:p w:rsidR="00293161" w:rsidRPr="00293161" w:rsidRDefault="00293161" w:rsidP="00293161">
      <w:pPr>
        <w:spacing w:after="240"/>
        <w:jc w:val="both"/>
      </w:pPr>
      <w:r w:rsidRPr="00293161">
        <w:t>An acquisition adjustment results when the purchase price differs from the NBV of the assets at the time of the acquisition. The Utility and its assets were purchased for $425,000. As stated above, staff has determined the appropriate NBV total to be $127,</w:t>
      </w:r>
      <w:r w:rsidR="00781BBC">
        <w:t>878</w:t>
      </w:r>
      <w:r w:rsidRPr="00293161">
        <w:t>. Pursuant to Rule 25-30.0371, F.A.C., a positive acquisition adjustment may be appropriate when the purchase price is greater than the NBV, and a negative acquisition adjustment may be appropriate when the purchase price is less than NBV</w:t>
      </w:r>
      <w:r w:rsidRPr="00293161">
        <w:rPr>
          <w:iCs/>
        </w:rPr>
        <w:t xml:space="preserve">. Under the original application, the Utility requested a positive acquisition adjustment be granted for the difference between the purchase price and </w:t>
      </w:r>
      <w:r w:rsidR="009A5496">
        <w:rPr>
          <w:iCs/>
        </w:rPr>
        <w:t xml:space="preserve">the </w:t>
      </w:r>
      <w:r w:rsidRPr="00293161">
        <w:rPr>
          <w:iCs/>
        </w:rPr>
        <w:t xml:space="preserve">NBV. </w:t>
      </w:r>
      <w:r w:rsidR="004828B8" w:rsidRPr="00ED0C8D">
        <w:rPr>
          <w:iCs/>
          <w:color w:val="000000"/>
        </w:rPr>
        <w:t xml:space="preserve">However, on September 1, 2023, the Utility withdrew </w:t>
      </w:r>
      <w:r w:rsidR="00781BBC">
        <w:rPr>
          <w:iCs/>
          <w:color w:val="000000"/>
        </w:rPr>
        <w:t>its</w:t>
      </w:r>
      <w:r w:rsidR="004828B8" w:rsidRPr="00ED0C8D">
        <w:rPr>
          <w:iCs/>
          <w:color w:val="000000"/>
        </w:rPr>
        <w:t xml:space="preserve"> request for a positive acquisition adjustment. </w:t>
      </w:r>
      <w:r w:rsidRPr="00ED0C8D">
        <w:rPr>
          <w:iCs/>
        </w:rPr>
        <w:t>As s</w:t>
      </w:r>
      <w:r w:rsidRPr="00293161">
        <w:rPr>
          <w:iCs/>
        </w:rPr>
        <w:t xml:space="preserve">uch, staff recommends no acquisition adjustment is </w:t>
      </w:r>
      <w:r w:rsidR="00781BBC">
        <w:rPr>
          <w:iCs/>
        </w:rPr>
        <w:t>warranted</w:t>
      </w:r>
      <w:r w:rsidRPr="00293161">
        <w:rPr>
          <w:iCs/>
        </w:rPr>
        <w:t xml:space="preserve">. </w:t>
      </w:r>
    </w:p>
    <w:p w:rsidR="00293161" w:rsidRPr="00293161" w:rsidRDefault="00293161" w:rsidP="00293161">
      <w:pPr>
        <w:contextualSpacing/>
        <w:jc w:val="both"/>
        <w:rPr>
          <w:rFonts w:ascii="Arial" w:hAnsi="Arial" w:cs="Arial"/>
          <w:b/>
        </w:rPr>
      </w:pPr>
      <w:r w:rsidRPr="00293161">
        <w:rPr>
          <w:rFonts w:ascii="Arial" w:hAnsi="Arial" w:cs="Arial"/>
          <w:b/>
        </w:rPr>
        <w:t>Conclusion</w:t>
      </w:r>
    </w:p>
    <w:p w:rsidR="006C2FA4" w:rsidRDefault="00293161" w:rsidP="00293161">
      <w:pPr>
        <w:pStyle w:val="BodyText"/>
        <w:spacing w:after="0"/>
      </w:pPr>
      <w:r w:rsidRPr="00293161">
        <w:t>Based on the above, staff recommends a</w:t>
      </w:r>
      <w:r w:rsidR="009A5496">
        <w:t>n</w:t>
      </w:r>
      <w:r w:rsidR="00781BBC">
        <w:t xml:space="preserve"> NBV of $127,878</w:t>
      </w:r>
      <w:r w:rsidRPr="00293161">
        <w:t xml:space="preserve"> as of March 31, 2023, for transfer purposes. An acquisition adjustment should not be included in rate base. Within 90 days of the date of the </w:t>
      </w:r>
      <w:r w:rsidR="00BC23ED">
        <w:t>C</w:t>
      </w:r>
      <w:r w:rsidRPr="00293161">
        <w:t>onsummating Order, the Buyer should be required to notify the Commission in writing that it has adjusted its books in accordance with the Commission’s decision. The adjustments should be reflected in the Utility’s 2023 Annual Report when filed</w:t>
      </w:r>
      <w:r>
        <w:t>.</w:t>
      </w:r>
    </w:p>
    <w:p w:rsidR="006C2FA4" w:rsidRPr="008077A6" w:rsidRDefault="006C2FA4" w:rsidP="006C2FA4">
      <w:pPr>
        <w:pStyle w:val="IssueHeading"/>
      </w:pPr>
      <w:r w:rsidRPr="004C3641">
        <w:rPr>
          <w:b w:val="0"/>
          <w:i w:val="0"/>
        </w:rPr>
        <w:br w:type="page"/>
      </w:r>
      <w:r w:rsidRPr="004C3641">
        <w:t xml:space="preserve">Issue </w:t>
      </w:r>
      <w:fldSimple w:instr=" SEQ Issue \* MERGEFORMAT ">
        <w:r w:rsidR="00DF07F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DF07FA">
        <w:rPr>
          <w:noProof/>
        </w:rPr>
        <w:instrText>3</w:instrText>
      </w:r>
      <w:r>
        <w:fldChar w:fldCharType="end"/>
      </w:r>
      <w:r>
        <w:tab/>
        <w:instrText xml:space="preserve">" \l 1 </w:instrText>
      </w:r>
      <w:r>
        <w:fldChar w:fldCharType="end"/>
      </w:r>
      <w:r>
        <w:t xml:space="preserve"> </w:t>
      </w:r>
      <w:r w:rsidRPr="006C2FA4">
        <w:rPr>
          <w:rFonts w:ascii="Times New Roman" w:hAnsi="Times New Roman" w:cs="Times New Roman"/>
          <w:b w:val="0"/>
          <w:i w:val="0"/>
        </w:rPr>
        <w:t>Should this docket be closed?</w:t>
      </w:r>
    </w:p>
    <w:p w:rsidR="006C2FA4" w:rsidRPr="004C3641" w:rsidRDefault="006C2FA4" w:rsidP="006C2FA4">
      <w:pPr>
        <w:pStyle w:val="IssueSubsectionHeading"/>
        <w:rPr>
          <w:vanish/>
          <w:specVanish/>
        </w:rPr>
      </w:pPr>
      <w:r w:rsidRPr="004C3641">
        <w:t>Recommendation: </w:t>
      </w:r>
    </w:p>
    <w:p w:rsidR="006C2FA4" w:rsidRDefault="006C2FA4" w:rsidP="006C2FA4">
      <w:pPr>
        <w:pStyle w:val="BodyText"/>
      </w:pPr>
      <w:r w:rsidRPr="00FB037C">
        <w:t>Yes. If no protest to the proposed agency action is filed by a substantially affected person within 21 days of the date of the issuance of the Order, a Consummating Order should be issued and the docket should be closed administratively upon Commission st</w:t>
      </w:r>
      <w:r w:rsidR="009A5496">
        <w:t>aff’s verification that</w:t>
      </w:r>
      <w:r w:rsidRPr="00FB037C">
        <w:t xml:space="preserve"> the revised tariff sheets have been filed</w:t>
      </w:r>
      <w:r w:rsidR="000E4AFB">
        <w:t>. T</w:t>
      </w:r>
      <w:r w:rsidRPr="00FB037C">
        <w:t>he Buyer has notified the Commission in writing that it has adjusted its books in accordance with the Commission’s decision, that the Buyer has submitted the executed and recorded warranty deed, that the Buyer has submitted a copy of its application for permit transfer to the DEP, and that the Buyer has submitted a signed and executed copy of its contract for sale within 60 days of the Commission’</w:t>
      </w:r>
      <w:r>
        <w:t>s Order approving the transfer. (</w:t>
      </w:r>
      <w:r w:rsidR="00477394">
        <w:t>Watrous</w:t>
      </w:r>
      <w:r>
        <w:t>)</w:t>
      </w:r>
    </w:p>
    <w:p w:rsidR="006C2FA4" w:rsidRPr="004C3641" w:rsidRDefault="006C2FA4" w:rsidP="006C2FA4">
      <w:pPr>
        <w:pStyle w:val="IssueSubsectionHeading"/>
        <w:rPr>
          <w:vanish/>
          <w:specVanish/>
        </w:rPr>
      </w:pPr>
      <w:r w:rsidRPr="004C3641">
        <w:t>Staff Analysis: </w:t>
      </w:r>
    </w:p>
    <w:p w:rsidR="006C2FA4" w:rsidRDefault="006C2FA4" w:rsidP="006C2FA4">
      <w:pPr>
        <w:pStyle w:val="BodyText"/>
      </w:pPr>
      <w:r w:rsidRPr="00FB037C">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w:t>
      </w:r>
      <w:r w:rsidR="000E4AFB">
        <w:t xml:space="preserve"> tariff sheets have been filed. T</w:t>
      </w:r>
      <w:r w:rsidRPr="00FB037C">
        <w:t>he Buyer has notified the Commission in writing that it has adjusted its books in accordance with the Commission’s decision, that the Buyer has submitted the executed and recorded warranty deed, that the Buyer has submitted a copy of its application for permit transfer to the DEP, and that the Buyer has submitted a signed and executed copy of its contract for sale within 60 days of the Commission’s Order approving the transf</w:t>
      </w:r>
      <w:r>
        <w:t>er.</w:t>
      </w:r>
    </w:p>
    <w:p w:rsidR="006C2FA4" w:rsidRDefault="006C2FA4" w:rsidP="00E275D8">
      <w:pPr>
        <w:pStyle w:val="BodyText"/>
        <w:sectPr w:rsidR="006C2FA4" w:rsidSect="00393652">
          <w:type w:val="continuous"/>
          <w:pgSz w:w="12240" w:h="15840" w:code="1"/>
          <w:pgMar w:top="1584" w:right="1440" w:bottom="1440" w:left="1440" w:header="720" w:footer="720" w:gutter="0"/>
          <w:cols w:space="720"/>
          <w:formProt w:val="0"/>
          <w:docGrid w:linePitch="360"/>
        </w:sectPr>
      </w:pPr>
    </w:p>
    <w:p w:rsidR="00003001" w:rsidRDefault="00003001" w:rsidP="006C2FA4">
      <w:pPr>
        <w:jc w:val="center"/>
        <w:rPr>
          <w:u w:val="single"/>
        </w:rPr>
      </w:pPr>
    </w:p>
    <w:p w:rsidR="00DD1EEB" w:rsidRDefault="00DD1EEB" w:rsidP="006C2FA4">
      <w:pPr>
        <w:jc w:val="center"/>
        <w:rPr>
          <w:u w:val="single"/>
        </w:rPr>
      </w:pPr>
      <w:r>
        <w:rPr>
          <w:u w:val="single"/>
        </w:rPr>
        <w:t>CSWR-Florida Utility Operating Company, LLC</w:t>
      </w:r>
    </w:p>
    <w:p w:rsidR="006C2FA4" w:rsidRPr="006C2FA4" w:rsidRDefault="006C2FA4" w:rsidP="006C2FA4">
      <w:pPr>
        <w:autoSpaceDE w:val="0"/>
        <w:autoSpaceDN w:val="0"/>
        <w:adjustRightInd w:val="0"/>
        <w:jc w:val="center"/>
        <w:rPr>
          <w:color w:val="000000"/>
          <w:u w:val="single"/>
        </w:rPr>
      </w:pPr>
      <w:r w:rsidRPr="006C2FA4">
        <w:rPr>
          <w:color w:val="000000"/>
          <w:u w:val="single"/>
        </w:rPr>
        <w:t xml:space="preserve">Brevard </w:t>
      </w:r>
      <w:smartTag w:uri="urn:schemas-microsoft-com:office:smarttags" w:element="PlaceType">
        <w:r w:rsidRPr="006C2FA4">
          <w:rPr>
            <w:color w:val="000000"/>
            <w:u w:val="single"/>
          </w:rPr>
          <w:t>County</w:t>
        </w:r>
      </w:smartTag>
    </w:p>
    <w:p w:rsidR="006C2FA4" w:rsidRPr="006C2FA4" w:rsidRDefault="006C2FA4" w:rsidP="006C2FA4">
      <w:pPr>
        <w:autoSpaceDE w:val="0"/>
        <w:autoSpaceDN w:val="0"/>
        <w:adjustRightInd w:val="0"/>
        <w:jc w:val="center"/>
        <w:rPr>
          <w:color w:val="000000"/>
          <w:u w:val="single"/>
        </w:rPr>
      </w:pPr>
      <w:smartTag w:uri="urn:schemas-microsoft-com:office:smarttags" w:element="place">
        <w:smartTag w:uri="urn:schemas-microsoft-com:office:smarttags" w:element="PlaceName">
          <w:r w:rsidRPr="006C2FA4">
            <w:rPr>
              <w:color w:val="000000"/>
              <w:u w:val="single"/>
            </w:rPr>
            <w:t>Sun</w:t>
          </w:r>
        </w:smartTag>
        <w:r w:rsidRPr="006C2FA4">
          <w:rPr>
            <w:color w:val="000000"/>
            <w:u w:val="single"/>
          </w:rPr>
          <w:t xml:space="preserve"> </w:t>
        </w:r>
        <w:smartTag w:uri="urn:schemas-microsoft-com:office:smarttags" w:element="PlaceType">
          <w:r w:rsidRPr="006C2FA4">
            <w:rPr>
              <w:color w:val="000000"/>
              <w:u w:val="single"/>
            </w:rPr>
            <w:t>Lake</w:t>
          </w:r>
        </w:smartTag>
        <w:r w:rsidRPr="006C2FA4">
          <w:rPr>
            <w:color w:val="000000"/>
            <w:u w:val="single"/>
          </w:rPr>
          <w:t xml:space="preserve"> </w:t>
        </w:r>
        <w:smartTag w:uri="urn:schemas-microsoft-com:office:smarttags" w:element="PlaceType">
          <w:r w:rsidRPr="006C2FA4">
            <w:rPr>
              <w:color w:val="000000"/>
              <w:u w:val="single"/>
            </w:rPr>
            <w:t>Village</w:t>
          </w:r>
        </w:smartTag>
      </w:smartTag>
      <w:r w:rsidRPr="006C2FA4">
        <w:rPr>
          <w:color w:val="000000"/>
          <w:u w:val="single"/>
        </w:rPr>
        <w:t xml:space="preserve"> Estates Wastewater Service Area</w:t>
      </w:r>
    </w:p>
    <w:p w:rsidR="006C2FA4" w:rsidRPr="006C2FA4" w:rsidRDefault="006C2FA4" w:rsidP="006C2FA4">
      <w:pPr>
        <w:autoSpaceDE w:val="0"/>
        <w:autoSpaceDN w:val="0"/>
        <w:adjustRightInd w:val="0"/>
        <w:rPr>
          <w:color w:val="000000"/>
          <w:u w:val="single"/>
        </w:rPr>
      </w:pPr>
    </w:p>
    <w:p w:rsidR="006C2FA4" w:rsidRPr="006C2FA4" w:rsidRDefault="006C2FA4" w:rsidP="006C2FA4">
      <w:pPr>
        <w:jc w:val="center"/>
        <w:rPr>
          <w:u w:val="single"/>
        </w:rPr>
      </w:pPr>
    </w:p>
    <w:p w:rsidR="006C2FA4" w:rsidRPr="006C2FA4" w:rsidRDefault="006C2FA4" w:rsidP="006C2FA4">
      <w:pPr>
        <w:ind w:firstLine="720"/>
        <w:jc w:val="both"/>
      </w:pPr>
      <w:r w:rsidRPr="006C2FA4">
        <w:t>A parcel of land lying in the East ½ of Section 1, Township 24 South, Range 35 East, being a portion of Canaveral Groves Subdivision, Phases 1 and 2, being more particularly described as follows:</w:t>
      </w:r>
    </w:p>
    <w:p w:rsidR="006C2FA4" w:rsidRPr="006C2FA4" w:rsidRDefault="006C2FA4" w:rsidP="006C2FA4">
      <w:pPr>
        <w:jc w:val="both"/>
      </w:pPr>
    </w:p>
    <w:p w:rsidR="006C2FA4" w:rsidRPr="006C2FA4" w:rsidRDefault="006C2FA4" w:rsidP="006C2FA4">
      <w:pPr>
        <w:ind w:firstLine="720"/>
        <w:jc w:val="both"/>
      </w:pPr>
      <w:r w:rsidRPr="006C2FA4">
        <w:t xml:space="preserve">Commence at the North ¼ corner of said Section 1 and run South 01° 01′ 56″ W along the West line of the Northeast ¼, a distance of 50 feet to a point on the </w:t>
      </w:r>
      <w:r w:rsidR="009A5496">
        <w:t>N</w:t>
      </w:r>
      <w:r w:rsidRPr="006C2FA4">
        <w:t xml:space="preserve">orth right-of-way line of Canaveral Groves Boulevard, the Point of Beginning; Thence continue South 01° 01′ 56″ West along said West line, a distance of 1,362.29 feet; thence South 88° 45′ 34″ East, a distance of 320 feet more or less; thence </w:t>
      </w:r>
      <w:r w:rsidR="009A5496">
        <w:t>S</w:t>
      </w:r>
      <w:r w:rsidRPr="006C2FA4">
        <w:t xml:space="preserve">outh 1,650 feet more or less to a point 150 feet </w:t>
      </w:r>
      <w:r w:rsidR="009A5496">
        <w:t>S</w:t>
      </w:r>
      <w:r w:rsidRPr="006C2FA4">
        <w:t xml:space="preserve">outh of Emerald Lakes Drive; thence East 1,000 feet more or less to the West right-of-way line of </w:t>
      </w:r>
      <w:proofErr w:type="spellStart"/>
      <w:r w:rsidRPr="006C2FA4">
        <w:t>Sharpes</w:t>
      </w:r>
      <w:proofErr w:type="spellEnd"/>
      <w:r w:rsidRPr="006C2FA4">
        <w:t xml:space="preserve"> Lake Avenue; thence Northwesterly along said right-of-way line, a distance of 1,700 feet more or less to a point; thence North a distance of 450 feet more or less to a point on the South right-of-way line of Lake Erie Place; thence South 88° 45′ 34″ East a distance of 560 feet more or less to a point on the East right-of-way line of Lake Superior Drive; thence North 01° 14′ 26″ East a distance of 50 feet; thence South 88° 45′ 34″ East a distance of 70.25 feet; thence North 01° 14′ 48″ East a distance of 108.18 feet; thence South 88° 29′ 58″ East a distance of 25 feet; thence North 01° 14′ 48″ East a distance of 1,225.69 feet to the Southerly right-of-way line of Canaveral Groves Boulevard; thence North 88° 28′ 48″ West a distance of 1,338.84 feet to the Point of Beginning.</w:t>
      </w:r>
    </w:p>
    <w:p w:rsidR="006C2FA4" w:rsidRPr="006C2FA4" w:rsidRDefault="006C2FA4" w:rsidP="006C2FA4">
      <w:pPr>
        <w:ind w:firstLine="720"/>
        <w:jc w:val="both"/>
      </w:pPr>
    </w:p>
    <w:p w:rsidR="006C2FA4" w:rsidRPr="006C2FA4" w:rsidRDefault="006C2FA4" w:rsidP="006C2FA4">
      <w:pPr>
        <w:spacing w:after="200" w:line="276" w:lineRule="auto"/>
      </w:pPr>
      <w:r w:rsidRPr="006C2FA4">
        <w:br w:type="page"/>
      </w:r>
    </w:p>
    <w:p w:rsidR="006C2FA4" w:rsidRPr="006C2FA4" w:rsidRDefault="006C2FA4" w:rsidP="006C2FA4">
      <w:pPr>
        <w:ind w:firstLine="720"/>
        <w:jc w:val="both"/>
      </w:pPr>
    </w:p>
    <w:p w:rsidR="006C2FA4" w:rsidRDefault="006C2FA4" w:rsidP="006C2FA4">
      <w:pPr>
        <w:jc w:val="center"/>
        <w:rPr>
          <w:b/>
        </w:rPr>
      </w:pPr>
    </w:p>
    <w:p w:rsidR="006C2FA4" w:rsidRPr="006C2FA4" w:rsidRDefault="006C2FA4" w:rsidP="006C2FA4">
      <w:pPr>
        <w:jc w:val="center"/>
        <w:rPr>
          <w:b/>
        </w:rPr>
      </w:pPr>
      <w:r w:rsidRPr="006C2FA4">
        <w:rPr>
          <w:b/>
        </w:rPr>
        <w:t>FLORIDA PUBLIC SERVICE COMMISSION</w:t>
      </w:r>
    </w:p>
    <w:p w:rsidR="006C2FA4" w:rsidRDefault="00DD1EEB" w:rsidP="006C2FA4">
      <w:pPr>
        <w:jc w:val="center"/>
        <w:rPr>
          <w:b/>
        </w:rPr>
      </w:pPr>
      <w:r w:rsidRPr="006C2FA4">
        <w:rPr>
          <w:b/>
        </w:rPr>
        <w:t>A</w:t>
      </w:r>
      <w:r w:rsidR="006C2FA4" w:rsidRPr="006C2FA4">
        <w:rPr>
          <w:b/>
        </w:rPr>
        <w:t>uthorizes</w:t>
      </w:r>
    </w:p>
    <w:p w:rsidR="00DD1EEB" w:rsidRPr="00DD1EEB" w:rsidRDefault="00DD1EEB" w:rsidP="00DD1EEB">
      <w:pPr>
        <w:jc w:val="center"/>
        <w:rPr>
          <w:b/>
        </w:rPr>
      </w:pPr>
      <w:r w:rsidRPr="00DD1EEB">
        <w:rPr>
          <w:b/>
        </w:rPr>
        <w:t>CSWR-Florida Utility Operating Company, LLC</w:t>
      </w:r>
    </w:p>
    <w:p w:rsidR="006C2FA4" w:rsidRPr="006C2FA4" w:rsidRDefault="006C2FA4" w:rsidP="006C2FA4">
      <w:pPr>
        <w:jc w:val="center"/>
        <w:rPr>
          <w:b/>
        </w:rPr>
      </w:pPr>
      <w:r w:rsidRPr="006C2FA4">
        <w:rPr>
          <w:b/>
        </w:rPr>
        <w:t xml:space="preserve">pursuant to </w:t>
      </w:r>
    </w:p>
    <w:p w:rsidR="006C2FA4" w:rsidRPr="006C2FA4" w:rsidRDefault="006C2FA4" w:rsidP="006C2FA4">
      <w:pPr>
        <w:jc w:val="center"/>
        <w:rPr>
          <w:b/>
        </w:rPr>
      </w:pPr>
      <w:r w:rsidRPr="006C2FA4">
        <w:rPr>
          <w:b/>
        </w:rPr>
        <w:t>Certificate Number 562-S</w:t>
      </w:r>
    </w:p>
    <w:p w:rsidR="006C2FA4" w:rsidRPr="006C2FA4" w:rsidRDefault="006C2FA4" w:rsidP="006C2FA4">
      <w:pPr>
        <w:jc w:val="both"/>
      </w:pPr>
    </w:p>
    <w:p w:rsidR="006C2FA4" w:rsidRPr="006C2FA4" w:rsidRDefault="006C2FA4" w:rsidP="006C2FA4">
      <w:pPr>
        <w:jc w:val="both"/>
      </w:pPr>
      <w:r w:rsidRPr="006C2FA4">
        <w:t xml:space="preserve">to provide </w:t>
      </w:r>
      <w:r w:rsidR="009A5496">
        <w:t>waste</w:t>
      </w:r>
      <w:r w:rsidRPr="006C2FA4">
        <w:t xml:space="preserve">water service in Brevard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6C2FA4" w:rsidRPr="006C2FA4" w:rsidRDefault="006C2FA4" w:rsidP="006C2FA4"/>
    <w:p w:rsidR="006C2FA4" w:rsidRPr="006C2FA4" w:rsidRDefault="006C2FA4" w:rsidP="006C2FA4">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rsidR="006C2FA4" w:rsidRPr="006C2FA4" w:rsidRDefault="006C2FA4" w:rsidP="006C2FA4"/>
    <w:p w:rsidR="006C2FA4" w:rsidRPr="006C2FA4" w:rsidRDefault="006C2FA4" w:rsidP="006C2FA4">
      <w:r w:rsidRPr="006C2FA4">
        <w:t>PSC-11-0522-FOF-SU</w:t>
      </w:r>
      <w:r w:rsidRPr="006C2FA4">
        <w:tab/>
        <w:t>11/7/ 2011</w:t>
      </w:r>
      <w:r w:rsidRPr="006C2FA4">
        <w:tab/>
        <w:t>20100442-SU</w:t>
      </w:r>
      <w:r w:rsidRPr="006C2FA4">
        <w:tab/>
      </w:r>
      <w:r w:rsidRPr="006C2FA4">
        <w:tab/>
        <w:t>Original Certificate</w:t>
      </w:r>
    </w:p>
    <w:p w:rsidR="006C2FA4" w:rsidRPr="006C2FA4" w:rsidRDefault="006C2FA4" w:rsidP="006C2FA4">
      <w:r w:rsidRPr="006C2FA4">
        <w:t>*</w:t>
      </w:r>
      <w:r w:rsidRPr="006C2FA4">
        <w:tab/>
      </w:r>
      <w:r w:rsidRPr="006C2FA4">
        <w:tab/>
      </w:r>
      <w:r w:rsidRPr="006C2FA4">
        <w:tab/>
      </w:r>
      <w:r w:rsidRPr="006C2FA4">
        <w:tab/>
        <w:t>*</w:t>
      </w:r>
      <w:r w:rsidRPr="006C2FA4">
        <w:tab/>
      </w:r>
      <w:r w:rsidRPr="006C2FA4">
        <w:tab/>
        <w:t>20230033-SU</w:t>
      </w:r>
      <w:r w:rsidRPr="006C2FA4">
        <w:tab/>
      </w:r>
      <w:r w:rsidRPr="006C2FA4">
        <w:tab/>
        <w:t>Transfer</w:t>
      </w:r>
    </w:p>
    <w:p w:rsidR="006C2FA4" w:rsidRPr="006C2FA4" w:rsidRDefault="006C2FA4" w:rsidP="006C2FA4"/>
    <w:p w:rsidR="006C2FA4" w:rsidRPr="006C2FA4" w:rsidRDefault="006C2FA4" w:rsidP="006C2FA4">
      <w:pPr>
        <w:rPr>
          <w:b/>
        </w:rPr>
      </w:pPr>
    </w:p>
    <w:p w:rsidR="006C2FA4" w:rsidRPr="006C2FA4" w:rsidRDefault="006C2FA4" w:rsidP="006C2FA4">
      <w:r w:rsidRPr="006C2FA4">
        <w:rPr>
          <w:b/>
        </w:rPr>
        <w:t>*Order Number and date to be provided at time of issuance.</w:t>
      </w:r>
    </w:p>
    <w:p w:rsidR="006C2FA4" w:rsidRPr="006C2FA4" w:rsidRDefault="006C2FA4" w:rsidP="006C2FA4">
      <w:pPr>
        <w:spacing w:after="200" w:line="276" w:lineRule="auto"/>
        <w:rPr>
          <w:rFonts w:eastAsiaTheme="minorHAnsi" w:cstheme="minorBidi"/>
          <w:szCs w:val="22"/>
        </w:rPr>
      </w:pPr>
    </w:p>
    <w:p w:rsidR="00003001" w:rsidRDefault="00003001" w:rsidP="00E275D8">
      <w:pPr>
        <w:pStyle w:val="BodyText"/>
        <w:sectPr w:rsidR="00003001">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E06484" w:rsidRDefault="00E06484" w:rsidP="00003001">
      <w:pPr>
        <w:pStyle w:val="BodyText"/>
      </w:pPr>
    </w:p>
    <w:p w:rsidR="00003001" w:rsidRDefault="00003001" w:rsidP="00003001">
      <w:pPr>
        <w:pStyle w:val="BodyText"/>
      </w:pPr>
    </w:p>
    <w:p w:rsidR="00003001" w:rsidRDefault="00003001" w:rsidP="00003001">
      <w:pPr>
        <w:pStyle w:val="BodyText"/>
        <w:spacing w:after="0"/>
        <w:jc w:val="center"/>
        <w:rPr>
          <w:rFonts w:ascii="Arial" w:hAnsi="Arial" w:cs="Arial"/>
          <w:b/>
        </w:rPr>
      </w:pPr>
      <w:r>
        <w:rPr>
          <w:rFonts w:ascii="Arial" w:hAnsi="Arial" w:cs="Arial"/>
          <w:b/>
        </w:rPr>
        <w:t xml:space="preserve">CSWR-Florida Utility Operating Company, LLC </w:t>
      </w:r>
    </w:p>
    <w:p w:rsidR="00003001" w:rsidRDefault="00DD1EEB" w:rsidP="00003001">
      <w:pPr>
        <w:pStyle w:val="BodyText"/>
        <w:spacing w:after="0"/>
        <w:jc w:val="center"/>
        <w:rPr>
          <w:rFonts w:ascii="Arial" w:hAnsi="Arial" w:cs="Arial"/>
          <w:b/>
        </w:rPr>
      </w:pPr>
      <w:r>
        <w:rPr>
          <w:rFonts w:ascii="Arial" w:hAnsi="Arial" w:cs="Arial"/>
          <w:b/>
        </w:rPr>
        <w:t xml:space="preserve">TKCB, </w:t>
      </w:r>
      <w:r w:rsidR="00003001">
        <w:rPr>
          <w:rFonts w:ascii="Arial" w:hAnsi="Arial" w:cs="Arial"/>
          <w:b/>
        </w:rPr>
        <w:t>Inc.</w:t>
      </w:r>
    </w:p>
    <w:p w:rsidR="00003001" w:rsidRDefault="00003001" w:rsidP="00003001">
      <w:pPr>
        <w:pStyle w:val="BodyText"/>
        <w:spacing w:after="0"/>
        <w:jc w:val="center"/>
        <w:rPr>
          <w:rFonts w:ascii="Arial" w:hAnsi="Arial" w:cs="Arial"/>
          <w:b/>
        </w:rPr>
      </w:pPr>
    </w:p>
    <w:p w:rsidR="00003001" w:rsidRDefault="00003001" w:rsidP="00003001">
      <w:pPr>
        <w:pStyle w:val="BodyText"/>
        <w:spacing w:after="0"/>
        <w:jc w:val="center"/>
        <w:rPr>
          <w:rFonts w:ascii="Arial" w:hAnsi="Arial" w:cs="Arial"/>
          <w:b/>
        </w:rPr>
      </w:pPr>
      <w:r>
        <w:rPr>
          <w:rFonts w:ascii="Arial" w:hAnsi="Arial" w:cs="Arial"/>
          <w:b/>
        </w:rPr>
        <w:t>Schedule of Net Book Value as of March 31, 2023</w:t>
      </w:r>
    </w:p>
    <w:p w:rsidR="00003001" w:rsidRDefault="00003001" w:rsidP="00003001">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003001" w:rsidTr="00003001">
        <w:trPr>
          <w:trHeight w:val="290"/>
        </w:trPr>
        <w:tc>
          <w:tcPr>
            <w:tcW w:w="3568" w:type="dxa"/>
            <w:noWrap/>
            <w:vAlign w:val="bottom"/>
            <w:hideMark/>
          </w:tcPr>
          <w:p w:rsidR="00003001" w:rsidRDefault="00003001">
            <w:pPr>
              <w:spacing w:line="276" w:lineRule="auto"/>
              <w:jc w:val="center"/>
            </w:pPr>
            <w:r>
              <w:rPr>
                <w:b/>
                <w:bCs/>
                <w:u w:val="single"/>
              </w:rPr>
              <w:t>Description</w:t>
            </w:r>
          </w:p>
        </w:tc>
        <w:tc>
          <w:tcPr>
            <w:tcW w:w="1545" w:type="dxa"/>
            <w:noWrap/>
            <w:vAlign w:val="bottom"/>
            <w:hideMark/>
          </w:tcPr>
          <w:p w:rsidR="00003001" w:rsidRDefault="00003001">
            <w:pPr>
              <w:spacing w:line="276" w:lineRule="auto"/>
              <w:jc w:val="center"/>
              <w:rPr>
                <w:b/>
                <w:bCs/>
                <w:color w:val="000000"/>
                <w:u w:val="single"/>
              </w:rPr>
            </w:pPr>
            <w:r>
              <w:rPr>
                <w:b/>
                <w:bCs/>
                <w:color w:val="000000"/>
                <w:u w:val="single"/>
              </w:rPr>
              <w:t xml:space="preserve">Balance </w:t>
            </w:r>
          </w:p>
          <w:p w:rsidR="00003001" w:rsidRDefault="00003001">
            <w:pPr>
              <w:spacing w:line="276" w:lineRule="auto"/>
              <w:jc w:val="center"/>
              <w:rPr>
                <w:b/>
                <w:bCs/>
                <w:color w:val="000000"/>
              </w:rPr>
            </w:pPr>
            <w:r>
              <w:rPr>
                <w:b/>
                <w:bCs/>
                <w:color w:val="000000"/>
                <w:u w:val="single"/>
              </w:rPr>
              <w:t>Per Utility</w:t>
            </w:r>
          </w:p>
        </w:tc>
        <w:tc>
          <w:tcPr>
            <w:tcW w:w="1794" w:type="dxa"/>
            <w:noWrap/>
            <w:vAlign w:val="bottom"/>
          </w:tcPr>
          <w:p w:rsidR="00003001" w:rsidRDefault="00003001">
            <w:pPr>
              <w:spacing w:line="276" w:lineRule="auto"/>
              <w:jc w:val="center"/>
              <w:rPr>
                <w:b/>
                <w:bCs/>
                <w:color w:val="000000"/>
                <w:u w:val="single"/>
              </w:rPr>
            </w:pPr>
          </w:p>
          <w:p w:rsidR="00003001" w:rsidRDefault="00003001">
            <w:pPr>
              <w:spacing w:line="276" w:lineRule="auto"/>
              <w:jc w:val="center"/>
              <w:rPr>
                <w:b/>
                <w:bCs/>
                <w:color w:val="000000"/>
                <w:u w:val="single"/>
              </w:rPr>
            </w:pPr>
            <w:r>
              <w:rPr>
                <w:b/>
                <w:bCs/>
                <w:color w:val="000000"/>
                <w:u w:val="single"/>
              </w:rPr>
              <w:t>Adjustments</w:t>
            </w:r>
          </w:p>
        </w:tc>
        <w:tc>
          <w:tcPr>
            <w:tcW w:w="853" w:type="dxa"/>
          </w:tcPr>
          <w:p w:rsidR="00003001" w:rsidRDefault="00003001">
            <w:pPr>
              <w:spacing w:line="276" w:lineRule="auto"/>
              <w:jc w:val="center"/>
              <w:rPr>
                <w:b/>
                <w:bCs/>
                <w:color w:val="000000"/>
                <w:u w:val="single"/>
              </w:rPr>
            </w:pPr>
          </w:p>
        </w:tc>
        <w:tc>
          <w:tcPr>
            <w:tcW w:w="1703" w:type="dxa"/>
            <w:noWrap/>
            <w:vAlign w:val="bottom"/>
            <w:hideMark/>
          </w:tcPr>
          <w:p w:rsidR="00003001" w:rsidRDefault="00003001">
            <w:pPr>
              <w:spacing w:line="276" w:lineRule="auto"/>
              <w:jc w:val="center"/>
              <w:rPr>
                <w:b/>
                <w:bCs/>
                <w:color w:val="000000"/>
                <w:u w:val="single"/>
              </w:rPr>
            </w:pPr>
            <w:r>
              <w:rPr>
                <w:b/>
                <w:bCs/>
                <w:color w:val="000000"/>
                <w:u w:val="single"/>
              </w:rPr>
              <w:t>Staff</w:t>
            </w:r>
          </w:p>
        </w:tc>
      </w:tr>
      <w:tr w:rsidR="00003001" w:rsidTr="00003001">
        <w:trPr>
          <w:trHeight w:val="290"/>
        </w:trPr>
        <w:tc>
          <w:tcPr>
            <w:tcW w:w="3568" w:type="dxa"/>
            <w:noWrap/>
            <w:vAlign w:val="bottom"/>
          </w:tcPr>
          <w:p w:rsidR="00003001" w:rsidRDefault="00003001">
            <w:pPr>
              <w:spacing w:line="276" w:lineRule="auto"/>
              <w:rPr>
                <w:color w:val="000000"/>
              </w:rPr>
            </w:pPr>
          </w:p>
        </w:tc>
        <w:tc>
          <w:tcPr>
            <w:tcW w:w="1545" w:type="dxa"/>
            <w:noWrap/>
            <w:vAlign w:val="bottom"/>
          </w:tcPr>
          <w:p w:rsidR="00003001" w:rsidRDefault="00003001">
            <w:pPr>
              <w:spacing w:line="276" w:lineRule="auto"/>
              <w:jc w:val="right"/>
              <w:rPr>
                <w:color w:val="000000"/>
              </w:rPr>
            </w:pPr>
          </w:p>
        </w:tc>
        <w:tc>
          <w:tcPr>
            <w:tcW w:w="1794" w:type="dxa"/>
            <w:noWrap/>
            <w:vAlign w:val="bottom"/>
          </w:tcPr>
          <w:p w:rsidR="00003001" w:rsidRDefault="00003001">
            <w:pPr>
              <w:spacing w:line="276" w:lineRule="auto"/>
              <w:jc w:val="right"/>
              <w:rPr>
                <w:color w:val="000000"/>
              </w:rPr>
            </w:pPr>
          </w:p>
        </w:tc>
        <w:tc>
          <w:tcPr>
            <w:tcW w:w="853" w:type="dxa"/>
          </w:tcPr>
          <w:p w:rsidR="00003001" w:rsidRDefault="00003001">
            <w:pPr>
              <w:spacing w:line="276" w:lineRule="auto"/>
              <w:jc w:val="right"/>
              <w:rPr>
                <w:color w:val="000000"/>
              </w:rPr>
            </w:pPr>
          </w:p>
        </w:tc>
        <w:tc>
          <w:tcPr>
            <w:tcW w:w="1703" w:type="dxa"/>
            <w:noWrap/>
            <w:vAlign w:val="bottom"/>
          </w:tcPr>
          <w:p w:rsidR="00003001" w:rsidRDefault="00003001">
            <w:pPr>
              <w:spacing w:line="276" w:lineRule="auto"/>
              <w:jc w:val="right"/>
              <w:rPr>
                <w:color w:val="000000"/>
              </w:rPr>
            </w:pPr>
          </w:p>
        </w:tc>
      </w:tr>
      <w:tr w:rsidR="00003001" w:rsidTr="00003001">
        <w:trPr>
          <w:trHeight w:val="290"/>
        </w:trPr>
        <w:tc>
          <w:tcPr>
            <w:tcW w:w="3568" w:type="dxa"/>
            <w:noWrap/>
            <w:vAlign w:val="bottom"/>
            <w:hideMark/>
          </w:tcPr>
          <w:p w:rsidR="00003001" w:rsidRDefault="00003001">
            <w:pPr>
              <w:spacing w:line="276" w:lineRule="auto"/>
              <w:rPr>
                <w:color w:val="000000"/>
              </w:rPr>
            </w:pPr>
            <w:r>
              <w:rPr>
                <w:color w:val="000000"/>
              </w:rPr>
              <w:t xml:space="preserve"> Utility Plant in Service </w:t>
            </w:r>
          </w:p>
        </w:tc>
        <w:tc>
          <w:tcPr>
            <w:tcW w:w="1545" w:type="dxa"/>
            <w:noWrap/>
            <w:hideMark/>
          </w:tcPr>
          <w:p w:rsidR="00003001" w:rsidRDefault="00003001">
            <w:pPr>
              <w:spacing w:line="276" w:lineRule="auto"/>
              <w:jc w:val="right"/>
              <w:rPr>
                <w:color w:val="000000"/>
              </w:rPr>
            </w:pPr>
            <w:r>
              <w:t>$96,163</w:t>
            </w:r>
          </w:p>
        </w:tc>
        <w:tc>
          <w:tcPr>
            <w:tcW w:w="1794" w:type="dxa"/>
            <w:noWrap/>
            <w:hideMark/>
          </w:tcPr>
          <w:p w:rsidR="00003001" w:rsidRDefault="00003001">
            <w:pPr>
              <w:spacing w:line="276" w:lineRule="auto"/>
              <w:jc w:val="right"/>
              <w:rPr>
                <w:color w:val="000000"/>
              </w:rPr>
            </w:pPr>
            <w:r>
              <w:t>$-</w:t>
            </w:r>
          </w:p>
        </w:tc>
        <w:tc>
          <w:tcPr>
            <w:tcW w:w="853" w:type="dxa"/>
          </w:tcPr>
          <w:p w:rsidR="00003001" w:rsidRDefault="00003001">
            <w:pPr>
              <w:spacing w:line="276" w:lineRule="auto"/>
              <w:jc w:val="right"/>
            </w:pPr>
          </w:p>
        </w:tc>
        <w:tc>
          <w:tcPr>
            <w:tcW w:w="1703" w:type="dxa"/>
            <w:noWrap/>
            <w:hideMark/>
          </w:tcPr>
          <w:p w:rsidR="00003001" w:rsidRDefault="00003001">
            <w:pPr>
              <w:spacing w:line="276" w:lineRule="auto"/>
              <w:jc w:val="right"/>
              <w:rPr>
                <w:color w:val="000000"/>
              </w:rPr>
            </w:pPr>
            <w:r>
              <w:t>$96,163</w:t>
            </w:r>
          </w:p>
        </w:tc>
      </w:tr>
      <w:tr w:rsidR="00003001" w:rsidTr="00003001">
        <w:trPr>
          <w:trHeight w:val="290"/>
        </w:trPr>
        <w:tc>
          <w:tcPr>
            <w:tcW w:w="3568" w:type="dxa"/>
            <w:noWrap/>
            <w:vAlign w:val="bottom"/>
            <w:hideMark/>
          </w:tcPr>
          <w:p w:rsidR="00003001" w:rsidRDefault="00003001">
            <w:pPr>
              <w:spacing w:line="276" w:lineRule="auto"/>
              <w:rPr>
                <w:color w:val="000000"/>
              </w:rPr>
            </w:pPr>
            <w:r>
              <w:rPr>
                <w:color w:val="000000"/>
              </w:rPr>
              <w:t xml:space="preserve"> Land &amp; Land Rights </w:t>
            </w:r>
          </w:p>
        </w:tc>
        <w:tc>
          <w:tcPr>
            <w:tcW w:w="1545" w:type="dxa"/>
            <w:noWrap/>
            <w:hideMark/>
          </w:tcPr>
          <w:p w:rsidR="00003001" w:rsidRDefault="00003001">
            <w:pPr>
              <w:spacing w:line="276" w:lineRule="auto"/>
              <w:jc w:val="right"/>
              <w:rPr>
                <w:color w:val="000000"/>
              </w:rPr>
            </w:pPr>
            <w:r>
              <w:t>36,203</w:t>
            </w:r>
          </w:p>
        </w:tc>
        <w:tc>
          <w:tcPr>
            <w:tcW w:w="1794" w:type="dxa"/>
            <w:noWrap/>
            <w:hideMark/>
          </w:tcPr>
          <w:p w:rsidR="00003001" w:rsidRDefault="00003001">
            <w:pPr>
              <w:spacing w:line="276" w:lineRule="auto"/>
              <w:jc w:val="right"/>
              <w:rPr>
                <w:color w:val="000000"/>
              </w:rPr>
            </w:pPr>
            <w:r>
              <w:rPr>
                <w:color w:val="000000"/>
              </w:rPr>
              <w:t>-</w:t>
            </w:r>
          </w:p>
        </w:tc>
        <w:tc>
          <w:tcPr>
            <w:tcW w:w="853" w:type="dxa"/>
          </w:tcPr>
          <w:p w:rsidR="00003001" w:rsidRDefault="00003001">
            <w:pPr>
              <w:spacing w:line="276" w:lineRule="auto"/>
              <w:jc w:val="right"/>
            </w:pPr>
          </w:p>
        </w:tc>
        <w:tc>
          <w:tcPr>
            <w:tcW w:w="1703" w:type="dxa"/>
            <w:noWrap/>
            <w:hideMark/>
          </w:tcPr>
          <w:p w:rsidR="00003001" w:rsidRDefault="00003001">
            <w:pPr>
              <w:spacing w:line="276" w:lineRule="auto"/>
              <w:jc w:val="right"/>
              <w:rPr>
                <w:color w:val="000000"/>
              </w:rPr>
            </w:pPr>
            <w:r>
              <w:t>36,203</w:t>
            </w:r>
          </w:p>
        </w:tc>
      </w:tr>
      <w:tr w:rsidR="00003001" w:rsidTr="00003001">
        <w:trPr>
          <w:trHeight w:val="290"/>
        </w:trPr>
        <w:tc>
          <w:tcPr>
            <w:tcW w:w="3568" w:type="dxa"/>
            <w:noWrap/>
            <w:vAlign w:val="bottom"/>
            <w:hideMark/>
          </w:tcPr>
          <w:p w:rsidR="00003001" w:rsidRDefault="00003001">
            <w:pPr>
              <w:spacing w:line="276" w:lineRule="auto"/>
              <w:rPr>
                <w:color w:val="000000"/>
              </w:rPr>
            </w:pPr>
            <w:r>
              <w:rPr>
                <w:color w:val="000000"/>
              </w:rPr>
              <w:t xml:space="preserve"> Accumulated Depreciation </w:t>
            </w:r>
          </w:p>
        </w:tc>
        <w:tc>
          <w:tcPr>
            <w:tcW w:w="1545" w:type="dxa"/>
            <w:noWrap/>
            <w:hideMark/>
          </w:tcPr>
          <w:p w:rsidR="00003001" w:rsidRDefault="00003001">
            <w:pPr>
              <w:spacing w:line="276" w:lineRule="auto"/>
              <w:jc w:val="right"/>
              <w:rPr>
                <w:color w:val="000000"/>
              </w:rPr>
            </w:pPr>
            <w:r>
              <w:t>(5,143)</w:t>
            </w:r>
          </w:p>
        </w:tc>
        <w:tc>
          <w:tcPr>
            <w:tcW w:w="1794" w:type="dxa"/>
            <w:noWrap/>
            <w:hideMark/>
          </w:tcPr>
          <w:p w:rsidR="00003001" w:rsidRDefault="00003001">
            <w:pPr>
              <w:spacing w:line="276" w:lineRule="auto"/>
              <w:jc w:val="right"/>
              <w:rPr>
                <w:color w:val="000000"/>
              </w:rPr>
            </w:pPr>
            <w:r>
              <w:t>655</w:t>
            </w:r>
          </w:p>
        </w:tc>
        <w:tc>
          <w:tcPr>
            <w:tcW w:w="853" w:type="dxa"/>
            <w:hideMark/>
          </w:tcPr>
          <w:p w:rsidR="00003001" w:rsidRDefault="00003001">
            <w:pPr>
              <w:spacing w:line="276" w:lineRule="auto"/>
              <w:jc w:val="right"/>
            </w:pPr>
            <w:r>
              <w:t>A</w:t>
            </w:r>
          </w:p>
        </w:tc>
        <w:tc>
          <w:tcPr>
            <w:tcW w:w="1703" w:type="dxa"/>
            <w:noWrap/>
            <w:hideMark/>
          </w:tcPr>
          <w:p w:rsidR="00003001" w:rsidRDefault="00003001">
            <w:pPr>
              <w:spacing w:line="276" w:lineRule="auto"/>
              <w:jc w:val="right"/>
              <w:rPr>
                <w:color w:val="000000"/>
              </w:rPr>
            </w:pPr>
            <w:r>
              <w:t>(4,488)</w:t>
            </w:r>
          </w:p>
        </w:tc>
      </w:tr>
      <w:tr w:rsidR="00003001" w:rsidTr="00003001">
        <w:trPr>
          <w:trHeight w:val="290"/>
        </w:trPr>
        <w:tc>
          <w:tcPr>
            <w:tcW w:w="3568" w:type="dxa"/>
            <w:noWrap/>
            <w:vAlign w:val="bottom"/>
            <w:hideMark/>
          </w:tcPr>
          <w:p w:rsidR="00003001" w:rsidRDefault="00003001">
            <w:pPr>
              <w:spacing w:line="276" w:lineRule="auto"/>
              <w:rPr>
                <w:color w:val="000000"/>
              </w:rPr>
            </w:pPr>
            <w:r>
              <w:rPr>
                <w:color w:val="000000"/>
              </w:rPr>
              <w:t xml:space="preserve"> CIAC  </w:t>
            </w:r>
          </w:p>
        </w:tc>
        <w:tc>
          <w:tcPr>
            <w:tcW w:w="1545" w:type="dxa"/>
            <w:noWrap/>
            <w:hideMark/>
          </w:tcPr>
          <w:p w:rsidR="00003001" w:rsidRDefault="00003001">
            <w:pPr>
              <w:spacing w:line="276" w:lineRule="auto"/>
              <w:jc w:val="right"/>
              <w:rPr>
                <w:color w:val="000000"/>
              </w:rPr>
            </w:pPr>
            <w:r>
              <w:t>-</w:t>
            </w:r>
          </w:p>
        </w:tc>
        <w:tc>
          <w:tcPr>
            <w:tcW w:w="1794" w:type="dxa"/>
            <w:noWrap/>
            <w:hideMark/>
          </w:tcPr>
          <w:p w:rsidR="00003001" w:rsidRDefault="00003001">
            <w:pPr>
              <w:spacing w:line="276" w:lineRule="auto"/>
              <w:jc w:val="right"/>
              <w:rPr>
                <w:color w:val="000000"/>
              </w:rPr>
            </w:pPr>
            <w:r>
              <w:rPr>
                <w:color w:val="000000"/>
              </w:rPr>
              <w:t>-</w:t>
            </w:r>
          </w:p>
        </w:tc>
        <w:tc>
          <w:tcPr>
            <w:tcW w:w="853" w:type="dxa"/>
          </w:tcPr>
          <w:p w:rsidR="00003001" w:rsidRDefault="00003001">
            <w:pPr>
              <w:spacing w:line="276" w:lineRule="auto"/>
              <w:jc w:val="right"/>
            </w:pPr>
          </w:p>
        </w:tc>
        <w:tc>
          <w:tcPr>
            <w:tcW w:w="1703" w:type="dxa"/>
            <w:noWrap/>
            <w:hideMark/>
          </w:tcPr>
          <w:p w:rsidR="00003001" w:rsidRDefault="00003001">
            <w:pPr>
              <w:spacing w:line="276" w:lineRule="auto"/>
              <w:jc w:val="right"/>
              <w:rPr>
                <w:color w:val="000000"/>
              </w:rPr>
            </w:pPr>
            <w:r>
              <w:t>-</w:t>
            </w:r>
          </w:p>
        </w:tc>
      </w:tr>
      <w:tr w:rsidR="00003001" w:rsidTr="00003001">
        <w:trPr>
          <w:trHeight w:val="301"/>
        </w:trPr>
        <w:tc>
          <w:tcPr>
            <w:tcW w:w="3568" w:type="dxa"/>
            <w:noWrap/>
            <w:vAlign w:val="bottom"/>
            <w:hideMark/>
          </w:tcPr>
          <w:p w:rsidR="00003001" w:rsidRDefault="00003001">
            <w:pPr>
              <w:spacing w:line="276" w:lineRule="auto"/>
              <w:rPr>
                <w:color w:val="000000"/>
              </w:rPr>
            </w:pPr>
            <w:r>
              <w:rPr>
                <w:color w:val="000000"/>
              </w:rPr>
              <w:t xml:space="preserve"> Amortization of CIAC </w:t>
            </w:r>
          </w:p>
        </w:tc>
        <w:tc>
          <w:tcPr>
            <w:tcW w:w="1545" w:type="dxa"/>
            <w:noWrap/>
            <w:hideMark/>
          </w:tcPr>
          <w:p w:rsidR="00003001" w:rsidRDefault="00003001">
            <w:pPr>
              <w:spacing w:line="276" w:lineRule="auto"/>
              <w:jc w:val="right"/>
              <w:rPr>
                <w:color w:val="000000"/>
                <w:u w:val="single"/>
              </w:rPr>
            </w:pPr>
            <w:r>
              <w:rPr>
                <w:u w:val="single"/>
              </w:rPr>
              <w:t>-</w:t>
            </w:r>
          </w:p>
        </w:tc>
        <w:tc>
          <w:tcPr>
            <w:tcW w:w="1794" w:type="dxa"/>
            <w:noWrap/>
            <w:hideMark/>
          </w:tcPr>
          <w:p w:rsidR="00003001" w:rsidRDefault="00003001">
            <w:pPr>
              <w:spacing w:line="276" w:lineRule="auto"/>
              <w:jc w:val="right"/>
              <w:rPr>
                <w:color w:val="000000"/>
                <w:u w:val="single"/>
              </w:rPr>
            </w:pPr>
            <w:r>
              <w:rPr>
                <w:u w:val="single"/>
              </w:rPr>
              <w:t>-</w:t>
            </w:r>
          </w:p>
        </w:tc>
        <w:tc>
          <w:tcPr>
            <w:tcW w:w="853" w:type="dxa"/>
          </w:tcPr>
          <w:p w:rsidR="00003001" w:rsidRDefault="00003001">
            <w:pPr>
              <w:spacing w:line="276" w:lineRule="auto"/>
              <w:jc w:val="right"/>
            </w:pPr>
          </w:p>
        </w:tc>
        <w:tc>
          <w:tcPr>
            <w:tcW w:w="1703" w:type="dxa"/>
            <w:noWrap/>
            <w:hideMark/>
          </w:tcPr>
          <w:p w:rsidR="00003001" w:rsidRDefault="00003001">
            <w:pPr>
              <w:spacing w:line="276" w:lineRule="auto"/>
              <w:jc w:val="right"/>
              <w:rPr>
                <w:color w:val="000000"/>
                <w:u w:val="single"/>
              </w:rPr>
            </w:pPr>
            <w:r>
              <w:rPr>
                <w:u w:val="single"/>
              </w:rPr>
              <w:t>-</w:t>
            </w:r>
          </w:p>
        </w:tc>
      </w:tr>
      <w:tr w:rsidR="00003001" w:rsidTr="00003001">
        <w:trPr>
          <w:trHeight w:val="301"/>
        </w:trPr>
        <w:tc>
          <w:tcPr>
            <w:tcW w:w="3568" w:type="dxa"/>
            <w:noWrap/>
            <w:vAlign w:val="bottom"/>
          </w:tcPr>
          <w:p w:rsidR="00003001" w:rsidRDefault="00003001">
            <w:pPr>
              <w:spacing w:line="276" w:lineRule="auto"/>
              <w:rPr>
                <w:color w:val="000000"/>
              </w:rPr>
            </w:pPr>
          </w:p>
        </w:tc>
        <w:tc>
          <w:tcPr>
            <w:tcW w:w="1545" w:type="dxa"/>
            <w:noWrap/>
          </w:tcPr>
          <w:p w:rsidR="00003001" w:rsidRDefault="00003001">
            <w:pPr>
              <w:spacing w:line="276" w:lineRule="auto"/>
              <w:jc w:val="right"/>
              <w:rPr>
                <w:color w:val="000000"/>
              </w:rPr>
            </w:pPr>
          </w:p>
        </w:tc>
        <w:tc>
          <w:tcPr>
            <w:tcW w:w="1794" w:type="dxa"/>
            <w:noWrap/>
          </w:tcPr>
          <w:p w:rsidR="00003001" w:rsidRDefault="00003001">
            <w:pPr>
              <w:spacing w:line="276" w:lineRule="auto"/>
              <w:jc w:val="right"/>
              <w:rPr>
                <w:color w:val="000000"/>
              </w:rPr>
            </w:pPr>
          </w:p>
        </w:tc>
        <w:tc>
          <w:tcPr>
            <w:tcW w:w="853" w:type="dxa"/>
          </w:tcPr>
          <w:p w:rsidR="00003001" w:rsidRDefault="00003001">
            <w:pPr>
              <w:spacing w:line="276" w:lineRule="auto"/>
              <w:jc w:val="right"/>
              <w:rPr>
                <w:color w:val="000000"/>
              </w:rPr>
            </w:pPr>
          </w:p>
        </w:tc>
        <w:tc>
          <w:tcPr>
            <w:tcW w:w="1703" w:type="dxa"/>
            <w:noWrap/>
          </w:tcPr>
          <w:p w:rsidR="00003001" w:rsidRDefault="00003001">
            <w:pPr>
              <w:spacing w:line="276" w:lineRule="auto"/>
              <w:jc w:val="right"/>
              <w:rPr>
                <w:color w:val="000000"/>
              </w:rPr>
            </w:pPr>
          </w:p>
        </w:tc>
      </w:tr>
      <w:tr w:rsidR="00003001" w:rsidTr="00003001">
        <w:trPr>
          <w:trHeight w:val="301"/>
        </w:trPr>
        <w:tc>
          <w:tcPr>
            <w:tcW w:w="3568" w:type="dxa"/>
            <w:noWrap/>
            <w:vAlign w:val="bottom"/>
            <w:hideMark/>
          </w:tcPr>
          <w:p w:rsidR="00003001" w:rsidRDefault="00003001">
            <w:pPr>
              <w:spacing w:line="276" w:lineRule="auto"/>
              <w:rPr>
                <w:color w:val="000000"/>
              </w:rPr>
            </w:pPr>
            <w:r>
              <w:rPr>
                <w:color w:val="000000"/>
              </w:rPr>
              <w:t>Total</w:t>
            </w:r>
          </w:p>
        </w:tc>
        <w:tc>
          <w:tcPr>
            <w:tcW w:w="1545" w:type="dxa"/>
            <w:noWrap/>
            <w:hideMark/>
          </w:tcPr>
          <w:p w:rsidR="00003001" w:rsidRDefault="00003001">
            <w:pPr>
              <w:spacing w:line="276" w:lineRule="auto"/>
              <w:jc w:val="right"/>
              <w:rPr>
                <w:color w:val="000000"/>
                <w:u w:val="double"/>
              </w:rPr>
            </w:pPr>
            <w:r>
              <w:rPr>
                <w:u w:val="double"/>
              </w:rPr>
              <w:t>$127,223</w:t>
            </w:r>
          </w:p>
        </w:tc>
        <w:tc>
          <w:tcPr>
            <w:tcW w:w="1794" w:type="dxa"/>
            <w:noWrap/>
            <w:hideMark/>
          </w:tcPr>
          <w:p w:rsidR="00003001" w:rsidRDefault="00003001">
            <w:pPr>
              <w:spacing w:line="276" w:lineRule="auto"/>
              <w:jc w:val="right"/>
              <w:rPr>
                <w:color w:val="000000"/>
                <w:u w:val="double"/>
              </w:rPr>
            </w:pPr>
            <w:r>
              <w:rPr>
                <w:u w:val="double"/>
              </w:rPr>
              <w:t>$655</w:t>
            </w:r>
          </w:p>
        </w:tc>
        <w:tc>
          <w:tcPr>
            <w:tcW w:w="853" w:type="dxa"/>
          </w:tcPr>
          <w:p w:rsidR="00003001" w:rsidRDefault="00003001">
            <w:pPr>
              <w:spacing w:line="276" w:lineRule="auto"/>
              <w:jc w:val="right"/>
              <w:rPr>
                <w:u w:val="double"/>
              </w:rPr>
            </w:pPr>
          </w:p>
        </w:tc>
        <w:tc>
          <w:tcPr>
            <w:tcW w:w="1703" w:type="dxa"/>
            <w:noWrap/>
            <w:hideMark/>
          </w:tcPr>
          <w:p w:rsidR="00003001" w:rsidRDefault="00003001">
            <w:pPr>
              <w:spacing w:line="276" w:lineRule="auto"/>
              <w:jc w:val="right"/>
              <w:rPr>
                <w:color w:val="000000"/>
                <w:u w:val="double"/>
              </w:rPr>
            </w:pPr>
            <w:r>
              <w:rPr>
                <w:u w:val="double"/>
              </w:rPr>
              <w:t>$127,878</w:t>
            </w:r>
          </w:p>
        </w:tc>
      </w:tr>
    </w:tbl>
    <w:p w:rsidR="00003001" w:rsidRDefault="00003001" w:rsidP="00003001"/>
    <w:p w:rsidR="00003001" w:rsidRDefault="00003001" w:rsidP="00003001"/>
    <w:p w:rsidR="00003001" w:rsidRDefault="00003001" w:rsidP="00003001">
      <w:pPr>
        <w:sectPr w:rsidR="00003001">
          <w:headerReference w:type="default" r:id="rId19"/>
          <w:footerReference w:type="default" r:id="rId20"/>
          <w:pgSz w:w="12240" w:h="15840"/>
          <w:pgMar w:top="1440" w:right="1440" w:bottom="1440" w:left="1440" w:header="720" w:footer="720" w:gutter="0"/>
          <w:cols w:space="720"/>
        </w:sectPr>
      </w:pPr>
    </w:p>
    <w:p w:rsidR="00003001" w:rsidRDefault="00003001" w:rsidP="00003001"/>
    <w:p w:rsidR="00003001" w:rsidRDefault="00003001" w:rsidP="00003001"/>
    <w:p w:rsidR="00003001" w:rsidRDefault="00003001" w:rsidP="00003001">
      <w:pPr>
        <w:pStyle w:val="BodyText"/>
        <w:spacing w:after="0"/>
        <w:jc w:val="center"/>
        <w:rPr>
          <w:rFonts w:ascii="Arial" w:hAnsi="Arial" w:cs="Arial"/>
          <w:b/>
        </w:rPr>
      </w:pPr>
    </w:p>
    <w:p w:rsidR="00003001" w:rsidRDefault="00003001" w:rsidP="00003001">
      <w:pPr>
        <w:pStyle w:val="BodyText"/>
        <w:spacing w:after="0"/>
        <w:jc w:val="center"/>
        <w:rPr>
          <w:rFonts w:ascii="Arial" w:hAnsi="Arial" w:cs="Arial"/>
          <w:b/>
        </w:rPr>
      </w:pPr>
      <w:r>
        <w:rPr>
          <w:rFonts w:ascii="Arial" w:hAnsi="Arial" w:cs="Arial"/>
          <w:b/>
        </w:rPr>
        <w:t xml:space="preserve">CSWR-Florida Utility Operating Company, LLC </w:t>
      </w:r>
    </w:p>
    <w:p w:rsidR="00003001" w:rsidRDefault="00003001" w:rsidP="00003001">
      <w:pPr>
        <w:pStyle w:val="BodyText"/>
        <w:spacing w:after="0"/>
        <w:jc w:val="center"/>
        <w:rPr>
          <w:rFonts w:ascii="Arial" w:hAnsi="Arial" w:cs="Arial"/>
          <w:b/>
        </w:rPr>
      </w:pPr>
      <w:r>
        <w:rPr>
          <w:rFonts w:ascii="Arial" w:hAnsi="Arial" w:cs="Arial"/>
          <w:b/>
        </w:rPr>
        <w:t>TKCB</w:t>
      </w:r>
      <w:r w:rsidR="00DD1EEB">
        <w:rPr>
          <w:rFonts w:ascii="Arial" w:hAnsi="Arial" w:cs="Arial"/>
          <w:b/>
        </w:rPr>
        <w:t>,</w:t>
      </w:r>
      <w:r>
        <w:rPr>
          <w:rFonts w:ascii="Arial" w:hAnsi="Arial" w:cs="Arial"/>
          <w:b/>
        </w:rPr>
        <w:t xml:space="preserve"> </w:t>
      </w:r>
      <w:r w:rsidR="00DD1EEB">
        <w:rPr>
          <w:rFonts w:ascii="Arial" w:hAnsi="Arial" w:cs="Arial"/>
          <w:b/>
        </w:rPr>
        <w:t>I</w:t>
      </w:r>
      <w:r>
        <w:rPr>
          <w:rFonts w:ascii="Arial" w:hAnsi="Arial" w:cs="Arial"/>
          <w:b/>
        </w:rPr>
        <w:t>nc.</w:t>
      </w:r>
    </w:p>
    <w:p w:rsidR="00003001" w:rsidRDefault="00003001" w:rsidP="00003001">
      <w:pPr>
        <w:pStyle w:val="BodyText"/>
        <w:spacing w:after="0"/>
        <w:jc w:val="center"/>
        <w:rPr>
          <w:rFonts w:ascii="Arial" w:hAnsi="Arial" w:cs="Arial"/>
          <w:b/>
        </w:rPr>
      </w:pPr>
    </w:p>
    <w:p w:rsidR="00003001" w:rsidRDefault="00003001" w:rsidP="00003001">
      <w:pPr>
        <w:pStyle w:val="BodyText"/>
        <w:spacing w:after="0"/>
        <w:jc w:val="center"/>
        <w:rPr>
          <w:rFonts w:ascii="Arial" w:hAnsi="Arial" w:cs="Arial"/>
          <w:b/>
        </w:rPr>
      </w:pPr>
      <w:r>
        <w:rPr>
          <w:rFonts w:ascii="Arial" w:hAnsi="Arial" w:cs="Arial"/>
          <w:b/>
        </w:rPr>
        <w:t>Explanation of Adjustments to Net Book Value as of March 31, 2023</w:t>
      </w:r>
    </w:p>
    <w:p w:rsidR="00003001" w:rsidRDefault="00003001" w:rsidP="00003001">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003001" w:rsidTr="00003001">
        <w:tc>
          <w:tcPr>
            <w:tcW w:w="8118" w:type="dxa"/>
            <w:hideMark/>
          </w:tcPr>
          <w:p w:rsidR="00003001" w:rsidRDefault="00003001">
            <w:pPr>
              <w:rPr>
                <w:b/>
                <w:bCs/>
              </w:rPr>
            </w:pPr>
            <w:r>
              <w:rPr>
                <w:b/>
                <w:bCs/>
              </w:rPr>
              <w:t>Explanation</w:t>
            </w:r>
          </w:p>
        </w:tc>
        <w:tc>
          <w:tcPr>
            <w:tcW w:w="1458" w:type="dxa"/>
            <w:hideMark/>
          </w:tcPr>
          <w:p w:rsidR="00003001" w:rsidRDefault="00003001">
            <w:pPr>
              <w:jc w:val="center"/>
              <w:rPr>
                <w:b/>
              </w:rPr>
            </w:pPr>
            <w:r>
              <w:rPr>
                <w:b/>
              </w:rPr>
              <w:t>Amount</w:t>
            </w:r>
          </w:p>
        </w:tc>
      </w:tr>
      <w:tr w:rsidR="00003001" w:rsidTr="00003001">
        <w:tc>
          <w:tcPr>
            <w:tcW w:w="8118" w:type="dxa"/>
          </w:tcPr>
          <w:p w:rsidR="00003001" w:rsidRDefault="00003001">
            <w:pPr>
              <w:rPr>
                <w:b/>
                <w:bCs/>
              </w:rPr>
            </w:pPr>
          </w:p>
        </w:tc>
        <w:tc>
          <w:tcPr>
            <w:tcW w:w="1458" w:type="dxa"/>
          </w:tcPr>
          <w:p w:rsidR="00003001" w:rsidRDefault="00003001">
            <w:pPr>
              <w:jc w:val="center"/>
            </w:pPr>
          </w:p>
        </w:tc>
      </w:tr>
      <w:tr w:rsidR="00003001" w:rsidTr="00003001">
        <w:tc>
          <w:tcPr>
            <w:tcW w:w="8118" w:type="dxa"/>
            <w:hideMark/>
          </w:tcPr>
          <w:p w:rsidR="00003001" w:rsidRDefault="00003001" w:rsidP="00003001">
            <w:pPr>
              <w:pStyle w:val="ListParagraph"/>
              <w:numPr>
                <w:ilvl w:val="0"/>
                <w:numId w:val="11"/>
              </w:numPr>
            </w:pPr>
            <w:r>
              <w:t>Accumulated Depreciation</w:t>
            </w:r>
          </w:p>
        </w:tc>
        <w:tc>
          <w:tcPr>
            <w:tcW w:w="1458" w:type="dxa"/>
          </w:tcPr>
          <w:p w:rsidR="00003001" w:rsidRDefault="00003001">
            <w:pPr>
              <w:jc w:val="right"/>
            </w:pPr>
          </w:p>
        </w:tc>
      </w:tr>
      <w:tr w:rsidR="00003001" w:rsidTr="00003001">
        <w:tc>
          <w:tcPr>
            <w:tcW w:w="8118" w:type="dxa"/>
            <w:hideMark/>
          </w:tcPr>
          <w:p w:rsidR="00003001" w:rsidRDefault="00003001">
            <w:pPr>
              <w:ind w:left="360"/>
            </w:pPr>
            <w:r>
              <w:t>To reflect the appropriate balance.</w:t>
            </w:r>
          </w:p>
        </w:tc>
        <w:tc>
          <w:tcPr>
            <w:tcW w:w="1458" w:type="dxa"/>
            <w:hideMark/>
          </w:tcPr>
          <w:p w:rsidR="00003001" w:rsidRDefault="00003001">
            <w:pPr>
              <w:jc w:val="right"/>
              <w:rPr>
                <w:u w:val="single"/>
              </w:rPr>
            </w:pPr>
            <w:r>
              <w:rPr>
                <w:u w:val="single"/>
              </w:rPr>
              <w:t>$655</w:t>
            </w:r>
          </w:p>
        </w:tc>
      </w:tr>
      <w:tr w:rsidR="00003001" w:rsidTr="00003001">
        <w:tc>
          <w:tcPr>
            <w:tcW w:w="8118" w:type="dxa"/>
          </w:tcPr>
          <w:p w:rsidR="00003001" w:rsidRDefault="00003001">
            <w:pPr>
              <w:pStyle w:val="ListParagraph"/>
              <w:ind w:left="360"/>
            </w:pPr>
          </w:p>
        </w:tc>
        <w:tc>
          <w:tcPr>
            <w:tcW w:w="1458" w:type="dxa"/>
          </w:tcPr>
          <w:p w:rsidR="00003001" w:rsidRDefault="00003001">
            <w:pPr>
              <w:jc w:val="right"/>
              <w:rPr>
                <w:u w:val="single"/>
              </w:rPr>
            </w:pPr>
          </w:p>
        </w:tc>
      </w:tr>
      <w:tr w:rsidR="00003001" w:rsidTr="00003001">
        <w:tc>
          <w:tcPr>
            <w:tcW w:w="8118" w:type="dxa"/>
          </w:tcPr>
          <w:p w:rsidR="00003001" w:rsidRDefault="00003001">
            <w:pPr>
              <w:pStyle w:val="ListParagraph"/>
              <w:ind w:left="360"/>
            </w:pPr>
          </w:p>
        </w:tc>
        <w:tc>
          <w:tcPr>
            <w:tcW w:w="1458" w:type="dxa"/>
          </w:tcPr>
          <w:p w:rsidR="00003001" w:rsidRDefault="00003001">
            <w:pPr>
              <w:jc w:val="right"/>
              <w:rPr>
                <w:u w:val="single"/>
              </w:rPr>
            </w:pPr>
          </w:p>
        </w:tc>
      </w:tr>
      <w:tr w:rsidR="00003001" w:rsidTr="00003001">
        <w:tc>
          <w:tcPr>
            <w:tcW w:w="8118" w:type="dxa"/>
            <w:hideMark/>
          </w:tcPr>
          <w:p w:rsidR="00003001" w:rsidRDefault="00003001">
            <w:r>
              <w:t>Total Adjustments to Net Book Value as of March 31, 2023</w:t>
            </w:r>
          </w:p>
        </w:tc>
        <w:tc>
          <w:tcPr>
            <w:tcW w:w="1458" w:type="dxa"/>
            <w:hideMark/>
          </w:tcPr>
          <w:p w:rsidR="00003001" w:rsidRDefault="00003001">
            <w:pPr>
              <w:jc w:val="right"/>
            </w:pPr>
            <w:r>
              <w:rPr>
                <w:u w:val="double"/>
              </w:rPr>
              <w:t>$655</w:t>
            </w:r>
          </w:p>
        </w:tc>
      </w:tr>
      <w:tr w:rsidR="00003001" w:rsidTr="00003001">
        <w:tc>
          <w:tcPr>
            <w:tcW w:w="8118" w:type="dxa"/>
          </w:tcPr>
          <w:p w:rsidR="00003001" w:rsidRDefault="00003001">
            <w:pPr>
              <w:ind w:left="360"/>
            </w:pPr>
          </w:p>
        </w:tc>
        <w:tc>
          <w:tcPr>
            <w:tcW w:w="1458" w:type="dxa"/>
          </w:tcPr>
          <w:p w:rsidR="00003001" w:rsidRDefault="00003001">
            <w:pPr>
              <w:jc w:val="right"/>
              <w:rPr>
                <w:u w:val="single"/>
              </w:rPr>
            </w:pPr>
          </w:p>
        </w:tc>
      </w:tr>
      <w:tr w:rsidR="00003001" w:rsidTr="00003001">
        <w:tc>
          <w:tcPr>
            <w:tcW w:w="8118" w:type="dxa"/>
          </w:tcPr>
          <w:p w:rsidR="00003001" w:rsidRDefault="00003001"/>
        </w:tc>
        <w:tc>
          <w:tcPr>
            <w:tcW w:w="1458" w:type="dxa"/>
          </w:tcPr>
          <w:p w:rsidR="00003001" w:rsidRDefault="00003001">
            <w:pPr>
              <w:jc w:val="right"/>
              <w:rPr>
                <w:u w:val="double"/>
              </w:rPr>
            </w:pPr>
          </w:p>
        </w:tc>
      </w:tr>
    </w:tbl>
    <w:p w:rsidR="00003001" w:rsidRDefault="00003001" w:rsidP="00003001"/>
    <w:p w:rsidR="00003001" w:rsidRDefault="00003001" w:rsidP="00003001"/>
    <w:p w:rsidR="00003001" w:rsidRDefault="00003001" w:rsidP="00003001">
      <w:pPr>
        <w:sectPr w:rsidR="00003001">
          <w:headerReference w:type="default" r:id="rId21"/>
          <w:pgSz w:w="12240" w:h="15840"/>
          <w:pgMar w:top="1440" w:right="1440" w:bottom="1440" w:left="1440" w:header="720" w:footer="720" w:gutter="0"/>
          <w:cols w:space="720"/>
        </w:sectPr>
      </w:pPr>
    </w:p>
    <w:p w:rsidR="00003001" w:rsidRDefault="00003001" w:rsidP="00003001"/>
    <w:p w:rsidR="00003001" w:rsidRDefault="00003001" w:rsidP="00003001">
      <w:pPr>
        <w:pStyle w:val="BodyText"/>
        <w:spacing w:after="0"/>
        <w:jc w:val="center"/>
        <w:rPr>
          <w:rFonts w:ascii="Arial" w:hAnsi="Arial" w:cs="Arial"/>
          <w:b/>
        </w:rPr>
      </w:pPr>
      <w:r>
        <w:rPr>
          <w:rFonts w:ascii="Arial" w:hAnsi="Arial" w:cs="Arial"/>
          <w:b/>
        </w:rPr>
        <w:t xml:space="preserve">CSWR-Florida Utility Operating Company, LLC </w:t>
      </w:r>
    </w:p>
    <w:p w:rsidR="00003001" w:rsidRDefault="00003001" w:rsidP="00003001">
      <w:pPr>
        <w:pStyle w:val="BodyText"/>
        <w:spacing w:after="0"/>
        <w:jc w:val="center"/>
        <w:rPr>
          <w:rFonts w:ascii="Arial" w:hAnsi="Arial" w:cs="Arial"/>
          <w:b/>
        </w:rPr>
      </w:pPr>
      <w:r>
        <w:rPr>
          <w:rFonts w:ascii="Arial" w:hAnsi="Arial" w:cs="Arial"/>
          <w:b/>
        </w:rPr>
        <w:t>TKCB, Inc.</w:t>
      </w:r>
    </w:p>
    <w:p w:rsidR="00003001" w:rsidRDefault="00003001" w:rsidP="00003001">
      <w:pPr>
        <w:pStyle w:val="BodyText"/>
        <w:spacing w:after="0"/>
        <w:jc w:val="center"/>
        <w:rPr>
          <w:rFonts w:ascii="Arial" w:hAnsi="Arial" w:cs="Arial"/>
          <w:b/>
        </w:rPr>
      </w:pPr>
    </w:p>
    <w:p w:rsidR="00003001" w:rsidRDefault="00003001" w:rsidP="00003001">
      <w:pPr>
        <w:pStyle w:val="TableTitle"/>
        <w:keepNext/>
      </w:pPr>
      <w:r>
        <w:t>Schedule of Staff’s Recommended Account Balances as of March 31, 2023</w:t>
      </w:r>
    </w:p>
    <w:p w:rsidR="00003001" w:rsidRDefault="00003001" w:rsidP="00003001">
      <w:pPr>
        <w:pStyle w:val="BodyText"/>
        <w:spacing w:after="0"/>
      </w:pP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003001" w:rsidTr="00003001">
        <w:tc>
          <w:tcPr>
            <w:tcW w:w="1098" w:type="dxa"/>
            <w:vAlign w:val="bottom"/>
            <w:hideMark/>
          </w:tcPr>
          <w:p w:rsidR="00003001" w:rsidRDefault="00003001">
            <w:pPr>
              <w:jc w:val="center"/>
              <w:rPr>
                <w:b/>
                <w:bCs/>
              </w:rPr>
            </w:pPr>
            <w:r>
              <w:rPr>
                <w:b/>
                <w:bCs/>
              </w:rPr>
              <w:t>Account</w:t>
            </w:r>
          </w:p>
          <w:p w:rsidR="00003001" w:rsidRDefault="00003001">
            <w:pPr>
              <w:jc w:val="center"/>
              <w:rPr>
                <w:b/>
                <w:bCs/>
              </w:rPr>
            </w:pPr>
            <w:r>
              <w:rPr>
                <w:b/>
                <w:bCs/>
              </w:rPr>
              <w:t>No.</w:t>
            </w:r>
          </w:p>
        </w:tc>
        <w:tc>
          <w:tcPr>
            <w:tcW w:w="4320" w:type="dxa"/>
            <w:vAlign w:val="bottom"/>
            <w:hideMark/>
          </w:tcPr>
          <w:p w:rsidR="00003001" w:rsidRDefault="00003001">
            <w:pPr>
              <w:jc w:val="center"/>
              <w:rPr>
                <w:b/>
                <w:bCs/>
              </w:rPr>
            </w:pPr>
            <w:r>
              <w:rPr>
                <w:b/>
                <w:bCs/>
              </w:rPr>
              <w:t>Description</w:t>
            </w:r>
          </w:p>
        </w:tc>
        <w:tc>
          <w:tcPr>
            <w:tcW w:w="2214" w:type="dxa"/>
            <w:vAlign w:val="bottom"/>
            <w:hideMark/>
          </w:tcPr>
          <w:p w:rsidR="00003001" w:rsidRDefault="00003001">
            <w:pPr>
              <w:jc w:val="center"/>
              <w:rPr>
                <w:b/>
                <w:bCs/>
              </w:rPr>
            </w:pPr>
            <w:r>
              <w:rPr>
                <w:b/>
                <w:bCs/>
              </w:rPr>
              <w:t xml:space="preserve">                        UPIS</w:t>
            </w:r>
          </w:p>
        </w:tc>
        <w:tc>
          <w:tcPr>
            <w:tcW w:w="2394" w:type="dxa"/>
            <w:vAlign w:val="bottom"/>
            <w:hideMark/>
          </w:tcPr>
          <w:p w:rsidR="00003001" w:rsidRDefault="00003001">
            <w:pPr>
              <w:jc w:val="center"/>
              <w:rPr>
                <w:b/>
                <w:bCs/>
              </w:rPr>
            </w:pPr>
            <w:r>
              <w:rPr>
                <w:b/>
                <w:bCs/>
              </w:rPr>
              <w:t xml:space="preserve"> Accumulated                         Depreciation</w:t>
            </w:r>
          </w:p>
        </w:tc>
      </w:tr>
      <w:tr w:rsidR="00003001" w:rsidTr="00003001">
        <w:tc>
          <w:tcPr>
            <w:tcW w:w="1098" w:type="dxa"/>
            <w:vAlign w:val="bottom"/>
            <w:hideMark/>
          </w:tcPr>
          <w:p w:rsidR="00003001" w:rsidRDefault="00003001">
            <w:pPr>
              <w:jc w:val="center"/>
              <w:rPr>
                <w:color w:val="000000"/>
              </w:rPr>
            </w:pPr>
            <w:r>
              <w:rPr>
                <w:color w:val="000000"/>
              </w:rPr>
              <w:t>354</w:t>
            </w:r>
          </w:p>
        </w:tc>
        <w:tc>
          <w:tcPr>
            <w:tcW w:w="4320" w:type="dxa"/>
            <w:vAlign w:val="bottom"/>
            <w:hideMark/>
          </w:tcPr>
          <w:p w:rsidR="00003001" w:rsidRDefault="00003001">
            <w:pPr>
              <w:rPr>
                <w:color w:val="000000"/>
              </w:rPr>
            </w:pPr>
            <w:r>
              <w:rPr>
                <w:color w:val="000000"/>
              </w:rPr>
              <w:t xml:space="preserve">Structures &amp; Improvements  </w:t>
            </w:r>
          </w:p>
        </w:tc>
        <w:tc>
          <w:tcPr>
            <w:tcW w:w="2214" w:type="dxa"/>
            <w:vAlign w:val="bottom"/>
            <w:hideMark/>
          </w:tcPr>
          <w:p w:rsidR="00003001" w:rsidRDefault="00003001">
            <w:pPr>
              <w:jc w:val="right"/>
              <w:rPr>
                <w:color w:val="000000"/>
              </w:rPr>
            </w:pPr>
            <w:r>
              <w:rPr>
                <w:color w:val="000000"/>
              </w:rPr>
              <w:t xml:space="preserve"> $6,203</w:t>
            </w:r>
          </w:p>
        </w:tc>
        <w:tc>
          <w:tcPr>
            <w:tcW w:w="2394" w:type="dxa"/>
            <w:vAlign w:val="bottom"/>
            <w:hideMark/>
          </w:tcPr>
          <w:p w:rsidR="00003001" w:rsidRDefault="00003001">
            <w:pPr>
              <w:jc w:val="right"/>
            </w:pPr>
            <w:r>
              <w:t>($795)</w:t>
            </w:r>
          </w:p>
        </w:tc>
      </w:tr>
      <w:tr w:rsidR="00003001" w:rsidTr="00003001">
        <w:tc>
          <w:tcPr>
            <w:tcW w:w="1098" w:type="dxa"/>
            <w:vAlign w:val="bottom"/>
            <w:hideMark/>
          </w:tcPr>
          <w:p w:rsidR="00003001" w:rsidRDefault="00003001">
            <w:pPr>
              <w:jc w:val="center"/>
            </w:pPr>
            <w:r>
              <w:rPr>
                <w:color w:val="000000"/>
              </w:rPr>
              <w:t>361</w:t>
            </w:r>
          </w:p>
        </w:tc>
        <w:tc>
          <w:tcPr>
            <w:tcW w:w="4320" w:type="dxa"/>
            <w:vAlign w:val="bottom"/>
            <w:hideMark/>
          </w:tcPr>
          <w:p w:rsidR="00003001" w:rsidRDefault="00003001">
            <w:r>
              <w:rPr>
                <w:color w:val="000000"/>
              </w:rPr>
              <w:t>Collection Sewers - Gravity</w:t>
            </w:r>
          </w:p>
        </w:tc>
        <w:tc>
          <w:tcPr>
            <w:tcW w:w="2214" w:type="dxa"/>
            <w:vAlign w:val="bottom"/>
            <w:hideMark/>
          </w:tcPr>
          <w:p w:rsidR="00003001" w:rsidRDefault="00003001">
            <w:pPr>
              <w:jc w:val="right"/>
            </w:pPr>
            <w:r>
              <w:t>2,000</w:t>
            </w:r>
          </w:p>
        </w:tc>
        <w:tc>
          <w:tcPr>
            <w:tcW w:w="2394" w:type="dxa"/>
            <w:vAlign w:val="bottom"/>
            <w:hideMark/>
          </w:tcPr>
          <w:p w:rsidR="00003001" w:rsidRDefault="00003001">
            <w:pPr>
              <w:jc w:val="right"/>
            </w:pPr>
            <w:r>
              <w:t>(244)</w:t>
            </w:r>
          </w:p>
        </w:tc>
      </w:tr>
      <w:tr w:rsidR="00003001" w:rsidTr="00003001">
        <w:tc>
          <w:tcPr>
            <w:tcW w:w="1098" w:type="dxa"/>
            <w:vAlign w:val="bottom"/>
            <w:hideMark/>
          </w:tcPr>
          <w:p w:rsidR="00003001" w:rsidRDefault="00003001">
            <w:pPr>
              <w:jc w:val="center"/>
            </w:pPr>
            <w:r>
              <w:rPr>
                <w:color w:val="000000"/>
              </w:rPr>
              <w:t>370</w:t>
            </w:r>
          </w:p>
        </w:tc>
        <w:tc>
          <w:tcPr>
            <w:tcW w:w="4320" w:type="dxa"/>
            <w:vAlign w:val="bottom"/>
            <w:hideMark/>
          </w:tcPr>
          <w:p w:rsidR="00003001" w:rsidRDefault="00003001">
            <w:r>
              <w:rPr>
                <w:color w:val="000000"/>
              </w:rPr>
              <w:t xml:space="preserve">Receiving Wells </w:t>
            </w:r>
          </w:p>
        </w:tc>
        <w:tc>
          <w:tcPr>
            <w:tcW w:w="2214" w:type="dxa"/>
            <w:vAlign w:val="bottom"/>
            <w:hideMark/>
          </w:tcPr>
          <w:p w:rsidR="00003001" w:rsidRDefault="00003001">
            <w:pPr>
              <w:jc w:val="right"/>
            </w:pPr>
            <w:r>
              <w:t>42,158</w:t>
            </w:r>
          </w:p>
        </w:tc>
        <w:tc>
          <w:tcPr>
            <w:tcW w:w="2394" w:type="dxa"/>
            <w:vAlign w:val="bottom"/>
            <w:hideMark/>
          </w:tcPr>
          <w:p w:rsidR="00003001" w:rsidRDefault="00003001">
            <w:pPr>
              <w:jc w:val="right"/>
            </w:pPr>
            <w:r>
              <w:t>1,292</w:t>
            </w:r>
          </w:p>
        </w:tc>
      </w:tr>
      <w:tr w:rsidR="00003001" w:rsidTr="00003001">
        <w:tc>
          <w:tcPr>
            <w:tcW w:w="1098" w:type="dxa"/>
            <w:vAlign w:val="bottom"/>
            <w:hideMark/>
          </w:tcPr>
          <w:p w:rsidR="00003001" w:rsidRDefault="00003001">
            <w:pPr>
              <w:jc w:val="center"/>
            </w:pPr>
            <w:r>
              <w:rPr>
                <w:color w:val="000000"/>
              </w:rPr>
              <w:t>380</w:t>
            </w:r>
          </w:p>
        </w:tc>
        <w:tc>
          <w:tcPr>
            <w:tcW w:w="4320" w:type="dxa"/>
            <w:vAlign w:val="bottom"/>
            <w:hideMark/>
          </w:tcPr>
          <w:p w:rsidR="00003001" w:rsidRDefault="00003001">
            <w:r>
              <w:rPr>
                <w:color w:val="000000"/>
              </w:rPr>
              <w:t>Treatment and Disposal Equipment</w:t>
            </w:r>
          </w:p>
        </w:tc>
        <w:tc>
          <w:tcPr>
            <w:tcW w:w="2214" w:type="dxa"/>
            <w:vAlign w:val="bottom"/>
            <w:hideMark/>
          </w:tcPr>
          <w:p w:rsidR="00003001" w:rsidRDefault="00003001">
            <w:pPr>
              <w:jc w:val="right"/>
              <w:rPr>
                <w:u w:val="single"/>
              </w:rPr>
            </w:pPr>
            <w:r>
              <w:rPr>
                <w:u w:val="single"/>
              </w:rPr>
              <w:t xml:space="preserve">  45,802</w:t>
            </w:r>
          </w:p>
        </w:tc>
        <w:tc>
          <w:tcPr>
            <w:tcW w:w="2394" w:type="dxa"/>
            <w:vAlign w:val="bottom"/>
            <w:hideMark/>
          </w:tcPr>
          <w:p w:rsidR="00003001" w:rsidRDefault="00003001">
            <w:pPr>
              <w:jc w:val="right"/>
              <w:rPr>
                <w:u w:val="single"/>
              </w:rPr>
            </w:pPr>
            <w:r>
              <w:rPr>
                <w:u w:val="single"/>
              </w:rPr>
              <w:t>(4,742)</w:t>
            </w:r>
          </w:p>
        </w:tc>
      </w:tr>
      <w:tr w:rsidR="00003001" w:rsidTr="00003001">
        <w:tc>
          <w:tcPr>
            <w:tcW w:w="1098" w:type="dxa"/>
            <w:vAlign w:val="bottom"/>
          </w:tcPr>
          <w:p w:rsidR="00003001" w:rsidRDefault="00003001">
            <w:pPr>
              <w:jc w:val="center"/>
            </w:pPr>
          </w:p>
        </w:tc>
        <w:tc>
          <w:tcPr>
            <w:tcW w:w="4320" w:type="dxa"/>
            <w:vAlign w:val="bottom"/>
          </w:tcPr>
          <w:p w:rsidR="00003001" w:rsidRDefault="00003001"/>
        </w:tc>
        <w:tc>
          <w:tcPr>
            <w:tcW w:w="2214" w:type="dxa"/>
            <w:vAlign w:val="bottom"/>
          </w:tcPr>
          <w:p w:rsidR="00003001" w:rsidRDefault="00003001">
            <w:pPr>
              <w:jc w:val="right"/>
            </w:pPr>
          </w:p>
        </w:tc>
        <w:tc>
          <w:tcPr>
            <w:tcW w:w="2394" w:type="dxa"/>
            <w:vAlign w:val="bottom"/>
          </w:tcPr>
          <w:p w:rsidR="00003001" w:rsidRDefault="00003001">
            <w:pPr>
              <w:jc w:val="right"/>
            </w:pPr>
          </w:p>
        </w:tc>
      </w:tr>
      <w:tr w:rsidR="00003001" w:rsidTr="00003001">
        <w:tc>
          <w:tcPr>
            <w:tcW w:w="1098" w:type="dxa"/>
            <w:vAlign w:val="bottom"/>
          </w:tcPr>
          <w:p w:rsidR="00003001" w:rsidRDefault="00003001">
            <w:pPr>
              <w:jc w:val="center"/>
            </w:pPr>
          </w:p>
        </w:tc>
        <w:tc>
          <w:tcPr>
            <w:tcW w:w="4320" w:type="dxa"/>
            <w:vAlign w:val="bottom"/>
            <w:hideMark/>
          </w:tcPr>
          <w:p w:rsidR="00003001" w:rsidRDefault="00003001">
            <w:r>
              <w:rPr>
                <w:color w:val="000000"/>
              </w:rPr>
              <w:t>Total</w:t>
            </w:r>
          </w:p>
        </w:tc>
        <w:tc>
          <w:tcPr>
            <w:tcW w:w="2214" w:type="dxa"/>
            <w:vAlign w:val="bottom"/>
            <w:hideMark/>
          </w:tcPr>
          <w:p w:rsidR="00003001" w:rsidRDefault="00003001">
            <w:pPr>
              <w:jc w:val="right"/>
            </w:pPr>
            <w:r>
              <w:rPr>
                <w:color w:val="000000"/>
                <w:u w:val="double"/>
              </w:rPr>
              <w:t>$96,163</w:t>
            </w:r>
          </w:p>
        </w:tc>
        <w:tc>
          <w:tcPr>
            <w:tcW w:w="2394" w:type="dxa"/>
            <w:vAlign w:val="bottom"/>
            <w:hideMark/>
          </w:tcPr>
          <w:p w:rsidR="00003001" w:rsidRDefault="00003001">
            <w:pPr>
              <w:jc w:val="right"/>
            </w:pPr>
            <w:r>
              <w:rPr>
                <w:color w:val="000000"/>
                <w:u w:val="double"/>
              </w:rPr>
              <w:t>($4,488)</w:t>
            </w:r>
          </w:p>
        </w:tc>
      </w:tr>
      <w:tr w:rsidR="00003001" w:rsidTr="00003001">
        <w:tc>
          <w:tcPr>
            <w:tcW w:w="1098" w:type="dxa"/>
            <w:vAlign w:val="bottom"/>
          </w:tcPr>
          <w:p w:rsidR="00003001" w:rsidRDefault="00003001">
            <w:pPr>
              <w:jc w:val="center"/>
            </w:pPr>
          </w:p>
        </w:tc>
        <w:tc>
          <w:tcPr>
            <w:tcW w:w="4320" w:type="dxa"/>
            <w:vAlign w:val="bottom"/>
          </w:tcPr>
          <w:p w:rsidR="00003001" w:rsidRDefault="00003001"/>
        </w:tc>
        <w:tc>
          <w:tcPr>
            <w:tcW w:w="2214" w:type="dxa"/>
            <w:vAlign w:val="bottom"/>
          </w:tcPr>
          <w:p w:rsidR="00003001" w:rsidRDefault="00003001">
            <w:pPr>
              <w:jc w:val="right"/>
            </w:pPr>
          </w:p>
        </w:tc>
        <w:tc>
          <w:tcPr>
            <w:tcW w:w="2394" w:type="dxa"/>
            <w:vAlign w:val="bottom"/>
          </w:tcPr>
          <w:p w:rsidR="00003001" w:rsidRDefault="00003001">
            <w:pPr>
              <w:jc w:val="right"/>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pPr>
          </w:p>
        </w:tc>
        <w:tc>
          <w:tcPr>
            <w:tcW w:w="2394" w:type="dxa"/>
            <w:vAlign w:val="bottom"/>
          </w:tcPr>
          <w:p w:rsidR="00003001" w:rsidRDefault="00003001">
            <w:pPr>
              <w:jc w:val="right"/>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pPr>
          </w:p>
        </w:tc>
        <w:tc>
          <w:tcPr>
            <w:tcW w:w="2394" w:type="dxa"/>
            <w:vAlign w:val="bottom"/>
          </w:tcPr>
          <w:p w:rsidR="00003001" w:rsidRDefault="00003001">
            <w:pPr>
              <w:jc w:val="right"/>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u w:val="single"/>
              </w:rPr>
            </w:pPr>
          </w:p>
        </w:tc>
        <w:tc>
          <w:tcPr>
            <w:tcW w:w="2394" w:type="dxa"/>
            <w:vAlign w:val="bottom"/>
          </w:tcPr>
          <w:p w:rsidR="00003001" w:rsidRDefault="00003001">
            <w:pPr>
              <w:jc w:val="right"/>
              <w:rPr>
                <w:u w:val="single"/>
              </w:rPr>
            </w:pPr>
          </w:p>
        </w:tc>
      </w:tr>
      <w:tr w:rsidR="00003001" w:rsidTr="00003001">
        <w:tc>
          <w:tcPr>
            <w:tcW w:w="1098" w:type="dxa"/>
            <w:vAlign w:val="bottom"/>
          </w:tcPr>
          <w:p w:rsidR="00003001" w:rsidRDefault="00003001">
            <w:pPr>
              <w:jc w:val="center"/>
            </w:pPr>
          </w:p>
        </w:tc>
        <w:tc>
          <w:tcPr>
            <w:tcW w:w="4320" w:type="dxa"/>
            <w:vAlign w:val="bottom"/>
          </w:tcPr>
          <w:p w:rsidR="00003001" w:rsidRDefault="00003001"/>
        </w:tc>
        <w:tc>
          <w:tcPr>
            <w:tcW w:w="2214" w:type="dxa"/>
            <w:vAlign w:val="bottom"/>
          </w:tcPr>
          <w:p w:rsidR="00003001" w:rsidRDefault="00003001">
            <w:pPr>
              <w:jc w:val="right"/>
            </w:pPr>
          </w:p>
        </w:tc>
        <w:tc>
          <w:tcPr>
            <w:tcW w:w="2394" w:type="dxa"/>
            <w:vAlign w:val="bottom"/>
          </w:tcPr>
          <w:p w:rsidR="00003001" w:rsidRDefault="00003001">
            <w:pPr>
              <w:jc w:val="right"/>
            </w:pPr>
          </w:p>
        </w:tc>
      </w:tr>
      <w:tr w:rsidR="00003001" w:rsidTr="00003001">
        <w:tc>
          <w:tcPr>
            <w:tcW w:w="1098" w:type="dxa"/>
            <w:vAlign w:val="bottom"/>
          </w:tcPr>
          <w:p w:rsidR="00003001" w:rsidRDefault="00003001">
            <w:pPr>
              <w:jc w:val="center"/>
            </w:pPr>
          </w:p>
        </w:tc>
        <w:tc>
          <w:tcPr>
            <w:tcW w:w="4320" w:type="dxa"/>
            <w:vAlign w:val="bottom"/>
          </w:tcPr>
          <w:p w:rsidR="00003001" w:rsidRDefault="00003001"/>
        </w:tc>
        <w:tc>
          <w:tcPr>
            <w:tcW w:w="2214" w:type="dxa"/>
            <w:vAlign w:val="bottom"/>
          </w:tcPr>
          <w:p w:rsidR="00003001" w:rsidRDefault="00003001">
            <w:pPr>
              <w:jc w:val="right"/>
            </w:pPr>
          </w:p>
        </w:tc>
        <w:tc>
          <w:tcPr>
            <w:tcW w:w="2394" w:type="dxa"/>
            <w:vAlign w:val="bottom"/>
          </w:tcPr>
          <w:p w:rsidR="00003001" w:rsidRDefault="00003001">
            <w:pPr>
              <w:jc w:val="right"/>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color w:val="000000"/>
              </w:rPr>
            </w:pPr>
          </w:p>
        </w:tc>
        <w:tc>
          <w:tcPr>
            <w:tcW w:w="2394" w:type="dxa"/>
            <w:vAlign w:val="bottom"/>
          </w:tcPr>
          <w:p w:rsidR="00003001" w:rsidRDefault="00003001">
            <w:pPr>
              <w:jc w:val="right"/>
              <w:rPr>
                <w:color w:val="000000"/>
                <w:szCs w:val="22"/>
              </w:rPr>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color w:val="000000"/>
              </w:rPr>
            </w:pPr>
          </w:p>
        </w:tc>
        <w:tc>
          <w:tcPr>
            <w:tcW w:w="2394" w:type="dxa"/>
            <w:vAlign w:val="bottom"/>
          </w:tcPr>
          <w:p w:rsidR="00003001" w:rsidRDefault="00003001">
            <w:pPr>
              <w:jc w:val="right"/>
              <w:rPr>
                <w:color w:val="000000"/>
                <w:szCs w:val="22"/>
              </w:rPr>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color w:val="000000"/>
              </w:rPr>
            </w:pPr>
          </w:p>
        </w:tc>
        <w:tc>
          <w:tcPr>
            <w:tcW w:w="2394" w:type="dxa"/>
            <w:vAlign w:val="bottom"/>
          </w:tcPr>
          <w:p w:rsidR="00003001" w:rsidRDefault="00003001">
            <w:pPr>
              <w:jc w:val="right"/>
              <w:rPr>
                <w:color w:val="000000"/>
                <w:szCs w:val="22"/>
              </w:rPr>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color w:val="000000"/>
              </w:rPr>
            </w:pPr>
          </w:p>
        </w:tc>
        <w:tc>
          <w:tcPr>
            <w:tcW w:w="2394" w:type="dxa"/>
            <w:vAlign w:val="bottom"/>
          </w:tcPr>
          <w:p w:rsidR="00003001" w:rsidRDefault="00003001">
            <w:pPr>
              <w:jc w:val="right"/>
              <w:rPr>
                <w:color w:val="000000"/>
                <w:szCs w:val="22"/>
              </w:rPr>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color w:val="000000"/>
                <w:u w:val="single"/>
              </w:rPr>
            </w:pPr>
          </w:p>
        </w:tc>
        <w:tc>
          <w:tcPr>
            <w:tcW w:w="2394" w:type="dxa"/>
            <w:vAlign w:val="bottom"/>
          </w:tcPr>
          <w:p w:rsidR="00003001" w:rsidRDefault="00003001">
            <w:pPr>
              <w:jc w:val="right"/>
              <w:rPr>
                <w:color w:val="000000"/>
                <w:szCs w:val="22"/>
                <w:u w:val="single"/>
              </w:rPr>
            </w:pPr>
          </w:p>
        </w:tc>
      </w:tr>
      <w:tr w:rsidR="00003001" w:rsidTr="00003001">
        <w:tc>
          <w:tcPr>
            <w:tcW w:w="1098" w:type="dxa"/>
            <w:vAlign w:val="bottom"/>
          </w:tcPr>
          <w:p w:rsidR="00003001" w:rsidRDefault="00003001">
            <w:pPr>
              <w:jc w:val="center"/>
            </w:pPr>
          </w:p>
        </w:tc>
        <w:tc>
          <w:tcPr>
            <w:tcW w:w="4320" w:type="dxa"/>
            <w:vAlign w:val="bottom"/>
          </w:tcPr>
          <w:p w:rsidR="00003001" w:rsidRDefault="00003001"/>
        </w:tc>
        <w:tc>
          <w:tcPr>
            <w:tcW w:w="2214" w:type="dxa"/>
            <w:vAlign w:val="bottom"/>
          </w:tcPr>
          <w:p w:rsidR="00003001" w:rsidRDefault="00003001">
            <w:pPr>
              <w:jc w:val="right"/>
              <w:rPr>
                <w:u w:val="single"/>
              </w:rPr>
            </w:pPr>
          </w:p>
        </w:tc>
        <w:tc>
          <w:tcPr>
            <w:tcW w:w="2394" w:type="dxa"/>
            <w:vAlign w:val="bottom"/>
          </w:tcPr>
          <w:p w:rsidR="00003001" w:rsidRDefault="00003001">
            <w:pPr>
              <w:jc w:val="right"/>
              <w:rPr>
                <w:u w:val="single"/>
              </w:rPr>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color w:val="000000"/>
                <w:u w:val="single"/>
              </w:rPr>
            </w:pPr>
          </w:p>
        </w:tc>
        <w:tc>
          <w:tcPr>
            <w:tcW w:w="2394" w:type="dxa"/>
            <w:vAlign w:val="bottom"/>
          </w:tcPr>
          <w:p w:rsidR="00003001" w:rsidRDefault="00003001">
            <w:pPr>
              <w:jc w:val="right"/>
              <w:rPr>
                <w:color w:val="000000"/>
                <w:u w:val="single"/>
              </w:rPr>
            </w:pPr>
          </w:p>
        </w:tc>
      </w:tr>
      <w:tr w:rsidR="00003001" w:rsidTr="00003001">
        <w:tc>
          <w:tcPr>
            <w:tcW w:w="1098" w:type="dxa"/>
            <w:vAlign w:val="bottom"/>
          </w:tcPr>
          <w:p w:rsidR="00003001" w:rsidRDefault="00003001">
            <w:pPr>
              <w:jc w:val="center"/>
              <w:rPr>
                <w:color w:val="000000"/>
              </w:rPr>
            </w:pPr>
          </w:p>
        </w:tc>
        <w:tc>
          <w:tcPr>
            <w:tcW w:w="4320" w:type="dxa"/>
            <w:vAlign w:val="bottom"/>
          </w:tcPr>
          <w:p w:rsidR="00003001" w:rsidRDefault="00003001">
            <w:pPr>
              <w:rPr>
                <w:color w:val="000000"/>
              </w:rPr>
            </w:pPr>
          </w:p>
        </w:tc>
        <w:tc>
          <w:tcPr>
            <w:tcW w:w="2214" w:type="dxa"/>
            <w:vAlign w:val="bottom"/>
          </w:tcPr>
          <w:p w:rsidR="00003001" w:rsidRDefault="00003001">
            <w:pPr>
              <w:jc w:val="right"/>
              <w:rPr>
                <w:u w:val="double"/>
              </w:rPr>
            </w:pPr>
          </w:p>
        </w:tc>
        <w:tc>
          <w:tcPr>
            <w:tcW w:w="2394" w:type="dxa"/>
            <w:vAlign w:val="bottom"/>
          </w:tcPr>
          <w:p w:rsidR="00003001" w:rsidRDefault="00003001">
            <w:pPr>
              <w:jc w:val="right"/>
              <w:rPr>
                <w:u w:val="double"/>
              </w:rPr>
            </w:pPr>
          </w:p>
        </w:tc>
      </w:tr>
    </w:tbl>
    <w:p w:rsidR="00003001" w:rsidRDefault="00003001" w:rsidP="00003001">
      <w:pPr>
        <w:pStyle w:val="BodyText"/>
      </w:pPr>
    </w:p>
    <w:p w:rsidR="001F1F4B" w:rsidRDefault="001F1F4B" w:rsidP="00003001">
      <w:pPr>
        <w:pStyle w:val="BodyText"/>
        <w:sectPr w:rsidR="001F1F4B">
          <w:headerReference w:type="default" r:id="rId22"/>
          <w:footerReference w:type="default" r:id="rId23"/>
          <w:pgSz w:w="12240" w:h="15840"/>
          <w:pgMar w:top="1440" w:right="1440" w:bottom="1440" w:left="1440" w:header="720" w:footer="720" w:gutter="0"/>
          <w:cols w:space="720"/>
          <w:docGrid w:linePitch="360"/>
        </w:sectPr>
      </w:pPr>
    </w:p>
    <w:p w:rsidR="00B07782" w:rsidRDefault="00B07782" w:rsidP="007C259F">
      <w:pPr>
        <w:autoSpaceDE w:val="0"/>
        <w:autoSpaceDN w:val="0"/>
        <w:adjustRightInd w:val="0"/>
        <w:jc w:val="center"/>
        <w:rPr>
          <w:rFonts w:ascii="Arial" w:eastAsiaTheme="minorHAnsi" w:hAnsi="Arial" w:cs="Arial"/>
          <w:b/>
          <w:bCs/>
          <w:szCs w:val="22"/>
        </w:rPr>
      </w:pPr>
    </w:p>
    <w:p w:rsidR="007C259F" w:rsidRPr="007C259F" w:rsidRDefault="007C259F" w:rsidP="007C259F">
      <w:pPr>
        <w:autoSpaceDE w:val="0"/>
        <w:autoSpaceDN w:val="0"/>
        <w:adjustRightInd w:val="0"/>
        <w:jc w:val="center"/>
        <w:rPr>
          <w:rFonts w:ascii="Arial" w:eastAsiaTheme="minorHAnsi" w:hAnsi="Arial" w:cs="Arial"/>
          <w:b/>
          <w:bCs/>
          <w:szCs w:val="22"/>
        </w:rPr>
      </w:pPr>
      <w:r w:rsidRPr="007C259F">
        <w:rPr>
          <w:rFonts w:ascii="Arial" w:eastAsiaTheme="minorHAnsi" w:hAnsi="Arial" w:cs="Arial"/>
          <w:b/>
          <w:bCs/>
          <w:szCs w:val="22"/>
        </w:rPr>
        <w:t>CSWR – Florida Utility Operating Company, LLC.</w:t>
      </w:r>
    </w:p>
    <w:p w:rsidR="007C259F" w:rsidRDefault="007C259F" w:rsidP="007C259F">
      <w:pPr>
        <w:autoSpaceDE w:val="0"/>
        <w:autoSpaceDN w:val="0"/>
        <w:adjustRightInd w:val="0"/>
        <w:jc w:val="center"/>
        <w:rPr>
          <w:rFonts w:ascii="Arial" w:eastAsiaTheme="minorHAnsi" w:hAnsi="Arial" w:cs="Arial"/>
          <w:b/>
          <w:bCs/>
          <w:szCs w:val="22"/>
        </w:rPr>
      </w:pPr>
      <w:r w:rsidRPr="007C259F">
        <w:rPr>
          <w:rFonts w:ascii="Arial" w:eastAsiaTheme="minorHAnsi" w:hAnsi="Arial" w:cs="Arial"/>
          <w:b/>
          <w:bCs/>
          <w:szCs w:val="22"/>
        </w:rPr>
        <w:t>TKCB</w:t>
      </w:r>
      <w:r w:rsidR="00BC23ED">
        <w:rPr>
          <w:rFonts w:ascii="Arial" w:eastAsiaTheme="minorHAnsi" w:hAnsi="Arial" w:cs="Arial"/>
          <w:b/>
          <w:bCs/>
          <w:szCs w:val="22"/>
        </w:rPr>
        <w:t>, Inc.</w:t>
      </w:r>
    </w:p>
    <w:p w:rsidR="00BC23ED" w:rsidRPr="007C259F" w:rsidRDefault="00BC23ED" w:rsidP="007C259F">
      <w:pPr>
        <w:autoSpaceDE w:val="0"/>
        <w:autoSpaceDN w:val="0"/>
        <w:adjustRightInd w:val="0"/>
        <w:jc w:val="center"/>
        <w:rPr>
          <w:rFonts w:ascii="Arial" w:eastAsiaTheme="minorHAnsi" w:hAnsi="Arial" w:cs="Arial"/>
          <w:szCs w:val="22"/>
        </w:rPr>
      </w:pPr>
    </w:p>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eastAsiaTheme="minorHAnsi" w:hAnsi="Arial" w:cs="Arial"/>
          <w:b/>
          <w:szCs w:val="22"/>
        </w:rPr>
      </w:pPr>
      <w:r w:rsidRPr="007C259F">
        <w:rPr>
          <w:rFonts w:ascii="Arial" w:eastAsiaTheme="minorHAnsi" w:hAnsi="Arial" w:cs="Arial"/>
          <w:b/>
          <w:szCs w:val="22"/>
        </w:rPr>
        <w:t>Monthly Wastewater Rates</w:t>
      </w:r>
    </w:p>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eastAsiaTheme="minorHAnsi" w:hAnsi="Arial" w:cs="Arial"/>
          <w:b/>
          <w:szCs w:val="22"/>
        </w:rPr>
      </w:pPr>
    </w:p>
    <w:tbl>
      <w:tblPr>
        <w:tblW w:w="9969" w:type="dxa"/>
        <w:tblInd w:w="-72" w:type="dxa"/>
        <w:tblLook w:val="01E0" w:firstRow="1" w:lastRow="1" w:firstColumn="1" w:lastColumn="1" w:noHBand="0" w:noVBand="0"/>
      </w:tblPr>
      <w:tblGrid>
        <w:gridCol w:w="5580"/>
        <w:gridCol w:w="990"/>
        <w:gridCol w:w="3399"/>
      </w:tblGrid>
      <w:tr w:rsidR="007C259F" w:rsidRPr="007C259F" w:rsidTr="00943D53">
        <w:tc>
          <w:tcPr>
            <w:tcW w:w="5580" w:type="dxa"/>
            <w:hideMark/>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7C259F">
              <w:rPr>
                <w:rFonts w:ascii="Arial" w:hAnsi="Arial" w:cs="Arial"/>
                <w:b/>
              </w:rPr>
              <w:t>Residential Service</w:t>
            </w:r>
          </w:p>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Base Facility Charge by Meter Size</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C259F" w:rsidRPr="007C259F" w:rsidTr="00943D53">
        <w:tc>
          <w:tcPr>
            <w:tcW w:w="5580" w:type="dxa"/>
            <w:hideMark/>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All Meter Sizes</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$20.25</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Charge Per 1,000 gallons – Residential Service</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6,000 gallon cap</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$7.14</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7C259F">
              <w:rPr>
                <w:rFonts w:ascii="Arial" w:hAnsi="Arial" w:cs="Arial"/>
                <w:b/>
              </w:rPr>
              <w:t>General Service</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Base Facility Charge by Meter Size</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5/8” x 3/4"</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$20.25</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3/4"</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$30.38</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1"</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$50.63</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1 1/2"</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$101.25</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2"</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$162.00</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3"</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$324.00</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4"</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$506.25</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6"</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$1,012.50</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 xml:space="preserve">Charge Per 1,000 gallons </w:t>
            </w: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$8.55</w:t>
            </w: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7C259F" w:rsidRPr="007C259F" w:rsidTr="00943D53">
        <w:tc>
          <w:tcPr>
            <w:tcW w:w="558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90"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rsidR="007C259F" w:rsidRPr="007C259F" w:rsidRDefault="007C259F" w:rsidP="007C259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bl>
    <w:p w:rsidR="00003001" w:rsidRDefault="00003001" w:rsidP="00003001">
      <w:pPr>
        <w:pStyle w:val="BodyText"/>
      </w:pPr>
    </w:p>
    <w:sectPr w:rsidR="00003001">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7E0" w:rsidRDefault="00F727E0">
      <w:r>
        <w:separator/>
      </w:r>
    </w:p>
  </w:endnote>
  <w:endnote w:type="continuationSeparator" w:id="0">
    <w:p w:rsidR="00F727E0" w:rsidRDefault="00F7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62D53">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62D53">
      <w:rPr>
        <w:rStyle w:val="PageNumber"/>
        <w:noProof/>
      </w:rPr>
      <w:t>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62D53">
      <w:rPr>
        <w:rStyle w:val="PageNumber"/>
        <w:noProof/>
      </w:rPr>
      <w:t>11</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3C1D2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94B0A">
      <w:rPr>
        <w:rStyle w:val="PageNumber"/>
        <w:noProof/>
      </w:rPr>
      <w:t>15</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62D53">
      <w:rPr>
        <w:rStyle w:val="PageNumber"/>
        <w:noProof/>
      </w:rPr>
      <w:t>13</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62D53">
      <w:rPr>
        <w:rStyle w:val="PageNumber"/>
        <w:noProof/>
      </w:rPr>
      <w:t>15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7E0" w:rsidRDefault="00F727E0">
      <w:r>
        <w:separator/>
      </w:r>
    </w:p>
  </w:footnote>
  <w:footnote w:type="continuationSeparator" w:id="0">
    <w:p w:rsidR="00F727E0" w:rsidRDefault="00F727E0">
      <w:r>
        <w:continuationSeparator/>
      </w:r>
    </w:p>
  </w:footnote>
  <w:footnote w:id="1">
    <w:p w:rsidR="003C1D2F" w:rsidRPr="005F0590" w:rsidRDefault="003C1D2F" w:rsidP="00253771">
      <w:pPr>
        <w:pStyle w:val="FootnoteText"/>
      </w:pPr>
      <w:r w:rsidRPr="001276F0">
        <w:rPr>
          <w:rStyle w:val="FootnoteReference"/>
        </w:rPr>
        <w:footnoteRef/>
      </w:r>
      <w:r w:rsidR="00EA617F">
        <w:t xml:space="preserve"> </w:t>
      </w:r>
      <w:r w:rsidRPr="00FF6CC1">
        <w:t xml:space="preserve">Order No. </w:t>
      </w:r>
      <w:r w:rsidRPr="003C1D2F">
        <w:t>PSC-2021-0435-PAA-SU</w:t>
      </w:r>
      <w:r w:rsidRPr="00FF6CC1">
        <w:t xml:space="preserve">, issued </w:t>
      </w:r>
      <w:r>
        <w:t>November</w:t>
      </w:r>
      <w:r w:rsidRPr="00FF6CC1">
        <w:t xml:space="preserve"> </w:t>
      </w:r>
      <w:r>
        <w:t>22</w:t>
      </w:r>
      <w:r w:rsidRPr="00FF6CC1">
        <w:t xml:space="preserve">, </w:t>
      </w:r>
      <w:r>
        <w:t>2021</w:t>
      </w:r>
      <w:r w:rsidRPr="00FF6CC1">
        <w:t xml:space="preserve">, in Docket No. </w:t>
      </w:r>
      <w:r>
        <w:t>20210120</w:t>
      </w:r>
      <w:r w:rsidRPr="00FF6CC1">
        <w:t>-</w:t>
      </w:r>
      <w:r>
        <w:t>SU</w:t>
      </w:r>
      <w:r w:rsidRPr="00FF6CC1">
        <w:t xml:space="preserve">, </w:t>
      </w:r>
      <w:r w:rsidRPr="00FF6CC1">
        <w:rPr>
          <w:i/>
        </w:rPr>
        <w:t xml:space="preserve">In </w:t>
      </w:r>
      <w:proofErr w:type="gramStart"/>
      <w:r w:rsidRPr="00FF6CC1">
        <w:rPr>
          <w:i/>
        </w:rPr>
        <w:t>re:</w:t>
      </w:r>
      <w:proofErr w:type="gramEnd"/>
      <w:r w:rsidRPr="00FF6CC1">
        <w:rPr>
          <w:i/>
        </w:rPr>
        <w:t xml:space="preserve"> </w:t>
      </w:r>
      <w:r w:rsidRPr="003C1D2F">
        <w:rPr>
          <w:i/>
        </w:rPr>
        <w:t>Application for a limited alternative rate increase proceeding, by TKCB, Inc</w:t>
      </w:r>
      <w:r w:rsidRPr="00A9218A">
        <w:rPr>
          <w:i/>
        </w:rPr>
        <w:t>.</w:t>
      </w:r>
    </w:p>
  </w:footnote>
  <w:footnote w:id="2">
    <w:p w:rsidR="005A70A4" w:rsidRPr="005A70A4" w:rsidRDefault="005A70A4">
      <w:pPr>
        <w:pStyle w:val="FootnoteText"/>
        <w:rPr>
          <w:i/>
        </w:rPr>
      </w:pPr>
      <w:r>
        <w:rPr>
          <w:rStyle w:val="FootnoteReference"/>
        </w:rPr>
        <w:footnoteRef/>
      </w:r>
      <w:r>
        <w:t xml:space="preserve"> Order No. </w:t>
      </w:r>
      <w:r w:rsidRPr="005A70A4">
        <w:t>PSC-2011-0522-FOF-SU</w:t>
      </w:r>
      <w:r>
        <w:t xml:space="preserve">, issued November 7, 2011, in Docket No. 20100442-SU, </w:t>
      </w:r>
      <w:r>
        <w:rPr>
          <w:i/>
        </w:rPr>
        <w:t xml:space="preserve">In </w:t>
      </w:r>
      <w:proofErr w:type="gramStart"/>
      <w:r>
        <w:rPr>
          <w:i/>
        </w:rPr>
        <w:t>re:</w:t>
      </w:r>
      <w:proofErr w:type="gramEnd"/>
      <w:r>
        <w:rPr>
          <w:i/>
        </w:rPr>
        <w:t xml:space="preserve"> </w:t>
      </w:r>
      <w:r w:rsidRPr="005A70A4">
        <w:rPr>
          <w:i/>
        </w:rPr>
        <w:t>Application for certificate to provide wastewater service in Brevard County by TKCB.</w:t>
      </w:r>
    </w:p>
  </w:footnote>
  <w:footnote w:id="3">
    <w:p w:rsidR="003C1D2F" w:rsidRPr="007358DF" w:rsidRDefault="003C1D2F" w:rsidP="006C2FA4">
      <w:pPr>
        <w:pStyle w:val="FootnoteText"/>
        <w:keepLines/>
      </w:pPr>
      <w:r>
        <w:rPr>
          <w:rStyle w:val="FootnoteReference"/>
        </w:rPr>
        <w:footnoteRef/>
      </w:r>
      <w:r w:rsidR="00EA617F">
        <w:t xml:space="preserve"> </w:t>
      </w:r>
      <w:r w:rsidRPr="006C397E">
        <w:t xml:space="preserve">See </w:t>
      </w:r>
      <w:r>
        <w:t>Order No. P</w:t>
      </w:r>
      <w:r w:rsidRPr="00360720">
        <w:t>SC-2022-0115-PAA-W</w:t>
      </w:r>
      <w:r>
        <w:t xml:space="preserve">S, issued March 15, 2022, in Docket No. 20210093-WS, </w:t>
      </w:r>
      <w:r w:rsidRPr="006C397E">
        <w:rPr>
          <w:i/>
        </w:rPr>
        <w:t xml:space="preserve">In re: </w:t>
      </w:r>
      <w:r w:rsidRPr="0080719D">
        <w:rPr>
          <w:i/>
        </w:rPr>
        <w:t xml:space="preserve">Application for transfer of water and wastewater systems of Aquarina Utilities, Inc., water Certificate No. 517-W, and wastewater Certificate No. 450-S to CSWR-Florida Utility Operating </w:t>
      </w:r>
      <w:r>
        <w:rPr>
          <w:i/>
        </w:rPr>
        <w:t>Company, LLC, in Brevard County</w:t>
      </w:r>
      <w:r>
        <w:t>; Order No. P</w:t>
      </w:r>
      <w:r w:rsidRPr="00360720">
        <w:t>SC-2022-0120-PAA-W</w:t>
      </w:r>
      <w:r>
        <w:t xml:space="preserve">U, issued March 18, 2022, in Docket </w:t>
      </w:r>
      <w:proofErr w:type="gramStart"/>
      <w:r>
        <w:t>No</w:t>
      </w:r>
      <w:proofErr w:type="gramEnd"/>
      <w:r>
        <w:t xml:space="preserve">.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w:t>
      </w:r>
      <w:proofErr w:type="gramStart"/>
      <w:r>
        <w:t>No</w:t>
      </w:r>
      <w:proofErr w:type="gramEnd"/>
      <w:r>
        <w:t xml:space="preserve">.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 xml:space="preserve">In </w:t>
      </w:r>
      <w:proofErr w:type="gramStart"/>
      <w:r w:rsidRPr="006C397E">
        <w:rPr>
          <w:i/>
        </w:rPr>
        <w:t>re:</w:t>
      </w:r>
      <w:proofErr w:type="gramEnd"/>
      <w:r w:rsidRPr="006C397E">
        <w:rPr>
          <w:i/>
        </w:rPr>
        <w:t xml:space="preserve"> Application for transfer of water facilities of Neighborhood Utilities, Inc. and water Certificate No. 430-W to CSWR-Florida Utility Operating Company, LLC, in Duval County</w:t>
      </w:r>
      <w:r>
        <w:rPr>
          <w:i/>
        </w:rPr>
        <w:t xml:space="preserve">; </w:t>
      </w:r>
      <w:r w:rsidR="002D3F0F">
        <w:t xml:space="preserve">Order No. </w:t>
      </w:r>
      <w:r w:rsidR="002D3F0F" w:rsidRPr="002D3F0F">
        <w:t>PSC-2023-0216-PAA-SU</w:t>
      </w:r>
      <w:r w:rsidR="002D3F0F">
        <w:t xml:space="preserve">, issued July 27, 2023, in </w:t>
      </w:r>
      <w:r w:rsidRPr="002D3F0F">
        <w:t>Docket No. 20220149-SU,</w:t>
      </w:r>
      <w:r w:rsidRPr="007358DF">
        <w:rPr>
          <w:i/>
        </w:rPr>
        <w:t xml:space="preserve"> In </w:t>
      </w:r>
      <w:proofErr w:type="gramStart"/>
      <w:r w:rsidRPr="007358DF">
        <w:rPr>
          <w:i/>
        </w:rPr>
        <w:t>re:</w:t>
      </w:r>
      <w:proofErr w:type="gramEnd"/>
      <w:r w:rsidRPr="007358DF">
        <w:rPr>
          <w:i/>
        </w:rPr>
        <w:t xml:space="preserve"> Application for transfer of wastewater Certificate No. 365-S of Sebring Ridge Utilities, Inc. to CSWR-Florida Utility Operating Company, LLC, in Highlands County</w:t>
      </w:r>
      <w:r w:rsidR="002D3F0F">
        <w:t xml:space="preserve">; </w:t>
      </w:r>
      <w:r w:rsidR="009533BC">
        <w:t xml:space="preserve">Order No. </w:t>
      </w:r>
      <w:r w:rsidR="009533BC" w:rsidRPr="009533BC">
        <w:t>PSC-2023-0245-PAA-WS</w:t>
      </w:r>
      <w:r w:rsidR="009533BC">
        <w:t xml:space="preserve">, issued August 17, 2023, in Docket No. 20220063-WS, </w:t>
      </w:r>
      <w:r w:rsidR="009533BC">
        <w:rPr>
          <w:i/>
        </w:rPr>
        <w:t xml:space="preserve">In re: </w:t>
      </w:r>
      <w:r w:rsidR="009533BC" w:rsidRPr="009533BC">
        <w:rPr>
          <w:i/>
        </w:rPr>
        <w:t xml:space="preserve">Application for transfer of water and wastewater facilities of </w:t>
      </w:r>
      <w:proofErr w:type="spellStart"/>
      <w:r w:rsidR="009533BC" w:rsidRPr="009533BC">
        <w:rPr>
          <w:i/>
        </w:rPr>
        <w:t>Tradewinds</w:t>
      </w:r>
      <w:proofErr w:type="spellEnd"/>
      <w:r w:rsidR="009533BC" w:rsidRPr="009533BC">
        <w:rPr>
          <w:i/>
        </w:rPr>
        <w:t xml:space="preserve"> Utilities, Inc., water Certificate No. 405-W, and wastewater Certificate No. 342-S to CSWR-Florida Utility Operating Company, LLC, in Marion County</w:t>
      </w:r>
      <w:r w:rsidR="009533BC">
        <w:t xml:space="preserve">; Order No. </w:t>
      </w:r>
      <w:r w:rsidR="009533BC" w:rsidRPr="009533BC">
        <w:t>PSC-2023-0257-PAA-SU</w:t>
      </w:r>
      <w:r w:rsidR="009533BC">
        <w:t xml:space="preserve">, issued August 21, 2023, in Docket No. 20220061-SU, </w:t>
      </w:r>
      <w:r w:rsidR="009533BC">
        <w:rPr>
          <w:i/>
        </w:rPr>
        <w:t xml:space="preserve">In </w:t>
      </w:r>
      <w:proofErr w:type="gramStart"/>
      <w:r w:rsidR="009533BC">
        <w:rPr>
          <w:i/>
        </w:rPr>
        <w:t>re:</w:t>
      </w:r>
      <w:proofErr w:type="gramEnd"/>
      <w:r w:rsidR="009533BC" w:rsidRPr="009533BC">
        <w:t xml:space="preserve"> </w:t>
      </w:r>
      <w:r w:rsidR="009533BC" w:rsidRPr="009533BC">
        <w:rPr>
          <w:i/>
        </w:rPr>
        <w:t>Application for transfer of wastewater Certificate No. 318-S from BFF Corp to CSWR-Florida utility Operating Company, LLC, in Marion County</w:t>
      </w:r>
      <w:r w:rsidR="009533BC">
        <w:t>;</w:t>
      </w:r>
      <w:r w:rsidR="009533BC">
        <w:rPr>
          <w:i/>
        </w:rPr>
        <w:t xml:space="preserve"> </w:t>
      </w:r>
      <w:r w:rsidR="009533BC">
        <w:t xml:space="preserve">Order No. </w:t>
      </w:r>
      <w:r w:rsidR="009533BC" w:rsidRPr="009533BC">
        <w:t>PSC-2023-0266-PAA-WS</w:t>
      </w:r>
      <w:r w:rsidR="009533BC">
        <w:t xml:space="preserve">, issued August 22, 2023, in Docket No. 20220062-WS, </w:t>
      </w:r>
      <w:r w:rsidR="009533BC">
        <w:rPr>
          <w:i/>
        </w:rPr>
        <w:t>In re:</w:t>
      </w:r>
      <w:r w:rsidR="009533BC" w:rsidRPr="009533BC">
        <w:t xml:space="preserve"> </w:t>
      </w:r>
      <w:r w:rsidR="009533BC" w:rsidRPr="009533BC">
        <w:rPr>
          <w:i/>
        </w:rPr>
        <w:t>Application for transfer of water and wastewater facilities of C.F.A.T. H2O, Inc., water Certificate No. 552-W, and wastewater Certificate No. 481-S to CSWR-Florida Utility Operating Company, LLC, in Marion County</w:t>
      </w:r>
      <w:r w:rsidR="009533BC">
        <w:t>;</w:t>
      </w:r>
      <w:r w:rsidR="009533BC">
        <w:rPr>
          <w:i/>
        </w:rPr>
        <w:t xml:space="preserve"> </w:t>
      </w:r>
      <w:r w:rsidR="004F44C6" w:rsidRPr="004F44C6">
        <w:t xml:space="preserve">Order No. PSC-2023-0305-PAA-WS, issued October 13, 2023, in Docket No. 20220064-WS, </w:t>
      </w:r>
      <w:r w:rsidR="004F44C6" w:rsidRPr="004F44C6">
        <w:rPr>
          <w:i/>
          <w:iCs/>
        </w:rPr>
        <w:t xml:space="preserve">In </w:t>
      </w:r>
      <w:proofErr w:type="gramStart"/>
      <w:r w:rsidR="004F44C6" w:rsidRPr="004F44C6">
        <w:rPr>
          <w:i/>
          <w:iCs/>
        </w:rPr>
        <w:t>re:</w:t>
      </w:r>
      <w:proofErr w:type="gramEnd"/>
      <w:r w:rsidR="004F44C6" w:rsidRPr="004F44C6">
        <w:t xml:space="preserve"> </w:t>
      </w:r>
      <w:r w:rsidR="004F44C6" w:rsidRPr="004F44C6">
        <w:rPr>
          <w:i/>
          <w:iCs/>
        </w:rPr>
        <w:t xml:space="preserve">Application for transfer of water and wastewater facilities of </w:t>
      </w:r>
      <w:proofErr w:type="spellStart"/>
      <w:r w:rsidR="004F44C6" w:rsidRPr="004F44C6">
        <w:rPr>
          <w:i/>
          <w:iCs/>
        </w:rPr>
        <w:t>Tymber</w:t>
      </w:r>
      <w:proofErr w:type="spellEnd"/>
      <w:r w:rsidR="004F44C6" w:rsidRPr="004F44C6">
        <w:rPr>
          <w:i/>
          <w:iCs/>
        </w:rPr>
        <w:t xml:space="preserve"> Creek Utilities, Inc., water Certificate No. 303-W, and wastewater Certificate No. 252-S to CSWR-Florida Utility Operating Company, LLC, in Volusia County</w:t>
      </w:r>
      <w:r w:rsidR="004F44C6">
        <w:rPr>
          <w:i/>
          <w:iCs/>
        </w:rPr>
        <w:t>.</w:t>
      </w:r>
    </w:p>
  </w:footnote>
  <w:footnote w:id="4">
    <w:p w:rsidR="003C1D2F" w:rsidRPr="00CC2932" w:rsidRDefault="003C1D2F" w:rsidP="00293161">
      <w:pPr>
        <w:pStyle w:val="FootnoteText"/>
      </w:pPr>
      <w:r>
        <w:rPr>
          <w:rStyle w:val="FootnoteReference"/>
        </w:rPr>
        <w:footnoteRef/>
      </w:r>
      <w:r w:rsidR="00EA617F">
        <w:t xml:space="preserve"> </w:t>
      </w:r>
      <w:r>
        <w:t xml:space="preserve">Order No. PSC-2019-0362-PAA-SU, issued August 26, 2019, in Docket No. 20180218-SU, </w:t>
      </w:r>
      <w:r>
        <w:rPr>
          <w:i/>
        </w:rPr>
        <w:t xml:space="preserve">In </w:t>
      </w:r>
      <w:proofErr w:type="gramStart"/>
      <w:r>
        <w:rPr>
          <w:i/>
        </w:rPr>
        <w:t>re:</w:t>
      </w:r>
      <w:proofErr w:type="gramEnd"/>
      <w:r>
        <w:rPr>
          <w:i/>
        </w:rPr>
        <w:t xml:space="preserve"> Application for a staff-assisted rate case in Brevard County by TKCB, Inc.</w:t>
      </w:r>
    </w:p>
  </w:footnote>
  <w:footnote w:id="5">
    <w:p w:rsidR="003C1D2F" w:rsidRDefault="003C1D2F" w:rsidP="00293161">
      <w:pPr>
        <w:pStyle w:val="FootnoteText"/>
      </w:pPr>
      <w:r>
        <w:rPr>
          <w:rStyle w:val="FootnoteReference"/>
        </w:rPr>
        <w:footnoteRef/>
      </w:r>
      <w:r w:rsidR="00EA617F">
        <w:t xml:space="preserve"> </w:t>
      </w:r>
      <w:r w:rsidRPr="00082D89">
        <w:t>Net book value is calculated through the date of the closing. According to the Utility’s application, the closing will not occur until after the transaction receives Commission approval. Therefore, staff is relying on the most current information provided to staff auditors at the time of the filing.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20230033-SU</w:t>
    </w:r>
    <w:bookmarkEnd w:id="15"/>
  </w:p>
  <w:p w:rsidR="003C1D2F" w:rsidRDefault="003C1D2F">
    <w:pPr>
      <w:pStyle w:val="Header"/>
    </w:pPr>
    <w:r>
      <w:t xml:space="preserve">Date: </w:t>
    </w:r>
    <w:fldSimple w:instr=" REF FilingDate ">
      <w:r w:rsidR="00DF07FA">
        <w:t>October 27,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220732">
    <w:pPr>
      <w:pStyle w:val="Header"/>
      <w:tabs>
        <w:tab w:val="clear" w:pos="4320"/>
        <w:tab w:val="clear" w:pos="8640"/>
        <w:tab w:val="right" w:pos="9360"/>
      </w:tabs>
    </w:pPr>
    <w:r>
      <w:fldChar w:fldCharType="begin"/>
    </w:r>
    <w:r>
      <w:instrText xml:space="preserve"> REF DocketLabel</w:instrText>
    </w:r>
    <w:r>
      <w:fldChar w:fldCharType="separate"/>
    </w:r>
    <w:r w:rsidR="00DF07FA">
      <w:t>Docket No.</w:t>
    </w:r>
    <w:r>
      <w:fldChar w:fldCharType="end"/>
    </w:r>
    <w:r>
      <w:t xml:space="preserve"> </w:t>
    </w:r>
    <w:r>
      <w:fldChar w:fldCharType="begin"/>
    </w:r>
    <w:r>
      <w:instrText xml:space="preserve"> REF DocketList</w:instrText>
    </w:r>
    <w:r>
      <w:fldChar w:fldCharType="separate"/>
    </w:r>
    <w:r w:rsidR="00DF07FA">
      <w:t>20230033-SU</w:t>
    </w:r>
    <w:r>
      <w:fldChar w:fldCharType="end"/>
    </w:r>
    <w:r>
      <w:tab/>
      <w:t xml:space="preserve">Issue </w:t>
    </w:r>
    <w:fldSimple w:instr=" Seq Issue \c \* Arabic ">
      <w:r w:rsidR="00562D53">
        <w:rPr>
          <w:noProof/>
        </w:rPr>
        <w:t>3</w:t>
      </w:r>
    </w:fldSimple>
  </w:p>
  <w:p w:rsidR="003C1D2F" w:rsidRDefault="003C1D2F">
    <w:pPr>
      <w:pStyle w:val="Header"/>
    </w:pPr>
    <w:r>
      <w:t xml:space="preserve">Date: </w:t>
    </w:r>
    <w:fldSimple w:instr=" REF FilingDate ">
      <w:r w:rsidR="00DF07FA">
        <w:t>October 27,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4C7963">
    <w:pPr>
      <w:pStyle w:val="Header"/>
      <w:tabs>
        <w:tab w:val="clear" w:pos="4320"/>
        <w:tab w:val="clear" w:pos="8640"/>
        <w:tab w:val="left" w:pos="6952"/>
        <w:tab w:val="right" w:pos="9360"/>
      </w:tabs>
    </w:pPr>
    <w:r>
      <w:fldChar w:fldCharType="begin"/>
    </w:r>
    <w:r>
      <w:instrText xml:space="preserve"> REF DocketLabel</w:instrText>
    </w:r>
    <w:r>
      <w:fldChar w:fldCharType="separate"/>
    </w:r>
    <w:r w:rsidR="00DF07FA">
      <w:t>Docket No.</w:t>
    </w:r>
    <w:r>
      <w:fldChar w:fldCharType="end"/>
    </w:r>
    <w:r>
      <w:t xml:space="preserve"> </w:t>
    </w:r>
    <w:r>
      <w:fldChar w:fldCharType="begin"/>
    </w:r>
    <w:r>
      <w:instrText xml:space="preserve"> REF DocketList</w:instrText>
    </w:r>
    <w:r>
      <w:fldChar w:fldCharType="separate"/>
    </w:r>
    <w:r w:rsidR="00DF07FA">
      <w:t>20230033-SU</w:t>
    </w:r>
    <w:r>
      <w:fldChar w:fldCharType="end"/>
    </w:r>
    <w:r>
      <w:tab/>
    </w:r>
    <w:r w:rsidR="004C7963">
      <w:tab/>
    </w:r>
    <w:r>
      <w:t>Attachment A</w:t>
    </w:r>
  </w:p>
  <w:p w:rsidR="003C1D2F" w:rsidRDefault="003C1D2F" w:rsidP="007C331E">
    <w:pPr>
      <w:pStyle w:val="Header"/>
      <w:tabs>
        <w:tab w:val="clear" w:pos="8640"/>
        <w:tab w:val="right" w:pos="9360"/>
      </w:tabs>
    </w:pPr>
    <w:r>
      <w:t xml:space="preserve">Date: </w:t>
    </w:r>
    <w:fldSimple w:instr=" REF FilingDate ">
      <w:r w:rsidR="00DF07FA">
        <w:t>October 27, 2023</w:t>
      </w:r>
    </w:fldSimple>
    <w:r>
      <w:tab/>
    </w:r>
    <w:r>
      <w:tab/>
      <w:t xml:space="preserve"> Page </w:t>
    </w:r>
    <w:r w:rsidR="00BA6F79">
      <w:fldChar w:fldCharType="begin"/>
    </w:r>
    <w:r w:rsidR="00BA6F79">
      <w:instrText xml:space="preserve">= </w:instrText>
    </w:r>
    <w:r w:rsidR="00BA6F79">
      <w:fldChar w:fldCharType="begin"/>
    </w:r>
    <w:r w:rsidR="00BA6F79">
      <w:instrText xml:space="preserve">page  </w:instrText>
    </w:r>
    <w:r w:rsidR="00BA6F79">
      <w:fldChar w:fldCharType="separate"/>
    </w:r>
    <w:r w:rsidR="00562D53">
      <w:rPr>
        <w:noProof/>
      </w:rPr>
      <w:instrText>11</w:instrText>
    </w:r>
    <w:r w:rsidR="00BA6F79">
      <w:fldChar w:fldCharType="end"/>
    </w:r>
    <w:r w:rsidR="00BA6F79">
      <w:instrText xml:space="preserve">-9 </w:instrText>
    </w:r>
    <w:r w:rsidR="00BA6F79">
      <w:fldChar w:fldCharType="separate"/>
    </w:r>
    <w:r w:rsidR="00562D53">
      <w:rPr>
        <w:noProof/>
      </w:rPr>
      <w:t>2</w:t>
    </w:r>
    <w:r w:rsidR="00BA6F79">
      <w:fldChar w:fldCharType="end"/>
    </w:r>
    <w:r>
      <w:fldChar w:fldCharType="begin"/>
    </w:r>
    <w:r>
      <w:instrText xml:space="preserve"> </w:instrText>
    </w:r>
    <w:r>
      <w:fldChar w:fldCharType="begin"/>
    </w:r>
    <w:r>
      <w:instrText xml:space="preserve"> </w:instrText>
    </w:r>
    <w:r>
      <w:fldChar w:fldCharType="begin"/>
    </w:r>
    <w:r>
      <w:instrText xml:space="preserve">= </w:instrText>
    </w:r>
    <w:r>
      <w:fldChar w:fldCharType="begin"/>
    </w:r>
    <w:r>
      <w:instrText xml:space="preserve">page  </w:instrText>
    </w:r>
    <w:r>
      <w:fldChar w:fldCharType="separate"/>
    </w:r>
    <w:r w:rsidR="00562D53">
      <w:rPr>
        <w:noProof/>
      </w:rPr>
      <w:instrText>11</w:instrText>
    </w:r>
    <w:r>
      <w:fldChar w:fldCharType="end"/>
    </w:r>
    <w:r>
      <w:instrText xml:space="preserve">-11 </w:instrText>
    </w:r>
    <w:r>
      <w:fldChar w:fldCharType="separate"/>
    </w:r>
    <w:r w:rsidR="00562D53">
      <w:rPr>
        <w:noProof/>
      </w:rPr>
      <w:instrText>0</w:instrText>
    </w:r>
    <w:r>
      <w:fldChar w:fldCharType="end"/>
    </w:r>
    <w:r>
      <w:instrText xml:space="preserve"> </w:instrText>
    </w:r>
    <w:r>
      <w:fldChar w:fldCharType="end"/>
    </w:r>
    <w:r>
      <w:instrText xml:space="preserve"> </w:instrText>
    </w:r>
    <w:r>
      <w:fldChar w:fldCharType="end"/>
    </w:r>
    <w: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3C1D2F">
    <w:pPr>
      <w:pStyle w:val="BodyText"/>
      <w:spacing w:after="0"/>
    </w:pPr>
    <w:r>
      <w:t>Docket No. 090366-WU</w:t>
    </w:r>
    <w:r>
      <w:tab/>
    </w:r>
    <w:r>
      <w:tab/>
    </w:r>
    <w:r>
      <w:tab/>
    </w:r>
    <w:r>
      <w:tab/>
    </w:r>
    <w:r>
      <w:tab/>
    </w:r>
    <w:r>
      <w:tab/>
    </w:r>
    <w:r>
      <w:tab/>
    </w:r>
    <w:r>
      <w:tab/>
      <w:t>Attachment A</w:t>
    </w:r>
  </w:p>
  <w:p w:rsidR="003C1D2F" w:rsidRDefault="003C1D2F" w:rsidP="003C1D2F">
    <w:pPr>
      <w:pStyle w:val="Header"/>
      <w:tabs>
        <w:tab w:val="left" w:pos="7923"/>
      </w:tabs>
    </w:pPr>
    <w:r>
      <w:t xml:space="preserve">Date: </w:t>
    </w:r>
    <w:fldSimple w:instr=" REF FilingDate ">
      <w:r w:rsidR="00DF07FA">
        <w:t>October 27, 2023</w:t>
      </w:r>
    </w:fldSimple>
    <w:r>
      <w:tab/>
    </w:r>
    <w:r>
      <w:tab/>
      <w:t>Page 1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220732">
    <w:pPr>
      <w:pStyle w:val="Header"/>
      <w:tabs>
        <w:tab w:val="clear" w:pos="4320"/>
        <w:tab w:val="clear" w:pos="8640"/>
        <w:tab w:val="right" w:pos="9360"/>
      </w:tabs>
    </w:pPr>
    <w:r>
      <w:fldChar w:fldCharType="begin"/>
    </w:r>
    <w:r>
      <w:instrText xml:space="preserve"> REF DocketLabel</w:instrText>
    </w:r>
    <w:r>
      <w:fldChar w:fldCharType="separate"/>
    </w:r>
    <w:r w:rsidR="00DF07FA">
      <w:t>Docket No.</w:t>
    </w:r>
    <w:r>
      <w:fldChar w:fldCharType="end"/>
    </w:r>
    <w:r>
      <w:t xml:space="preserve"> </w:t>
    </w:r>
    <w:r>
      <w:fldChar w:fldCharType="begin"/>
    </w:r>
    <w:r>
      <w:instrText xml:space="preserve"> REF DocketList</w:instrText>
    </w:r>
    <w:r>
      <w:fldChar w:fldCharType="separate"/>
    </w:r>
    <w:r w:rsidR="00DF07FA">
      <w:t>20230033-SU</w:t>
    </w:r>
    <w:r>
      <w:fldChar w:fldCharType="end"/>
    </w:r>
    <w:r>
      <w:tab/>
      <w:t>Schedule No. 1</w:t>
    </w:r>
  </w:p>
  <w:p w:rsidR="003C1D2F" w:rsidRDefault="003C1D2F" w:rsidP="007C331E">
    <w:pPr>
      <w:pStyle w:val="Header"/>
      <w:tabs>
        <w:tab w:val="clear" w:pos="8640"/>
        <w:tab w:val="right" w:pos="9360"/>
      </w:tabs>
    </w:pPr>
    <w:r>
      <w:t xml:space="preserve">Date: </w:t>
    </w:r>
    <w:fldSimple w:instr=" REF FilingDate ">
      <w:r w:rsidR="00DF07FA">
        <w:t>October 27, 2023</w:t>
      </w:r>
    </w:fldSimple>
    <w:r>
      <w:tab/>
    </w:r>
    <w:r>
      <w:tab/>
      <w:t xml:space="preserve"> 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220732">
    <w:pPr>
      <w:pStyle w:val="Header"/>
      <w:tabs>
        <w:tab w:val="clear" w:pos="4320"/>
        <w:tab w:val="clear" w:pos="8640"/>
        <w:tab w:val="right" w:pos="9360"/>
      </w:tabs>
    </w:pPr>
    <w:r>
      <w:fldChar w:fldCharType="begin"/>
    </w:r>
    <w:r>
      <w:instrText xml:space="preserve"> REF DocketLabel</w:instrText>
    </w:r>
    <w:r>
      <w:fldChar w:fldCharType="separate"/>
    </w:r>
    <w:r w:rsidR="00DF07FA">
      <w:t>Docket No.</w:t>
    </w:r>
    <w:r>
      <w:fldChar w:fldCharType="end"/>
    </w:r>
    <w:r>
      <w:t xml:space="preserve"> </w:t>
    </w:r>
    <w:r>
      <w:fldChar w:fldCharType="begin"/>
    </w:r>
    <w:r>
      <w:instrText xml:space="preserve"> REF DocketList</w:instrText>
    </w:r>
    <w:r>
      <w:fldChar w:fldCharType="separate"/>
    </w:r>
    <w:r w:rsidR="00DF07FA">
      <w:t>20230033-SU</w:t>
    </w:r>
    <w:r>
      <w:fldChar w:fldCharType="end"/>
    </w:r>
    <w:r>
      <w:tab/>
      <w:t>Schedule No. 2</w:t>
    </w:r>
  </w:p>
  <w:p w:rsidR="003C1D2F" w:rsidRDefault="003C1D2F" w:rsidP="007C331E">
    <w:pPr>
      <w:pStyle w:val="Header"/>
      <w:tabs>
        <w:tab w:val="clear" w:pos="8640"/>
        <w:tab w:val="right" w:pos="9360"/>
      </w:tabs>
    </w:pPr>
    <w:r>
      <w:t xml:space="preserve">Date: </w:t>
    </w:r>
    <w:fldSimple w:instr=" REF FilingDate ">
      <w:r w:rsidR="00DF07FA">
        <w:t>October 27, 2023</w:t>
      </w:r>
    </w:fldSimple>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220732">
    <w:pPr>
      <w:pStyle w:val="Header"/>
      <w:tabs>
        <w:tab w:val="clear" w:pos="4320"/>
        <w:tab w:val="clear" w:pos="8640"/>
        <w:tab w:val="right" w:pos="9360"/>
      </w:tabs>
    </w:pPr>
    <w:r>
      <w:fldChar w:fldCharType="begin"/>
    </w:r>
    <w:r>
      <w:instrText xml:space="preserve"> REF DocketLabel</w:instrText>
    </w:r>
    <w:r>
      <w:fldChar w:fldCharType="separate"/>
    </w:r>
    <w:r w:rsidR="00DF07FA">
      <w:t>Docket No.</w:t>
    </w:r>
    <w:r>
      <w:fldChar w:fldCharType="end"/>
    </w:r>
    <w:r>
      <w:t xml:space="preserve"> </w:t>
    </w:r>
    <w:r>
      <w:fldChar w:fldCharType="begin"/>
    </w:r>
    <w:r>
      <w:instrText xml:space="preserve"> REF DocketList</w:instrText>
    </w:r>
    <w:r>
      <w:fldChar w:fldCharType="separate"/>
    </w:r>
    <w:r w:rsidR="00DF07FA">
      <w:t>20230033-SU</w:t>
    </w:r>
    <w:r>
      <w:fldChar w:fldCharType="end"/>
    </w:r>
    <w:r>
      <w:tab/>
      <w:t>Schedule No. 3</w:t>
    </w:r>
  </w:p>
  <w:p w:rsidR="003C1D2F" w:rsidRDefault="003C1D2F" w:rsidP="007C331E">
    <w:pPr>
      <w:pStyle w:val="Header"/>
      <w:tabs>
        <w:tab w:val="clear" w:pos="8640"/>
        <w:tab w:val="right" w:pos="9360"/>
      </w:tabs>
    </w:pPr>
    <w:r>
      <w:t xml:space="preserve">Date: </w:t>
    </w:r>
    <w:fldSimple w:instr=" REF FilingDate ">
      <w:r w:rsidR="00DF07FA">
        <w:t>October 27, 2023</w:t>
      </w:r>
    </w:fldSimple>
    <w:r>
      <w:tab/>
    </w:r>
    <w:r>
      <w:tab/>
      <w:t xml:space="preserve"> 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2F" w:rsidRDefault="003C1D2F" w:rsidP="00220732">
    <w:pPr>
      <w:pStyle w:val="Header"/>
      <w:tabs>
        <w:tab w:val="clear" w:pos="4320"/>
        <w:tab w:val="clear" w:pos="8640"/>
        <w:tab w:val="right" w:pos="9360"/>
      </w:tabs>
    </w:pPr>
    <w:r>
      <w:fldChar w:fldCharType="begin"/>
    </w:r>
    <w:r>
      <w:instrText xml:space="preserve"> REF DocketLabel</w:instrText>
    </w:r>
    <w:r>
      <w:fldChar w:fldCharType="separate"/>
    </w:r>
    <w:r w:rsidR="00DF07FA">
      <w:t>Docket No.</w:t>
    </w:r>
    <w:r>
      <w:fldChar w:fldCharType="end"/>
    </w:r>
    <w:r>
      <w:t xml:space="preserve"> </w:t>
    </w:r>
    <w:r>
      <w:fldChar w:fldCharType="begin"/>
    </w:r>
    <w:r>
      <w:instrText xml:space="preserve"> REF DocketList</w:instrText>
    </w:r>
    <w:r>
      <w:fldChar w:fldCharType="separate"/>
    </w:r>
    <w:r w:rsidR="00DF07FA">
      <w:t>20230033-SU</w:t>
    </w:r>
    <w:r>
      <w:fldChar w:fldCharType="end"/>
    </w:r>
    <w:r>
      <w:tab/>
      <w:t>Schedule No. 4</w:t>
    </w:r>
  </w:p>
  <w:p w:rsidR="003C1D2F" w:rsidRDefault="003C1D2F" w:rsidP="007C331E">
    <w:pPr>
      <w:pStyle w:val="Header"/>
      <w:tabs>
        <w:tab w:val="clear" w:pos="8640"/>
        <w:tab w:val="right" w:pos="9360"/>
      </w:tabs>
    </w:pPr>
    <w:r>
      <w:t xml:space="preserve">Date: </w:t>
    </w:r>
    <w:fldSimple w:instr=" REF FilingDate ">
      <w:r w:rsidR="00DF07FA">
        <w:t>October 27, 2023</w:t>
      </w:r>
    </w:fldSimple>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B24C3A"/>
    <w:multiLevelType w:val="hybridMultilevel"/>
    <w:tmpl w:val="7C94CD4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C2FA4"/>
    <w:rsid w:val="00003001"/>
    <w:rsid w:val="000043D5"/>
    <w:rsid w:val="00006170"/>
    <w:rsid w:val="00010E37"/>
    <w:rsid w:val="00015979"/>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86038"/>
    <w:rsid w:val="000A2B57"/>
    <w:rsid w:val="000A418B"/>
    <w:rsid w:val="000B0ACE"/>
    <w:rsid w:val="000C4431"/>
    <w:rsid w:val="000C6607"/>
    <w:rsid w:val="000D1C06"/>
    <w:rsid w:val="000D3043"/>
    <w:rsid w:val="000D4319"/>
    <w:rsid w:val="000E24FA"/>
    <w:rsid w:val="000E338A"/>
    <w:rsid w:val="000E4392"/>
    <w:rsid w:val="000E4AFB"/>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973AE"/>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1F4B"/>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53771"/>
    <w:rsid w:val="00263D44"/>
    <w:rsid w:val="002702AD"/>
    <w:rsid w:val="00275B69"/>
    <w:rsid w:val="00281EB4"/>
    <w:rsid w:val="00292D82"/>
    <w:rsid w:val="00293161"/>
    <w:rsid w:val="00293EE7"/>
    <w:rsid w:val="002947B6"/>
    <w:rsid w:val="002948E7"/>
    <w:rsid w:val="002963CB"/>
    <w:rsid w:val="002A4FB0"/>
    <w:rsid w:val="002B2DAC"/>
    <w:rsid w:val="002B3BDA"/>
    <w:rsid w:val="002B4A01"/>
    <w:rsid w:val="002C291B"/>
    <w:rsid w:val="002C4C13"/>
    <w:rsid w:val="002C746A"/>
    <w:rsid w:val="002C7E4E"/>
    <w:rsid w:val="002D226D"/>
    <w:rsid w:val="002D3F0F"/>
    <w:rsid w:val="002D74E3"/>
    <w:rsid w:val="002F6030"/>
    <w:rsid w:val="003001AC"/>
    <w:rsid w:val="003031DB"/>
    <w:rsid w:val="003037E1"/>
    <w:rsid w:val="00307E51"/>
    <w:rsid w:val="003103EC"/>
    <w:rsid w:val="00311B2A"/>
    <w:rsid w:val="00312132"/>
    <w:rsid w:val="003130BA"/>
    <w:rsid w:val="003144EF"/>
    <w:rsid w:val="0031480E"/>
    <w:rsid w:val="00316877"/>
    <w:rsid w:val="00322F74"/>
    <w:rsid w:val="00325E15"/>
    <w:rsid w:val="00340073"/>
    <w:rsid w:val="003411D8"/>
    <w:rsid w:val="00344025"/>
    <w:rsid w:val="003445B0"/>
    <w:rsid w:val="00353B66"/>
    <w:rsid w:val="003543AF"/>
    <w:rsid w:val="00355934"/>
    <w:rsid w:val="00357928"/>
    <w:rsid w:val="003632FD"/>
    <w:rsid w:val="00370F78"/>
    <w:rsid w:val="00372805"/>
    <w:rsid w:val="00373180"/>
    <w:rsid w:val="00375AB9"/>
    <w:rsid w:val="0037691E"/>
    <w:rsid w:val="003821A0"/>
    <w:rsid w:val="00385B04"/>
    <w:rsid w:val="003864CF"/>
    <w:rsid w:val="00393652"/>
    <w:rsid w:val="003948AE"/>
    <w:rsid w:val="003A08C0"/>
    <w:rsid w:val="003A22A6"/>
    <w:rsid w:val="003A32EB"/>
    <w:rsid w:val="003A5494"/>
    <w:rsid w:val="003B2510"/>
    <w:rsid w:val="003B4355"/>
    <w:rsid w:val="003C1D2F"/>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4CA5"/>
    <w:rsid w:val="00455499"/>
    <w:rsid w:val="00464267"/>
    <w:rsid w:val="004649A7"/>
    <w:rsid w:val="00471860"/>
    <w:rsid w:val="00477026"/>
    <w:rsid w:val="00477394"/>
    <w:rsid w:val="00477730"/>
    <w:rsid w:val="004828B8"/>
    <w:rsid w:val="004A0265"/>
    <w:rsid w:val="004A744D"/>
    <w:rsid w:val="004B60BD"/>
    <w:rsid w:val="004C3150"/>
    <w:rsid w:val="004C3641"/>
    <w:rsid w:val="004C3873"/>
    <w:rsid w:val="004C4390"/>
    <w:rsid w:val="004C4AF7"/>
    <w:rsid w:val="004C7501"/>
    <w:rsid w:val="004C7963"/>
    <w:rsid w:val="004D020C"/>
    <w:rsid w:val="004D2881"/>
    <w:rsid w:val="004D2D7D"/>
    <w:rsid w:val="004D385F"/>
    <w:rsid w:val="004D5B39"/>
    <w:rsid w:val="004D7976"/>
    <w:rsid w:val="004E0CEA"/>
    <w:rsid w:val="004E330D"/>
    <w:rsid w:val="004E4985"/>
    <w:rsid w:val="004E5147"/>
    <w:rsid w:val="004E69B5"/>
    <w:rsid w:val="004F27A2"/>
    <w:rsid w:val="004F44C6"/>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6677"/>
    <w:rsid w:val="00560FF0"/>
    <w:rsid w:val="005614BD"/>
    <w:rsid w:val="00562D53"/>
    <w:rsid w:val="0057154F"/>
    <w:rsid w:val="00580F69"/>
    <w:rsid w:val="00581CA3"/>
    <w:rsid w:val="00585031"/>
    <w:rsid w:val="00586E8B"/>
    <w:rsid w:val="00587A44"/>
    <w:rsid w:val="00597730"/>
    <w:rsid w:val="005977EC"/>
    <w:rsid w:val="00597DE7"/>
    <w:rsid w:val="005A4AA2"/>
    <w:rsid w:val="005A70A4"/>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5EFE"/>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2A23"/>
    <w:rsid w:val="006B09C4"/>
    <w:rsid w:val="006B3947"/>
    <w:rsid w:val="006B4293"/>
    <w:rsid w:val="006B624F"/>
    <w:rsid w:val="006B6C94"/>
    <w:rsid w:val="006C0C95"/>
    <w:rsid w:val="006C2FA4"/>
    <w:rsid w:val="006C31E3"/>
    <w:rsid w:val="006D18D3"/>
    <w:rsid w:val="006D1A09"/>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1BBC"/>
    <w:rsid w:val="007834E9"/>
    <w:rsid w:val="00787DBC"/>
    <w:rsid w:val="0079019A"/>
    <w:rsid w:val="00792935"/>
    <w:rsid w:val="007A04A1"/>
    <w:rsid w:val="007A1840"/>
    <w:rsid w:val="007B6A83"/>
    <w:rsid w:val="007B730C"/>
    <w:rsid w:val="007C0528"/>
    <w:rsid w:val="007C08EA"/>
    <w:rsid w:val="007C1810"/>
    <w:rsid w:val="007C259F"/>
    <w:rsid w:val="007C331E"/>
    <w:rsid w:val="007C3D38"/>
    <w:rsid w:val="007D0F35"/>
    <w:rsid w:val="007D4546"/>
    <w:rsid w:val="007D4FEB"/>
    <w:rsid w:val="007D6146"/>
    <w:rsid w:val="007E0CE7"/>
    <w:rsid w:val="007F1193"/>
    <w:rsid w:val="007F417F"/>
    <w:rsid w:val="007F7644"/>
    <w:rsid w:val="008042BD"/>
    <w:rsid w:val="008050B3"/>
    <w:rsid w:val="0080719D"/>
    <w:rsid w:val="00816624"/>
    <w:rsid w:val="0082133B"/>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33BC"/>
    <w:rsid w:val="009656F2"/>
    <w:rsid w:val="00966864"/>
    <w:rsid w:val="00966A08"/>
    <w:rsid w:val="009701B7"/>
    <w:rsid w:val="00971207"/>
    <w:rsid w:val="00975557"/>
    <w:rsid w:val="00975CB4"/>
    <w:rsid w:val="009863B0"/>
    <w:rsid w:val="00987DE1"/>
    <w:rsid w:val="00990571"/>
    <w:rsid w:val="00991905"/>
    <w:rsid w:val="009926B2"/>
    <w:rsid w:val="00994B0A"/>
    <w:rsid w:val="0099673A"/>
    <w:rsid w:val="009A3291"/>
    <w:rsid w:val="009A3330"/>
    <w:rsid w:val="009A548F"/>
    <w:rsid w:val="009A5496"/>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76924"/>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E5DD8"/>
    <w:rsid w:val="00AF13D0"/>
    <w:rsid w:val="00AF5E0E"/>
    <w:rsid w:val="00AF5F89"/>
    <w:rsid w:val="00AF6FB4"/>
    <w:rsid w:val="00AF73CB"/>
    <w:rsid w:val="00B002D6"/>
    <w:rsid w:val="00B02EF0"/>
    <w:rsid w:val="00B03379"/>
    <w:rsid w:val="00B03FA5"/>
    <w:rsid w:val="00B04110"/>
    <w:rsid w:val="00B05B51"/>
    <w:rsid w:val="00B07782"/>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6F79"/>
    <w:rsid w:val="00BA7F46"/>
    <w:rsid w:val="00BB0F1D"/>
    <w:rsid w:val="00BB3493"/>
    <w:rsid w:val="00BB56CB"/>
    <w:rsid w:val="00BB6E4C"/>
    <w:rsid w:val="00BB7468"/>
    <w:rsid w:val="00BC0514"/>
    <w:rsid w:val="00BC188A"/>
    <w:rsid w:val="00BC23ED"/>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1A7"/>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39F6"/>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D4F"/>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64"/>
    <w:rsid w:val="00DB7D96"/>
    <w:rsid w:val="00DC23FE"/>
    <w:rsid w:val="00DC59E6"/>
    <w:rsid w:val="00DD150B"/>
    <w:rsid w:val="00DD1EEB"/>
    <w:rsid w:val="00DD3356"/>
    <w:rsid w:val="00DD5025"/>
    <w:rsid w:val="00DD5464"/>
    <w:rsid w:val="00DD6F85"/>
    <w:rsid w:val="00DE254E"/>
    <w:rsid w:val="00DE32C0"/>
    <w:rsid w:val="00DE76A7"/>
    <w:rsid w:val="00DF07FA"/>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617F"/>
    <w:rsid w:val="00EA7C3C"/>
    <w:rsid w:val="00EB2DB3"/>
    <w:rsid w:val="00EC3FBB"/>
    <w:rsid w:val="00EC6B7A"/>
    <w:rsid w:val="00ED0C8D"/>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16C55"/>
    <w:rsid w:val="00F200B2"/>
    <w:rsid w:val="00F227DC"/>
    <w:rsid w:val="00F30701"/>
    <w:rsid w:val="00F32978"/>
    <w:rsid w:val="00F45CB2"/>
    <w:rsid w:val="00F511F3"/>
    <w:rsid w:val="00F544C0"/>
    <w:rsid w:val="00F55332"/>
    <w:rsid w:val="00F6156E"/>
    <w:rsid w:val="00F6504A"/>
    <w:rsid w:val="00F65519"/>
    <w:rsid w:val="00F66D9F"/>
    <w:rsid w:val="00F713C0"/>
    <w:rsid w:val="00F727E0"/>
    <w:rsid w:val="00F75DDC"/>
    <w:rsid w:val="00F7792F"/>
    <w:rsid w:val="00F842AA"/>
    <w:rsid w:val="00F8476F"/>
    <w:rsid w:val="00F853E1"/>
    <w:rsid w:val="00F85604"/>
    <w:rsid w:val="00F93809"/>
    <w:rsid w:val="00F94B7A"/>
    <w:rsid w:val="00FA17AC"/>
    <w:rsid w:val="00FA32DE"/>
    <w:rsid w:val="00FA3382"/>
    <w:rsid w:val="00FA4E14"/>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5EAB"/>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5:docId w15:val="{E2A446C9-1E59-41F9-B0B3-D9165683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C2FA4"/>
    <w:rPr>
      <w:vertAlign w:val="superscript"/>
    </w:rPr>
  </w:style>
  <w:style w:type="character" w:customStyle="1" w:styleId="FootnoteTextChar">
    <w:name w:val="Footnote Text Char"/>
    <w:basedOn w:val="DefaultParagraphFont"/>
    <w:link w:val="FootnoteText"/>
    <w:rsid w:val="006C2FA4"/>
  </w:style>
  <w:style w:type="table" w:customStyle="1" w:styleId="TableGrid121">
    <w:name w:val="Table Grid121"/>
    <w:basedOn w:val="TableNormal"/>
    <w:uiPriority w:val="59"/>
    <w:rsid w:val="006C2FA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1681">
      <w:bodyDiv w:val="1"/>
      <w:marLeft w:val="0"/>
      <w:marRight w:val="0"/>
      <w:marTop w:val="0"/>
      <w:marBottom w:val="0"/>
      <w:divBdr>
        <w:top w:val="none" w:sz="0" w:space="0" w:color="auto"/>
        <w:left w:val="none" w:sz="0" w:space="0" w:color="auto"/>
        <w:bottom w:val="none" w:sz="0" w:space="0" w:color="auto"/>
        <w:right w:val="none" w:sz="0" w:space="0" w:color="auto"/>
      </w:divBdr>
    </w:div>
    <w:div w:id="15804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0B38D-EF19-40E3-A2D6-EBD1AD4F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15</Pages>
  <Words>3167</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Patti Zellner</cp:lastModifiedBy>
  <cp:revision>2</cp:revision>
  <cp:lastPrinted>2004-01-27T20:32:00Z</cp:lastPrinted>
  <dcterms:created xsi:type="dcterms:W3CDTF">2023-10-27T13:18:00Z</dcterms:created>
  <dcterms:modified xsi:type="dcterms:W3CDTF">2023-10-27T13:18:00Z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20230033-SU</vt:lpwstr>
  </property>
  <property fmtid="{D5CDD505-2E9C-101B-9397-08002B2CF9AE}" pid="3" name="MasterDocument">
    <vt:bool>false</vt:bool>
  </property>
</Properties>
</file>