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colFirst="2" w:colLast="2"/>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3C66CF" w:rsidRDefault="00B60705">
            <w:pPr>
              <w:pStyle w:val="MemoHeading"/>
            </w:pPr>
            <w:bookmarkStart w:id="1" w:name="FilingDate"/>
            <w:r w:rsidRPr="003C66CF">
              <w:t xml:space="preserve">April </w:t>
            </w:r>
            <w:bookmarkEnd w:id="1"/>
            <w:r w:rsidR="003C66CF" w:rsidRPr="003C66CF">
              <w:t>25, 2024</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60705" w:rsidRDefault="005E3F65">
            <w:pPr>
              <w:pStyle w:val="MemoHeading"/>
            </w:pPr>
            <w:bookmarkStart w:id="2" w:name="From"/>
            <w:r>
              <w:t>Division of Economics (</w:t>
            </w:r>
            <w:r w:rsidR="00B60705">
              <w:t>Smith II</w:t>
            </w:r>
            <w:r w:rsidR="007A74AF">
              <w:t>, Hampson</w:t>
            </w:r>
            <w:r w:rsidR="00B60705">
              <w:t>)</w:t>
            </w:r>
          </w:p>
          <w:p w:rsidR="007C0528" w:rsidRDefault="00B60705">
            <w:pPr>
              <w:pStyle w:val="MemoHeading"/>
            </w:pPr>
            <w:r>
              <w:t>Office of the General Counsel (Stiller, Thompson)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60705">
            <w:pPr>
              <w:pStyle w:val="MemoHeadingRe"/>
            </w:pPr>
            <w:bookmarkStart w:id="3" w:name="Re"/>
            <w:r>
              <w:t>Docket No. 20240025-EI – Petition for rate increase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C66CF" w:rsidP="003C66CF">
            <w:pPr>
              <w:pStyle w:val="MemoHeading"/>
            </w:pPr>
            <w:bookmarkStart w:id="4" w:name="AgendaDate"/>
            <w:r w:rsidRPr="003C66CF">
              <w:t>5</w:t>
            </w:r>
            <w:r w:rsidR="00B60705" w:rsidRPr="003C66CF">
              <w:t>/</w:t>
            </w:r>
            <w:r w:rsidRPr="003C66CF">
              <w:t>7</w:t>
            </w:r>
            <w:r w:rsidR="00B60705" w:rsidRPr="003C66CF">
              <w:t>/24</w:t>
            </w:r>
            <w:bookmarkEnd w:id="4"/>
            <w:r w:rsidR="007C0528" w:rsidRPr="003C66CF">
              <w:t xml:space="preserve"> – </w:t>
            </w:r>
            <w:bookmarkStart w:id="5" w:name="PermittedStatus"/>
            <w:r w:rsidR="00B60705" w:rsidRPr="003C66CF">
              <w:t xml:space="preserve">Regular Agenda </w:t>
            </w:r>
            <w:r w:rsidR="00A311AC" w:rsidRPr="003C66CF">
              <w:t xml:space="preserve">– </w:t>
            </w:r>
            <w:r w:rsidR="00A311AC">
              <w:t xml:space="preserve">Tariff Suspension </w:t>
            </w:r>
            <w:r w:rsidR="00A311AC" w:rsidRPr="003C66CF">
              <w:t>–</w:t>
            </w:r>
            <w:r w:rsidR="00A311AC">
              <w:t xml:space="preserve"> 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6070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60705">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4034F">
            <w:pPr>
              <w:pStyle w:val="MemoHeading"/>
            </w:pPr>
            <w:r>
              <w:t>06/03</w:t>
            </w:r>
            <w:r w:rsidR="00702734">
              <w:t>/24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60705">
            <w:pPr>
              <w:pStyle w:val="MemoHeading"/>
            </w:pPr>
            <w:bookmarkStart w:id="9" w:name="SpecialInstructions"/>
            <w:r>
              <w:t>None</w:t>
            </w:r>
            <w:bookmarkEnd w:id="9"/>
          </w:p>
        </w:tc>
      </w:tr>
      <w:bookmarkEnd w:id="0"/>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5E3F65" w:rsidRPr="00A02FAE" w:rsidRDefault="005E3F65" w:rsidP="005E3F65">
      <w:pPr>
        <w:autoSpaceDE w:val="0"/>
        <w:autoSpaceDN w:val="0"/>
        <w:adjustRightInd w:val="0"/>
        <w:jc w:val="both"/>
        <w:rPr>
          <w:color w:val="232323"/>
          <w:sz w:val="23"/>
          <w:szCs w:val="23"/>
        </w:rPr>
      </w:pPr>
      <w:r>
        <w:rPr>
          <w:color w:val="232323"/>
          <w:sz w:val="23"/>
          <w:szCs w:val="23"/>
        </w:rPr>
        <w:t xml:space="preserve">This proceeding commenced on April </w:t>
      </w:r>
      <w:r>
        <w:rPr>
          <w:color w:val="0C0C0C"/>
          <w:sz w:val="23"/>
          <w:szCs w:val="23"/>
        </w:rPr>
        <w:t>2</w:t>
      </w:r>
      <w:r>
        <w:rPr>
          <w:color w:val="393939"/>
          <w:sz w:val="23"/>
          <w:szCs w:val="23"/>
        </w:rPr>
        <w:t xml:space="preserve">, </w:t>
      </w:r>
      <w:r>
        <w:rPr>
          <w:color w:val="232323"/>
          <w:sz w:val="23"/>
          <w:szCs w:val="23"/>
        </w:rPr>
        <w:t xml:space="preserve">2024, with </w:t>
      </w:r>
      <w:r>
        <w:rPr>
          <w:color w:val="0C0C0C"/>
          <w:sz w:val="23"/>
          <w:szCs w:val="23"/>
        </w:rPr>
        <w:t xml:space="preserve">the </w:t>
      </w:r>
      <w:r>
        <w:rPr>
          <w:color w:val="232323"/>
          <w:sz w:val="23"/>
          <w:szCs w:val="23"/>
        </w:rPr>
        <w:t xml:space="preserve">filing of a </w:t>
      </w:r>
      <w:r>
        <w:rPr>
          <w:color w:val="0C0C0C"/>
          <w:sz w:val="23"/>
          <w:szCs w:val="23"/>
        </w:rPr>
        <w:t xml:space="preserve">petition </w:t>
      </w:r>
      <w:r>
        <w:rPr>
          <w:color w:val="232323"/>
          <w:sz w:val="23"/>
          <w:szCs w:val="23"/>
        </w:rPr>
        <w:t xml:space="preserve">for </w:t>
      </w:r>
      <w:r>
        <w:rPr>
          <w:color w:val="393939"/>
          <w:sz w:val="23"/>
          <w:szCs w:val="23"/>
        </w:rPr>
        <w:t xml:space="preserve">a </w:t>
      </w:r>
      <w:r>
        <w:rPr>
          <w:color w:val="0C0C0C"/>
          <w:sz w:val="23"/>
          <w:szCs w:val="23"/>
        </w:rPr>
        <w:t xml:space="preserve">permanent </w:t>
      </w:r>
      <w:r>
        <w:rPr>
          <w:color w:val="232323"/>
          <w:sz w:val="23"/>
          <w:szCs w:val="23"/>
        </w:rPr>
        <w:t>rate</w:t>
      </w:r>
      <w:r>
        <w:rPr>
          <w:color w:val="0C0C0C"/>
          <w:sz w:val="23"/>
          <w:szCs w:val="23"/>
        </w:rPr>
        <w:t xml:space="preserve"> </w:t>
      </w:r>
      <w:proofErr w:type="gramStart"/>
      <w:r>
        <w:rPr>
          <w:color w:val="0C0C0C"/>
          <w:sz w:val="23"/>
          <w:szCs w:val="23"/>
        </w:rPr>
        <w:t>incr</w:t>
      </w:r>
      <w:r>
        <w:rPr>
          <w:color w:val="393939"/>
          <w:sz w:val="23"/>
          <w:szCs w:val="23"/>
        </w:rPr>
        <w:t>ease</w:t>
      </w:r>
      <w:proofErr w:type="gramEnd"/>
      <w:r>
        <w:rPr>
          <w:color w:val="393939"/>
          <w:sz w:val="23"/>
          <w:szCs w:val="23"/>
        </w:rPr>
        <w:t xml:space="preserve"> </w:t>
      </w:r>
      <w:r>
        <w:rPr>
          <w:color w:val="0C0C0C"/>
          <w:sz w:val="23"/>
          <w:szCs w:val="23"/>
        </w:rPr>
        <w:t>by Duke Energy Florida</w:t>
      </w:r>
      <w:r w:rsidR="0079329A">
        <w:rPr>
          <w:color w:val="0C0C0C"/>
          <w:sz w:val="23"/>
          <w:szCs w:val="23"/>
        </w:rPr>
        <w:t>, LLC</w:t>
      </w:r>
      <w:r>
        <w:rPr>
          <w:color w:val="232323"/>
          <w:sz w:val="23"/>
          <w:szCs w:val="23"/>
        </w:rPr>
        <w:t xml:space="preserve"> (DEF or Company)</w:t>
      </w:r>
      <w:r>
        <w:rPr>
          <w:color w:val="4B4851"/>
          <w:sz w:val="23"/>
          <w:szCs w:val="23"/>
        </w:rPr>
        <w:t>.</w:t>
      </w:r>
      <w:r w:rsidR="0079329A">
        <w:rPr>
          <w:rStyle w:val="FootnoteReference"/>
          <w:color w:val="4B4851"/>
          <w:sz w:val="23"/>
          <w:szCs w:val="23"/>
        </w:rPr>
        <w:footnoteReference w:id="1"/>
      </w:r>
      <w:r>
        <w:rPr>
          <w:color w:val="4B4851"/>
          <w:sz w:val="23"/>
          <w:szCs w:val="23"/>
        </w:rPr>
        <w:t xml:space="preserve"> </w:t>
      </w:r>
      <w:r>
        <w:rPr>
          <w:color w:val="232323"/>
          <w:sz w:val="23"/>
          <w:szCs w:val="23"/>
        </w:rPr>
        <w:t xml:space="preserve">The Company </w:t>
      </w:r>
      <w:r>
        <w:rPr>
          <w:color w:val="0C0C0C"/>
          <w:sz w:val="23"/>
          <w:szCs w:val="23"/>
        </w:rPr>
        <w:t>i</w:t>
      </w:r>
      <w:r>
        <w:rPr>
          <w:color w:val="393939"/>
          <w:sz w:val="23"/>
          <w:szCs w:val="23"/>
        </w:rPr>
        <w:t xml:space="preserve">s </w:t>
      </w:r>
      <w:r>
        <w:rPr>
          <w:color w:val="232323"/>
          <w:sz w:val="23"/>
          <w:szCs w:val="23"/>
        </w:rPr>
        <w:t xml:space="preserve">engaged </w:t>
      </w:r>
      <w:r>
        <w:rPr>
          <w:color w:val="0C0C0C"/>
          <w:sz w:val="23"/>
          <w:szCs w:val="23"/>
        </w:rPr>
        <w:t xml:space="preserve">in business </w:t>
      </w:r>
      <w:r>
        <w:rPr>
          <w:color w:val="232323"/>
          <w:sz w:val="23"/>
          <w:szCs w:val="23"/>
        </w:rPr>
        <w:t xml:space="preserve">as </w:t>
      </w:r>
      <w:r>
        <w:rPr>
          <w:color w:val="0C0C0C"/>
          <w:sz w:val="23"/>
          <w:szCs w:val="23"/>
        </w:rPr>
        <w:t xml:space="preserve">a public utility providing </w:t>
      </w:r>
      <w:r>
        <w:rPr>
          <w:color w:val="232323"/>
          <w:sz w:val="23"/>
          <w:szCs w:val="23"/>
        </w:rPr>
        <w:t xml:space="preserve">electric service as </w:t>
      </w:r>
      <w:r>
        <w:rPr>
          <w:color w:val="0C0C0C"/>
          <w:sz w:val="23"/>
          <w:szCs w:val="23"/>
        </w:rPr>
        <w:t xml:space="preserve">defined in Section </w:t>
      </w:r>
      <w:r>
        <w:rPr>
          <w:color w:val="232323"/>
          <w:sz w:val="23"/>
          <w:szCs w:val="23"/>
        </w:rPr>
        <w:t xml:space="preserve">366.02, </w:t>
      </w:r>
      <w:r>
        <w:rPr>
          <w:color w:val="0C0C0C"/>
          <w:sz w:val="23"/>
          <w:szCs w:val="23"/>
        </w:rPr>
        <w:t xml:space="preserve">Florida </w:t>
      </w:r>
      <w:r>
        <w:rPr>
          <w:color w:val="232323"/>
          <w:sz w:val="23"/>
          <w:szCs w:val="23"/>
        </w:rPr>
        <w:t xml:space="preserve">Statutes (F.S.), and </w:t>
      </w:r>
      <w:r>
        <w:rPr>
          <w:color w:val="0C0C0C"/>
          <w:sz w:val="23"/>
          <w:szCs w:val="23"/>
        </w:rPr>
        <w:t xml:space="preserve">is </w:t>
      </w:r>
      <w:r>
        <w:rPr>
          <w:color w:val="232323"/>
          <w:sz w:val="23"/>
          <w:szCs w:val="23"/>
        </w:rPr>
        <w:t xml:space="preserve">subject </w:t>
      </w:r>
      <w:r>
        <w:rPr>
          <w:color w:val="0C0C0C"/>
          <w:sz w:val="23"/>
          <w:szCs w:val="23"/>
        </w:rPr>
        <w:t xml:space="preserve">to the jurisdiction </w:t>
      </w:r>
      <w:r>
        <w:rPr>
          <w:color w:val="232323"/>
          <w:sz w:val="23"/>
          <w:szCs w:val="23"/>
        </w:rPr>
        <w:t xml:space="preserve">of </w:t>
      </w:r>
      <w:r>
        <w:rPr>
          <w:color w:val="0C0C0C"/>
          <w:sz w:val="23"/>
          <w:szCs w:val="23"/>
        </w:rPr>
        <w:t xml:space="preserve">the </w:t>
      </w:r>
      <w:r>
        <w:rPr>
          <w:color w:val="232323"/>
          <w:sz w:val="23"/>
          <w:szCs w:val="23"/>
        </w:rPr>
        <w:t xml:space="preserve">Commission. DEF </w:t>
      </w:r>
      <w:r>
        <w:rPr>
          <w:color w:val="0C0C0C"/>
          <w:sz w:val="23"/>
          <w:szCs w:val="23"/>
        </w:rPr>
        <w:t xml:space="preserve">provides </w:t>
      </w:r>
      <w:r>
        <w:rPr>
          <w:color w:val="232323"/>
          <w:sz w:val="23"/>
          <w:szCs w:val="23"/>
        </w:rPr>
        <w:t xml:space="preserve">electric service </w:t>
      </w:r>
      <w:r>
        <w:rPr>
          <w:color w:val="0C0C0C"/>
          <w:sz w:val="23"/>
          <w:szCs w:val="23"/>
        </w:rPr>
        <w:t>to approximately two</w:t>
      </w:r>
      <w:r w:rsidRPr="00A02FAE">
        <w:rPr>
          <w:color w:val="232323"/>
          <w:sz w:val="23"/>
          <w:szCs w:val="23"/>
        </w:rPr>
        <w:t xml:space="preserve"> </w:t>
      </w:r>
      <w:r w:rsidRPr="00A02FAE">
        <w:rPr>
          <w:color w:val="0C0C0C"/>
          <w:sz w:val="23"/>
          <w:szCs w:val="23"/>
        </w:rPr>
        <w:t xml:space="preserve">million retail </w:t>
      </w:r>
      <w:r w:rsidRPr="00A02FAE">
        <w:rPr>
          <w:color w:val="232323"/>
          <w:sz w:val="23"/>
          <w:szCs w:val="23"/>
        </w:rPr>
        <w:t xml:space="preserve">customers </w:t>
      </w:r>
      <w:r w:rsidRPr="00A02FAE">
        <w:rPr>
          <w:color w:val="0C0C0C"/>
          <w:sz w:val="23"/>
          <w:szCs w:val="23"/>
        </w:rPr>
        <w:t xml:space="preserve">in </w:t>
      </w:r>
      <w:r>
        <w:rPr>
          <w:color w:val="0C0C0C"/>
          <w:sz w:val="23"/>
          <w:szCs w:val="23"/>
        </w:rPr>
        <w:t xml:space="preserve">Pinellas, Pasco, Orange, Osceola, and Seminole Counties. </w:t>
      </w:r>
    </w:p>
    <w:p w:rsidR="005E3F65" w:rsidRPr="00A02FAE" w:rsidRDefault="005E3F65" w:rsidP="005E3F65">
      <w:pPr>
        <w:autoSpaceDE w:val="0"/>
        <w:autoSpaceDN w:val="0"/>
        <w:adjustRightInd w:val="0"/>
        <w:jc w:val="both"/>
        <w:rPr>
          <w:color w:val="232323"/>
          <w:sz w:val="23"/>
          <w:szCs w:val="23"/>
        </w:rPr>
      </w:pPr>
    </w:p>
    <w:p w:rsidR="005E3F65" w:rsidRPr="00A02FAE" w:rsidRDefault="005E3F65" w:rsidP="005E3F65">
      <w:pPr>
        <w:autoSpaceDE w:val="0"/>
        <w:autoSpaceDN w:val="0"/>
        <w:adjustRightInd w:val="0"/>
        <w:jc w:val="both"/>
        <w:rPr>
          <w:rFonts w:ascii="TimesNewRomanPSMT" w:hAnsi="TimesNewRomanPSMT" w:cs="TimesNewRomanPSMT"/>
          <w:color w:val="000000"/>
        </w:rPr>
      </w:pPr>
      <w:r w:rsidRPr="00A02FAE">
        <w:rPr>
          <w:color w:val="0C0C0C"/>
          <w:sz w:val="23"/>
          <w:szCs w:val="23"/>
        </w:rPr>
        <w:t xml:space="preserve">DEF has requested </w:t>
      </w:r>
      <w:r w:rsidRPr="00A02FAE">
        <w:rPr>
          <w:color w:val="232323"/>
          <w:sz w:val="23"/>
          <w:szCs w:val="23"/>
        </w:rPr>
        <w:t xml:space="preserve">an </w:t>
      </w:r>
      <w:r w:rsidRPr="00A02FAE">
        <w:rPr>
          <w:color w:val="0C0C0C"/>
          <w:sz w:val="23"/>
          <w:szCs w:val="23"/>
        </w:rPr>
        <w:t xml:space="preserve">increase in its retail </w:t>
      </w:r>
      <w:r w:rsidRPr="00A02FAE">
        <w:rPr>
          <w:color w:val="232323"/>
          <w:sz w:val="23"/>
          <w:szCs w:val="23"/>
        </w:rPr>
        <w:t xml:space="preserve">rates and charges </w:t>
      </w:r>
      <w:r w:rsidRPr="00A02FAE">
        <w:rPr>
          <w:color w:val="0C0C0C"/>
          <w:sz w:val="23"/>
          <w:szCs w:val="23"/>
        </w:rPr>
        <w:t xml:space="preserve">to </w:t>
      </w:r>
      <w:r w:rsidRPr="00A02FAE">
        <w:rPr>
          <w:color w:val="232323"/>
          <w:sz w:val="23"/>
          <w:szCs w:val="23"/>
        </w:rPr>
        <w:t>generate $593 m</w:t>
      </w:r>
      <w:r w:rsidRPr="00A02FAE">
        <w:rPr>
          <w:color w:val="0C0C0C"/>
          <w:sz w:val="23"/>
          <w:szCs w:val="23"/>
        </w:rPr>
        <w:t xml:space="preserve">illion in </w:t>
      </w:r>
      <w:r w:rsidRPr="00A02FAE">
        <w:rPr>
          <w:color w:val="232323"/>
          <w:sz w:val="23"/>
          <w:szCs w:val="23"/>
        </w:rPr>
        <w:t xml:space="preserve">additional gross annual </w:t>
      </w:r>
      <w:r w:rsidRPr="00A02FAE">
        <w:rPr>
          <w:color w:val="0C0C0C"/>
          <w:sz w:val="23"/>
          <w:szCs w:val="23"/>
        </w:rPr>
        <w:t>revenue</w:t>
      </w:r>
      <w:r w:rsidRPr="00A02FAE">
        <w:rPr>
          <w:color w:val="393939"/>
          <w:sz w:val="23"/>
          <w:szCs w:val="23"/>
        </w:rPr>
        <w:t xml:space="preserve">, </w:t>
      </w:r>
      <w:r w:rsidRPr="00A02FAE">
        <w:rPr>
          <w:color w:val="232323"/>
          <w:sz w:val="23"/>
          <w:szCs w:val="23"/>
        </w:rPr>
        <w:t xml:space="preserve">effective January </w:t>
      </w:r>
      <w:r w:rsidRPr="00A02FAE">
        <w:rPr>
          <w:color w:val="0C0C0C"/>
          <w:sz w:val="23"/>
          <w:szCs w:val="23"/>
        </w:rPr>
        <w:t>1</w:t>
      </w:r>
      <w:r w:rsidRPr="00A02FAE">
        <w:rPr>
          <w:color w:val="393939"/>
          <w:sz w:val="23"/>
          <w:szCs w:val="23"/>
        </w:rPr>
        <w:t xml:space="preserve">, </w:t>
      </w:r>
      <w:r w:rsidRPr="00A02FAE">
        <w:rPr>
          <w:color w:val="232323"/>
          <w:sz w:val="23"/>
          <w:szCs w:val="23"/>
        </w:rPr>
        <w:t xml:space="preserve">2025, $98 million, </w:t>
      </w:r>
      <w:proofErr w:type="gramStart"/>
      <w:r w:rsidRPr="00A02FAE">
        <w:rPr>
          <w:color w:val="232323"/>
          <w:sz w:val="23"/>
          <w:szCs w:val="23"/>
        </w:rPr>
        <w:t>effective</w:t>
      </w:r>
      <w:proofErr w:type="gramEnd"/>
      <w:r w:rsidRPr="00A02FAE">
        <w:rPr>
          <w:color w:val="232323"/>
          <w:sz w:val="23"/>
          <w:szCs w:val="23"/>
        </w:rPr>
        <w:t xml:space="preserve"> January 1, 2026, and $129 million, effective January 1, 2027. DE</w:t>
      </w:r>
      <w:r w:rsidRPr="00A02FAE">
        <w:rPr>
          <w:color w:val="0C0C0C"/>
          <w:sz w:val="23"/>
          <w:szCs w:val="23"/>
        </w:rPr>
        <w:t xml:space="preserve">F </w:t>
      </w:r>
      <w:r w:rsidRPr="00A02FAE">
        <w:rPr>
          <w:color w:val="393939"/>
          <w:sz w:val="23"/>
          <w:szCs w:val="23"/>
        </w:rPr>
        <w:t>asse</w:t>
      </w:r>
      <w:r w:rsidRPr="00A02FAE">
        <w:rPr>
          <w:color w:val="0C0C0C"/>
          <w:sz w:val="23"/>
          <w:szCs w:val="23"/>
        </w:rPr>
        <w:t>rt</w:t>
      </w:r>
      <w:r w:rsidRPr="00A02FAE">
        <w:rPr>
          <w:color w:val="393939"/>
          <w:sz w:val="23"/>
          <w:szCs w:val="23"/>
        </w:rPr>
        <w:t xml:space="preserve">s </w:t>
      </w:r>
      <w:r w:rsidRPr="00A02FAE">
        <w:rPr>
          <w:color w:val="0C0C0C"/>
          <w:sz w:val="23"/>
          <w:szCs w:val="23"/>
        </w:rPr>
        <w:t>th</w:t>
      </w:r>
      <w:r w:rsidRPr="00A02FAE">
        <w:rPr>
          <w:color w:val="393939"/>
          <w:sz w:val="23"/>
          <w:szCs w:val="23"/>
        </w:rPr>
        <w:t xml:space="preserve">at </w:t>
      </w:r>
      <w:r w:rsidRPr="00A02FAE">
        <w:rPr>
          <w:color w:val="0C0C0C"/>
          <w:sz w:val="23"/>
          <w:szCs w:val="23"/>
        </w:rPr>
        <w:t xml:space="preserve">the </w:t>
      </w:r>
      <w:r w:rsidRPr="00A02FAE">
        <w:rPr>
          <w:color w:val="232323"/>
          <w:sz w:val="23"/>
          <w:szCs w:val="23"/>
        </w:rPr>
        <w:t xml:space="preserve">combined </w:t>
      </w:r>
      <w:r w:rsidRPr="00A02FAE">
        <w:rPr>
          <w:color w:val="0C0C0C"/>
          <w:sz w:val="23"/>
          <w:szCs w:val="23"/>
        </w:rPr>
        <w:t>increa</w:t>
      </w:r>
      <w:r w:rsidRPr="00A02FAE">
        <w:rPr>
          <w:color w:val="393939"/>
          <w:sz w:val="23"/>
          <w:szCs w:val="23"/>
        </w:rPr>
        <w:t xml:space="preserve">ses </w:t>
      </w:r>
      <w:r w:rsidRPr="00A02FAE">
        <w:rPr>
          <w:color w:val="232323"/>
          <w:sz w:val="23"/>
          <w:szCs w:val="23"/>
        </w:rPr>
        <w:t xml:space="preserve">will </w:t>
      </w:r>
      <w:r w:rsidRPr="00A02FAE">
        <w:rPr>
          <w:color w:val="393939"/>
          <w:sz w:val="23"/>
          <w:szCs w:val="23"/>
        </w:rPr>
        <w:t>a</w:t>
      </w:r>
      <w:r w:rsidRPr="00A02FAE">
        <w:rPr>
          <w:color w:val="0C0C0C"/>
          <w:sz w:val="23"/>
          <w:szCs w:val="23"/>
        </w:rPr>
        <w:t>llow the</w:t>
      </w:r>
      <w:r w:rsidRPr="00A02FAE">
        <w:rPr>
          <w:color w:val="232323"/>
          <w:sz w:val="23"/>
          <w:szCs w:val="23"/>
        </w:rPr>
        <w:t xml:space="preserve"> Company </w:t>
      </w:r>
      <w:r w:rsidRPr="00A02FAE">
        <w:rPr>
          <w:color w:val="0C0C0C"/>
          <w:sz w:val="23"/>
          <w:szCs w:val="23"/>
        </w:rPr>
        <w:t xml:space="preserve">to </w:t>
      </w:r>
      <w:r w:rsidRPr="00A02FAE">
        <w:rPr>
          <w:color w:val="232323"/>
          <w:sz w:val="23"/>
          <w:szCs w:val="23"/>
        </w:rPr>
        <w:t xml:space="preserve">earn </w:t>
      </w:r>
      <w:r w:rsidRPr="00A02FAE">
        <w:rPr>
          <w:color w:val="393939"/>
          <w:sz w:val="23"/>
          <w:szCs w:val="23"/>
        </w:rPr>
        <w:t xml:space="preserve">a </w:t>
      </w:r>
      <w:r w:rsidRPr="00A02FAE">
        <w:rPr>
          <w:color w:val="0C0C0C"/>
          <w:sz w:val="23"/>
          <w:szCs w:val="23"/>
        </w:rPr>
        <w:t xml:space="preserve">return </w:t>
      </w:r>
      <w:r w:rsidRPr="00A02FAE">
        <w:rPr>
          <w:color w:val="232323"/>
          <w:sz w:val="23"/>
          <w:szCs w:val="23"/>
        </w:rPr>
        <w:t xml:space="preserve">on equity of </w:t>
      </w:r>
      <w:r w:rsidRPr="00A02FAE">
        <w:rPr>
          <w:color w:val="0C0C0C"/>
          <w:sz w:val="23"/>
          <w:szCs w:val="23"/>
        </w:rPr>
        <w:t>11</w:t>
      </w:r>
      <w:r w:rsidRPr="00A02FAE">
        <w:rPr>
          <w:color w:val="4B4851"/>
          <w:sz w:val="23"/>
          <w:szCs w:val="23"/>
        </w:rPr>
        <w:t>.</w:t>
      </w:r>
      <w:r w:rsidRPr="00A02FAE">
        <w:rPr>
          <w:color w:val="0C0C0C"/>
          <w:sz w:val="23"/>
          <w:szCs w:val="23"/>
        </w:rPr>
        <w:t xml:space="preserve">15 percent. </w:t>
      </w:r>
      <w:r w:rsidRPr="00A02FAE">
        <w:rPr>
          <w:color w:val="232323"/>
          <w:sz w:val="23"/>
          <w:szCs w:val="23"/>
        </w:rPr>
        <w:t xml:space="preserve">The Company </w:t>
      </w:r>
      <w:r w:rsidRPr="00A02FAE">
        <w:rPr>
          <w:color w:val="0C0C0C"/>
          <w:sz w:val="23"/>
          <w:szCs w:val="23"/>
        </w:rPr>
        <w:t xml:space="preserve">based its requests </w:t>
      </w:r>
      <w:r w:rsidRPr="00A02FAE">
        <w:rPr>
          <w:color w:val="232323"/>
          <w:sz w:val="23"/>
          <w:szCs w:val="23"/>
        </w:rPr>
        <w:t xml:space="preserve">on </w:t>
      </w:r>
      <w:r w:rsidRPr="00A02FAE">
        <w:rPr>
          <w:color w:val="0C0C0C"/>
          <w:sz w:val="23"/>
          <w:szCs w:val="23"/>
        </w:rPr>
        <w:t xml:space="preserve">projected test </w:t>
      </w:r>
      <w:r w:rsidRPr="00A02FAE">
        <w:rPr>
          <w:color w:val="232323"/>
          <w:sz w:val="23"/>
          <w:szCs w:val="23"/>
        </w:rPr>
        <w:t xml:space="preserve">years ending </w:t>
      </w:r>
      <w:r w:rsidRPr="00A02FAE">
        <w:rPr>
          <w:color w:val="0C0C0C"/>
          <w:sz w:val="23"/>
          <w:szCs w:val="23"/>
        </w:rPr>
        <w:t xml:space="preserve">December </w:t>
      </w:r>
      <w:r w:rsidRPr="00A02FAE">
        <w:rPr>
          <w:color w:val="232323"/>
          <w:sz w:val="23"/>
          <w:szCs w:val="23"/>
        </w:rPr>
        <w:t xml:space="preserve">31, 2025, December 31, 2026, and </w:t>
      </w:r>
      <w:r w:rsidRPr="00A02FAE">
        <w:rPr>
          <w:color w:val="0C0C0C"/>
          <w:sz w:val="23"/>
          <w:szCs w:val="23"/>
        </w:rPr>
        <w:t xml:space="preserve">December </w:t>
      </w:r>
      <w:r w:rsidRPr="00A02FAE">
        <w:rPr>
          <w:color w:val="232323"/>
          <w:sz w:val="23"/>
          <w:szCs w:val="23"/>
        </w:rPr>
        <w:t>31, 2027. DE</w:t>
      </w:r>
      <w:r w:rsidRPr="00A02FAE">
        <w:rPr>
          <w:color w:val="0C0C0C"/>
          <w:sz w:val="23"/>
          <w:szCs w:val="23"/>
        </w:rPr>
        <w:t xml:space="preserve">F </w:t>
      </w:r>
      <w:r w:rsidRPr="00A02FAE">
        <w:rPr>
          <w:color w:val="232323"/>
          <w:sz w:val="23"/>
          <w:szCs w:val="23"/>
        </w:rPr>
        <w:t xml:space="preserve">stated </w:t>
      </w:r>
      <w:r w:rsidRPr="00A02FAE">
        <w:rPr>
          <w:color w:val="0C0C0C"/>
          <w:sz w:val="23"/>
          <w:szCs w:val="23"/>
        </w:rPr>
        <w:t xml:space="preserve">that these test </w:t>
      </w:r>
      <w:r w:rsidRPr="00A02FAE">
        <w:rPr>
          <w:color w:val="232323"/>
          <w:sz w:val="23"/>
          <w:szCs w:val="23"/>
        </w:rPr>
        <w:lastRenderedPageBreak/>
        <w:t xml:space="preserve">years are </w:t>
      </w:r>
      <w:r w:rsidRPr="00A02FAE">
        <w:rPr>
          <w:color w:val="0C0C0C"/>
          <w:sz w:val="23"/>
          <w:szCs w:val="23"/>
        </w:rPr>
        <w:t xml:space="preserve">the </w:t>
      </w:r>
      <w:r w:rsidRPr="00A02FAE">
        <w:rPr>
          <w:color w:val="232323"/>
          <w:sz w:val="23"/>
          <w:szCs w:val="23"/>
        </w:rPr>
        <w:t xml:space="preserve">appropriate </w:t>
      </w:r>
      <w:r w:rsidRPr="00A02FAE">
        <w:rPr>
          <w:color w:val="0C0C0C"/>
          <w:sz w:val="23"/>
          <w:szCs w:val="23"/>
        </w:rPr>
        <w:t xml:space="preserve">periods to </w:t>
      </w:r>
      <w:r w:rsidRPr="00A02FAE">
        <w:rPr>
          <w:rFonts w:ascii="TimesNewRomanPSMT" w:hAnsi="TimesNewRomanPSMT" w:cs="TimesNewRomanPSMT"/>
          <w:color w:val="000000"/>
        </w:rPr>
        <w:t>be utilized because they best represent expected future operations in the period immediately after any new base rates go into effect. In total, the Company is requesting an $820 million base rate increase. DEF did not request any interim rate relief.</w:t>
      </w:r>
    </w:p>
    <w:p w:rsidR="005E3F65" w:rsidRPr="00A02FAE" w:rsidRDefault="005E3F65" w:rsidP="005E3F65">
      <w:pPr>
        <w:autoSpaceDE w:val="0"/>
        <w:autoSpaceDN w:val="0"/>
        <w:adjustRightInd w:val="0"/>
        <w:jc w:val="both"/>
        <w:rPr>
          <w:rFonts w:ascii="TimesNewRomanPSMT" w:hAnsi="TimesNewRomanPSMT" w:cs="TimesNewRomanPSMT"/>
          <w:color w:val="000000"/>
        </w:rPr>
      </w:pPr>
    </w:p>
    <w:p w:rsidR="005E3F65" w:rsidRPr="00A02FAE" w:rsidRDefault="0079329A" w:rsidP="005E3F65">
      <w:pPr>
        <w:autoSpaceDE w:val="0"/>
        <w:autoSpaceDN w:val="0"/>
        <w:adjustRightInd w:val="0"/>
        <w:jc w:val="both"/>
        <w:rPr>
          <w:rFonts w:ascii="TimesNewRomanPSMT" w:hAnsi="TimesNewRomanPSMT" w:cs="TimesNewRomanPSMT"/>
          <w:color w:val="000000"/>
        </w:rPr>
      </w:pPr>
      <w:r w:rsidRPr="00A009EE">
        <w:rPr>
          <w:rFonts w:ascii="TimesNewRomanPSMT" w:hAnsi="TimesNewRomanPSMT" w:cs="TimesNewRomanPSMT"/>
          <w:color w:val="000000"/>
        </w:rPr>
        <w:t>In DEF’s most recent base rate proceeding in Docket No. 20210016</w:t>
      </w:r>
      <w:r w:rsidR="00831229">
        <w:rPr>
          <w:rFonts w:ascii="TimesNewRomanPSMT" w:hAnsi="TimesNewRomanPSMT" w:cs="TimesNewRomanPSMT"/>
          <w:color w:val="000000"/>
        </w:rPr>
        <w:t>-EI</w:t>
      </w:r>
      <w:r w:rsidRPr="00A009EE">
        <w:rPr>
          <w:rFonts w:ascii="TimesNewRomanPSMT" w:hAnsi="TimesNewRomanPSMT" w:cs="TimesNewRomanPSMT"/>
          <w:color w:val="000000"/>
        </w:rPr>
        <w:t>,</w:t>
      </w:r>
      <w:r>
        <w:rPr>
          <w:rFonts w:ascii="TimesNewRomanPSMT" w:hAnsi="TimesNewRomanPSMT" w:cs="TimesNewRomanPSMT"/>
          <w:color w:val="000000"/>
        </w:rPr>
        <w:t xml:space="preserve"> </w:t>
      </w:r>
      <w:r w:rsidR="005E3F65" w:rsidRPr="00A009EE">
        <w:rPr>
          <w:rFonts w:ascii="TimesNewRomanPSMT" w:hAnsi="TimesNewRomanPSMT" w:cs="TimesNewRomanPSMT"/>
          <w:color w:val="000000"/>
        </w:rPr>
        <w:t xml:space="preserve">the Commission approved </w:t>
      </w:r>
      <w:r w:rsidR="00B26C13">
        <w:rPr>
          <w:rFonts w:ascii="TimesNewRomanPSMT" w:hAnsi="TimesNewRomanPSMT" w:cs="TimesNewRomanPSMT"/>
          <w:color w:val="000000"/>
        </w:rPr>
        <w:t xml:space="preserve">a </w:t>
      </w:r>
      <w:r w:rsidR="005E3F65" w:rsidRPr="00A009EE">
        <w:rPr>
          <w:rFonts w:ascii="TimesNewRomanPSMT" w:hAnsi="TimesNewRomanPSMT" w:cs="TimesNewRomanPSMT"/>
          <w:color w:val="000000"/>
        </w:rPr>
        <w:t>settlement agreement which authorized a revenue increase of $67 million effective January 1, 2022, a revenue increase of $4</w:t>
      </w:r>
      <w:r w:rsidR="0054034F">
        <w:rPr>
          <w:rFonts w:ascii="TimesNewRomanPSMT" w:hAnsi="TimesNewRomanPSMT" w:cs="TimesNewRomanPSMT"/>
          <w:color w:val="000000"/>
        </w:rPr>
        <w:t>9</w:t>
      </w:r>
      <w:r w:rsidR="005E3F65" w:rsidRPr="00A009EE">
        <w:rPr>
          <w:rFonts w:ascii="TimesNewRomanPSMT" w:hAnsi="TimesNewRomanPSMT" w:cs="TimesNewRomanPSMT"/>
          <w:color w:val="000000"/>
        </w:rPr>
        <w:t xml:space="preserve"> million effective January 1, 2023, and a further revenue increase of $79 million effective January 1, 2024.</w:t>
      </w:r>
      <w:r w:rsidR="005E3F65" w:rsidRPr="00A009EE">
        <w:rPr>
          <w:rStyle w:val="FootnoteReference"/>
          <w:rFonts w:ascii="TimesNewRomanPSMT" w:hAnsi="TimesNewRomanPSMT" w:cs="TimesNewRomanPSMT"/>
          <w:color w:val="000000"/>
        </w:rPr>
        <w:footnoteReference w:id="2"/>
      </w:r>
      <w:r w:rsidR="005E3F65" w:rsidRPr="00A009EE">
        <w:rPr>
          <w:rFonts w:ascii="TimesNewRomanPSMT" w:hAnsi="TimesNewRomanPSMT" w:cs="TimesNewRomanPSMT"/>
          <w:color w:val="000000"/>
          <w:sz w:val="16"/>
          <w:szCs w:val="16"/>
        </w:rPr>
        <w:t xml:space="preserve"> </w:t>
      </w:r>
      <w:r w:rsidR="005E3F65" w:rsidRPr="00A009EE">
        <w:rPr>
          <w:rFonts w:ascii="TimesNewRomanPSMT" w:hAnsi="TimesNewRomanPSMT" w:cs="TimesNewRomanPSMT"/>
          <w:color w:val="000000"/>
        </w:rPr>
        <w:t xml:space="preserve">The settlement agreement </w:t>
      </w:r>
      <w:r w:rsidR="0054034F">
        <w:rPr>
          <w:rFonts w:ascii="TimesNewRomanPSMT" w:hAnsi="TimesNewRomanPSMT" w:cs="TimesNewRomanPSMT"/>
          <w:color w:val="000000"/>
        </w:rPr>
        <w:t>established base rates</w:t>
      </w:r>
      <w:r w:rsidR="005E3F65" w:rsidRPr="00A009EE">
        <w:rPr>
          <w:rFonts w:ascii="TimesNewRomanPSMT" w:hAnsi="TimesNewRomanPSMT" w:cs="TimesNewRomanPSMT"/>
          <w:color w:val="000000"/>
        </w:rPr>
        <w:t xml:space="preserve"> through the</w:t>
      </w:r>
      <w:r w:rsidR="005E3F65" w:rsidRPr="00A02FAE">
        <w:rPr>
          <w:rFonts w:ascii="TimesNewRomanPSMT" w:hAnsi="TimesNewRomanPSMT" w:cs="TimesNewRomanPSMT"/>
          <w:color w:val="000000"/>
        </w:rPr>
        <w:t xml:space="preserve"> last billing cycle in December 2024. </w:t>
      </w:r>
    </w:p>
    <w:p w:rsidR="005E3F65" w:rsidRPr="00A02FAE" w:rsidRDefault="005E3F65" w:rsidP="005E3F65">
      <w:pPr>
        <w:autoSpaceDE w:val="0"/>
        <w:autoSpaceDN w:val="0"/>
        <w:adjustRightInd w:val="0"/>
        <w:jc w:val="both"/>
        <w:rPr>
          <w:rFonts w:ascii="TimesNewRomanPSMT" w:hAnsi="TimesNewRomanPSMT" w:cs="TimesNewRomanPSMT"/>
          <w:color w:val="000000"/>
        </w:rPr>
      </w:pPr>
    </w:p>
    <w:p w:rsidR="0079329A" w:rsidRDefault="0079329A" w:rsidP="0079329A">
      <w:pPr>
        <w:autoSpaceDE w:val="0"/>
        <w:autoSpaceDN w:val="0"/>
        <w:adjustRightInd w:val="0"/>
        <w:jc w:val="both"/>
        <w:rPr>
          <w:rFonts w:ascii="TimesNewRomanPSMT" w:hAnsi="TimesNewRomanPSMT" w:cs="TimesNewRomanPSMT"/>
          <w:color w:val="000000"/>
        </w:rPr>
      </w:pPr>
      <w:r w:rsidRPr="00A02FAE">
        <w:rPr>
          <w:rFonts w:ascii="TimesNewRomanPSMT" w:hAnsi="TimesNewRomanPSMT" w:cs="TimesNewRomanPSMT"/>
          <w:color w:val="000000"/>
        </w:rPr>
        <w:t>On February 16, 2024, the Commission acknowledged the Office of Public Counsel’s notice of intervention in this proceeding.</w:t>
      </w:r>
      <w:r>
        <w:rPr>
          <w:rStyle w:val="FootnoteReference"/>
          <w:rFonts w:ascii="TimesNewRomanPSMT" w:hAnsi="TimesNewRomanPSMT" w:cs="TimesNewRomanPSMT"/>
          <w:color w:val="000000"/>
        </w:rPr>
        <w:footnoteReference w:id="3"/>
      </w:r>
      <w:r w:rsidRPr="00A02FAE">
        <w:rPr>
          <w:rFonts w:ascii="TimesNewRomanPSMT" w:hAnsi="TimesNewRomanPSMT" w:cs="TimesNewRomanPSMT"/>
          <w:color w:val="000000"/>
          <w:sz w:val="16"/>
          <w:szCs w:val="16"/>
        </w:rPr>
        <w:t xml:space="preserve"> </w:t>
      </w:r>
      <w:r>
        <w:rPr>
          <w:rFonts w:ascii="TimesNewRomanPSMT" w:hAnsi="TimesNewRomanPSMT" w:cs="TimesNewRomanPSMT"/>
          <w:color w:val="000000"/>
          <w:szCs w:val="16"/>
        </w:rPr>
        <w:t>On April 19, 2024, Florida Rising, Inc.; League of United Latin American Citizens of Florida; Florida Industrial Power Users Group; Florida Retail Federation; and Sierra Club were granted intervention</w:t>
      </w:r>
      <w:r w:rsidRPr="004C0904">
        <w:rPr>
          <w:rFonts w:ascii="TimesNewRomanPSMT" w:hAnsi="TimesNewRomanPSMT" w:cs="TimesNewRomanPSMT"/>
          <w:color w:val="000000"/>
          <w:szCs w:val="16"/>
        </w:rPr>
        <w:t>.</w:t>
      </w:r>
      <w:r w:rsidRPr="004C0904">
        <w:rPr>
          <w:rStyle w:val="FootnoteReference"/>
          <w:rFonts w:ascii="TimesNewRomanPSMT" w:hAnsi="TimesNewRomanPSMT" w:cs="TimesNewRomanPSMT"/>
          <w:color w:val="000000"/>
          <w:szCs w:val="16"/>
        </w:rPr>
        <w:footnoteReference w:id="4"/>
      </w:r>
      <w:r w:rsidRPr="004C0904">
        <w:rPr>
          <w:rFonts w:ascii="TimesNewRomanPSMT" w:hAnsi="TimesNewRomanPSMT" w:cs="TimesNewRomanPSMT"/>
          <w:color w:val="000000"/>
          <w:szCs w:val="16"/>
        </w:rPr>
        <w:t xml:space="preserve"> </w:t>
      </w:r>
      <w:r w:rsidRPr="004C0904">
        <w:rPr>
          <w:rFonts w:ascii="TimesNewRomanPSMT" w:hAnsi="TimesNewRomanPSMT" w:cs="TimesNewRomanPSMT"/>
          <w:color w:val="000000"/>
        </w:rPr>
        <w:t xml:space="preserve">On </w:t>
      </w:r>
      <w:r w:rsidR="004C0904" w:rsidRPr="004C0904">
        <w:rPr>
          <w:rFonts w:ascii="TimesNewRomanPSMT" w:hAnsi="TimesNewRomanPSMT" w:cs="TimesNewRomanPSMT"/>
          <w:color w:val="000000"/>
        </w:rPr>
        <w:t>April 24</w:t>
      </w:r>
      <w:r w:rsidRPr="004C0904">
        <w:rPr>
          <w:rFonts w:ascii="TimesNewRomanPSMT" w:hAnsi="TimesNewRomanPSMT" w:cs="TimesNewRomanPSMT"/>
          <w:color w:val="000000"/>
        </w:rPr>
        <w:t>, 2024,</w:t>
      </w:r>
      <w:r w:rsidRPr="00A02FAE">
        <w:rPr>
          <w:rFonts w:ascii="TimesNewRomanPSMT" w:hAnsi="TimesNewRomanPSMT" w:cs="TimesNewRomanPSMT"/>
          <w:color w:val="000000"/>
        </w:rPr>
        <w:t xml:space="preserve"> White Springs Agricultural Chemicals, Inc. (White Springs) </w:t>
      </w:r>
      <w:r w:rsidR="00DE116B">
        <w:rPr>
          <w:rFonts w:ascii="TimesNewRomanPSMT" w:hAnsi="TimesNewRomanPSMT" w:cs="TimesNewRomanPSMT"/>
          <w:color w:val="000000"/>
        </w:rPr>
        <w:t xml:space="preserve">and </w:t>
      </w:r>
      <w:r w:rsidR="00146E51">
        <w:rPr>
          <w:rFonts w:ascii="TimesNewRomanPSMT" w:hAnsi="TimesNewRomanPSMT" w:cs="TimesNewRomanPSMT"/>
          <w:color w:val="000000"/>
        </w:rPr>
        <w:t>Nucor Steel Florida, Inc.,</w:t>
      </w:r>
      <w:r>
        <w:rPr>
          <w:rFonts w:ascii="TimesNewRomanPSMT" w:hAnsi="TimesNewRomanPSMT" w:cs="TimesNewRomanPSMT"/>
          <w:color w:val="000000"/>
        </w:rPr>
        <w:t xml:space="preserve"> </w:t>
      </w:r>
      <w:r w:rsidR="00DE116B">
        <w:rPr>
          <w:rFonts w:ascii="TimesNewRomanPSMT" w:hAnsi="TimesNewRomanPSMT" w:cs="TimesNewRomanPSMT"/>
          <w:color w:val="000000"/>
        </w:rPr>
        <w:t>were granted intervention</w:t>
      </w:r>
      <w:r w:rsidR="00640F3A">
        <w:rPr>
          <w:rFonts w:ascii="TimesNewRomanPSMT" w:hAnsi="TimesNewRomanPSMT" w:cs="TimesNewRomanPSMT"/>
          <w:color w:val="000000"/>
        </w:rPr>
        <w:t>.</w:t>
      </w:r>
      <w:r w:rsidR="00640F3A">
        <w:rPr>
          <w:rStyle w:val="FootnoteReference"/>
          <w:rFonts w:ascii="TimesNewRomanPSMT" w:hAnsi="TimesNewRomanPSMT" w:cs="TimesNewRomanPSMT"/>
          <w:color w:val="000000"/>
        </w:rPr>
        <w:footnoteReference w:id="5"/>
      </w:r>
      <w:r w:rsidR="00640F3A">
        <w:rPr>
          <w:rFonts w:ascii="TimesNewRomanPSMT" w:hAnsi="TimesNewRomanPSMT" w:cs="TimesNewRomanPSMT"/>
          <w:color w:val="000000"/>
        </w:rPr>
        <w:t xml:space="preserve"> </w:t>
      </w:r>
      <w:r w:rsidR="00A11C8E">
        <w:rPr>
          <w:rFonts w:ascii="TimesNewRomanPSMT" w:hAnsi="TimesNewRomanPSMT" w:cs="TimesNewRomanPSMT"/>
          <w:color w:val="000000"/>
        </w:rPr>
        <w:t>On April 23, 2024, Southern Alliance for Clean Energy filed its Petition to Intervene.</w:t>
      </w:r>
      <w:r w:rsidR="00A11C8E">
        <w:rPr>
          <w:rStyle w:val="FootnoteReference"/>
          <w:rFonts w:ascii="TimesNewRomanPSMT" w:hAnsi="TimesNewRomanPSMT" w:cs="TimesNewRomanPSMT"/>
          <w:color w:val="000000"/>
        </w:rPr>
        <w:footnoteReference w:id="6"/>
      </w:r>
      <w:r w:rsidR="00A11C8E">
        <w:rPr>
          <w:rFonts w:ascii="TimesNewRomanPSMT" w:hAnsi="TimesNewRomanPSMT" w:cs="TimesNewRomanPSMT"/>
          <w:color w:val="000000"/>
        </w:rPr>
        <w:t xml:space="preserve"> </w:t>
      </w:r>
      <w:r w:rsidR="005E6483">
        <w:rPr>
          <w:rFonts w:ascii="TimesNewRomanPSMT" w:hAnsi="TimesNewRomanPSMT" w:cs="TimesNewRomanPSMT"/>
          <w:color w:val="000000"/>
        </w:rPr>
        <w:t xml:space="preserve">On April 24, 2024, Americans for Affordable Clean Energy, Inc.; Circle K Stores, Inc.; RaceTrac Inc.; and Wawa, Inc. filed </w:t>
      </w:r>
      <w:r w:rsidR="00867655">
        <w:rPr>
          <w:rFonts w:ascii="TimesNewRomanPSMT" w:hAnsi="TimesNewRomanPSMT" w:cs="TimesNewRomanPSMT"/>
          <w:color w:val="000000"/>
        </w:rPr>
        <w:t>a collective</w:t>
      </w:r>
      <w:r w:rsidR="005E6483">
        <w:rPr>
          <w:rFonts w:ascii="TimesNewRomanPSMT" w:hAnsi="TimesNewRomanPSMT" w:cs="TimesNewRomanPSMT"/>
          <w:color w:val="000000"/>
        </w:rPr>
        <w:t xml:space="preserve"> Petition to Intervene.</w:t>
      </w:r>
      <w:r w:rsidR="005E6483">
        <w:rPr>
          <w:rStyle w:val="FootnoteReference"/>
          <w:rFonts w:ascii="TimesNewRomanPSMT" w:hAnsi="TimesNewRomanPSMT" w:cs="TimesNewRomanPSMT"/>
          <w:color w:val="000000"/>
        </w:rPr>
        <w:footnoteReference w:id="7"/>
      </w:r>
      <w:r w:rsidR="005E6483">
        <w:rPr>
          <w:rFonts w:ascii="TimesNewRomanPSMT" w:hAnsi="TimesNewRomanPSMT" w:cs="TimesNewRomanPSMT"/>
          <w:color w:val="000000"/>
        </w:rPr>
        <w:t xml:space="preserve"> </w:t>
      </w:r>
      <w:r w:rsidRPr="00A02FAE">
        <w:rPr>
          <w:rFonts w:ascii="TimesNewRomanPSMT" w:hAnsi="TimesNewRomanPSMT" w:cs="TimesNewRomanPSMT"/>
          <w:color w:val="000000"/>
        </w:rPr>
        <w:t>A hearing has been scheduled for August 12-16</w:t>
      </w:r>
      <w:r>
        <w:rPr>
          <w:rFonts w:ascii="TimesNewRomanPSMT" w:hAnsi="TimesNewRomanPSMT" w:cs="TimesNewRomanPSMT"/>
          <w:color w:val="000000"/>
        </w:rPr>
        <w:t>, 2024.</w:t>
      </w:r>
      <w:r w:rsidRPr="00A02FAE">
        <w:rPr>
          <w:rFonts w:ascii="TimesNewRomanPSMT" w:hAnsi="TimesNewRomanPSMT" w:cs="TimesNewRomanPSMT"/>
          <w:color w:val="000000"/>
        </w:rPr>
        <w:t xml:space="preserve"> </w:t>
      </w:r>
      <w:proofErr w:type="gramStart"/>
      <w:r>
        <w:rPr>
          <w:rFonts w:ascii="TimesNewRomanPSMT" w:hAnsi="TimesNewRomanPSMT" w:cs="TimesNewRomanPSMT"/>
          <w:color w:val="000000"/>
        </w:rPr>
        <w:t>August</w:t>
      </w:r>
      <w:r w:rsidRPr="00A02FAE">
        <w:rPr>
          <w:rFonts w:ascii="TimesNewRomanPSMT" w:hAnsi="TimesNewRomanPSMT" w:cs="TimesNewRomanPSMT"/>
          <w:color w:val="000000"/>
        </w:rPr>
        <w:t xml:space="preserve"> 19-23, 2024</w:t>
      </w:r>
      <w:r>
        <w:rPr>
          <w:rFonts w:ascii="TimesNewRomanPSMT" w:hAnsi="TimesNewRomanPSMT" w:cs="TimesNewRomanPSMT"/>
          <w:color w:val="000000"/>
        </w:rPr>
        <w:t>, have also been reserved, if necessary</w:t>
      </w:r>
      <w:r w:rsidRPr="00A02FAE">
        <w:rPr>
          <w:rFonts w:ascii="TimesNewRomanPSMT" w:hAnsi="TimesNewRomanPSMT" w:cs="TimesNewRomanPSMT"/>
          <w:color w:val="000000"/>
        </w:rPr>
        <w:t>.</w:t>
      </w:r>
      <w:proofErr w:type="gramEnd"/>
      <w:r>
        <w:rPr>
          <w:rStyle w:val="FootnoteReference"/>
          <w:rFonts w:ascii="TimesNewRomanPSMT" w:hAnsi="TimesNewRomanPSMT" w:cs="TimesNewRomanPSMT"/>
          <w:color w:val="000000"/>
        </w:rPr>
        <w:footnoteReference w:id="8"/>
      </w:r>
    </w:p>
    <w:p w:rsidR="005E3F65" w:rsidRDefault="005E3F65" w:rsidP="005E3F65">
      <w:pPr>
        <w:autoSpaceDE w:val="0"/>
        <w:autoSpaceDN w:val="0"/>
        <w:adjustRightInd w:val="0"/>
        <w:jc w:val="both"/>
        <w:rPr>
          <w:rFonts w:ascii="TimesNewRomanPSMT" w:hAnsi="TimesNewRomanPSMT" w:cs="TimesNewRomanPSMT"/>
          <w:color w:val="000000"/>
        </w:rPr>
      </w:pPr>
    </w:p>
    <w:p w:rsidR="0068481F" w:rsidRDefault="005E3F65" w:rsidP="005E3F65">
      <w:pPr>
        <w:pStyle w:val="BodyText"/>
      </w:pPr>
      <w:r>
        <w:rPr>
          <w:rFonts w:ascii="TimesNewRomanPSMT" w:hAnsi="TimesNewRomanPSMT" w:cs="TimesNewRomanPSMT"/>
          <w:color w:val="000000"/>
        </w:rPr>
        <w:t>This recommendation addresses the suspension of the requested permanent rate increase. The Commission has jurisdiction over this matter pursuant to Sections 366.06(2) and (4),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B715C8" w:rsidRDefault="00B715C8">
      <w:pPr>
        <w:pStyle w:val="IssueHeading"/>
        <w:rPr>
          <w:vanish/>
          <w:specVanish/>
        </w:rPr>
      </w:pPr>
      <w:r w:rsidRPr="004C3641">
        <w:t xml:space="preserve">Issue </w:t>
      </w:r>
      <w:r w:rsidR="00F374EC">
        <w:fldChar w:fldCharType="begin"/>
      </w:r>
      <w:r w:rsidR="00F374EC">
        <w:instrText xml:space="preserve"> SEQ Issue \* MERGEFORMAT </w:instrText>
      </w:r>
      <w:r w:rsidR="00F374EC">
        <w:fldChar w:fldCharType="separate"/>
      </w:r>
      <w:r>
        <w:rPr>
          <w:noProof/>
        </w:rPr>
        <w:t>1</w:t>
      </w:r>
      <w:r w:rsidR="00F374E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(L. Smith)" \l 1 </w:instrText>
      </w:r>
      <w:r>
        <w:fldChar w:fldCharType="end"/>
      </w:r>
      <w:r>
        <w:t> </w:t>
      </w:r>
    </w:p>
    <w:p w:rsidR="00B715C8" w:rsidRDefault="00B715C8">
      <w:pPr>
        <w:pStyle w:val="BodyText"/>
      </w:pPr>
      <w:r>
        <w:t xml:space="preserve"> Should </w:t>
      </w:r>
      <w:r w:rsidR="003C66CF">
        <w:t xml:space="preserve">Duke Energy </w:t>
      </w:r>
      <w:r>
        <w:t>Florida</w:t>
      </w:r>
      <w:r w:rsidR="0079329A">
        <w:t>, LLC</w:t>
      </w:r>
      <w:r>
        <w:t>'s</w:t>
      </w:r>
      <w:r w:rsidR="003C66CF">
        <w:t xml:space="preserve"> (DEF)</w:t>
      </w:r>
      <w:r>
        <w:t xml:space="preserve"> request for a $</w:t>
      </w:r>
      <w:r w:rsidR="003C66CF">
        <w:t>593 m</w:t>
      </w:r>
      <w:r>
        <w:t>illion permanent rate increase effective January 1, 202</w:t>
      </w:r>
      <w:r w:rsidR="003C66CF">
        <w:t>5</w:t>
      </w:r>
      <w:r w:rsidR="009978D1">
        <w:t>;</w:t>
      </w:r>
      <w:r>
        <w:t xml:space="preserve"> a $</w:t>
      </w:r>
      <w:r w:rsidR="003C66CF">
        <w:t>98</w:t>
      </w:r>
      <w:r>
        <w:t xml:space="preserve"> million permanent ra</w:t>
      </w:r>
      <w:r w:rsidR="009978D1">
        <w:t>te increase effective January 1;</w:t>
      </w:r>
      <w:r>
        <w:t xml:space="preserve"> 202</w:t>
      </w:r>
      <w:r w:rsidR="003C66CF">
        <w:t>6</w:t>
      </w:r>
      <w:r w:rsidR="00EF69CC">
        <w:t>, a</w:t>
      </w:r>
      <w:r w:rsidR="003C66CF">
        <w:t xml:space="preserve"> $129 million permanent rate increase effective January 1, 2027</w:t>
      </w:r>
      <w:r w:rsidR="009978D1">
        <w:t>;</w:t>
      </w:r>
      <w:r>
        <w:t xml:space="preserve"> and the associated tariff revisions be suspended pending a final decision in this docket?</w:t>
      </w:r>
    </w:p>
    <w:p w:rsidR="00B715C8" w:rsidRPr="004C3641" w:rsidRDefault="00B715C8">
      <w:pPr>
        <w:pStyle w:val="IssueSubsectionHeading"/>
        <w:rPr>
          <w:vanish/>
          <w:specVanish/>
        </w:rPr>
      </w:pPr>
      <w:r w:rsidRPr="004C3641">
        <w:t>Recommendation: </w:t>
      </w:r>
    </w:p>
    <w:p w:rsidR="00B715C8" w:rsidRDefault="00B715C8">
      <w:pPr>
        <w:pStyle w:val="BodyText"/>
      </w:pPr>
      <w:r>
        <w:t xml:space="preserve"> Yes. </w:t>
      </w:r>
      <w:r w:rsidR="00FE2E2D">
        <w:t>DEF’s</w:t>
      </w:r>
      <w:r>
        <w:t xml:space="preserve"> </w:t>
      </w:r>
      <w:r w:rsidR="00FE2E2D">
        <w:t xml:space="preserve">requested </w:t>
      </w:r>
      <w:r w:rsidR="003C66CF">
        <w:t xml:space="preserve">$593 million permanent rate increase effective January 1, </w:t>
      </w:r>
      <w:r w:rsidR="009978D1">
        <w:t>2025;</w:t>
      </w:r>
      <w:r w:rsidR="003C66CF">
        <w:t xml:space="preserve"> $98 million permanent rate increase effective January 1, 2026</w:t>
      </w:r>
      <w:r w:rsidR="009978D1">
        <w:t>;</w:t>
      </w:r>
      <w:r w:rsidR="00EF69CC">
        <w:t xml:space="preserve"> </w:t>
      </w:r>
      <w:r w:rsidR="003C66CF">
        <w:t>$129 million permanent rate increase effective January 1, 2027</w:t>
      </w:r>
      <w:r w:rsidR="009978D1">
        <w:t>;</w:t>
      </w:r>
      <w:r w:rsidRPr="001107E6">
        <w:t xml:space="preserve"> and associated tariff revisions </w:t>
      </w:r>
      <w:r>
        <w:t xml:space="preserve">should </w:t>
      </w:r>
      <w:r w:rsidRPr="001107E6">
        <w:t>be suspended pending a final decision in this docket</w:t>
      </w:r>
      <w:r w:rsidR="005E3F65">
        <w:t>. (</w:t>
      </w:r>
      <w:r>
        <w:t>Smith</w:t>
      </w:r>
      <w:r w:rsidR="005E3F65">
        <w:t xml:space="preserve"> II</w:t>
      </w:r>
      <w:r>
        <w:t>)</w:t>
      </w:r>
    </w:p>
    <w:p w:rsidR="00B715C8" w:rsidRPr="004C3641" w:rsidRDefault="00B715C8">
      <w:pPr>
        <w:pStyle w:val="IssueSubsectionHeading"/>
        <w:rPr>
          <w:vanish/>
          <w:specVanish/>
        </w:rPr>
      </w:pPr>
      <w:r w:rsidRPr="004C3641">
        <w:t>Staff Analysis: </w:t>
      </w:r>
    </w:p>
    <w:p w:rsidR="00B715C8" w:rsidRPr="00792F0F" w:rsidRDefault="00B715C8" w:rsidP="00B715C8">
      <w:pPr>
        <w:pStyle w:val="BodyText"/>
      </w:pPr>
      <w:r>
        <w:t> </w:t>
      </w:r>
      <w:r w:rsidR="003C66CF" w:rsidRPr="00EF69CC">
        <w:t>DE</w:t>
      </w:r>
      <w:r w:rsidRPr="00EF69CC">
        <w:t>F filed its petition, testimony, and mi</w:t>
      </w:r>
      <w:r w:rsidR="003C66CF" w:rsidRPr="00EF69CC">
        <w:t xml:space="preserve">nimum filing requirements on April </w:t>
      </w:r>
      <w:r w:rsidR="00FE2E2D">
        <w:t>2</w:t>
      </w:r>
      <w:r w:rsidR="003C66CF" w:rsidRPr="00EF69CC">
        <w:t>,</w:t>
      </w:r>
      <w:r w:rsidRPr="00EF69CC">
        <w:t xml:space="preserve"> 202</w:t>
      </w:r>
      <w:r w:rsidR="003C66CF" w:rsidRPr="00EF69CC">
        <w:t>4</w:t>
      </w:r>
      <w:r w:rsidRPr="00EF69CC">
        <w:t>.</w:t>
      </w:r>
      <w:r w:rsidR="00EF69CC" w:rsidRPr="00EF69CC">
        <w:t xml:space="preserve"> </w:t>
      </w:r>
      <w:r w:rsidRPr="00EF69CC">
        <w:t>The Company has requested an increase in its retail rates and charges to generate $</w:t>
      </w:r>
      <w:r w:rsidR="00EF69CC" w:rsidRPr="00EF69CC">
        <w:t>593 m</w:t>
      </w:r>
      <w:r w:rsidRPr="00EF69CC">
        <w:t>illion in additional gross annual revenue, effective January 1, 202</w:t>
      </w:r>
      <w:r w:rsidR="00EF69CC" w:rsidRPr="00EF69CC">
        <w:t>5. DEF</w:t>
      </w:r>
      <w:r w:rsidRPr="00EF69CC">
        <w:t xml:space="preserve"> </w:t>
      </w:r>
      <w:r w:rsidR="00EF69CC" w:rsidRPr="00EF69CC">
        <w:t xml:space="preserve">has </w:t>
      </w:r>
      <w:r w:rsidRPr="00EF69CC">
        <w:t>also requested an increase in its retail rates and charges to generate $</w:t>
      </w:r>
      <w:r w:rsidR="00EF69CC" w:rsidRPr="00EF69CC">
        <w:t>98</w:t>
      </w:r>
      <w:r w:rsidRPr="00EF69CC">
        <w:t xml:space="preserve"> million in additional gross annual re</w:t>
      </w:r>
      <w:r w:rsidR="00EF69CC" w:rsidRPr="00EF69CC">
        <w:t>venue, effective January 1, 2026</w:t>
      </w:r>
      <w:r w:rsidRPr="00EF69CC">
        <w:t xml:space="preserve">. Further, </w:t>
      </w:r>
      <w:r w:rsidR="00EF69CC" w:rsidRPr="00EF69CC">
        <w:t>DE</w:t>
      </w:r>
      <w:r w:rsidRPr="00EF69CC">
        <w:t xml:space="preserve">F has requested </w:t>
      </w:r>
      <w:r w:rsidR="00EF69CC" w:rsidRPr="00EF69CC">
        <w:t xml:space="preserve">an increase in retail rates and charges to generate $129 </w:t>
      </w:r>
      <w:r w:rsidR="00FE2E2D">
        <w:t xml:space="preserve">million </w:t>
      </w:r>
      <w:r w:rsidR="00EF69CC" w:rsidRPr="00EF69CC">
        <w:t>in additional gross annual revenue, effective January 1, 2027</w:t>
      </w:r>
      <w:r w:rsidRPr="00EF69CC">
        <w:t>.</w:t>
      </w:r>
    </w:p>
    <w:p w:rsidR="00B715C8" w:rsidRPr="00792F0F" w:rsidRDefault="00B715C8" w:rsidP="00B715C8">
      <w:pPr>
        <w:pStyle w:val="BodyText"/>
      </w:pPr>
      <w:r w:rsidRPr="00792F0F">
        <w:t>Historically, the Commission has suspended requested permanent rate schedules in order to adequately and thoroughly examine the basis for the new rates. Suspension of a requested rate increase is authorized by Section 366.06(3), F.S., which provides:</w:t>
      </w:r>
    </w:p>
    <w:p w:rsidR="00B715C8" w:rsidRPr="00792F0F" w:rsidRDefault="00B715C8" w:rsidP="00B715C8">
      <w:pPr>
        <w:pStyle w:val="BodyText"/>
        <w:ind w:left="576" w:right="576"/>
      </w:pPr>
      <w:r w:rsidRPr="00792F0F">
        <w:t xml:space="preserve">Pending a final order by the commission in any rate proceeding under this section, the commission may withhold consent to the operation of all or any portion of the new rate schedules, delivering to the utility requesting such increase, within 60 days, a </w:t>
      </w:r>
      <w:proofErr w:type="gramStart"/>
      <w:r w:rsidRPr="00792F0F">
        <w:t>reason</w:t>
      </w:r>
      <w:proofErr w:type="gramEnd"/>
      <w:r w:rsidRPr="00792F0F">
        <w:t xml:space="preserve"> or written statement of good cause for withholding its consent.</w:t>
      </w:r>
    </w:p>
    <w:p w:rsidR="00B715C8" w:rsidRDefault="009978D1" w:rsidP="00B715C8">
      <w:pPr>
        <w:pStyle w:val="BodyText"/>
      </w:pPr>
      <w:r w:rsidRPr="00792F0F">
        <w:t xml:space="preserve">Staff recommends that the Commission suspend the requested permanent rate schedules to allow staff and any intervenors sufficient time to adequately </w:t>
      </w:r>
      <w:r>
        <w:t>analyze the case and for the Commission to conduct an administrative hearing. Staff believes this is good cause consistent with the requirement of Section 366.06(3), F.S.</w:t>
      </w:r>
    </w:p>
    <w:p w:rsidR="00B715C8" w:rsidRDefault="00B715C8">
      <w:pPr>
        <w:pStyle w:val="IssueHeading"/>
        <w:rPr>
          <w:vanish/>
          <w:specVanish/>
        </w:rPr>
      </w:pPr>
      <w:r w:rsidRPr="004C3641">
        <w:rPr>
          <w:b w:val="0"/>
          <w:i w:val="0"/>
        </w:rPr>
        <w:br w:type="page"/>
      </w:r>
      <w:r w:rsidRPr="004C3641">
        <w:lastRenderedPageBreak/>
        <w:t xml:space="preserve">Issue </w:t>
      </w:r>
      <w:r w:rsidR="00F374EC">
        <w:fldChar w:fldCharType="begin"/>
      </w:r>
      <w:r w:rsidR="00F374EC">
        <w:instrText xml:space="preserve"> SEQ Issue \* MERGEFORMAT </w:instrText>
      </w:r>
      <w:r w:rsidR="00F374EC">
        <w:fldChar w:fldCharType="separate"/>
      </w:r>
      <w:r>
        <w:rPr>
          <w:noProof/>
        </w:rPr>
        <w:t>2</w:t>
      </w:r>
      <w:r w:rsidR="00F374E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(Stiller, L. Smith)" \l 1 </w:instrText>
      </w:r>
      <w:r>
        <w:fldChar w:fldCharType="end"/>
      </w:r>
      <w:r>
        <w:t> </w:t>
      </w:r>
    </w:p>
    <w:p w:rsidR="00B715C8" w:rsidRDefault="00B715C8">
      <w:pPr>
        <w:pStyle w:val="BodyText"/>
      </w:pPr>
      <w:r>
        <w:t> Should this docket be closed?</w:t>
      </w:r>
    </w:p>
    <w:p w:rsidR="00B715C8" w:rsidRPr="004C3641" w:rsidRDefault="00B715C8">
      <w:pPr>
        <w:pStyle w:val="IssueSubsectionHeading"/>
        <w:rPr>
          <w:vanish/>
          <w:specVanish/>
        </w:rPr>
      </w:pPr>
      <w:r w:rsidRPr="004C3641">
        <w:t>Recommendation: </w:t>
      </w:r>
    </w:p>
    <w:p w:rsidR="00B715C8" w:rsidRDefault="00B715C8">
      <w:pPr>
        <w:pStyle w:val="BodyText"/>
      </w:pPr>
      <w:r>
        <w:t> </w:t>
      </w:r>
      <w:r w:rsidR="009978D1" w:rsidRPr="00DD19C5">
        <w:t xml:space="preserve">No, this docket should remain open </w:t>
      </w:r>
      <w:r w:rsidR="009978D1">
        <w:t xml:space="preserve">pending the Commission’s final resolution of </w:t>
      </w:r>
      <w:r w:rsidR="009978D1" w:rsidRPr="00DD19C5">
        <w:t>the Company’s reques</w:t>
      </w:r>
      <w:r w:rsidR="009978D1">
        <w:t>ted permanent base rate increase</w:t>
      </w:r>
      <w:r w:rsidR="009D18F3">
        <w:t>.</w:t>
      </w:r>
      <w:r w:rsidR="005E3F65">
        <w:t xml:space="preserve"> (Stiller, Thompson</w:t>
      </w:r>
      <w:r>
        <w:t>)</w:t>
      </w:r>
    </w:p>
    <w:p w:rsidR="00B715C8" w:rsidRPr="004C3641" w:rsidRDefault="00B715C8">
      <w:pPr>
        <w:pStyle w:val="IssueSubsectionHeading"/>
        <w:rPr>
          <w:vanish/>
          <w:specVanish/>
        </w:rPr>
      </w:pPr>
      <w:r w:rsidRPr="004C3641">
        <w:t>Staff Analysis: </w:t>
      </w:r>
    </w:p>
    <w:p w:rsidR="00B715C8" w:rsidRDefault="00B715C8">
      <w:pPr>
        <w:pStyle w:val="BodyText"/>
      </w:pPr>
      <w:r>
        <w:t> </w:t>
      </w:r>
      <w:r w:rsidR="009978D1" w:rsidRPr="00DD19C5">
        <w:t>This docket should remain open pending the Commission’s final resolution of the Company’s requested permanent base rate increase</w:t>
      </w:r>
      <w:r w:rsidR="009D18F3">
        <w:t>.</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D12" w:rsidRDefault="00560D12">
      <w:r>
        <w:separator/>
      </w:r>
    </w:p>
  </w:endnote>
  <w:endnote w:type="continuationSeparator" w:id="0">
    <w:p w:rsidR="00560D12" w:rsidRDefault="0056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E4801">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D12" w:rsidRDefault="00560D12">
      <w:r>
        <w:separator/>
      </w:r>
    </w:p>
  </w:footnote>
  <w:footnote w:type="continuationSeparator" w:id="0">
    <w:p w:rsidR="00560D12" w:rsidRDefault="00560D12">
      <w:r>
        <w:continuationSeparator/>
      </w:r>
    </w:p>
  </w:footnote>
  <w:footnote w:id="1">
    <w:p w:rsidR="0079329A" w:rsidRDefault="0079329A">
      <w:pPr>
        <w:pStyle w:val="FootnoteText"/>
      </w:pPr>
      <w:r>
        <w:rPr>
          <w:rStyle w:val="FootnoteReference"/>
        </w:rPr>
        <w:footnoteRef/>
      </w:r>
      <w:r>
        <w:t xml:space="preserve"> Document No. 01442-2024</w:t>
      </w:r>
    </w:p>
  </w:footnote>
  <w:footnote w:id="2">
    <w:p w:rsidR="005E3F65" w:rsidRDefault="005E3F65" w:rsidP="005E3F65">
      <w:pPr>
        <w:pStyle w:val="FootnoteText"/>
      </w:pPr>
      <w:r>
        <w:rPr>
          <w:rStyle w:val="FootnoteReference"/>
        </w:rPr>
        <w:footnoteRef/>
      </w:r>
      <w:r>
        <w:t xml:space="preserve"> </w:t>
      </w:r>
      <w:proofErr w:type="gramStart"/>
      <w:r>
        <w:t>Order No.</w:t>
      </w:r>
      <w:proofErr w:type="gramEnd"/>
      <w:r>
        <w:t xml:space="preserve"> PSC-2021-0202-AS-EI, issued June </w:t>
      </w:r>
      <w:r w:rsidR="0054034F">
        <w:t>9</w:t>
      </w:r>
      <w:r>
        <w:t xml:space="preserve">, 2021, in Docket No. 20210016-EI, </w:t>
      </w:r>
      <w:r>
        <w:rPr>
          <w:i/>
        </w:rPr>
        <w:t>In re: Petition for limited proceeding to approve 2021 settlement agreement, including base rate increases, by Duke Energy Florida, Inc.</w:t>
      </w:r>
      <w:r>
        <w:t xml:space="preserve"> </w:t>
      </w:r>
    </w:p>
  </w:footnote>
  <w:footnote w:id="3">
    <w:p w:rsidR="0079329A" w:rsidRDefault="0079329A" w:rsidP="0079329A">
      <w:pPr>
        <w:pStyle w:val="FootnoteText"/>
      </w:pPr>
      <w:r>
        <w:rPr>
          <w:rStyle w:val="FootnoteReference"/>
        </w:rPr>
        <w:footnoteRef/>
      </w:r>
      <w:r>
        <w:t xml:space="preserve"> </w:t>
      </w:r>
      <w:proofErr w:type="gramStart"/>
      <w:r>
        <w:t>Order No.</w:t>
      </w:r>
      <w:proofErr w:type="gramEnd"/>
      <w:r>
        <w:t xml:space="preserve"> PSC-2024-0041-PCO-EI, issued February 16, 2024, in Docket No. 20240025-EI, </w:t>
      </w:r>
      <w:r>
        <w:rPr>
          <w:i/>
        </w:rPr>
        <w:t>In re: Petition for rate increase by Duke Energy Florida, Inc.</w:t>
      </w:r>
      <w:r>
        <w:t xml:space="preserve"> </w:t>
      </w:r>
    </w:p>
  </w:footnote>
  <w:footnote w:id="4">
    <w:p w:rsidR="0079329A" w:rsidRPr="004C0904" w:rsidRDefault="0079329A" w:rsidP="0079329A">
      <w:pPr>
        <w:pStyle w:val="FootnoteText"/>
      </w:pPr>
      <w:r>
        <w:rPr>
          <w:rStyle w:val="FootnoteReference"/>
        </w:rPr>
        <w:footnoteRef/>
      </w:r>
      <w:r>
        <w:t xml:space="preserve"> Order Nos. PSC-2024-0106-PCO-EI, PSC-2024-0107-PCO-EI, PSC-2024-0108-PCO-EI, and PSC-2024-0109-PCO-EI, </w:t>
      </w:r>
      <w:r w:rsidRPr="004C0904">
        <w:t xml:space="preserve">issued April 19, 2024, in Docket No. 20240025-EI, </w:t>
      </w:r>
      <w:r w:rsidRPr="004C0904">
        <w:rPr>
          <w:i/>
        </w:rPr>
        <w:t>In re: Petition for rate increase by Duke Energy Florida, Inc.</w:t>
      </w:r>
    </w:p>
  </w:footnote>
  <w:footnote w:id="5">
    <w:p w:rsidR="00640F3A" w:rsidRPr="004C0904" w:rsidRDefault="00640F3A">
      <w:pPr>
        <w:pStyle w:val="FootnoteText"/>
      </w:pPr>
      <w:r w:rsidRPr="004C0904">
        <w:rPr>
          <w:rStyle w:val="FootnoteReference"/>
        </w:rPr>
        <w:footnoteRef/>
      </w:r>
      <w:r w:rsidRPr="004C0904">
        <w:t xml:space="preserve"> </w:t>
      </w:r>
      <w:r w:rsidR="00DE116B" w:rsidRPr="004C0904">
        <w:t>Order Nos. PSC-2024-0</w:t>
      </w:r>
      <w:r w:rsidR="004C0904" w:rsidRPr="004C0904">
        <w:t>129</w:t>
      </w:r>
      <w:r w:rsidR="009E7620" w:rsidRPr="004C0904">
        <w:t>-PCO-EI</w:t>
      </w:r>
      <w:r w:rsidR="00DE116B" w:rsidRPr="004C0904">
        <w:t xml:space="preserve"> and PSC-2024-0</w:t>
      </w:r>
      <w:r w:rsidR="004C0904" w:rsidRPr="004C0904">
        <w:t>130</w:t>
      </w:r>
      <w:r w:rsidR="009E7620" w:rsidRPr="004C0904">
        <w:t xml:space="preserve">-PCO-EI, issued April </w:t>
      </w:r>
      <w:r w:rsidR="00831229">
        <w:t>24</w:t>
      </w:r>
      <w:r w:rsidR="00DE116B" w:rsidRPr="004C0904">
        <w:t xml:space="preserve">, 2024, in Docket No. 20240025-EI, </w:t>
      </w:r>
      <w:r w:rsidR="00DE116B" w:rsidRPr="004C0904">
        <w:rPr>
          <w:i/>
        </w:rPr>
        <w:t xml:space="preserve">In re: Petition for rate increase by Duke Energy Florida, </w:t>
      </w:r>
      <w:proofErr w:type="spellStart"/>
      <w:r w:rsidR="00DE116B" w:rsidRPr="004C0904">
        <w:rPr>
          <w:i/>
        </w:rPr>
        <w:t>Inc</w:t>
      </w:r>
      <w:proofErr w:type="spellEnd"/>
    </w:p>
  </w:footnote>
  <w:footnote w:id="6">
    <w:p w:rsidR="00A11C8E" w:rsidRDefault="00A11C8E" w:rsidP="00A11C8E">
      <w:pPr>
        <w:pStyle w:val="FootnoteText"/>
      </w:pPr>
      <w:r w:rsidRPr="004C0904">
        <w:rPr>
          <w:rStyle w:val="FootnoteReference"/>
        </w:rPr>
        <w:footnoteRef/>
      </w:r>
      <w:r w:rsidRPr="004C0904">
        <w:t xml:space="preserve"> Document No. 02257-2024</w:t>
      </w:r>
    </w:p>
  </w:footnote>
  <w:footnote w:id="7">
    <w:p w:rsidR="005E6483" w:rsidRDefault="005E6483">
      <w:pPr>
        <w:pStyle w:val="FootnoteText"/>
      </w:pPr>
      <w:r>
        <w:rPr>
          <w:rStyle w:val="FootnoteReference"/>
        </w:rPr>
        <w:footnoteRef/>
      </w:r>
      <w:r>
        <w:t xml:space="preserve"> Document No. 02346-2024</w:t>
      </w:r>
    </w:p>
  </w:footnote>
  <w:footnote w:id="8">
    <w:p w:rsidR="0079329A" w:rsidRDefault="0079329A" w:rsidP="0079329A">
      <w:pPr>
        <w:pStyle w:val="FootnoteText"/>
      </w:pPr>
      <w:r>
        <w:rPr>
          <w:rStyle w:val="FootnoteReference"/>
        </w:rPr>
        <w:footnoteRef/>
      </w:r>
      <w:r>
        <w:t xml:space="preserve"> </w:t>
      </w:r>
      <w:proofErr w:type="gramStart"/>
      <w:r>
        <w:t>Order No.</w:t>
      </w:r>
      <w:proofErr w:type="gramEnd"/>
      <w:r>
        <w:t xml:space="preserve"> PSC-2024-0092-PCO-EI, issued April 11, 2024, in Docket No. 20240025-EI, </w:t>
      </w:r>
      <w:r>
        <w:rPr>
          <w:i/>
        </w:rPr>
        <w:t>In re: Petition for rate increase by Duke Energy Florida, Inc.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60705"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20240025-EI</w:t>
    </w:r>
    <w:bookmarkEnd w:id="14"/>
  </w:p>
  <w:p w:rsidR="00BC402E" w:rsidRDefault="00BC402E">
    <w:pPr>
      <w:pStyle w:val="Header"/>
    </w:pPr>
    <w:r>
      <w:t xml:space="preserve">Date: </w:t>
    </w:r>
    <w:r w:rsidR="00EF69CC" w:rsidRPr="005E3F65">
      <w:fldChar w:fldCharType="begin"/>
    </w:r>
    <w:r w:rsidR="00EF69CC" w:rsidRPr="005E3F65">
      <w:instrText xml:space="preserve"> REF FilingDate </w:instrText>
    </w:r>
    <w:r w:rsidR="005E3F65">
      <w:instrText xml:space="preserve"> \* MERGEFORMAT </w:instrText>
    </w:r>
    <w:r w:rsidR="00EF69CC" w:rsidRPr="005E3F65">
      <w:fldChar w:fldCharType="separate"/>
    </w:r>
    <w:r w:rsidR="00B715C8" w:rsidRPr="005E3F65">
      <w:t xml:space="preserve">April </w:t>
    </w:r>
    <w:r w:rsidR="005E3F65" w:rsidRPr="005E3F65">
      <w:t>2</w:t>
    </w:r>
    <w:r w:rsidR="00B715C8" w:rsidRPr="005E3F65">
      <w:t>5, 2024</w:t>
    </w:r>
    <w:r w:rsidR="00EF69CC" w:rsidRPr="005E3F6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715C8">
      <w:t>Docket No.</w:t>
    </w:r>
    <w:r>
      <w:fldChar w:fldCharType="end"/>
    </w:r>
    <w:r>
      <w:t xml:space="preserve"> </w:t>
    </w:r>
    <w:r>
      <w:fldChar w:fldCharType="begin"/>
    </w:r>
    <w:r>
      <w:instrText xml:space="preserve"> REF DocketList</w:instrText>
    </w:r>
    <w:r>
      <w:fldChar w:fldCharType="separate"/>
    </w:r>
    <w:r w:rsidR="00B715C8">
      <w:t>20240025-EI</w:t>
    </w:r>
    <w:r>
      <w:fldChar w:fldCharType="end"/>
    </w:r>
    <w:r>
      <w:tab/>
      <w:t xml:space="preserve">Issue </w:t>
    </w:r>
    <w:r w:rsidR="00F374EC">
      <w:fldChar w:fldCharType="begin"/>
    </w:r>
    <w:r w:rsidR="00F374EC">
      <w:instrText xml:space="preserve"> Seq Issue \c \* Arabic </w:instrText>
    </w:r>
    <w:r w:rsidR="00F374EC">
      <w:fldChar w:fldCharType="separate"/>
    </w:r>
    <w:r w:rsidR="000E4801">
      <w:rPr>
        <w:noProof/>
      </w:rPr>
      <w:t>2</w:t>
    </w:r>
    <w:r w:rsidR="00F374EC">
      <w:rPr>
        <w:noProof/>
      </w:rPr>
      <w:fldChar w:fldCharType="end"/>
    </w:r>
  </w:p>
  <w:p w:rsidR="00BC402E" w:rsidRDefault="00BC402E">
    <w:pPr>
      <w:pStyle w:val="Header"/>
    </w:pPr>
    <w:r>
      <w:t xml:space="preserve">Date: </w:t>
    </w:r>
    <w:r w:rsidR="00EF69CC" w:rsidRPr="003C66CF">
      <w:fldChar w:fldCharType="begin"/>
    </w:r>
    <w:r w:rsidR="00EF69CC" w:rsidRPr="003C66CF">
      <w:instrText xml:space="preserve"> REF FilingDate </w:instrText>
    </w:r>
    <w:r w:rsidR="003C66CF">
      <w:instrText xml:space="preserve"> \* MERGEFORMAT </w:instrText>
    </w:r>
    <w:r w:rsidR="00EF69CC" w:rsidRPr="003C66CF">
      <w:fldChar w:fldCharType="separate"/>
    </w:r>
    <w:r w:rsidR="003C66CF" w:rsidRPr="003C66CF">
      <w:t>April 2</w:t>
    </w:r>
    <w:r w:rsidR="00B715C8" w:rsidRPr="003C66CF">
      <w:t>5, 2024</w:t>
    </w:r>
    <w:r w:rsidR="00EF69CC" w:rsidRPr="003C66C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60705"/>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E4801"/>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46E51"/>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C66CF"/>
    <w:rsid w:val="003D7D84"/>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0904"/>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034F"/>
    <w:rsid w:val="00543CB3"/>
    <w:rsid w:val="005442E4"/>
    <w:rsid w:val="00547652"/>
    <w:rsid w:val="0055529B"/>
    <w:rsid w:val="00560D12"/>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E3F65"/>
    <w:rsid w:val="005E6483"/>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0F3A"/>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2734"/>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9329A"/>
    <w:rsid w:val="007A04A1"/>
    <w:rsid w:val="007A1840"/>
    <w:rsid w:val="007A74AF"/>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1229"/>
    <w:rsid w:val="00832DDC"/>
    <w:rsid w:val="008426B0"/>
    <w:rsid w:val="008431BB"/>
    <w:rsid w:val="00845E34"/>
    <w:rsid w:val="00850BAC"/>
    <w:rsid w:val="00854A3E"/>
    <w:rsid w:val="00855D08"/>
    <w:rsid w:val="008618A4"/>
    <w:rsid w:val="00867655"/>
    <w:rsid w:val="008731AB"/>
    <w:rsid w:val="00874344"/>
    <w:rsid w:val="0087505D"/>
    <w:rsid w:val="00877703"/>
    <w:rsid w:val="00882155"/>
    <w:rsid w:val="0088233B"/>
    <w:rsid w:val="0088599E"/>
    <w:rsid w:val="00886C37"/>
    <w:rsid w:val="008915FC"/>
    <w:rsid w:val="00892D99"/>
    <w:rsid w:val="00893315"/>
    <w:rsid w:val="00894C09"/>
    <w:rsid w:val="008A5E9A"/>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978D1"/>
    <w:rsid w:val="009A3291"/>
    <w:rsid w:val="009A3330"/>
    <w:rsid w:val="009A548F"/>
    <w:rsid w:val="009A771B"/>
    <w:rsid w:val="009A7C96"/>
    <w:rsid w:val="009B61BF"/>
    <w:rsid w:val="009C3253"/>
    <w:rsid w:val="009C3DB9"/>
    <w:rsid w:val="009C5968"/>
    <w:rsid w:val="009D0436"/>
    <w:rsid w:val="009D18F3"/>
    <w:rsid w:val="009D46E5"/>
    <w:rsid w:val="009D568A"/>
    <w:rsid w:val="009E7620"/>
    <w:rsid w:val="009F04EC"/>
    <w:rsid w:val="009F2A7C"/>
    <w:rsid w:val="009F3B36"/>
    <w:rsid w:val="00A019B9"/>
    <w:rsid w:val="00A03157"/>
    <w:rsid w:val="00A11756"/>
    <w:rsid w:val="00A11C8E"/>
    <w:rsid w:val="00A12497"/>
    <w:rsid w:val="00A12508"/>
    <w:rsid w:val="00A1282B"/>
    <w:rsid w:val="00A13A27"/>
    <w:rsid w:val="00A15B7C"/>
    <w:rsid w:val="00A175B6"/>
    <w:rsid w:val="00A21835"/>
    <w:rsid w:val="00A2374B"/>
    <w:rsid w:val="00A23AAB"/>
    <w:rsid w:val="00A27D6E"/>
    <w:rsid w:val="00A311AC"/>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6C13"/>
    <w:rsid w:val="00B2765A"/>
    <w:rsid w:val="00B3109A"/>
    <w:rsid w:val="00B32D37"/>
    <w:rsid w:val="00B41AA8"/>
    <w:rsid w:val="00B42B45"/>
    <w:rsid w:val="00B516ED"/>
    <w:rsid w:val="00B565DA"/>
    <w:rsid w:val="00B57A6A"/>
    <w:rsid w:val="00B60705"/>
    <w:rsid w:val="00B62D0D"/>
    <w:rsid w:val="00B715C8"/>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2D45"/>
    <w:rsid w:val="00CB33E9"/>
    <w:rsid w:val="00CB59F8"/>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0D84"/>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116B"/>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9CC"/>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E2D"/>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A8E8F600-39C8-41BE-B505-FE94D1BA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BalloonTextChar">
    <w:name w:val="Balloon Text Char"/>
    <w:basedOn w:val="DefaultParagraphFont"/>
    <w:link w:val="BalloonText"/>
    <w:uiPriority w:val="99"/>
    <w:semiHidden/>
    <w:rsid w:val="005E3F65"/>
    <w:rPr>
      <w:rFonts w:ascii="Tahoma" w:hAnsi="Tahoma" w:cs="Tahoma"/>
      <w:sz w:val="16"/>
      <w:szCs w:val="16"/>
    </w:rPr>
  </w:style>
  <w:style w:type="character" w:customStyle="1" w:styleId="FootnoteTextChar">
    <w:name w:val="Footnote Text Char"/>
    <w:basedOn w:val="DefaultParagraphFont"/>
    <w:link w:val="FootnoteText"/>
    <w:uiPriority w:val="99"/>
    <w:rsid w:val="005E3F65"/>
  </w:style>
  <w:style w:type="character" w:styleId="FootnoteReference">
    <w:name w:val="footnote reference"/>
    <w:basedOn w:val="DefaultParagraphFont"/>
    <w:uiPriority w:val="99"/>
    <w:semiHidden/>
    <w:unhideWhenUsed/>
    <w:rsid w:val="005E3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B7F7-0C39-4B1D-B1AE-DC0CCEF6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882</Words>
  <Characters>5226</Characters>
  <Application>Microsoft Office Word</Application>
  <DocSecurity>0</DocSecurity>
  <Lines>104</Lines>
  <Paragraphs>53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Lee Smith</cp:lastModifiedBy>
  <cp:revision>2</cp:revision>
  <cp:lastPrinted>2004-01-27T20:32:00Z</cp:lastPrinted>
  <dcterms:created xsi:type="dcterms:W3CDTF">2024-04-25T11:36:00Z</dcterms:created>
  <dcterms:modified xsi:type="dcterms:W3CDTF">2024-04-25T11:36:00Z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20240025-EI</vt:lpwstr>
  </property>
  <property fmtid="{D5CDD505-2E9C-101B-9397-08002B2CF9AE}" pid="3" name="MasterDocument">
    <vt:bool>false</vt:bool>
  </property>
</Properties>
</file>