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D53F2" w14:textId="77777777" w:rsidR="00CB5276" w:rsidRDefault="00675066" w:rsidP="00675066">
      <w:pPr>
        <w:pStyle w:val="OrderHeading"/>
      </w:pPr>
      <w:r>
        <w:t>BEFORE THE FLORIDA PUBLIC SERVICE COMMISSION</w:t>
      </w:r>
    </w:p>
    <w:p w14:paraId="031A5491" w14:textId="77777777" w:rsidR="00675066" w:rsidRDefault="00675066" w:rsidP="00675066">
      <w:pPr>
        <w:pStyle w:val="OrderBody"/>
      </w:pPr>
    </w:p>
    <w:p w14:paraId="242AF6A6" w14:textId="77777777" w:rsidR="00675066" w:rsidRDefault="00675066" w:rsidP="006750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5066" w:rsidRPr="00C63FCF" w14:paraId="3B55281D" w14:textId="77777777" w:rsidTr="00C63FCF">
        <w:trPr>
          <w:trHeight w:val="828"/>
        </w:trPr>
        <w:tc>
          <w:tcPr>
            <w:tcW w:w="4788" w:type="dxa"/>
            <w:tcBorders>
              <w:bottom w:val="nil"/>
              <w:right w:val="double" w:sz="6" w:space="0" w:color="auto"/>
            </w:tcBorders>
            <w:shd w:val="clear" w:color="auto" w:fill="auto"/>
          </w:tcPr>
          <w:p w14:paraId="1F450C16" w14:textId="77777777" w:rsidR="00675066" w:rsidRDefault="00675066"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14:paraId="36ED60F0" w14:textId="77777777" w:rsidR="00675066" w:rsidRDefault="0067506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BACB2D3" w14:textId="77777777" w:rsidR="00675066" w:rsidRDefault="00675066" w:rsidP="00C63FCF">
            <w:pPr>
              <w:pStyle w:val="OrderBody"/>
              <w:tabs>
                <w:tab w:val="center" w:pos="4320"/>
                <w:tab w:val="right" w:pos="8640"/>
              </w:tabs>
              <w:jc w:val="left"/>
            </w:pPr>
            <w:r>
              <w:t xml:space="preserve">DOCKET NO. </w:t>
            </w:r>
            <w:bookmarkStart w:id="1" w:name="SMDocketNo"/>
            <w:bookmarkEnd w:id="1"/>
            <w:r>
              <w:t>20240012-EG</w:t>
            </w:r>
          </w:p>
        </w:tc>
      </w:tr>
      <w:tr w:rsidR="00675066" w:rsidRPr="00C63FCF" w14:paraId="761B05A2" w14:textId="77777777" w:rsidTr="00C63FCF">
        <w:trPr>
          <w:trHeight w:val="828"/>
        </w:trPr>
        <w:tc>
          <w:tcPr>
            <w:tcW w:w="4788" w:type="dxa"/>
            <w:tcBorders>
              <w:bottom w:val="nil"/>
              <w:right w:val="double" w:sz="6" w:space="0" w:color="auto"/>
            </w:tcBorders>
            <w:shd w:val="clear" w:color="auto" w:fill="auto"/>
          </w:tcPr>
          <w:p w14:paraId="4CF0A3BF" w14:textId="77777777" w:rsidR="00675066" w:rsidRDefault="00675066" w:rsidP="00C63FCF">
            <w:pPr>
              <w:pStyle w:val="OrderBody"/>
              <w:tabs>
                <w:tab w:val="center" w:pos="4320"/>
                <w:tab w:val="right" w:pos="8640"/>
              </w:tabs>
              <w:jc w:val="left"/>
            </w:pPr>
            <w:r>
              <w:t>In re: Commission review of numeric conservation goals (Duke Energy Florida, LLC).</w:t>
            </w:r>
          </w:p>
          <w:p w14:paraId="46C6AD9A" w14:textId="77777777" w:rsidR="00675066" w:rsidRDefault="0067506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EFED745" w14:textId="77777777" w:rsidR="00675066" w:rsidRDefault="00675066" w:rsidP="00C63FCF">
            <w:pPr>
              <w:pStyle w:val="OrderBody"/>
              <w:tabs>
                <w:tab w:val="center" w:pos="4320"/>
                <w:tab w:val="right" w:pos="8640"/>
              </w:tabs>
              <w:jc w:val="left"/>
            </w:pPr>
            <w:r>
              <w:t>DOCKET NO. 20240013-EG</w:t>
            </w:r>
          </w:p>
          <w:p w14:paraId="2195423E" w14:textId="77777777" w:rsidR="00675066" w:rsidRDefault="00675066" w:rsidP="00C63FCF">
            <w:pPr>
              <w:pStyle w:val="OrderBody"/>
              <w:tabs>
                <w:tab w:val="center" w:pos="4320"/>
                <w:tab w:val="right" w:pos="8640"/>
              </w:tabs>
              <w:jc w:val="left"/>
            </w:pPr>
          </w:p>
        </w:tc>
      </w:tr>
      <w:tr w:rsidR="00675066" w:rsidRPr="00C63FCF" w14:paraId="0B271E0E" w14:textId="77777777" w:rsidTr="00C63FCF">
        <w:trPr>
          <w:trHeight w:val="828"/>
        </w:trPr>
        <w:tc>
          <w:tcPr>
            <w:tcW w:w="4788" w:type="dxa"/>
            <w:tcBorders>
              <w:bottom w:val="nil"/>
              <w:right w:val="double" w:sz="6" w:space="0" w:color="auto"/>
            </w:tcBorders>
            <w:shd w:val="clear" w:color="auto" w:fill="auto"/>
          </w:tcPr>
          <w:p w14:paraId="05B41223" w14:textId="77777777" w:rsidR="00675066" w:rsidRDefault="00675066" w:rsidP="00C63FCF">
            <w:pPr>
              <w:pStyle w:val="OrderBody"/>
              <w:tabs>
                <w:tab w:val="center" w:pos="4320"/>
                <w:tab w:val="right" w:pos="8640"/>
              </w:tabs>
              <w:jc w:val="left"/>
            </w:pPr>
            <w:r>
              <w:t>In re: Commission review of numeric conservation goals (Tampa Electric Company).</w:t>
            </w:r>
          </w:p>
          <w:p w14:paraId="5FDCC74A" w14:textId="77777777" w:rsidR="00675066" w:rsidRDefault="00675066" w:rsidP="00C63FCF">
            <w:pPr>
              <w:pStyle w:val="OrderBody"/>
              <w:tabs>
                <w:tab w:val="center" w:pos="4320"/>
                <w:tab w:val="right" w:pos="8640"/>
              </w:tabs>
              <w:jc w:val="left"/>
            </w:pPr>
          </w:p>
          <w:p w14:paraId="15A9BE0A" w14:textId="275B793A" w:rsidR="0057171D" w:rsidRDefault="0057171D" w:rsidP="00C63FCF">
            <w:pPr>
              <w:pStyle w:val="OrderBody"/>
              <w:tabs>
                <w:tab w:val="center" w:pos="4320"/>
                <w:tab w:val="right" w:pos="8640"/>
              </w:tabs>
              <w:jc w:val="left"/>
            </w:pPr>
            <w:r>
              <w:t>In re: Commission review of numeric conservation goals (F</w:t>
            </w:r>
            <w:r w:rsidR="0093680D">
              <w:t xml:space="preserve">lorida </w:t>
            </w:r>
            <w:r>
              <w:t>P</w:t>
            </w:r>
            <w:r w:rsidR="0093680D">
              <w:t xml:space="preserve">ublic </w:t>
            </w:r>
            <w:r>
              <w:t>U</w:t>
            </w:r>
            <w:r w:rsidR="0093680D">
              <w:t xml:space="preserve">tilities </w:t>
            </w:r>
            <w:r>
              <w:t>C</w:t>
            </w:r>
            <w:r w:rsidR="0093680D">
              <w:t>ompany</w:t>
            </w:r>
            <w:r>
              <w:t>)</w:t>
            </w:r>
            <w:r w:rsidR="0093680D">
              <w:t>.</w:t>
            </w:r>
          </w:p>
          <w:p w14:paraId="68288CF9" w14:textId="43119C66" w:rsidR="0057171D" w:rsidRDefault="0057171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6B51880" w14:textId="77777777" w:rsidR="00675066" w:rsidRDefault="00675066" w:rsidP="00C63FCF">
            <w:pPr>
              <w:pStyle w:val="OrderBody"/>
              <w:tabs>
                <w:tab w:val="center" w:pos="4320"/>
                <w:tab w:val="right" w:pos="8640"/>
              </w:tabs>
              <w:jc w:val="left"/>
            </w:pPr>
            <w:r>
              <w:t>DOCKET NO. 20240014-EG</w:t>
            </w:r>
          </w:p>
          <w:p w14:paraId="345819CD" w14:textId="77777777" w:rsidR="00675066" w:rsidRDefault="00675066" w:rsidP="00C63FCF">
            <w:pPr>
              <w:pStyle w:val="OrderBody"/>
              <w:tabs>
                <w:tab w:val="center" w:pos="4320"/>
                <w:tab w:val="right" w:pos="8640"/>
              </w:tabs>
              <w:jc w:val="left"/>
            </w:pPr>
          </w:p>
          <w:p w14:paraId="5BABFD31" w14:textId="77777777" w:rsidR="0057171D" w:rsidRDefault="0057171D" w:rsidP="00C63FCF">
            <w:pPr>
              <w:pStyle w:val="OrderBody"/>
              <w:tabs>
                <w:tab w:val="center" w:pos="4320"/>
                <w:tab w:val="right" w:pos="8640"/>
              </w:tabs>
              <w:jc w:val="left"/>
            </w:pPr>
          </w:p>
          <w:p w14:paraId="4F93BDB2" w14:textId="49D95958" w:rsidR="0057171D" w:rsidRDefault="0057171D" w:rsidP="0057171D">
            <w:pPr>
              <w:pStyle w:val="OrderBody"/>
              <w:tabs>
                <w:tab w:val="center" w:pos="4320"/>
                <w:tab w:val="right" w:pos="8640"/>
              </w:tabs>
              <w:jc w:val="left"/>
            </w:pPr>
            <w:r>
              <w:t>DOCKET NO. 20240015-EG</w:t>
            </w:r>
          </w:p>
          <w:p w14:paraId="1C79E3DC" w14:textId="01DECEB1" w:rsidR="0057171D" w:rsidRDefault="0057171D" w:rsidP="00C63FCF">
            <w:pPr>
              <w:pStyle w:val="OrderBody"/>
              <w:tabs>
                <w:tab w:val="center" w:pos="4320"/>
                <w:tab w:val="right" w:pos="8640"/>
              </w:tabs>
              <w:jc w:val="left"/>
            </w:pPr>
          </w:p>
        </w:tc>
      </w:tr>
      <w:tr w:rsidR="00675066" w:rsidRPr="00C63FCF" w14:paraId="3C48F6C1" w14:textId="77777777" w:rsidTr="00C63FCF">
        <w:trPr>
          <w:trHeight w:val="828"/>
        </w:trPr>
        <w:tc>
          <w:tcPr>
            <w:tcW w:w="4788" w:type="dxa"/>
            <w:tcBorders>
              <w:bottom w:val="nil"/>
              <w:right w:val="double" w:sz="6" w:space="0" w:color="auto"/>
            </w:tcBorders>
            <w:shd w:val="clear" w:color="auto" w:fill="auto"/>
          </w:tcPr>
          <w:p w14:paraId="76B8BC39" w14:textId="77777777" w:rsidR="00675066" w:rsidRDefault="00675066" w:rsidP="00C63FCF">
            <w:pPr>
              <w:pStyle w:val="OrderBody"/>
              <w:tabs>
                <w:tab w:val="center" w:pos="4320"/>
                <w:tab w:val="right" w:pos="8640"/>
              </w:tabs>
              <w:jc w:val="left"/>
            </w:pPr>
            <w:r>
              <w:t>In re: Commission review of numeric conservation goals (JEA).</w:t>
            </w:r>
          </w:p>
          <w:p w14:paraId="2819DF4E" w14:textId="77777777" w:rsidR="00675066" w:rsidRDefault="0067506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3986BE9" w14:textId="77777777" w:rsidR="00675066" w:rsidRDefault="00675066" w:rsidP="00C63FCF">
            <w:pPr>
              <w:pStyle w:val="OrderBody"/>
              <w:tabs>
                <w:tab w:val="center" w:pos="4320"/>
                <w:tab w:val="right" w:pos="8640"/>
              </w:tabs>
              <w:jc w:val="left"/>
            </w:pPr>
            <w:r>
              <w:t>DOCKET NO. 20240016-EG</w:t>
            </w:r>
          </w:p>
          <w:p w14:paraId="09708272" w14:textId="77777777" w:rsidR="00675066" w:rsidRDefault="00675066" w:rsidP="00C63FCF">
            <w:pPr>
              <w:pStyle w:val="OrderBody"/>
              <w:tabs>
                <w:tab w:val="center" w:pos="4320"/>
                <w:tab w:val="right" w:pos="8640"/>
              </w:tabs>
              <w:jc w:val="left"/>
            </w:pPr>
          </w:p>
        </w:tc>
      </w:tr>
      <w:tr w:rsidR="00675066" w:rsidRPr="00C63FCF" w14:paraId="2E9FF77E" w14:textId="77777777" w:rsidTr="00C63FCF">
        <w:trPr>
          <w:trHeight w:val="828"/>
        </w:trPr>
        <w:tc>
          <w:tcPr>
            <w:tcW w:w="4788" w:type="dxa"/>
            <w:tcBorders>
              <w:top w:val="nil"/>
              <w:bottom w:val="single" w:sz="8" w:space="0" w:color="auto"/>
              <w:right w:val="double" w:sz="6" w:space="0" w:color="auto"/>
            </w:tcBorders>
            <w:shd w:val="clear" w:color="auto" w:fill="auto"/>
          </w:tcPr>
          <w:p w14:paraId="562F0B73" w14:textId="77777777" w:rsidR="00675066" w:rsidRDefault="00675066" w:rsidP="00C63FCF">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14:paraId="65D7239A" w14:textId="77777777" w:rsidR="00675066" w:rsidRDefault="00675066" w:rsidP="00675066">
            <w:pPr>
              <w:pStyle w:val="OrderBody"/>
            </w:pPr>
            <w:r>
              <w:t xml:space="preserve">DOCKET NO. </w:t>
            </w:r>
            <w:bookmarkStart w:id="2" w:name="SMDocketNo2"/>
            <w:bookmarkEnd w:id="2"/>
            <w:r>
              <w:t>20240017-EG</w:t>
            </w:r>
          </w:p>
          <w:p w14:paraId="097DA935" w14:textId="12522ADA" w:rsidR="00675066" w:rsidRDefault="00675066" w:rsidP="00C63FCF">
            <w:pPr>
              <w:pStyle w:val="OrderBody"/>
              <w:tabs>
                <w:tab w:val="center" w:pos="4320"/>
                <w:tab w:val="right" w:pos="8640"/>
              </w:tabs>
              <w:jc w:val="left"/>
            </w:pPr>
            <w:r>
              <w:t xml:space="preserve">ORDER NO. </w:t>
            </w:r>
            <w:bookmarkStart w:id="3" w:name="OrderNo0157"/>
            <w:r w:rsidR="00C2030D">
              <w:t>PSC-2024-0157-PCO-EG</w:t>
            </w:r>
            <w:bookmarkEnd w:id="3"/>
          </w:p>
          <w:p w14:paraId="34D11D10" w14:textId="7542B772" w:rsidR="00675066" w:rsidRDefault="00675066" w:rsidP="00C63FCF">
            <w:pPr>
              <w:pStyle w:val="OrderBody"/>
              <w:tabs>
                <w:tab w:val="center" w:pos="4320"/>
                <w:tab w:val="right" w:pos="8640"/>
              </w:tabs>
              <w:jc w:val="left"/>
            </w:pPr>
            <w:r>
              <w:t xml:space="preserve">ISSUED: </w:t>
            </w:r>
            <w:r w:rsidR="00C2030D">
              <w:t>May 16, 2024</w:t>
            </w:r>
          </w:p>
          <w:p w14:paraId="5554BB3D" w14:textId="77777777" w:rsidR="00675066" w:rsidRDefault="00675066" w:rsidP="00C63FCF">
            <w:pPr>
              <w:pStyle w:val="OrderBody"/>
              <w:tabs>
                <w:tab w:val="center" w:pos="4320"/>
                <w:tab w:val="right" w:pos="8640"/>
              </w:tabs>
              <w:jc w:val="left"/>
            </w:pPr>
          </w:p>
        </w:tc>
      </w:tr>
    </w:tbl>
    <w:p w14:paraId="49E65891" w14:textId="77777777" w:rsidR="00675066" w:rsidRDefault="00675066" w:rsidP="00675066"/>
    <w:p w14:paraId="24E08A92" w14:textId="77777777" w:rsidR="00675066" w:rsidRDefault="00675066" w:rsidP="00675066"/>
    <w:p w14:paraId="5530B8FD" w14:textId="0FFAB47C" w:rsidR="00675066" w:rsidRDefault="00675066" w:rsidP="009318BF">
      <w:pPr>
        <w:pStyle w:val="CenterUnderline"/>
      </w:pPr>
      <w:bookmarkStart w:id="4" w:name="Commissioners"/>
      <w:bookmarkEnd w:id="4"/>
      <w:r>
        <w:t>ORDER</w:t>
      </w:r>
      <w:bookmarkStart w:id="5" w:name="OrderTitle"/>
      <w:r>
        <w:t xml:space="preserve"> DENYING</w:t>
      </w:r>
      <w:r w:rsidR="00A93F33">
        <w:t xml:space="preserve"> IN PART AND </w:t>
      </w:r>
      <w:r w:rsidR="00B93EE5">
        <w:t>GRANTING IN PART</w:t>
      </w:r>
      <w:r>
        <w:t xml:space="preserve"> FLORIDA RISING’S</w:t>
      </w:r>
      <w:r w:rsidR="00A820BD">
        <w:t>,</w:t>
      </w:r>
      <w:r>
        <w:t xml:space="preserve"> LEAGUE OF UNITED LATIN AMERICAN CITIZEN</w:t>
      </w:r>
      <w:r w:rsidR="00A820BD">
        <w:t>S’</w:t>
      </w:r>
      <w:r>
        <w:t xml:space="preserve"> &amp; ENVIRONMENTAL CONFEDERATION OF SOUTHWEST FLORIDA’S UNOPPOSED MOTION FOR </w:t>
      </w:r>
      <w:r w:rsidR="00847386">
        <w:t>EXTENSION</w:t>
      </w:r>
      <w:r>
        <w:t xml:space="preserve"> OF TIME TO FILE TESTIMONY </w:t>
      </w:r>
      <w:bookmarkEnd w:id="5"/>
    </w:p>
    <w:p w14:paraId="4935935B" w14:textId="77777777" w:rsidR="009318BF" w:rsidRDefault="009318BF" w:rsidP="009318BF">
      <w:pPr>
        <w:pStyle w:val="CenterUnderline"/>
      </w:pPr>
    </w:p>
    <w:p w14:paraId="13C42FA5" w14:textId="0239CC40" w:rsidR="00243AB7" w:rsidRDefault="00243AB7" w:rsidP="0024675B">
      <w:pPr>
        <w:jc w:val="both"/>
      </w:pPr>
    </w:p>
    <w:p w14:paraId="68647D1E" w14:textId="44ED0ACB" w:rsidR="009318BF" w:rsidRDefault="009318BF" w:rsidP="009318BF">
      <w:pPr>
        <w:ind w:firstLine="720"/>
        <w:jc w:val="both"/>
      </w:pPr>
      <w:r w:rsidRPr="00C16D90">
        <w:t xml:space="preserve">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w:t>
      </w:r>
      <w:r w:rsidR="0093680D">
        <w:t>PSC-2024-0022-PC</w:t>
      </w:r>
      <w:r w:rsidRPr="00C16D90">
        <w:t>O-EG, issued January 23, 2024</w:t>
      </w:r>
      <w:r w:rsidR="00DA0DDE">
        <w:t xml:space="preserve"> (OEP)</w:t>
      </w:r>
      <w:r w:rsidRPr="00C16D90">
        <w:t>, the dockets were consolidated for purposes of hearing</w:t>
      </w:r>
      <w:r w:rsidR="00E255F8">
        <w:t>,</w:t>
      </w:r>
      <w:r w:rsidRPr="00C16D90">
        <w:t xml:space="preserve"> and contr</w:t>
      </w:r>
      <w:r>
        <w:t>olling dates were established.</w:t>
      </w:r>
      <w:r w:rsidR="00542023">
        <w:rPr>
          <w:rStyle w:val="FootnoteReference"/>
        </w:rPr>
        <w:footnoteReference w:id="1"/>
      </w:r>
      <w:r>
        <w:t xml:space="preserve"> On March 15, 2024, Florida Rising, the League of United Latin American Citizens (LULAC), and the Environmental Confederation of Southwest Florida (ECOSWF) </w:t>
      </w:r>
      <w:r w:rsidR="00505230">
        <w:t xml:space="preserve">(Petitioners) </w:t>
      </w:r>
      <w:r>
        <w:t xml:space="preserve">filed a joint motion to intervene in </w:t>
      </w:r>
      <w:r w:rsidR="00505230">
        <w:t>D</w:t>
      </w:r>
      <w:r>
        <w:t>ocket</w:t>
      </w:r>
      <w:r w:rsidR="00505230">
        <w:t xml:space="preserve"> Nos. </w:t>
      </w:r>
      <w:r w:rsidR="00505230" w:rsidRPr="00C16D90">
        <w:t>20240012-EG</w:t>
      </w:r>
      <w:r w:rsidR="00505230">
        <w:t xml:space="preserve"> (all Petitioners)</w:t>
      </w:r>
      <w:r w:rsidR="00505230" w:rsidRPr="00C16D90">
        <w:t>, 20240013-EG</w:t>
      </w:r>
      <w:r w:rsidR="00505230">
        <w:t xml:space="preserve"> (Florida Rising and LULAC only)</w:t>
      </w:r>
      <w:r w:rsidR="00505230" w:rsidRPr="00C16D90">
        <w:t>, 20240014-EG</w:t>
      </w:r>
      <w:r w:rsidR="00505230">
        <w:t xml:space="preserve"> </w:t>
      </w:r>
      <w:r w:rsidR="00505230">
        <w:lastRenderedPageBreak/>
        <w:t>(Florida Rising and LULAC only),</w:t>
      </w:r>
      <w:r w:rsidR="00505230" w:rsidRPr="00C16D90">
        <w:t xml:space="preserve"> 20240016-EG</w:t>
      </w:r>
      <w:r w:rsidR="00505230">
        <w:t xml:space="preserve"> (Florida Rising only)</w:t>
      </w:r>
      <w:r w:rsidR="00505230" w:rsidRPr="00C16D90">
        <w:t>, and 20240017-EG</w:t>
      </w:r>
      <w:r w:rsidR="00505230">
        <w:t xml:space="preserve"> (Florida Rising only)</w:t>
      </w:r>
      <w:r>
        <w:t>. The motion was granted on April 25, 2024.</w:t>
      </w:r>
    </w:p>
    <w:p w14:paraId="7220E03B" w14:textId="77777777" w:rsidR="009318BF" w:rsidRDefault="009318BF" w:rsidP="009318BF">
      <w:pPr>
        <w:ind w:firstLine="720"/>
        <w:jc w:val="both"/>
      </w:pPr>
    </w:p>
    <w:p w14:paraId="72472CB2" w14:textId="671CB639" w:rsidR="009318BF" w:rsidRDefault="009318BF" w:rsidP="009318BF">
      <w:pPr>
        <w:ind w:firstLine="720"/>
        <w:jc w:val="both"/>
      </w:pPr>
      <w:r>
        <w:t>On</w:t>
      </w:r>
      <w:r w:rsidR="00CB4255">
        <w:t xml:space="preserve"> </w:t>
      </w:r>
      <w:r>
        <w:t>April 30, 2024 Florida Rising, LULAC, and ECOSWF</w:t>
      </w:r>
      <w:r w:rsidR="00DA0DDE">
        <w:t xml:space="preserve"> </w:t>
      </w:r>
      <w:r>
        <w:t>filed a motion for an extension of time to file testimony</w:t>
      </w:r>
      <w:r w:rsidR="00505230">
        <w:t xml:space="preserve"> in each of the respective dockets in which they intervened</w:t>
      </w:r>
      <w:r>
        <w:t xml:space="preserve">. In their motion they </w:t>
      </w:r>
      <w:r w:rsidR="003A189E">
        <w:t xml:space="preserve">also </w:t>
      </w:r>
      <w:r>
        <w:t xml:space="preserve">request that </w:t>
      </w:r>
      <w:r w:rsidR="003A189E">
        <w:t xml:space="preserve">other </w:t>
      </w:r>
      <w:r>
        <w:t>specific dates set out in the Order Establishing Procedure be extended</w:t>
      </w:r>
      <w:r w:rsidR="00DA0DDE">
        <w:t>. Specifically, the Petitioners</w:t>
      </w:r>
      <w:r w:rsidR="00E0016C">
        <w:t xml:space="preserve"> ask for intervenor testimony be moved from May 28, 2024 to June 7, 2024; staff pre-filed testimony to be moved from June 5, 2024 to June 15, 2024; rebuttal pre-filed testimony be moved from July 1, 2024 to July 11, 2024; pre-hearing statements be moved from July 9, 2024 to July 18, 2024</w:t>
      </w:r>
      <w:r w:rsidR="0011131D">
        <w:t>;</w:t>
      </w:r>
      <w:r w:rsidR="00E0016C">
        <w:t xml:space="preserve"> and completion of discovery to be moved from July 17, 2024 to July 22, 2024</w:t>
      </w:r>
      <w:r>
        <w:t xml:space="preserve">. </w:t>
      </w:r>
      <w:r w:rsidR="00195673">
        <w:t>Southern Alliance for C</w:t>
      </w:r>
      <w:r w:rsidR="00DA0DDE">
        <w:t>lean Energy (SACE) supports the</w:t>
      </w:r>
      <w:r w:rsidR="00195673">
        <w:t xml:space="preserve"> motion. All other parties either did not oppose, </w:t>
      </w:r>
      <w:r w:rsidR="0011131D">
        <w:t xml:space="preserve">did </w:t>
      </w:r>
      <w:r w:rsidR="00195673">
        <w:t xml:space="preserve">not object, or took no position on the motion. </w:t>
      </w:r>
      <w:r>
        <w:t xml:space="preserve">These dockets are currently </w:t>
      </w:r>
      <w:r w:rsidRPr="00C44333">
        <w:t>scheduled for hearing on August 6-9, 2024</w:t>
      </w:r>
      <w:r>
        <w:t xml:space="preserve">. </w:t>
      </w:r>
    </w:p>
    <w:p w14:paraId="412535F1" w14:textId="1D97523D" w:rsidR="00243AB7" w:rsidRDefault="00243AB7" w:rsidP="0024675B">
      <w:pPr>
        <w:rPr>
          <w:b/>
        </w:rPr>
      </w:pPr>
    </w:p>
    <w:p w14:paraId="6B1B6A9B" w14:textId="77777777" w:rsidR="00CB4255" w:rsidRDefault="00B61739" w:rsidP="00243AB7">
      <w:pPr>
        <w:ind w:firstLine="720"/>
        <w:jc w:val="both"/>
      </w:pPr>
      <w:r>
        <w:t>Petitioners argue that the de</w:t>
      </w:r>
      <w:r w:rsidR="00E00193">
        <w:t>lay</w:t>
      </w:r>
      <w:r>
        <w:t xml:space="preserve"> of thei</w:t>
      </w:r>
      <w:r w:rsidR="00E00193">
        <w:t>r intervention being granted</w:t>
      </w:r>
      <w:r>
        <w:t xml:space="preserve"> reduced their overall time to conduct discovery in this case</w:t>
      </w:r>
      <w:r w:rsidR="0011131D">
        <w:t xml:space="preserve"> prior to</w:t>
      </w:r>
      <w:r w:rsidR="00542023">
        <w:t xml:space="preserve"> the deadline to file intervenor testimony and exhibits</w:t>
      </w:r>
      <w:r>
        <w:t xml:space="preserve">. </w:t>
      </w:r>
      <w:r w:rsidR="00505230">
        <w:t xml:space="preserve">I note that the Petitioners did not intervene in each of the consolidated dockets, and that granting their motion would nevertheless require amending the procedural schedule in all consolidated dockets. </w:t>
      </w:r>
    </w:p>
    <w:p w14:paraId="60B5926B" w14:textId="77777777" w:rsidR="00CB4255" w:rsidRDefault="00CB4255" w:rsidP="00243AB7">
      <w:pPr>
        <w:ind w:firstLine="720"/>
        <w:jc w:val="both"/>
      </w:pPr>
    </w:p>
    <w:p w14:paraId="2044E5D9" w14:textId="71FE87EE" w:rsidR="00CB4255" w:rsidRDefault="004B2BED" w:rsidP="00243AB7">
      <w:pPr>
        <w:ind w:firstLine="720"/>
        <w:jc w:val="both"/>
      </w:pPr>
      <w:r>
        <w:t>H</w:t>
      </w:r>
      <w:r w:rsidR="007B7189">
        <w:t xml:space="preserve">earing officers </w:t>
      </w:r>
      <w:r>
        <w:t xml:space="preserve">have </w:t>
      </w:r>
      <w:r w:rsidR="007B7189">
        <w:t xml:space="preserve">broad discretion when </w:t>
      </w:r>
      <w:r w:rsidR="00933A7B">
        <w:t xml:space="preserve">establishing procedural deadlines and when </w:t>
      </w:r>
      <w:r w:rsidR="007B7189">
        <w:t xml:space="preserve">ruling on motions </w:t>
      </w:r>
      <w:r w:rsidR="00933A7B">
        <w:t>for extension of time</w:t>
      </w:r>
      <w:r w:rsidR="007B7189">
        <w:t xml:space="preserve">. </w:t>
      </w:r>
      <w:r>
        <w:rPr>
          <w:i/>
        </w:rPr>
        <w:t>See, e.g.</w:t>
      </w:r>
      <w:r>
        <w:t xml:space="preserve">, </w:t>
      </w:r>
      <w:r w:rsidR="00EB2DCF">
        <w:t>Section</w:t>
      </w:r>
      <w:r>
        <w:t xml:space="preserve"> 120.569(2)(o), F.S.; Rules 28-106.206 and 28-106.211, Florida Administrative Code (F.A.C.)</w:t>
      </w:r>
      <w:r w:rsidR="004F0E9E">
        <w:t>.</w:t>
      </w:r>
      <w:r>
        <w:t xml:space="preserve"> </w:t>
      </w:r>
      <w:r w:rsidR="00243AB7">
        <w:t xml:space="preserve">The dates established by the OEP are designed to allow the parties and Commission staff </w:t>
      </w:r>
      <w:r w:rsidR="00542023">
        <w:t xml:space="preserve">sufficient </w:t>
      </w:r>
      <w:r w:rsidR="00243AB7">
        <w:t>time to prepare and conduct the final hearings in these matters</w:t>
      </w:r>
      <w:r w:rsidR="00542023">
        <w:t xml:space="preserve"> without undue burden or delay</w:t>
      </w:r>
      <w:r w:rsidR="00243AB7">
        <w:t>.</w:t>
      </w:r>
    </w:p>
    <w:p w14:paraId="12ED85FA" w14:textId="77777777" w:rsidR="00CB4255" w:rsidRDefault="00CB4255" w:rsidP="00243AB7">
      <w:pPr>
        <w:ind w:firstLine="720"/>
        <w:jc w:val="both"/>
      </w:pPr>
    </w:p>
    <w:p w14:paraId="4B9335FE" w14:textId="598EAF16" w:rsidR="00243AB7" w:rsidRPr="00243AB7" w:rsidRDefault="00243AB7" w:rsidP="00243AB7">
      <w:pPr>
        <w:ind w:firstLine="720"/>
        <w:jc w:val="both"/>
      </w:pPr>
      <w:r>
        <w:t xml:space="preserve"> </w:t>
      </w:r>
      <w:r w:rsidR="007B7189">
        <w:t>In the instant case</w:t>
      </w:r>
      <w:r w:rsidR="00B61739">
        <w:t>,</w:t>
      </w:r>
      <w:r w:rsidR="007B7189">
        <w:t xml:space="preserve"> </w:t>
      </w:r>
      <w:r w:rsidR="00542023">
        <w:t xml:space="preserve">Petitioners have a total of 33 days to conduct discovery between the date their intervention was granted and the deadline to file intervenor testimony and exhibits. Further, they have a total of 83 days before the July 17 discovery deadline. </w:t>
      </w:r>
      <w:r w:rsidR="007B7189">
        <w:t>I do no</w:t>
      </w:r>
      <w:r w:rsidR="00DA0DDE">
        <w:t>t find that the Petitioners will be prejudiced by</w:t>
      </w:r>
      <w:r w:rsidR="007B7189">
        <w:t xml:space="preserve"> the major activity dates established in the OEP</w:t>
      </w:r>
      <w:r w:rsidR="00933A7B">
        <w:t>, nor do I find that the Petitioners have demonstrated good cause for the request as required by Rule 28-106.204</w:t>
      </w:r>
      <w:r w:rsidR="002D3ED7">
        <w:t>(4)</w:t>
      </w:r>
      <w:r w:rsidR="00933A7B">
        <w:t>, F.A.C</w:t>
      </w:r>
      <w:r w:rsidR="007B7189">
        <w:t>.</w:t>
      </w:r>
      <w:r w:rsidR="008B2143">
        <w:t xml:space="preserve"> </w:t>
      </w:r>
      <w:r w:rsidR="008B2143">
        <w:rPr>
          <w:i/>
        </w:rPr>
        <w:t>See</w:t>
      </w:r>
      <w:r w:rsidR="008B2143">
        <w:t xml:space="preserve"> </w:t>
      </w:r>
      <w:r w:rsidR="008B2143">
        <w:rPr>
          <w:i/>
        </w:rPr>
        <w:t>Litvak v. Scylla Prop</w:t>
      </w:r>
      <w:r w:rsidR="004F0E9E">
        <w:rPr>
          <w:i/>
        </w:rPr>
        <w:t>s.</w:t>
      </w:r>
      <w:r w:rsidR="008B2143">
        <w:rPr>
          <w:i/>
        </w:rPr>
        <w:t>, LLC</w:t>
      </w:r>
      <w:r w:rsidR="008B2143">
        <w:t>, 946 So. 2d 1165, 1174 (Fla. 1st DCA 2006) (stating that “an intervenor must take the case as he finds it”).</w:t>
      </w:r>
      <w:r w:rsidR="007B7189">
        <w:t xml:space="preserve"> </w:t>
      </w:r>
      <w:r w:rsidR="00CB4255">
        <w:t xml:space="preserve">However, I will </w:t>
      </w:r>
      <w:r w:rsidR="008B2143">
        <w:t xml:space="preserve">nevertheless extend </w:t>
      </w:r>
      <w:r w:rsidR="00CB4255">
        <w:t>the i</w:t>
      </w:r>
      <w:r w:rsidR="00B93EE5">
        <w:t>n</w:t>
      </w:r>
      <w:r w:rsidR="00CB4255">
        <w:t>tervenor t</w:t>
      </w:r>
      <w:r w:rsidR="00A55699">
        <w:t>estimony deadline of</w:t>
      </w:r>
      <w:r w:rsidR="00B93EE5">
        <w:t xml:space="preserve"> May 28, 2024, to June 5, 2024, to allow </w:t>
      </w:r>
      <w:r w:rsidR="00692E52">
        <w:t>the</w:t>
      </w:r>
      <w:r w:rsidR="00A55699">
        <w:t xml:space="preserve"> Petitioners</w:t>
      </w:r>
      <w:r w:rsidR="00692E52">
        <w:t xml:space="preserve"> </w:t>
      </w:r>
      <w:r w:rsidR="008B2143">
        <w:t xml:space="preserve">and other intervenors </w:t>
      </w:r>
      <w:r w:rsidR="00692E52">
        <w:t>an additional 8 days to file their testimony</w:t>
      </w:r>
      <w:r w:rsidR="008B2143">
        <w:t xml:space="preserve"> in each of the consolidated dockets in which they intervened</w:t>
      </w:r>
      <w:r w:rsidR="00B93EE5">
        <w:t xml:space="preserve">. </w:t>
      </w:r>
      <w:r w:rsidR="00542023">
        <w:t xml:space="preserve">I see no reason to alter </w:t>
      </w:r>
      <w:r w:rsidR="00B93EE5">
        <w:t xml:space="preserve">any of </w:t>
      </w:r>
      <w:r w:rsidR="00542023">
        <w:t>the</w:t>
      </w:r>
      <w:r w:rsidR="00B93EE5">
        <w:t xml:space="preserve"> other</w:t>
      </w:r>
      <w:r w:rsidR="00542023">
        <w:t xml:space="preserve"> existing procedural deadlines</w:t>
      </w:r>
      <w:r w:rsidR="00CB4255">
        <w:t xml:space="preserve">, so they will remain </w:t>
      </w:r>
      <w:r w:rsidR="008B2143">
        <w:t>as set forth in the OEP</w:t>
      </w:r>
      <w:r w:rsidR="00542023">
        <w:t xml:space="preserve">. </w:t>
      </w:r>
      <w:r w:rsidR="00A62D7C">
        <w:t>U</w:t>
      </w:r>
      <w:r w:rsidR="00542023">
        <w:t xml:space="preserve">nder these circumstances, </w:t>
      </w:r>
      <w:r w:rsidR="00933A7B">
        <w:t xml:space="preserve">I find that </w:t>
      </w:r>
      <w:r w:rsidR="007B7189">
        <w:t>the</w:t>
      </w:r>
      <w:r>
        <w:t xml:space="preserve"> motion for extension of time should be denied and the major activity dates established by the OEP should remain in place</w:t>
      </w:r>
      <w:r w:rsidR="008B2143">
        <w:t>,</w:t>
      </w:r>
      <w:r w:rsidR="00692E52">
        <w:t xml:space="preserve"> except </w:t>
      </w:r>
      <w:r w:rsidR="008B2143">
        <w:t xml:space="preserve">that </w:t>
      </w:r>
      <w:r w:rsidR="00692E52">
        <w:t xml:space="preserve">the Intervenor Testimony date shall </w:t>
      </w:r>
      <w:r w:rsidR="008B2143">
        <w:t>b</w:t>
      </w:r>
      <w:r w:rsidR="00692E52">
        <w:t>e moved from May 28, 2024 to June 5, 2024</w:t>
      </w:r>
      <w:r w:rsidR="00FE1BA4">
        <w:t>, for all parties that have intervened in the consolidated FEECA dockets</w:t>
      </w:r>
      <w:r>
        <w:t>.</w:t>
      </w:r>
    </w:p>
    <w:p w14:paraId="698B2A23" w14:textId="77777777" w:rsidR="00675066" w:rsidRPr="0014208D" w:rsidRDefault="00675066" w:rsidP="0014208D">
      <w:pPr>
        <w:pStyle w:val="CenterUnderline"/>
        <w:jc w:val="left"/>
        <w:rPr>
          <w:b/>
          <w:u w:val="none"/>
        </w:rPr>
      </w:pPr>
    </w:p>
    <w:p w14:paraId="1ADC6AE4" w14:textId="77777777" w:rsidR="00675066" w:rsidRPr="00817318" w:rsidRDefault="00675066" w:rsidP="00675066">
      <w:pPr>
        <w:pStyle w:val="ListParagraph"/>
        <w:ind w:left="0"/>
        <w:jc w:val="both"/>
        <w:rPr>
          <w:rFonts w:ascii="Times New Roman" w:hAnsi="Times New Roman"/>
          <w:iCs/>
          <w:color w:val="212121"/>
        </w:rPr>
      </w:pPr>
      <w:r w:rsidRPr="00817318">
        <w:rPr>
          <w:rFonts w:ascii="Times New Roman" w:hAnsi="Times New Roman"/>
          <w:iCs/>
          <w:color w:val="212121"/>
        </w:rPr>
        <w:lastRenderedPageBreak/>
        <w:tab/>
        <w:t>Therefore, it is</w:t>
      </w:r>
    </w:p>
    <w:p w14:paraId="14FD6F11" w14:textId="77777777" w:rsidR="00675066" w:rsidRPr="00817318" w:rsidRDefault="00675066" w:rsidP="00675066">
      <w:pPr>
        <w:pStyle w:val="ListParagraph"/>
        <w:ind w:left="0"/>
        <w:jc w:val="both"/>
        <w:rPr>
          <w:rFonts w:ascii="Times New Roman" w:hAnsi="Times New Roman"/>
          <w:iCs/>
          <w:color w:val="212121"/>
        </w:rPr>
      </w:pPr>
    </w:p>
    <w:p w14:paraId="1D403C94" w14:textId="41EAE696" w:rsidR="00675066" w:rsidRDefault="00675066" w:rsidP="00675066">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Art Graham</w:t>
      </w:r>
      <w:r w:rsidRPr="00817318">
        <w:rPr>
          <w:rFonts w:ascii="Times New Roman" w:hAnsi="Times New Roman"/>
          <w:iCs/>
          <w:color w:val="212121"/>
        </w:rPr>
        <w:t xml:space="preserve">, </w:t>
      </w:r>
      <w:r w:rsidR="00692E52">
        <w:rPr>
          <w:rFonts w:ascii="Times New Roman" w:hAnsi="Times New Roman"/>
          <w:iCs/>
          <w:color w:val="212121"/>
        </w:rPr>
        <w:t xml:space="preserve">as Prehearing Officer, that </w:t>
      </w:r>
      <w:r w:rsidR="008B2143">
        <w:rPr>
          <w:rFonts w:ascii="Times New Roman" w:hAnsi="Times New Roman"/>
          <w:iCs/>
          <w:color w:val="212121"/>
        </w:rPr>
        <w:t xml:space="preserve">in </w:t>
      </w:r>
      <w:r w:rsidR="008B2143" w:rsidRPr="008B2143">
        <w:rPr>
          <w:rFonts w:ascii="Times New Roman" w:hAnsi="Times New Roman"/>
          <w:iCs/>
          <w:color w:val="212121"/>
        </w:rPr>
        <w:t xml:space="preserve">Docket Nos. 20240012-EG, 20240013-EG, 20240014-EG, 20240015-EG, 20240016-EG, and 20240017-EG </w:t>
      </w:r>
      <w:r w:rsidR="00692E52">
        <w:rPr>
          <w:rFonts w:ascii="Times New Roman" w:hAnsi="Times New Roman"/>
          <w:iCs/>
          <w:color w:val="212121"/>
        </w:rPr>
        <w:t>the Intervenor Testimony date established in the Order Establishing Procedure shall be moved from May 28, 2024 to June 5, 2024</w:t>
      </w:r>
      <w:r w:rsidR="0098290C">
        <w:rPr>
          <w:rFonts w:ascii="Times New Roman" w:hAnsi="Times New Roman"/>
          <w:iCs/>
          <w:color w:val="212121"/>
        </w:rPr>
        <w:t>.</w:t>
      </w:r>
      <w:r w:rsidR="00692E52">
        <w:rPr>
          <w:rFonts w:ascii="Times New Roman" w:hAnsi="Times New Roman"/>
          <w:iCs/>
          <w:color w:val="212121"/>
        </w:rPr>
        <w:t xml:space="preserve"> It is further</w:t>
      </w:r>
    </w:p>
    <w:p w14:paraId="1BBF7C2B" w14:textId="3A223310" w:rsidR="00692E52" w:rsidRDefault="00692E52" w:rsidP="00675066">
      <w:pPr>
        <w:pStyle w:val="ListParagraph"/>
        <w:ind w:left="0"/>
        <w:jc w:val="both"/>
        <w:rPr>
          <w:rFonts w:ascii="Times New Roman" w:hAnsi="Times New Roman"/>
          <w:iCs/>
          <w:color w:val="212121"/>
        </w:rPr>
      </w:pPr>
    </w:p>
    <w:p w14:paraId="4D0DB5CB" w14:textId="314D821B" w:rsidR="00692E52" w:rsidRDefault="00692E52" w:rsidP="00675066">
      <w:pPr>
        <w:pStyle w:val="ListParagraph"/>
        <w:ind w:left="0"/>
        <w:jc w:val="both"/>
        <w:rPr>
          <w:rFonts w:ascii="Times New Roman" w:hAnsi="Times New Roman"/>
          <w:iCs/>
          <w:color w:val="212121"/>
        </w:rPr>
      </w:pPr>
      <w:r>
        <w:rPr>
          <w:rFonts w:ascii="Times New Roman" w:hAnsi="Times New Roman"/>
          <w:iCs/>
          <w:color w:val="212121"/>
        </w:rPr>
        <w:tab/>
        <w:t xml:space="preserve">ORDERED that the remaining </w:t>
      </w:r>
      <w:r w:rsidR="008B2143">
        <w:rPr>
          <w:rFonts w:ascii="Times New Roman" w:hAnsi="Times New Roman"/>
          <w:iCs/>
          <w:color w:val="212121"/>
        </w:rPr>
        <w:t xml:space="preserve">proposed </w:t>
      </w:r>
      <w:r>
        <w:rPr>
          <w:rFonts w:ascii="Times New Roman" w:hAnsi="Times New Roman"/>
          <w:iCs/>
          <w:color w:val="212121"/>
        </w:rPr>
        <w:t>dates in F</w:t>
      </w:r>
      <w:r w:rsidRPr="00243AB7">
        <w:rPr>
          <w:rFonts w:ascii="Times New Roman" w:hAnsi="Times New Roman"/>
        </w:rPr>
        <w:t xml:space="preserve">lorida Rising, the League of United Latin American </w:t>
      </w:r>
      <w:r>
        <w:rPr>
          <w:rFonts w:ascii="Times New Roman" w:hAnsi="Times New Roman"/>
        </w:rPr>
        <w:t>Citizens</w:t>
      </w:r>
      <w:r w:rsidRPr="00243AB7">
        <w:rPr>
          <w:rFonts w:ascii="Times New Roman" w:hAnsi="Times New Roman"/>
        </w:rPr>
        <w:t>, and the Environmental Confederation of Southwest Florid</w:t>
      </w:r>
      <w:r>
        <w:rPr>
          <w:rFonts w:ascii="Times New Roman" w:hAnsi="Times New Roman"/>
        </w:rPr>
        <w:t>a’s</w:t>
      </w:r>
      <w:r w:rsidRPr="00243AB7">
        <w:rPr>
          <w:rFonts w:ascii="Times New Roman" w:hAnsi="Times New Roman"/>
          <w:iCs/>
          <w:color w:val="212121"/>
        </w:rPr>
        <w:t xml:space="preserve"> </w:t>
      </w:r>
      <w:r>
        <w:rPr>
          <w:rFonts w:ascii="Times New Roman" w:hAnsi="Times New Roman"/>
          <w:iCs/>
          <w:color w:val="212121"/>
        </w:rPr>
        <w:t>Motion for exten</w:t>
      </w:r>
      <w:r w:rsidR="00CB4255">
        <w:rPr>
          <w:rFonts w:ascii="Times New Roman" w:hAnsi="Times New Roman"/>
          <w:iCs/>
          <w:color w:val="212121"/>
        </w:rPr>
        <w:t>sion of time to file testimony are</w:t>
      </w:r>
      <w:r>
        <w:rPr>
          <w:rFonts w:ascii="Times New Roman" w:hAnsi="Times New Roman"/>
          <w:iCs/>
          <w:color w:val="212121"/>
        </w:rPr>
        <w:t xml:space="preserve"> DENIED.</w:t>
      </w:r>
    </w:p>
    <w:p w14:paraId="7960E0EF" w14:textId="77777777" w:rsidR="0098290C" w:rsidRPr="0098290C" w:rsidRDefault="0098290C" w:rsidP="00675066">
      <w:pPr>
        <w:pStyle w:val="ListParagraph"/>
        <w:ind w:left="0"/>
        <w:jc w:val="both"/>
        <w:rPr>
          <w:rFonts w:ascii="Times New Roman" w:hAnsi="Times New Roman"/>
          <w:iCs/>
          <w:color w:val="212121"/>
        </w:rPr>
      </w:pPr>
    </w:p>
    <w:p w14:paraId="4F750C12" w14:textId="6076A632" w:rsidR="00675066" w:rsidRDefault="00675066" w:rsidP="00675066">
      <w:pPr>
        <w:pStyle w:val="ListParagraph"/>
        <w:keepNext/>
        <w:keepLines/>
        <w:ind w:left="0"/>
        <w:jc w:val="both"/>
        <w:rPr>
          <w:rFonts w:ascii="Times New Roman" w:hAnsi="Times New Roman"/>
          <w:iCs/>
        </w:rPr>
      </w:pPr>
      <w:r>
        <w:rPr>
          <w:rFonts w:ascii="Times New Roman" w:hAnsi="Times New Roman"/>
          <w:iCs/>
          <w:color w:val="FF0000"/>
        </w:rPr>
        <w:tab/>
      </w:r>
      <w:r w:rsidRPr="00365474">
        <w:rPr>
          <w:rFonts w:ascii="Times New Roman" w:hAnsi="Times New Roman"/>
          <w:iCs/>
        </w:rPr>
        <w:t xml:space="preserve">By ORDER of Commissioner Art Graham, as Prehearing Officer, this </w:t>
      </w:r>
      <w:bookmarkStart w:id="6" w:name="replaceDate"/>
      <w:bookmarkEnd w:id="6"/>
      <w:r w:rsidR="00C2030D">
        <w:rPr>
          <w:rFonts w:ascii="Times New Roman" w:hAnsi="Times New Roman"/>
          <w:iCs/>
          <w:u w:val="single"/>
        </w:rPr>
        <w:t>16th</w:t>
      </w:r>
      <w:r w:rsidR="00C2030D">
        <w:rPr>
          <w:rFonts w:ascii="Times New Roman" w:hAnsi="Times New Roman"/>
          <w:iCs/>
        </w:rPr>
        <w:t xml:space="preserve"> day of </w:t>
      </w:r>
      <w:r w:rsidR="00C2030D">
        <w:rPr>
          <w:rFonts w:ascii="Times New Roman" w:hAnsi="Times New Roman"/>
          <w:iCs/>
          <w:u w:val="single"/>
        </w:rPr>
        <w:t>May</w:t>
      </w:r>
      <w:r w:rsidR="00C2030D">
        <w:rPr>
          <w:rFonts w:ascii="Times New Roman" w:hAnsi="Times New Roman"/>
          <w:iCs/>
        </w:rPr>
        <w:t xml:space="preserve">, </w:t>
      </w:r>
      <w:r w:rsidR="00C2030D">
        <w:rPr>
          <w:rFonts w:ascii="Times New Roman" w:hAnsi="Times New Roman"/>
          <w:iCs/>
          <w:u w:val="single"/>
        </w:rPr>
        <w:t>2024</w:t>
      </w:r>
      <w:r w:rsidR="00C2030D">
        <w:rPr>
          <w:rFonts w:ascii="Times New Roman" w:hAnsi="Times New Roman"/>
          <w:iCs/>
        </w:rPr>
        <w:t>.</w:t>
      </w:r>
    </w:p>
    <w:p w14:paraId="42D2B909" w14:textId="77777777" w:rsidR="00C2030D" w:rsidRPr="00C2030D" w:rsidRDefault="00C2030D" w:rsidP="00675066">
      <w:pPr>
        <w:pStyle w:val="ListParagraph"/>
        <w:keepNext/>
        <w:keepLines/>
        <w:ind w:left="0"/>
        <w:jc w:val="both"/>
        <w:rPr>
          <w:rFonts w:ascii="Times New Roman" w:hAnsi="Times New Roman"/>
          <w:iCs/>
          <w:color w:val="FF0000"/>
        </w:rPr>
      </w:pPr>
    </w:p>
    <w:p w14:paraId="585CE1C9" w14:textId="6578A848" w:rsidR="00675066" w:rsidRDefault="00675066" w:rsidP="00675066">
      <w:pPr>
        <w:pStyle w:val="ListParagraph"/>
        <w:keepNext/>
        <w:keepLines/>
        <w:ind w:left="0"/>
        <w:jc w:val="both"/>
        <w:rPr>
          <w:rFonts w:ascii="Times New Roman" w:hAnsi="Times New Roman"/>
          <w:iCs/>
          <w:color w:val="FF0000"/>
        </w:rPr>
      </w:pPr>
    </w:p>
    <w:p w14:paraId="60DCBF7A" w14:textId="77777777" w:rsidR="00C2030D" w:rsidRDefault="00C2030D" w:rsidP="00675066">
      <w:pPr>
        <w:pStyle w:val="ListParagraph"/>
        <w:keepNext/>
        <w:keepLines/>
        <w:ind w:left="0"/>
        <w:jc w:val="both"/>
        <w:rPr>
          <w:rFonts w:ascii="Times New Roman" w:hAnsi="Times New Roman"/>
          <w:iCs/>
          <w:color w:val="FF0000"/>
        </w:rPr>
      </w:pPr>
    </w:p>
    <w:p w14:paraId="7E4EAE4A" w14:textId="77777777" w:rsidR="00675066" w:rsidRDefault="00675066" w:rsidP="00675066">
      <w:pPr>
        <w:pStyle w:val="ListParagraph"/>
        <w:keepNext/>
        <w:keepLines/>
        <w:ind w:left="0"/>
        <w:jc w:val="both"/>
        <w:rPr>
          <w:rFonts w:ascii="Times New Roman" w:hAnsi="Times New Roman"/>
          <w:iCs/>
          <w:color w:val="FF0000"/>
        </w:rPr>
      </w:pPr>
    </w:p>
    <w:tbl>
      <w:tblPr>
        <w:tblW w:w="4720" w:type="dxa"/>
        <w:tblInd w:w="3800" w:type="dxa"/>
        <w:tblLayout w:type="fixed"/>
        <w:tblLook w:val="0000" w:firstRow="0" w:lastRow="0" w:firstColumn="0" w:lastColumn="0" w:noHBand="0" w:noVBand="0"/>
      </w:tblPr>
      <w:tblGrid>
        <w:gridCol w:w="686"/>
        <w:gridCol w:w="4034"/>
      </w:tblGrid>
      <w:tr w:rsidR="00675066" w14:paraId="3305E44A" w14:textId="77777777" w:rsidTr="00675066">
        <w:tc>
          <w:tcPr>
            <w:tcW w:w="720" w:type="dxa"/>
            <w:shd w:val="clear" w:color="auto" w:fill="auto"/>
          </w:tcPr>
          <w:p w14:paraId="2B8137A8" w14:textId="77777777" w:rsidR="00675066" w:rsidRDefault="00675066" w:rsidP="00675066">
            <w:pPr>
              <w:pStyle w:val="ListParagraph"/>
              <w:keepNext/>
              <w:keepLines/>
              <w:ind w:left="0"/>
              <w:jc w:val="both"/>
              <w:rPr>
                <w:rFonts w:ascii="Times New Roman" w:hAnsi="Times New Roman"/>
                <w:iCs/>
                <w:color w:val="FF0000"/>
              </w:rPr>
            </w:pPr>
            <w:bookmarkStart w:id="7" w:name="bkmrkSignature" w:colFirst="0" w:colLast="0"/>
          </w:p>
        </w:tc>
        <w:tc>
          <w:tcPr>
            <w:tcW w:w="4320" w:type="dxa"/>
            <w:tcBorders>
              <w:bottom w:val="single" w:sz="4" w:space="0" w:color="auto"/>
            </w:tcBorders>
            <w:shd w:val="clear" w:color="auto" w:fill="auto"/>
          </w:tcPr>
          <w:p w14:paraId="1740FBBB" w14:textId="4B61BC9C" w:rsidR="00675066" w:rsidRPr="00C2030D" w:rsidRDefault="00C2030D" w:rsidP="00675066">
            <w:pPr>
              <w:pStyle w:val="ListParagraph"/>
              <w:keepNext/>
              <w:keepLines/>
              <w:ind w:left="0"/>
              <w:jc w:val="both"/>
              <w:rPr>
                <w:rFonts w:ascii="Times New Roman" w:hAnsi="Times New Roman"/>
                <w:iCs/>
                <w:color w:val="000000" w:themeColor="text1"/>
              </w:rPr>
            </w:pPr>
            <w:r w:rsidRPr="00C2030D">
              <w:rPr>
                <w:rFonts w:ascii="Times New Roman" w:hAnsi="Times New Roman"/>
                <w:iCs/>
                <w:color w:val="000000" w:themeColor="text1"/>
              </w:rPr>
              <w:t>/s/ Art Graham</w:t>
            </w:r>
          </w:p>
        </w:tc>
      </w:tr>
      <w:bookmarkEnd w:id="7"/>
      <w:tr w:rsidR="00675066" w14:paraId="55BB0620" w14:textId="77777777" w:rsidTr="00675066">
        <w:tc>
          <w:tcPr>
            <w:tcW w:w="720" w:type="dxa"/>
            <w:shd w:val="clear" w:color="auto" w:fill="auto"/>
          </w:tcPr>
          <w:p w14:paraId="0413BCEF" w14:textId="77777777" w:rsidR="00675066" w:rsidRDefault="00675066" w:rsidP="00675066">
            <w:pPr>
              <w:pStyle w:val="ListParagraph"/>
              <w:keepNext/>
              <w:keepLines/>
              <w:ind w:left="0"/>
              <w:jc w:val="both"/>
              <w:rPr>
                <w:rFonts w:ascii="Times New Roman" w:hAnsi="Times New Roman"/>
                <w:iCs/>
                <w:color w:val="FF0000"/>
              </w:rPr>
            </w:pPr>
          </w:p>
        </w:tc>
        <w:tc>
          <w:tcPr>
            <w:tcW w:w="4320" w:type="dxa"/>
            <w:tcBorders>
              <w:top w:val="single" w:sz="4" w:space="0" w:color="auto"/>
            </w:tcBorders>
            <w:shd w:val="clear" w:color="auto" w:fill="auto"/>
          </w:tcPr>
          <w:p w14:paraId="0443CC55" w14:textId="77777777" w:rsidR="00675066" w:rsidRPr="00365474" w:rsidRDefault="00675066" w:rsidP="00675066">
            <w:pPr>
              <w:pStyle w:val="ListParagraph"/>
              <w:keepNext/>
              <w:keepLines/>
              <w:ind w:left="0"/>
              <w:jc w:val="both"/>
              <w:rPr>
                <w:rFonts w:ascii="Times New Roman" w:hAnsi="Times New Roman"/>
                <w:iCs/>
              </w:rPr>
            </w:pPr>
            <w:r w:rsidRPr="00365474">
              <w:rPr>
                <w:rFonts w:ascii="Times New Roman" w:hAnsi="Times New Roman"/>
                <w:iCs/>
              </w:rPr>
              <w:t>ART GRAHAM</w:t>
            </w:r>
          </w:p>
          <w:p w14:paraId="38029280" w14:textId="77777777" w:rsidR="00675066" w:rsidRDefault="00675066" w:rsidP="00675066">
            <w:pPr>
              <w:pStyle w:val="ListParagraph"/>
              <w:keepNext/>
              <w:keepLines/>
              <w:ind w:left="0"/>
              <w:jc w:val="both"/>
              <w:rPr>
                <w:rFonts w:ascii="Times New Roman" w:hAnsi="Times New Roman"/>
                <w:iCs/>
                <w:color w:val="FF0000"/>
              </w:rPr>
            </w:pPr>
            <w:r w:rsidRPr="00365474">
              <w:rPr>
                <w:rFonts w:ascii="Times New Roman" w:hAnsi="Times New Roman"/>
                <w:iCs/>
              </w:rPr>
              <w:t>Commissioner and Prehearing Officer</w:t>
            </w:r>
          </w:p>
        </w:tc>
      </w:tr>
    </w:tbl>
    <w:p w14:paraId="02E6DA5D" w14:textId="77777777" w:rsidR="00675066" w:rsidRDefault="00675066" w:rsidP="00675066">
      <w:pPr>
        <w:pStyle w:val="OrderSigInfo"/>
        <w:keepNext/>
        <w:keepLines/>
      </w:pPr>
      <w:r>
        <w:t>Florida Public Service Commission</w:t>
      </w:r>
    </w:p>
    <w:p w14:paraId="6D53C200" w14:textId="77777777" w:rsidR="00675066" w:rsidRDefault="00675066" w:rsidP="00675066">
      <w:pPr>
        <w:pStyle w:val="OrderSigInfo"/>
        <w:keepNext/>
        <w:keepLines/>
      </w:pPr>
      <w:r>
        <w:t>2540 Shumard Oak Boulevard</w:t>
      </w:r>
    </w:p>
    <w:p w14:paraId="41467E40" w14:textId="77777777" w:rsidR="00675066" w:rsidRDefault="00675066" w:rsidP="00675066">
      <w:pPr>
        <w:pStyle w:val="OrderSigInfo"/>
        <w:keepNext/>
        <w:keepLines/>
      </w:pPr>
      <w:r>
        <w:t>Tallahassee, Florida 32399</w:t>
      </w:r>
    </w:p>
    <w:p w14:paraId="48663E95" w14:textId="77777777" w:rsidR="00675066" w:rsidRDefault="00675066" w:rsidP="00675066">
      <w:pPr>
        <w:pStyle w:val="OrderSigInfo"/>
        <w:keepNext/>
        <w:keepLines/>
      </w:pPr>
      <w:r>
        <w:t>(850) 413</w:t>
      </w:r>
      <w:r>
        <w:noBreakHyphen/>
        <w:t>6770</w:t>
      </w:r>
    </w:p>
    <w:p w14:paraId="157BB219" w14:textId="77777777" w:rsidR="00675066" w:rsidRDefault="00675066" w:rsidP="00675066">
      <w:pPr>
        <w:pStyle w:val="OrderSigInfo"/>
        <w:keepNext/>
        <w:keepLines/>
      </w:pPr>
      <w:bookmarkStart w:id="8" w:name="_GoBack"/>
      <w:bookmarkEnd w:id="8"/>
      <w:r>
        <w:t>www.floridapsc.com</w:t>
      </w:r>
    </w:p>
    <w:p w14:paraId="456C2600" w14:textId="77777777" w:rsidR="00675066" w:rsidRDefault="00675066" w:rsidP="00675066">
      <w:pPr>
        <w:pStyle w:val="OrderSigInfo"/>
        <w:keepNext/>
        <w:keepLines/>
      </w:pPr>
    </w:p>
    <w:p w14:paraId="60FA9B53" w14:textId="64C7B32C" w:rsidR="00675066" w:rsidRDefault="00365474" w:rsidP="00675066">
      <w:pPr>
        <w:pStyle w:val="OrderSigInfo"/>
        <w:keepNext/>
        <w:keepLines/>
      </w:pPr>
      <w:r>
        <w:t xml:space="preserve">Copies furnished: </w:t>
      </w:r>
      <w:r w:rsidR="00675066">
        <w:t>A copy of this document is provided to the parties of record at the time of issuance and, if</w:t>
      </w:r>
      <w:r w:rsidR="00A24872">
        <w:t xml:space="preserve"> applicable, interested persons.</w:t>
      </w:r>
    </w:p>
    <w:p w14:paraId="0925AA61" w14:textId="77777777" w:rsidR="00675066" w:rsidRDefault="00675066" w:rsidP="00675066">
      <w:pPr>
        <w:pStyle w:val="OrderBody"/>
        <w:keepNext/>
        <w:keepLines/>
      </w:pPr>
    </w:p>
    <w:p w14:paraId="0505FBF2" w14:textId="77777777" w:rsidR="00675066" w:rsidRDefault="00675066" w:rsidP="00675066">
      <w:pPr>
        <w:pStyle w:val="ListParagraph"/>
        <w:keepNext/>
        <w:keepLines/>
        <w:ind w:left="0"/>
        <w:jc w:val="both"/>
        <w:rPr>
          <w:rFonts w:ascii="Times New Roman" w:hAnsi="Times New Roman"/>
          <w:iCs/>
          <w:color w:val="FF0000"/>
        </w:rPr>
      </w:pPr>
    </w:p>
    <w:p w14:paraId="519F28F0" w14:textId="0D3C10A2" w:rsidR="00675066" w:rsidRDefault="00675066" w:rsidP="00675066">
      <w:pPr>
        <w:pStyle w:val="ListParagraph"/>
        <w:ind w:left="0"/>
        <w:jc w:val="both"/>
        <w:rPr>
          <w:rFonts w:ascii="Times New Roman" w:hAnsi="Times New Roman"/>
          <w:iCs/>
          <w:color w:val="FF0000"/>
        </w:rPr>
      </w:pPr>
      <w:r w:rsidRPr="00365474">
        <w:rPr>
          <w:rFonts w:ascii="Times New Roman" w:hAnsi="Times New Roman"/>
          <w:iCs/>
        </w:rPr>
        <w:t>JDI</w:t>
      </w:r>
      <w:r w:rsidR="00FD26C6">
        <w:rPr>
          <w:rFonts w:ascii="Times New Roman" w:hAnsi="Times New Roman"/>
          <w:iCs/>
        </w:rPr>
        <w:t>/jhr</w:t>
      </w:r>
    </w:p>
    <w:p w14:paraId="61F2579A" w14:textId="77777777" w:rsidR="00675066" w:rsidRDefault="00675066" w:rsidP="00675066">
      <w:pPr>
        <w:pStyle w:val="ListParagraph"/>
        <w:ind w:left="0"/>
        <w:jc w:val="both"/>
        <w:rPr>
          <w:rFonts w:ascii="Times New Roman" w:hAnsi="Times New Roman"/>
          <w:iCs/>
          <w:color w:val="FF0000"/>
        </w:rPr>
      </w:pPr>
    </w:p>
    <w:p w14:paraId="291795AC" w14:textId="41762243" w:rsidR="00F81DA1" w:rsidRDefault="00F81DA1">
      <w:pPr>
        <w:rPr>
          <w:u w:val="single"/>
        </w:rPr>
      </w:pPr>
      <w:r>
        <w:br w:type="page"/>
      </w:r>
    </w:p>
    <w:p w14:paraId="0B917CE3" w14:textId="77777777" w:rsidR="00675066" w:rsidRDefault="00675066" w:rsidP="00675066">
      <w:pPr>
        <w:pStyle w:val="CenterUnderline"/>
      </w:pPr>
      <w:r>
        <w:lastRenderedPageBreak/>
        <w:t>NOTICE OF FURTHER PROCEEDINGS OR JUDICIAL REVIEW</w:t>
      </w:r>
    </w:p>
    <w:p w14:paraId="6770D266" w14:textId="77777777" w:rsidR="00675066" w:rsidRDefault="00675066" w:rsidP="00675066">
      <w:pPr>
        <w:pStyle w:val="CenterUnderline"/>
      </w:pPr>
    </w:p>
    <w:p w14:paraId="6E448D43" w14:textId="77777777" w:rsidR="00675066" w:rsidRDefault="00675066" w:rsidP="006750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365474">
        <w:t xml:space="preserve">. </w:t>
      </w:r>
      <w:r>
        <w:t>This notice should not be construed to mean all requests for an administrative hearing or judicial review will be granted or result in the relief sought.</w:t>
      </w:r>
    </w:p>
    <w:p w14:paraId="56EC26FE" w14:textId="77777777" w:rsidR="00675066" w:rsidRDefault="00675066" w:rsidP="00675066">
      <w:pPr>
        <w:pStyle w:val="OrderBody"/>
      </w:pPr>
    </w:p>
    <w:p w14:paraId="3CA0CE97" w14:textId="77777777" w:rsidR="00675066" w:rsidRDefault="00675066" w:rsidP="00675066">
      <w:pPr>
        <w:pStyle w:val="OrderBody"/>
      </w:pPr>
      <w:r>
        <w:tab/>
        <w:t>Mediation may be available on a case-by-case basis</w:t>
      </w:r>
      <w:r w:rsidR="00365474">
        <w:t xml:space="preserve">. </w:t>
      </w:r>
      <w:r>
        <w:t>If mediation is conducted, it does not affect a substantially interested person's right to a hearing.</w:t>
      </w:r>
    </w:p>
    <w:p w14:paraId="00225B6A" w14:textId="77777777" w:rsidR="00675066" w:rsidRDefault="00675066" w:rsidP="00675066">
      <w:pPr>
        <w:pStyle w:val="OrderBody"/>
      </w:pPr>
    </w:p>
    <w:p w14:paraId="41199BD8" w14:textId="77777777" w:rsidR="00CB5276" w:rsidRDefault="006750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365474">
        <w:t xml:space="preserve">. </w:t>
      </w:r>
      <w:r>
        <w:t>A motion for reconsideration shall be filed with the Office of Commission Clerk, in the form prescribed by Rule 25-22.0376, Florida Administrative Code</w:t>
      </w:r>
      <w:r w:rsidR="00365474">
        <w:t xml:space="preserve">. </w:t>
      </w:r>
      <w:r>
        <w:t>Judicial review of a preliminary, procedural or intermediate ruling or order is available if review of the final action will not provide an adequate remedy</w:t>
      </w:r>
      <w:r w:rsidR="00365474">
        <w:t xml:space="preserve">. </w:t>
      </w:r>
      <w:r>
        <w:t>Such review may be requested from the appropriate court, as described above, pursuant to Rule 9.100, Florida Rules of Appellate Procedure.</w:t>
      </w:r>
      <w:bookmarkStart w:id="9" w:name="OrderText"/>
      <w:bookmarkEnd w:id="9"/>
    </w:p>
    <w:p w14:paraId="0E7C7900"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DF48E" w14:textId="77777777" w:rsidR="00675066" w:rsidRDefault="00675066">
      <w:r>
        <w:separator/>
      </w:r>
    </w:p>
  </w:endnote>
  <w:endnote w:type="continuationSeparator" w:id="0">
    <w:p w14:paraId="0C021FD9" w14:textId="77777777" w:rsidR="00675066" w:rsidRDefault="0067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2B73" w14:textId="77777777" w:rsidR="00FA6EFD" w:rsidRDefault="00FA6EFD">
    <w:pPr>
      <w:pStyle w:val="Footer"/>
    </w:pPr>
  </w:p>
  <w:p w14:paraId="535990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C13B" w14:textId="77777777" w:rsidR="00675066" w:rsidRDefault="00675066">
      <w:r>
        <w:separator/>
      </w:r>
    </w:p>
  </w:footnote>
  <w:footnote w:type="continuationSeparator" w:id="0">
    <w:p w14:paraId="1899F881" w14:textId="77777777" w:rsidR="00675066" w:rsidRDefault="00675066">
      <w:r>
        <w:continuationSeparator/>
      </w:r>
    </w:p>
  </w:footnote>
  <w:footnote w:id="1">
    <w:p w14:paraId="5CCB0C38" w14:textId="28CB642D" w:rsidR="00542023" w:rsidRDefault="00542023">
      <w:pPr>
        <w:pStyle w:val="FootnoteText"/>
      </w:pPr>
      <w:r>
        <w:rPr>
          <w:rStyle w:val="FootnoteReference"/>
        </w:rPr>
        <w:footnoteRef/>
      </w:r>
      <w:r>
        <w:t xml:space="preserve"> Notably, the OEP established a schedule providing 56 days between the deadline for utility testimony and exhibits on April 2, 2024, and the deadline for intervenor testimony and exhibits on May 28, 2024, and providing a total of 106 days in which to conduct discovery before the discovery deadline of July 17,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60AF" w14:textId="70303C69" w:rsidR="00FA6EFD" w:rsidRDefault="00FA6EFD">
    <w:pPr>
      <w:pStyle w:val="OrderHeader"/>
    </w:pPr>
    <w:r>
      <w:t xml:space="preserve">ORDER NO. </w:t>
    </w:r>
    <w:fldSimple w:instr=" REF OrderNo0157 ">
      <w:r w:rsidR="00C2030D">
        <w:t>PSC-2024-0157-PCO-EG</w:t>
      </w:r>
    </w:fldSimple>
  </w:p>
  <w:p w14:paraId="0A4DE8C7" w14:textId="77777777" w:rsidR="00675066" w:rsidRDefault="00675066">
    <w:pPr>
      <w:pStyle w:val="OrderHeader"/>
    </w:pPr>
    <w:bookmarkStart w:id="10" w:name="HeaderDocketNo"/>
    <w:bookmarkEnd w:id="10"/>
    <w:r>
      <w:t xml:space="preserve">DOCKET NOS. 20240012-EG, </w:t>
    </w:r>
  </w:p>
  <w:p w14:paraId="69E7CD8B" w14:textId="77777777" w:rsidR="00675066" w:rsidRDefault="00675066">
    <w:pPr>
      <w:pStyle w:val="OrderHeader"/>
    </w:pPr>
    <w:r>
      <w:t xml:space="preserve">20240013-EG, 20240014-EG, </w:t>
    </w:r>
  </w:p>
  <w:p w14:paraId="58A36EAB" w14:textId="77777777" w:rsidR="00F645BF" w:rsidRDefault="00F645BF">
    <w:pPr>
      <w:pStyle w:val="OrderHeader"/>
    </w:pPr>
    <w:r>
      <w:t xml:space="preserve">20240015-EG </w:t>
    </w:r>
    <w:r w:rsidR="00675066">
      <w:t xml:space="preserve">20240016-EG, </w:t>
    </w:r>
  </w:p>
  <w:p w14:paraId="7CC5309F" w14:textId="3A2FD8F8" w:rsidR="00FA6EFD" w:rsidRDefault="00675066">
    <w:pPr>
      <w:pStyle w:val="OrderHeader"/>
    </w:pPr>
    <w:r>
      <w:t>20240017-EG</w:t>
    </w:r>
  </w:p>
  <w:p w14:paraId="33E74FE1" w14:textId="2F0359D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6F8B">
      <w:rPr>
        <w:rStyle w:val="PageNumber"/>
        <w:noProof/>
      </w:rPr>
      <w:t>4</w:t>
    </w:r>
    <w:r>
      <w:rPr>
        <w:rStyle w:val="PageNumber"/>
      </w:rPr>
      <w:fldChar w:fldCharType="end"/>
    </w:r>
  </w:p>
  <w:p w14:paraId="4BF037F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6-EG, 20240017-EG"/>
  </w:docVars>
  <w:rsids>
    <w:rsidRoot w:val="006750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31D"/>
    <w:rsid w:val="001114B1"/>
    <w:rsid w:val="001139D8"/>
    <w:rsid w:val="00116AD3"/>
    <w:rsid w:val="00121957"/>
    <w:rsid w:val="0012387E"/>
    <w:rsid w:val="001259EC"/>
    <w:rsid w:val="00126593"/>
    <w:rsid w:val="00131DFF"/>
    <w:rsid w:val="00134177"/>
    <w:rsid w:val="00136087"/>
    <w:rsid w:val="00141874"/>
    <w:rsid w:val="0014208D"/>
    <w:rsid w:val="00142A96"/>
    <w:rsid w:val="001513DE"/>
    <w:rsid w:val="00154A71"/>
    <w:rsid w:val="001655D4"/>
    <w:rsid w:val="00165803"/>
    <w:rsid w:val="00167C3A"/>
    <w:rsid w:val="00187E32"/>
    <w:rsid w:val="001918FF"/>
    <w:rsid w:val="00194A97"/>
    <w:rsid w:val="00194E81"/>
    <w:rsid w:val="00195673"/>
    <w:rsid w:val="00196F8B"/>
    <w:rsid w:val="001A15E7"/>
    <w:rsid w:val="001A33C9"/>
    <w:rsid w:val="001A58F3"/>
    <w:rsid w:val="001B034E"/>
    <w:rsid w:val="001C2847"/>
    <w:rsid w:val="001C3BB5"/>
    <w:rsid w:val="001C3F8C"/>
    <w:rsid w:val="001C6097"/>
    <w:rsid w:val="001C7126"/>
    <w:rsid w:val="001D008A"/>
    <w:rsid w:val="001E0152"/>
    <w:rsid w:val="001E0FF5"/>
    <w:rsid w:val="001E524A"/>
    <w:rsid w:val="001F0095"/>
    <w:rsid w:val="001F36B0"/>
    <w:rsid w:val="001F4CA3"/>
    <w:rsid w:val="001F59E0"/>
    <w:rsid w:val="002002ED"/>
    <w:rsid w:val="002044DD"/>
    <w:rsid w:val="002170E5"/>
    <w:rsid w:val="00220D57"/>
    <w:rsid w:val="00223B99"/>
    <w:rsid w:val="0022721A"/>
    <w:rsid w:val="00230BB9"/>
    <w:rsid w:val="00241CEF"/>
    <w:rsid w:val="00243AB7"/>
    <w:rsid w:val="0024675B"/>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3ED7"/>
    <w:rsid w:val="002D4B1F"/>
    <w:rsid w:val="002D7D15"/>
    <w:rsid w:val="002E1B2E"/>
    <w:rsid w:val="002E27EB"/>
    <w:rsid w:val="002E4EF4"/>
    <w:rsid w:val="002E78B6"/>
    <w:rsid w:val="002F0F1C"/>
    <w:rsid w:val="002F2A9D"/>
    <w:rsid w:val="002F31C2"/>
    <w:rsid w:val="002F7BF6"/>
    <w:rsid w:val="00303FDE"/>
    <w:rsid w:val="00313C5B"/>
    <w:rsid w:val="003140E8"/>
    <w:rsid w:val="003230CE"/>
    <w:rsid w:val="003231C7"/>
    <w:rsid w:val="00323839"/>
    <w:rsid w:val="003270C4"/>
    <w:rsid w:val="00327C70"/>
    <w:rsid w:val="00331ED0"/>
    <w:rsid w:val="00332B0A"/>
    <w:rsid w:val="00333A41"/>
    <w:rsid w:val="00341036"/>
    <w:rsid w:val="00345434"/>
    <w:rsid w:val="00351C22"/>
    <w:rsid w:val="0035495B"/>
    <w:rsid w:val="00355A93"/>
    <w:rsid w:val="00360F30"/>
    <w:rsid w:val="00361522"/>
    <w:rsid w:val="00365474"/>
    <w:rsid w:val="0037196E"/>
    <w:rsid w:val="003744F5"/>
    <w:rsid w:val="00382C6A"/>
    <w:rsid w:val="003875A9"/>
    <w:rsid w:val="00387BDE"/>
    <w:rsid w:val="00390DD8"/>
    <w:rsid w:val="00394DC6"/>
    <w:rsid w:val="00397C3E"/>
    <w:rsid w:val="003A189E"/>
    <w:rsid w:val="003B1A09"/>
    <w:rsid w:val="003B6F02"/>
    <w:rsid w:val="003C0431"/>
    <w:rsid w:val="003C29BB"/>
    <w:rsid w:val="003D3989"/>
    <w:rsid w:val="003D4CCA"/>
    <w:rsid w:val="003D52A6"/>
    <w:rsid w:val="003D6416"/>
    <w:rsid w:val="003E1D48"/>
    <w:rsid w:val="003E711F"/>
    <w:rsid w:val="003F1D2B"/>
    <w:rsid w:val="003F2C48"/>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2BED"/>
    <w:rsid w:val="004B3A2B"/>
    <w:rsid w:val="004B70D3"/>
    <w:rsid w:val="004C312D"/>
    <w:rsid w:val="004D2D1B"/>
    <w:rsid w:val="004D5067"/>
    <w:rsid w:val="004D6838"/>
    <w:rsid w:val="004D72BC"/>
    <w:rsid w:val="004E469D"/>
    <w:rsid w:val="004E7F4F"/>
    <w:rsid w:val="004F0E9E"/>
    <w:rsid w:val="004F2DDE"/>
    <w:rsid w:val="004F5A55"/>
    <w:rsid w:val="004F6426"/>
    <w:rsid w:val="004F7826"/>
    <w:rsid w:val="0050097F"/>
    <w:rsid w:val="00505230"/>
    <w:rsid w:val="00514B1F"/>
    <w:rsid w:val="00523C5C"/>
    <w:rsid w:val="00524884"/>
    <w:rsid w:val="00525E93"/>
    <w:rsid w:val="0052671D"/>
    <w:rsid w:val="005300C0"/>
    <w:rsid w:val="00533EF6"/>
    <w:rsid w:val="00540E6B"/>
    <w:rsid w:val="0054109E"/>
    <w:rsid w:val="00542023"/>
    <w:rsid w:val="0055595D"/>
    <w:rsid w:val="00556A10"/>
    <w:rsid w:val="00557F50"/>
    <w:rsid w:val="0057171D"/>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783"/>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30"/>
    <w:rsid w:val="00645AF6"/>
    <w:rsid w:val="00647025"/>
    <w:rsid w:val="0064730A"/>
    <w:rsid w:val="006507DA"/>
    <w:rsid w:val="006531A4"/>
    <w:rsid w:val="00660774"/>
    <w:rsid w:val="0066389A"/>
    <w:rsid w:val="0066495C"/>
    <w:rsid w:val="00665CC7"/>
    <w:rsid w:val="00672612"/>
    <w:rsid w:val="00674ECC"/>
    <w:rsid w:val="00675066"/>
    <w:rsid w:val="00677F18"/>
    <w:rsid w:val="00692E52"/>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5B2"/>
    <w:rsid w:val="007B1C5E"/>
    <w:rsid w:val="007B350E"/>
    <w:rsid w:val="007B718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386"/>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143"/>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8BF"/>
    <w:rsid w:val="00931C8C"/>
    <w:rsid w:val="00933A7B"/>
    <w:rsid w:val="0093680D"/>
    <w:rsid w:val="0094135C"/>
    <w:rsid w:val="00943D21"/>
    <w:rsid w:val="0094504B"/>
    <w:rsid w:val="0095044C"/>
    <w:rsid w:val="009600DA"/>
    <w:rsid w:val="00964A38"/>
    <w:rsid w:val="00966A9D"/>
    <w:rsid w:val="0096742B"/>
    <w:rsid w:val="00967C64"/>
    <w:rsid w:val="009718C5"/>
    <w:rsid w:val="009761A1"/>
    <w:rsid w:val="00976AFF"/>
    <w:rsid w:val="0098290C"/>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872"/>
    <w:rsid w:val="00A3351E"/>
    <w:rsid w:val="00A4303C"/>
    <w:rsid w:val="00A46CAF"/>
    <w:rsid w:val="00A470FD"/>
    <w:rsid w:val="00A50B5E"/>
    <w:rsid w:val="00A55699"/>
    <w:rsid w:val="00A62D7C"/>
    <w:rsid w:val="00A62DAB"/>
    <w:rsid w:val="00A6757A"/>
    <w:rsid w:val="00A726A6"/>
    <w:rsid w:val="00A74106"/>
    <w:rsid w:val="00A74842"/>
    <w:rsid w:val="00A820BD"/>
    <w:rsid w:val="00A8269A"/>
    <w:rsid w:val="00A86A50"/>
    <w:rsid w:val="00A9178A"/>
    <w:rsid w:val="00A93F33"/>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739"/>
    <w:rsid w:val="00B61D42"/>
    <w:rsid w:val="00B67A43"/>
    <w:rsid w:val="00B71D1F"/>
    <w:rsid w:val="00B72CFF"/>
    <w:rsid w:val="00B73DE6"/>
    <w:rsid w:val="00B761CD"/>
    <w:rsid w:val="00B765CA"/>
    <w:rsid w:val="00B76B66"/>
    <w:rsid w:val="00B86EF0"/>
    <w:rsid w:val="00B93EE5"/>
    <w:rsid w:val="00B96969"/>
    <w:rsid w:val="00B97900"/>
    <w:rsid w:val="00BA1229"/>
    <w:rsid w:val="00BA44A8"/>
    <w:rsid w:val="00BA49C5"/>
    <w:rsid w:val="00BB0182"/>
    <w:rsid w:val="00BB2F4A"/>
    <w:rsid w:val="00BB36C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30D"/>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4255"/>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249"/>
    <w:rsid w:val="00D46FAA"/>
    <w:rsid w:val="00D47A40"/>
    <w:rsid w:val="00D51D33"/>
    <w:rsid w:val="00D57BB2"/>
    <w:rsid w:val="00D57E57"/>
    <w:rsid w:val="00D62797"/>
    <w:rsid w:val="00D70752"/>
    <w:rsid w:val="00D80E2D"/>
    <w:rsid w:val="00D84D5E"/>
    <w:rsid w:val="00D8560E"/>
    <w:rsid w:val="00D8758F"/>
    <w:rsid w:val="00DA0DDE"/>
    <w:rsid w:val="00DA4EDD"/>
    <w:rsid w:val="00DA6B78"/>
    <w:rsid w:val="00DB122B"/>
    <w:rsid w:val="00DC1D94"/>
    <w:rsid w:val="00DC42CF"/>
    <w:rsid w:val="00DC738A"/>
    <w:rsid w:val="00DD382A"/>
    <w:rsid w:val="00DD592E"/>
    <w:rsid w:val="00DE057F"/>
    <w:rsid w:val="00DE2082"/>
    <w:rsid w:val="00DE2289"/>
    <w:rsid w:val="00DF09A7"/>
    <w:rsid w:val="00DF2B51"/>
    <w:rsid w:val="00E0016C"/>
    <w:rsid w:val="00E00193"/>
    <w:rsid w:val="00E001D6"/>
    <w:rsid w:val="00E03A76"/>
    <w:rsid w:val="00E04410"/>
    <w:rsid w:val="00E07484"/>
    <w:rsid w:val="00E11351"/>
    <w:rsid w:val="00E255F8"/>
    <w:rsid w:val="00E33F44"/>
    <w:rsid w:val="00E37D48"/>
    <w:rsid w:val="00E4225C"/>
    <w:rsid w:val="00E44879"/>
    <w:rsid w:val="00E56183"/>
    <w:rsid w:val="00E72914"/>
    <w:rsid w:val="00E75AE0"/>
    <w:rsid w:val="00E83C1F"/>
    <w:rsid w:val="00E85684"/>
    <w:rsid w:val="00E8794B"/>
    <w:rsid w:val="00E97656"/>
    <w:rsid w:val="00EA004A"/>
    <w:rsid w:val="00EA172C"/>
    <w:rsid w:val="00EA259B"/>
    <w:rsid w:val="00EA35A3"/>
    <w:rsid w:val="00EA3E6A"/>
    <w:rsid w:val="00EB18EF"/>
    <w:rsid w:val="00EB2DCF"/>
    <w:rsid w:val="00EB58F4"/>
    <w:rsid w:val="00EB7951"/>
    <w:rsid w:val="00ED6A79"/>
    <w:rsid w:val="00EE17DF"/>
    <w:rsid w:val="00EF1482"/>
    <w:rsid w:val="00EF3EBE"/>
    <w:rsid w:val="00EF4621"/>
    <w:rsid w:val="00EF4D52"/>
    <w:rsid w:val="00EF6312"/>
    <w:rsid w:val="00F038B0"/>
    <w:rsid w:val="00F05F34"/>
    <w:rsid w:val="00F22B27"/>
    <w:rsid w:val="00F234A7"/>
    <w:rsid w:val="00F23706"/>
    <w:rsid w:val="00F277B6"/>
    <w:rsid w:val="00F27DA5"/>
    <w:rsid w:val="00F37E07"/>
    <w:rsid w:val="00F4182A"/>
    <w:rsid w:val="00F464ED"/>
    <w:rsid w:val="00F50E4C"/>
    <w:rsid w:val="00F54380"/>
    <w:rsid w:val="00F54B47"/>
    <w:rsid w:val="00F61247"/>
    <w:rsid w:val="00F61F61"/>
    <w:rsid w:val="00F63191"/>
    <w:rsid w:val="00F645BF"/>
    <w:rsid w:val="00F6702E"/>
    <w:rsid w:val="00F70E84"/>
    <w:rsid w:val="00F80685"/>
    <w:rsid w:val="00F81DA1"/>
    <w:rsid w:val="00F94968"/>
    <w:rsid w:val="00FA092B"/>
    <w:rsid w:val="00FA4F6C"/>
    <w:rsid w:val="00FA6EFD"/>
    <w:rsid w:val="00FB3791"/>
    <w:rsid w:val="00FB6780"/>
    <w:rsid w:val="00FB74EA"/>
    <w:rsid w:val="00FD0ADB"/>
    <w:rsid w:val="00FD26C6"/>
    <w:rsid w:val="00FD2C9E"/>
    <w:rsid w:val="00FD4786"/>
    <w:rsid w:val="00FD616C"/>
    <w:rsid w:val="00FE1BA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5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75066"/>
    <w:pPr>
      <w:ind w:left="720"/>
      <w:contextualSpacing/>
    </w:pPr>
    <w:rPr>
      <w:rFonts w:ascii="Calibri" w:eastAsia="Calibri" w:hAnsi="Calibri"/>
    </w:rPr>
  </w:style>
  <w:style w:type="character" w:styleId="CommentReference">
    <w:name w:val="annotation reference"/>
    <w:basedOn w:val="DefaultParagraphFont"/>
    <w:semiHidden/>
    <w:unhideWhenUsed/>
    <w:rsid w:val="00933A7B"/>
    <w:rPr>
      <w:sz w:val="16"/>
      <w:szCs w:val="16"/>
    </w:rPr>
  </w:style>
  <w:style w:type="paragraph" w:styleId="CommentText">
    <w:name w:val="annotation text"/>
    <w:basedOn w:val="Normal"/>
    <w:link w:val="CommentTextChar"/>
    <w:semiHidden/>
    <w:unhideWhenUsed/>
    <w:rsid w:val="00933A7B"/>
    <w:rPr>
      <w:sz w:val="20"/>
      <w:szCs w:val="20"/>
    </w:rPr>
  </w:style>
  <w:style w:type="character" w:customStyle="1" w:styleId="CommentTextChar">
    <w:name w:val="Comment Text Char"/>
    <w:basedOn w:val="DefaultParagraphFont"/>
    <w:link w:val="CommentText"/>
    <w:semiHidden/>
    <w:rsid w:val="00933A7B"/>
  </w:style>
  <w:style w:type="paragraph" w:styleId="CommentSubject">
    <w:name w:val="annotation subject"/>
    <w:basedOn w:val="CommentText"/>
    <w:next w:val="CommentText"/>
    <w:link w:val="CommentSubjectChar"/>
    <w:semiHidden/>
    <w:unhideWhenUsed/>
    <w:rsid w:val="00933A7B"/>
    <w:rPr>
      <w:b/>
      <w:bCs/>
    </w:rPr>
  </w:style>
  <w:style w:type="character" w:customStyle="1" w:styleId="CommentSubjectChar">
    <w:name w:val="Comment Subject Char"/>
    <w:basedOn w:val="CommentTextChar"/>
    <w:link w:val="CommentSubject"/>
    <w:semiHidden/>
    <w:rsid w:val="00933A7B"/>
    <w:rPr>
      <w:b/>
      <w:bCs/>
    </w:rPr>
  </w:style>
  <w:style w:type="paragraph" w:styleId="BalloonText">
    <w:name w:val="Balloon Text"/>
    <w:basedOn w:val="Normal"/>
    <w:link w:val="BalloonTextChar"/>
    <w:semiHidden/>
    <w:unhideWhenUsed/>
    <w:rsid w:val="00933A7B"/>
    <w:rPr>
      <w:rFonts w:ascii="Segoe UI" w:hAnsi="Segoe UI" w:cs="Segoe UI"/>
      <w:sz w:val="18"/>
      <w:szCs w:val="18"/>
    </w:rPr>
  </w:style>
  <w:style w:type="character" w:customStyle="1" w:styleId="BalloonTextChar">
    <w:name w:val="Balloon Text Char"/>
    <w:basedOn w:val="DefaultParagraphFont"/>
    <w:link w:val="BalloonText"/>
    <w:semiHidden/>
    <w:rsid w:val="00933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2024-05-16T12:34:00Z</dcterms:created>
  <dcterms:modified xsi:type="dcterms:W3CDTF">2024-05-16T13:58:00Z</dcterms:modified>
</cp:coreProperties>
</file>