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BB43B6" w:rsidP="00BB43B6">
      <w:pPr>
        <w:pStyle w:val="OrderHeading"/>
      </w:pPr>
      <w:r>
        <w:t>BEFORE THE FLORIDA PUBLIC SERVICE COMMISSION</w:t>
      </w:r>
    </w:p>
    <w:p w:rsidR="00BB43B6" w:rsidRDefault="00BB43B6" w:rsidP="00BB43B6">
      <w:pPr>
        <w:pStyle w:val="OrderBody"/>
      </w:pPr>
    </w:p>
    <w:p w:rsidR="00BB43B6" w:rsidRDefault="00BB43B6" w:rsidP="00BB43B6">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BB43B6" w:rsidRPr="00C63FCF" w:rsidTr="00C63FCF">
        <w:trPr>
          <w:trHeight w:val="828"/>
        </w:trPr>
        <w:tc>
          <w:tcPr>
            <w:tcW w:w="4788" w:type="dxa"/>
            <w:tcBorders>
              <w:bottom w:val="single" w:sz="8" w:space="0" w:color="auto"/>
              <w:right w:val="double" w:sz="6" w:space="0" w:color="auto"/>
            </w:tcBorders>
            <w:shd w:val="clear" w:color="auto" w:fill="auto"/>
          </w:tcPr>
          <w:p w:rsidR="00BB43B6" w:rsidRDefault="00BB43B6" w:rsidP="00C63FCF">
            <w:pPr>
              <w:pStyle w:val="OrderBody"/>
              <w:tabs>
                <w:tab w:val="center" w:pos="4320"/>
                <w:tab w:val="right" w:pos="8640"/>
              </w:tabs>
              <w:jc w:val="left"/>
            </w:pPr>
            <w:r>
              <w:t xml:space="preserve">In re: </w:t>
            </w:r>
            <w:bookmarkStart w:id="0" w:name="SSInRe"/>
            <w:bookmarkEnd w:id="0"/>
            <w:r>
              <w:t>Joint motion requesting approval of settlement agreement, by Office of Public Counsel and North Florida Community Water Systems, Inc.</w:t>
            </w:r>
          </w:p>
        </w:tc>
        <w:tc>
          <w:tcPr>
            <w:tcW w:w="4788" w:type="dxa"/>
            <w:tcBorders>
              <w:left w:val="double" w:sz="6" w:space="0" w:color="auto"/>
            </w:tcBorders>
            <w:shd w:val="clear" w:color="auto" w:fill="auto"/>
          </w:tcPr>
          <w:p w:rsidR="00BB43B6" w:rsidRDefault="00BB43B6" w:rsidP="00BB43B6">
            <w:pPr>
              <w:pStyle w:val="OrderBody"/>
            </w:pPr>
            <w:r>
              <w:t xml:space="preserve">DOCKET NO. </w:t>
            </w:r>
            <w:bookmarkStart w:id="1" w:name="SSDocketNo"/>
            <w:bookmarkEnd w:id="1"/>
            <w:r>
              <w:t>20240085-WS</w:t>
            </w:r>
          </w:p>
          <w:p w:rsidR="00BB43B6" w:rsidRDefault="00BB43B6" w:rsidP="00C63FCF">
            <w:pPr>
              <w:pStyle w:val="OrderBody"/>
              <w:tabs>
                <w:tab w:val="center" w:pos="4320"/>
                <w:tab w:val="right" w:pos="8640"/>
              </w:tabs>
              <w:jc w:val="left"/>
            </w:pPr>
            <w:r>
              <w:t xml:space="preserve">ORDER NO. </w:t>
            </w:r>
            <w:bookmarkStart w:id="2" w:name="OrderNo0218"/>
            <w:r w:rsidR="00D30E16">
              <w:t>PSC-2024-0218-PAA-WS</w:t>
            </w:r>
            <w:bookmarkEnd w:id="2"/>
          </w:p>
          <w:p w:rsidR="00BB43B6" w:rsidRDefault="00BB43B6" w:rsidP="00C63FCF">
            <w:pPr>
              <w:pStyle w:val="OrderBody"/>
              <w:tabs>
                <w:tab w:val="center" w:pos="4320"/>
                <w:tab w:val="right" w:pos="8640"/>
              </w:tabs>
              <w:jc w:val="left"/>
            </w:pPr>
            <w:r>
              <w:t xml:space="preserve">ISSUED: </w:t>
            </w:r>
            <w:r w:rsidR="00D30E16">
              <w:t>June 25, 2024</w:t>
            </w:r>
          </w:p>
        </w:tc>
      </w:tr>
    </w:tbl>
    <w:p w:rsidR="00BB43B6" w:rsidRDefault="00BB43B6" w:rsidP="00BB43B6"/>
    <w:p w:rsidR="00BB43B6" w:rsidRDefault="00BB43B6" w:rsidP="00BB43B6"/>
    <w:p w:rsidR="00BB43B6" w:rsidRDefault="00BB43B6" w:rsidP="00B67A43">
      <w:pPr>
        <w:ind w:firstLine="720"/>
        <w:jc w:val="both"/>
      </w:pPr>
      <w:bookmarkStart w:id="3" w:name="Commissioners"/>
      <w:bookmarkEnd w:id="3"/>
      <w:r>
        <w:t>The following Commissioners participated in the disposition of this matter:</w:t>
      </w:r>
    </w:p>
    <w:p w:rsidR="00BB43B6" w:rsidRDefault="00BB43B6" w:rsidP="00B67A43"/>
    <w:p w:rsidR="00BB43B6" w:rsidRDefault="00BB43B6" w:rsidP="00477699">
      <w:pPr>
        <w:jc w:val="center"/>
      </w:pPr>
      <w:r>
        <w:t>MIKE LA ROSA, Chairman</w:t>
      </w:r>
    </w:p>
    <w:p w:rsidR="00BB43B6" w:rsidRDefault="00BB43B6" w:rsidP="00B67A43">
      <w:pPr>
        <w:jc w:val="center"/>
      </w:pPr>
      <w:r>
        <w:t>ART GRAHAM</w:t>
      </w:r>
    </w:p>
    <w:p w:rsidR="00BB43B6" w:rsidRDefault="00BB43B6" w:rsidP="00B67A43">
      <w:pPr>
        <w:jc w:val="center"/>
      </w:pPr>
      <w:r>
        <w:t>GARY F. CLARK</w:t>
      </w:r>
    </w:p>
    <w:p w:rsidR="00BB43B6" w:rsidRDefault="00BB43B6" w:rsidP="00B67A43">
      <w:pPr>
        <w:jc w:val="center"/>
      </w:pPr>
      <w:r>
        <w:t>ANDREW GILES FAY</w:t>
      </w:r>
    </w:p>
    <w:p w:rsidR="00BB43B6" w:rsidRPr="005F2751" w:rsidRDefault="00BB43B6" w:rsidP="00B67A43">
      <w:pPr>
        <w:jc w:val="center"/>
      </w:pPr>
      <w:r w:rsidRPr="005F2751">
        <w:rPr>
          <w:lang w:val="en"/>
        </w:rPr>
        <w:t>GABRIELLA PASSIDOMO</w:t>
      </w:r>
    </w:p>
    <w:p w:rsidR="00BB43B6" w:rsidRDefault="00BB43B6" w:rsidP="00B67A43"/>
    <w:p w:rsidR="00BB43B6" w:rsidRDefault="00BB43B6" w:rsidP="00BB43B6">
      <w:pPr>
        <w:pStyle w:val="OrderBody"/>
      </w:pPr>
    </w:p>
    <w:bookmarkStart w:id="4" w:name="OrderText"/>
    <w:bookmarkEnd w:id="4"/>
    <w:p w:rsidR="005151B8" w:rsidRDefault="00BB43B6">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r w:rsidR="005151B8">
        <w:rPr>
          <w:u w:val="single"/>
        </w:rPr>
        <w:t xml:space="preserve"> </w:t>
      </w:r>
      <w:r w:rsidRPr="003E4B2D">
        <w:rPr>
          <w:u w:val="single"/>
        </w:rPr>
        <w:t>ORDER</w:t>
      </w:r>
      <w:bookmarkStart w:id="5" w:name="OrderTitle"/>
      <w:r w:rsidR="00101BA6">
        <w:rPr>
          <w:u w:val="single"/>
        </w:rPr>
        <w:t xml:space="preserve"> </w:t>
      </w:r>
    </w:p>
    <w:p w:rsidR="005151B8" w:rsidRDefault="0046772C">
      <w:pPr>
        <w:pStyle w:val="OrderBody"/>
        <w:jc w:val="center"/>
        <w:rPr>
          <w:u w:val="single"/>
        </w:rPr>
      </w:pPr>
      <w:r>
        <w:rPr>
          <w:u w:val="single"/>
        </w:rPr>
        <w:t xml:space="preserve">APPROVING SETTLEMENT AGREEMENT </w:t>
      </w:r>
    </w:p>
    <w:p w:rsidR="00BB43B6" w:rsidRPr="003E4B2D" w:rsidRDefault="0046772C">
      <w:pPr>
        <w:pStyle w:val="OrderBody"/>
        <w:jc w:val="center"/>
        <w:rPr>
          <w:u w:val="single"/>
        </w:rPr>
      </w:pPr>
      <w:r>
        <w:rPr>
          <w:u w:val="single"/>
        </w:rPr>
        <w:t>ADDRESSING POTENTIAL OVEREARNINGS</w:t>
      </w:r>
      <w:r w:rsidR="00101BA6">
        <w:rPr>
          <w:u w:val="single"/>
        </w:rPr>
        <w:t xml:space="preserve"> </w:t>
      </w:r>
      <w:bookmarkEnd w:id="5"/>
    </w:p>
    <w:p w:rsidR="00BB43B6" w:rsidRPr="003E4B2D" w:rsidRDefault="00BB43B6">
      <w:pPr>
        <w:pStyle w:val="OrderBody"/>
      </w:pPr>
    </w:p>
    <w:p w:rsidR="00BB43B6" w:rsidRPr="003E4B2D" w:rsidRDefault="00BB43B6">
      <w:pPr>
        <w:pStyle w:val="OrderBody"/>
      </w:pPr>
    </w:p>
    <w:p w:rsidR="00BB43B6" w:rsidRPr="003E4B2D" w:rsidRDefault="00BB43B6">
      <w:pPr>
        <w:pStyle w:val="OrderBody"/>
      </w:pPr>
      <w:r w:rsidRPr="003E4B2D">
        <w:t>BY THE COMMISSION:</w:t>
      </w:r>
    </w:p>
    <w:p w:rsidR="00BB43B6" w:rsidRPr="003E4B2D" w:rsidRDefault="00BB43B6">
      <w:pPr>
        <w:pStyle w:val="OrderBody"/>
      </w:pPr>
    </w:p>
    <w:p w:rsidR="00BB43B6" w:rsidRDefault="00BB43B6" w:rsidP="00DB03EF">
      <w:pPr>
        <w:pStyle w:val="OrderBody"/>
      </w:pPr>
      <w:r w:rsidRPr="003E4B2D">
        <w:tab/>
        <w:t>NOTICE is hereby given by the Florida Public Service Commission</w:t>
      </w:r>
      <w:r w:rsidR="008363F3">
        <w:t xml:space="preserve"> </w:t>
      </w:r>
      <w:r w:rsidR="00101BA6">
        <w:t>(Commission)</w:t>
      </w:r>
      <w:r w:rsidRPr="003E4B2D">
        <w:t xml:space="preserve">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DB03EF" w:rsidRDefault="00DB03EF" w:rsidP="00DB03EF">
      <w:pPr>
        <w:pStyle w:val="RecommendationMajorSectionHeading"/>
        <w:spacing w:after="0"/>
        <w:rPr>
          <w:rFonts w:ascii="Times New Roman" w:hAnsi="Times New Roman" w:cs="Times New Roman"/>
          <w:b w:val="0"/>
          <w:u w:val="single"/>
        </w:rPr>
      </w:pPr>
      <w:bookmarkStart w:id="6" w:name="CaseBackground"/>
    </w:p>
    <w:p w:rsidR="009633AB" w:rsidRDefault="00101BA6" w:rsidP="00DB03EF">
      <w:pPr>
        <w:pStyle w:val="RecommendationMajorSectionHeading"/>
        <w:spacing w:after="0"/>
        <w:rPr>
          <w:rFonts w:ascii="Times New Roman" w:hAnsi="Times New Roman" w:cs="Times New Roman"/>
          <w:b w:val="0"/>
          <w:u w:val="single"/>
        </w:rPr>
      </w:pPr>
      <w:r w:rsidRPr="00101BA6">
        <w:rPr>
          <w:rFonts w:ascii="Times New Roman" w:hAnsi="Times New Roman" w:cs="Times New Roman"/>
          <w:b w:val="0"/>
          <w:u w:val="single"/>
        </w:rPr>
        <w:t>Background</w:t>
      </w:r>
    </w:p>
    <w:p w:rsidR="00DB03EF" w:rsidRPr="00DB03EF" w:rsidRDefault="00DB03EF" w:rsidP="00DB03EF">
      <w:pPr>
        <w:pStyle w:val="BodyText"/>
        <w:spacing w:after="0"/>
      </w:pPr>
    </w:p>
    <w:p w:rsidR="009633AB" w:rsidRDefault="009633AB" w:rsidP="00DB03EF">
      <w:pPr>
        <w:pStyle w:val="BodyText"/>
        <w:spacing w:after="0"/>
        <w:ind w:firstLine="720"/>
        <w:jc w:val="both"/>
      </w:pPr>
      <w:r>
        <w:t>North Florida Community Water Systems, Inc. (NFCWS or Utility) owns six water and three wastewater systems in Duval, Alachua, Leon, Okaloosa, Franklin, and Washington counties. The Utility provides service to approximately 2,471 water and 243 wastewater customers. The Utility’s water and wastewater system in Duval County, formerly known as Duval Waterworks, Inc. (DWI), serves approximately 51 water customers and 33 wastewater customers. In February of 2023</w:t>
      </w:r>
      <w:r w:rsidRPr="009A41FF">
        <w:t xml:space="preserve">, </w:t>
      </w:r>
      <w:r w:rsidR="00101BA6">
        <w:t>we</w:t>
      </w:r>
      <w:r w:rsidRPr="009A41FF">
        <w:t xml:space="preserve"> acknowledged the corporate reorganization and name change of </w:t>
      </w:r>
      <w:r>
        <w:t xml:space="preserve">several </w:t>
      </w:r>
      <w:r w:rsidRPr="009A41FF">
        <w:t>systems</w:t>
      </w:r>
      <w:r>
        <w:t>, including DWI,</w:t>
      </w:r>
      <w:r w:rsidRPr="009A41FF">
        <w:t xml:space="preserve"> to </w:t>
      </w:r>
      <w:r>
        <w:t>N</w:t>
      </w:r>
      <w:r w:rsidRPr="009A41FF">
        <w:t>FCWS</w:t>
      </w:r>
      <w:r>
        <w:t>.</w:t>
      </w:r>
      <w:r>
        <w:rPr>
          <w:rStyle w:val="FootnoteReference"/>
        </w:rPr>
        <w:footnoteReference w:id="1"/>
      </w:r>
      <w:r>
        <w:t xml:space="preserve"> </w:t>
      </w:r>
      <w:r w:rsidRPr="009A41FF">
        <w:t xml:space="preserve">The corporate reorganization resulted in no </w:t>
      </w:r>
      <w:r w:rsidRPr="009A41FF">
        <w:lastRenderedPageBreak/>
        <w:t>change in ownership or control of the utilities, and each FCWS system continued to charge its own Commission-approved rates and charges</w:t>
      </w:r>
      <w:r>
        <w:t>.</w:t>
      </w:r>
    </w:p>
    <w:p w:rsidR="00DB03EF" w:rsidRDefault="00DB03EF" w:rsidP="00DB03EF">
      <w:pPr>
        <w:pStyle w:val="BodyText"/>
        <w:spacing w:after="0"/>
        <w:ind w:firstLine="720"/>
        <w:jc w:val="both"/>
      </w:pPr>
    </w:p>
    <w:p w:rsidR="0046772C" w:rsidRDefault="009633AB" w:rsidP="00DB03EF">
      <w:pPr>
        <w:pStyle w:val="BodyText"/>
        <w:spacing w:after="0"/>
        <w:ind w:firstLine="720"/>
        <w:jc w:val="both"/>
      </w:pPr>
      <w:r>
        <w:t xml:space="preserve">Based on </w:t>
      </w:r>
      <w:r w:rsidR="00101BA6">
        <w:t>our</w:t>
      </w:r>
      <w:r>
        <w:t xml:space="preserve"> review of DWI’s 2021 and 2022 Annual Reports, the Utility was identified as potentially overearning. By letter dated July 22, 2022, NFCWS acknowledged </w:t>
      </w:r>
      <w:r w:rsidR="00101BA6">
        <w:t>our</w:t>
      </w:r>
      <w:r>
        <w:t xml:space="preserve"> jurisdiction over revenues in excess of the maximum of the allowed Return on Equity (ROE) for 2022. NFCWS has worked with </w:t>
      </w:r>
      <w:r w:rsidR="00101BA6">
        <w:t>us</w:t>
      </w:r>
      <w:r>
        <w:t xml:space="preserve"> as well as with the Office of Public Counsel (OPC) to discuss the potential disposition of any portion of such earned return above the maximum allowed ROE ("overearnings"). On May 7, 2024, NFCWS and OPC filed a Joint Motion requesting </w:t>
      </w:r>
      <w:r w:rsidR="00D330EF">
        <w:t>our</w:t>
      </w:r>
      <w:r>
        <w:t xml:space="preserve"> approval of a Settlement Agreement to resolve the disposition of the 2022 and 2023 overearnings.</w:t>
      </w:r>
      <w:r>
        <w:rPr>
          <w:rStyle w:val="FootnoteReference"/>
        </w:rPr>
        <w:footnoteReference w:id="2"/>
      </w:r>
      <w:r>
        <w:t xml:space="preserve"> </w:t>
      </w:r>
      <w:r w:rsidRPr="007B4505">
        <w:t>The Settlement Agreement only addresses customers of the Utility’s water and wastewater systems in Duval County.</w:t>
      </w:r>
      <w:r w:rsidR="00101BA6">
        <w:t xml:space="preserve"> </w:t>
      </w:r>
    </w:p>
    <w:p w:rsidR="0046772C" w:rsidRDefault="0046772C" w:rsidP="00DB03EF">
      <w:pPr>
        <w:pStyle w:val="BodyText"/>
        <w:spacing w:after="0"/>
        <w:ind w:firstLine="720"/>
        <w:jc w:val="both"/>
      </w:pPr>
    </w:p>
    <w:p w:rsidR="009633AB" w:rsidRPr="007B4505" w:rsidRDefault="009633AB" w:rsidP="00DB03EF">
      <w:pPr>
        <w:pStyle w:val="BodyText"/>
        <w:spacing w:after="0"/>
        <w:ind w:firstLine="720"/>
        <w:jc w:val="both"/>
      </w:pPr>
      <w:r w:rsidRPr="007B4505">
        <w:t xml:space="preserve">The Joint Motion and Settlement Agreement have been attached as Attachment A to this </w:t>
      </w:r>
      <w:r w:rsidR="00101BA6">
        <w:t>Order</w:t>
      </w:r>
      <w:r w:rsidRPr="007B4505">
        <w:t xml:space="preserve">. </w:t>
      </w:r>
      <w:r w:rsidR="00101BA6">
        <w:t>We</w:t>
      </w:r>
      <w:r w:rsidRPr="007B4505">
        <w:t xml:space="preserve"> has jurisdiction pursuant to Sections 367.081, 367.082, and 367.121, Florida Statutes.</w:t>
      </w:r>
    </w:p>
    <w:p w:rsidR="009633AB" w:rsidRPr="007B4505" w:rsidRDefault="009633AB" w:rsidP="00DB03EF">
      <w:pPr>
        <w:jc w:val="both"/>
      </w:pPr>
    </w:p>
    <w:p w:rsidR="009633AB" w:rsidRDefault="0046772C" w:rsidP="00DB03EF">
      <w:pPr>
        <w:pStyle w:val="RecommendationMajorSectionHeading"/>
        <w:spacing w:after="0"/>
        <w:rPr>
          <w:rFonts w:ascii="Times New Roman" w:hAnsi="Times New Roman" w:cs="Times New Roman"/>
          <w:b w:val="0"/>
          <w:u w:val="single"/>
        </w:rPr>
      </w:pPr>
      <w:bookmarkStart w:id="7" w:name="DiscussionOfIssues"/>
      <w:bookmarkEnd w:id="6"/>
      <w:r>
        <w:rPr>
          <w:rFonts w:ascii="Times New Roman" w:hAnsi="Times New Roman" w:cs="Times New Roman"/>
          <w:b w:val="0"/>
          <w:u w:val="single"/>
        </w:rPr>
        <w:t>Decision</w:t>
      </w:r>
    </w:p>
    <w:p w:rsidR="00DB03EF" w:rsidRPr="00DB03EF" w:rsidRDefault="00DB03EF" w:rsidP="00DB03EF">
      <w:pPr>
        <w:pStyle w:val="BodyText"/>
      </w:pPr>
    </w:p>
    <w:p w:rsidR="00101BA6" w:rsidRDefault="00101BA6" w:rsidP="00DB03EF">
      <w:pPr>
        <w:pStyle w:val="BodyText"/>
        <w:spacing w:after="0"/>
        <w:ind w:firstLine="720"/>
        <w:jc w:val="both"/>
      </w:pPr>
      <w:r w:rsidRPr="007B4505">
        <w:t xml:space="preserve">As part of </w:t>
      </w:r>
      <w:r>
        <w:t>our</w:t>
      </w:r>
      <w:r w:rsidRPr="007B4505">
        <w:t xml:space="preserve"> ongoing surveillance activities, </w:t>
      </w:r>
      <w:r>
        <w:t xml:space="preserve">we </w:t>
      </w:r>
      <w:r w:rsidRPr="007B4505">
        <w:t xml:space="preserve">identified possible overearnings based upon its review of DWI’s 2021 and 2022 Annual Reports, filed in 2022 and 2023, respectively. In further examining possible overearnings, </w:t>
      </w:r>
      <w:r w:rsidR="0046772C">
        <w:t>we</w:t>
      </w:r>
      <w:r w:rsidRPr="007B4505">
        <w:t xml:space="preserve"> request</w:t>
      </w:r>
      <w:r w:rsidR="0046772C">
        <w:t>ed and obtained</w:t>
      </w:r>
      <w:r w:rsidRPr="007B4505">
        <w:t xml:space="preserve"> updated data over several months to evaluate </w:t>
      </w:r>
      <w:r w:rsidR="0046772C">
        <w:t>the</w:t>
      </w:r>
      <w:r w:rsidRPr="007B4505">
        <w:t xml:space="preserve"> </w:t>
      </w:r>
      <w:r w:rsidR="0046772C">
        <w:t>U</w:t>
      </w:r>
      <w:r w:rsidR="008573DF">
        <w:t>tility’s financial position,</w:t>
      </w:r>
      <w:r w:rsidRPr="007B4505">
        <w:t xml:space="preserve"> the likelihood of continued overearnings</w:t>
      </w:r>
      <w:r w:rsidR="008573DF">
        <w:t>,</w:t>
      </w:r>
      <w:r w:rsidRPr="007B4505">
        <w:t xml:space="preserve"> and to examine the level of operating revenues necessary to support ongoing </w:t>
      </w:r>
      <w:r w:rsidR="008573DF">
        <w:t xml:space="preserve">utility </w:t>
      </w:r>
      <w:r w:rsidRPr="007B4505">
        <w:t xml:space="preserve">operations. </w:t>
      </w:r>
      <w:r w:rsidR="0046772C">
        <w:t xml:space="preserve">Our </w:t>
      </w:r>
      <w:r w:rsidR="008573DF">
        <w:t>analysis also incorporated</w:t>
      </w:r>
      <w:r w:rsidRPr="007B4505">
        <w:t xml:space="preserve"> the </w:t>
      </w:r>
      <w:r w:rsidR="008573DF">
        <w:t>U</w:t>
      </w:r>
      <w:r w:rsidRPr="007B4505">
        <w:t xml:space="preserve">tility’s needs for continuing capital improvements and operating expenses. </w:t>
      </w:r>
    </w:p>
    <w:p w:rsidR="00DB03EF" w:rsidRPr="007B4505" w:rsidRDefault="00DB03EF" w:rsidP="00DB03EF">
      <w:pPr>
        <w:pStyle w:val="BodyText"/>
        <w:spacing w:after="0"/>
        <w:ind w:firstLine="720"/>
        <w:jc w:val="both"/>
      </w:pPr>
    </w:p>
    <w:p w:rsidR="00101BA6" w:rsidRDefault="00101BA6" w:rsidP="00DB03EF">
      <w:pPr>
        <w:pStyle w:val="BodyText"/>
        <w:spacing w:after="0"/>
        <w:ind w:firstLine="720"/>
        <w:jc w:val="both"/>
      </w:pPr>
      <w:r w:rsidRPr="007B4505">
        <w:t xml:space="preserve">In addition to working with </w:t>
      </w:r>
      <w:r>
        <w:t>us</w:t>
      </w:r>
      <w:r w:rsidRPr="007B4505">
        <w:t xml:space="preserve">, NFCWS also worked with OPC to discuss the potential disposition of any overearnings. On May 7, 2024, NFCWS and OPC filed a Joint Motion requesting </w:t>
      </w:r>
      <w:r w:rsidR="0046772C">
        <w:t>our</w:t>
      </w:r>
      <w:r w:rsidRPr="007B4505">
        <w:t xml:space="preserve"> approval of a Settlement Agreement to resolve the disposition of the 2022 and 2023 overearnings. </w:t>
      </w:r>
      <w:r w:rsidR="00D330EF">
        <w:t xml:space="preserve">Within the Settlement Agreement, </w:t>
      </w:r>
      <w:r w:rsidRPr="007B4505">
        <w:t xml:space="preserve">NFCWS </w:t>
      </w:r>
      <w:r w:rsidR="00D330EF">
        <w:t xml:space="preserve">agrees to </w:t>
      </w:r>
      <w:r w:rsidRPr="007B4505">
        <w:t xml:space="preserve">refund customers of its Duval County system, formerly DWI customers, 14.18 percent of water revenues and 32.38 percent of wastewater revenues billed for the calendar year 2022. NFCWS also </w:t>
      </w:r>
      <w:r w:rsidR="00D330EF">
        <w:t xml:space="preserve">agrees to </w:t>
      </w:r>
      <w:r w:rsidRPr="007B4505">
        <w:t xml:space="preserve">refund 12.68 percent of water revenues and 15.27 percent of wastewater revenues billed for the calendar year 2023. </w:t>
      </w:r>
    </w:p>
    <w:p w:rsidR="00DB03EF" w:rsidRPr="00101BA6" w:rsidRDefault="00DB03EF" w:rsidP="0046772C">
      <w:pPr>
        <w:pStyle w:val="BodyText"/>
        <w:spacing w:after="0"/>
        <w:rPr>
          <w:u w:val="single"/>
        </w:rPr>
      </w:pPr>
    </w:p>
    <w:p w:rsidR="009633AB" w:rsidRDefault="00101BA6" w:rsidP="00DB03EF">
      <w:pPr>
        <w:ind w:firstLine="720"/>
        <w:jc w:val="both"/>
      </w:pPr>
      <w:r w:rsidRPr="007B4505">
        <w:t xml:space="preserve">In keeping with </w:t>
      </w:r>
      <w:r>
        <w:t>our</w:t>
      </w:r>
      <w:r w:rsidRPr="007B4505">
        <w:t xml:space="preserve"> long-standing policy and practice of encouraging parties to settle issues whenever possible, </w:t>
      </w:r>
      <w:r>
        <w:t>we</w:t>
      </w:r>
      <w:r w:rsidRPr="007B4505">
        <w:t xml:space="preserve"> approve the Joint Motion and Settlement Agreement by the Parties. </w:t>
      </w:r>
      <w:r w:rsidR="00D330EF" w:rsidRPr="007B4505">
        <w:t>The refunds shall be made to customers</w:t>
      </w:r>
      <w:r w:rsidR="00D330EF">
        <w:t xml:space="preserve"> of record as of the date of this</w:t>
      </w:r>
      <w:r w:rsidR="00D330EF" w:rsidRPr="007B4505">
        <w:t xml:space="preserve"> Order approving this Settlement pursuant to Rule 25-30</w:t>
      </w:r>
      <w:r w:rsidR="00D330EF">
        <w:t>.</w:t>
      </w:r>
      <w:r w:rsidR="00D330EF" w:rsidRPr="007B4505">
        <w:t xml:space="preserve">360(3), F.A.C. This refund credit shall be based upon each individual customer's billed amounts for the respective calendar year. </w:t>
      </w:r>
      <w:r>
        <w:t xml:space="preserve">We note that this Order is consistent with our previous </w:t>
      </w:r>
      <w:r w:rsidRPr="007B4505">
        <w:t>decisions regarding possible overearnings.</w:t>
      </w:r>
      <w:r w:rsidRPr="007B4505">
        <w:rPr>
          <w:rStyle w:val="FootnoteReference"/>
        </w:rPr>
        <w:footnoteReference w:id="3"/>
      </w:r>
      <w:r w:rsidRPr="007B4505">
        <w:t xml:space="preserve"> The proposed </w:t>
      </w:r>
      <w:r w:rsidRPr="007B4505">
        <w:lastRenderedPageBreak/>
        <w:t xml:space="preserve">Settlement Agreement adequately addresses the potential overearnings identified in 2022 and 2023. The refunds </w:t>
      </w:r>
      <w:r w:rsidR="00D330EF">
        <w:t>shall</w:t>
      </w:r>
      <w:r w:rsidRPr="007B4505">
        <w:t xml:space="preserve"> be made in accordance with Rule 25-30.360, F.A.C.</w:t>
      </w:r>
      <w:bookmarkEnd w:id="7"/>
    </w:p>
    <w:p w:rsidR="009633AB" w:rsidRDefault="009633AB" w:rsidP="00DB03EF"/>
    <w:p w:rsidR="00BB43B6" w:rsidRPr="00692EBC" w:rsidRDefault="00BB43B6" w:rsidP="00DB03EF">
      <w:r w:rsidRPr="00692EBC">
        <w:tab/>
        <w:t>Based on the foregoing, it is</w:t>
      </w:r>
    </w:p>
    <w:p w:rsidR="00BB43B6" w:rsidRPr="00692EBC" w:rsidRDefault="00BB43B6" w:rsidP="00DB03EF"/>
    <w:p w:rsidR="00BB43B6" w:rsidRDefault="00BB43B6" w:rsidP="008363F3">
      <w:pPr>
        <w:jc w:val="both"/>
      </w:pPr>
      <w:r w:rsidRPr="00692EBC">
        <w:tab/>
        <w:t xml:space="preserve">ORDERED by the </w:t>
      </w:r>
      <w:smartTag w:uri="urn:schemas-microsoft-com:office:smarttags" w:element="State">
        <w:smartTag w:uri="urn:schemas-microsoft-com:office:smarttags" w:element="place">
          <w:r w:rsidRPr="00692EBC">
            <w:t>Florida</w:t>
          </w:r>
        </w:smartTag>
      </w:smartTag>
      <w:r w:rsidRPr="00692EBC">
        <w:t xml:space="preserve"> Public Service Commission that </w:t>
      </w:r>
      <w:r w:rsidR="00101BA6">
        <w:t xml:space="preserve">the </w:t>
      </w:r>
      <w:r w:rsidR="0046772C">
        <w:t>proposed Settlement Agreement, attached hereto,</w:t>
      </w:r>
      <w:r w:rsidR="00101BA6">
        <w:t xml:space="preserve"> is </w:t>
      </w:r>
      <w:r w:rsidR="0046772C">
        <w:t>approved</w:t>
      </w:r>
      <w:r w:rsidR="00101BA6">
        <w:t xml:space="preserve">. </w:t>
      </w:r>
      <w:r w:rsidR="0046772C">
        <w:t>As outlined in the Settlement Agreement, North Florida Community Water Systems, Inc. shall refund customers of its Duval County system 14.18 percent of water revenues and 32.38 percent of wastewater revenues billed for the calendar year 2022</w:t>
      </w:r>
      <w:r w:rsidR="00DB03EF">
        <w:t>.</w:t>
      </w:r>
      <w:r w:rsidR="0046772C">
        <w:t xml:space="preserve"> North Florida Community Water Systems, Inc. shall also refund </w:t>
      </w:r>
      <w:r w:rsidR="0046772C" w:rsidRPr="007B4505">
        <w:t>12.68 percent of water revenues and 15.27 percent of wastewater revenues billed for the calendar year 2023</w:t>
      </w:r>
      <w:r w:rsidR="0046772C">
        <w:t>.</w:t>
      </w:r>
    </w:p>
    <w:p w:rsidR="00DB03EF" w:rsidRDefault="00DB03EF" w:rsidP="00DB03EF"/>
    <w:p w:rsidR="00DB03EF" w:rsidRPr="000E1DD9" w:rsidRDefault="00DB03EF" w:rsidP="00DB03EF">
      <w:pPr>
        <w:ind w:firstLine="720"/>
        <w:jc w:val="both"/>
      </w:pPr>
      <w:r>
        <w:t xml:space="preserve">ORDERED </w:t>
      </w:r>
      <w:r w:rsidRPr="000E1DD9">
        <w:t>that the provisions of this Order, issued as proposed agency action, shall become final and effective upon the issuance of a Consummating Order unless an appropriate petition, in the form provided by Rule 28-106.201, F.A.C., is received by the Commission Clerk, 2540 Shumard Oak Boulevard, Tallahassee, Florida 32399-0850, by the close of business on the date set forth in the “Notice of Further Proceedings or Judicial Review” attached hereto. It is further</w:t>
      </w:r>
    </w:p>
    <w:p w:rsidR="00DB03EF" w:rsidRPr="000E1DD9" w:rsidRDefault="00DB03EF" w:rsidP="00DB03EF">
      <w:pPr>
        <w:jc w:val="both"/>
      </w:pPr>
    </w:p>
    <w:p w:rsidR="00DB03EF" w:rsidRDefault="00DB03EF" w:rsidP="00DB03EF">
      <w:pPr>
        <w:jc w:val="both"/>
      </w:pPr>
      <w:r w:rsidRPr="000E1DD9">
        <w:tab/>
        <w:t xml:space="preserve">ORDERED that in the event this Order becomes final, this docket shall be </w:t>
      </w:r>
      <w:r w:rsidR="0046772C">
        <w:t>remain open to allow Florida Public Service Commission staff to verify completion of the refunds approved herein</w:t>
      </w:r>
      <w:r w:rsidRPr="000E1DD9">
        <w:t>.</w:t>
      </w:r>
      <w:r w:rsidR="0046772C">
        <w:t xml:space="preserve"> Once verification is received that the refunds have been made in accordance with Rule 25-30.360, F.A.C., this docket shall be closed administratively.</w:t>
      </w:r>
    </w:p>
    <w:p w:rsidR="00DB03EF" w:rsidRDefault="00DB03EF" w:rsidP="00DB03EF">
      <w:pPr>
        <w:jc w:val="both"/>
      </w:pPr>
    </w:p>
    <w:p w:rsidR="00DB03EF" w:rsidRDefault="00BB43B6" w:rsidP="00BB43B6">
      <w:pPr>
        <w:keepNext/>
        <w:keepLines/>
        <w:jc w:val="both"/>
      </w:pPr>
      <w:r>
        <w:tab/>
        <w:t xml:space="preserve">By ORDER of the Florida Public Service Commission this </w:t>
      </w:r>
      <w:bookmarkStart w:id="8" w:name="replaceDate"/>
      <w:bookmarkEnd w:id="8"/>
      <w:r w:rsidR="00D30E16">
        <w:rPr>
          <w:u w:val="single"/>
        </w:rPr>
        <w:t>25th</w:t>
      </w:r>
      <w:r w:rsidR="00D30E16">
        <w:t xml:space="preserve"> day of </w:t>
      </w:r>
      <w:r w:rsidR="00D30E16">
        <w:rPr>
          <w:u w:val="single"/>
        </w:rPr>
        <w:t>June</w:t>
      </w:r>
      <w:r w:rsidR="00D30E16">
        <w:t xml:space="preserve">, </w:t>
      </w:r>
      <w:r w:rsidR="00D30E16">
        <w:rPr>
          <w:u w:val="single"/>
        </w:rPr>
        <w:t>2024</w:t>
      </w:r>
      <w:r w:rsidR="00D30E16">
        <w:t>.</w:t>
      </w:r>
    </w:p>
    <w:p w:rsidR="009E0B30" w:rsidRDefault="009E0B30" w:rsidP="00BB43B6">
      <w:pPr>
        <w:keepNext/>
        <w:keepLines/>
        <w:jc w:val="both"/>
      </w:pPr>
    </w:p>
    <w:p w:rsidR="009E0B30" w:rsidRDefault="009E0B30" w:rsidP="00BB43B6">
      <w:pPr>
        <w:keepNext/>
        <w:keepLines/>
        <w:jc w:val="both"/>
      </w:pPr>
    </w:p>
    <w:p w:rsidR="009E0B30" w:rsidRDefault="009E0B30" w:rsidP="00BB43B6">
      <w:pPr>
        <w:keepNext/>
        <w:keepLines/>
        <w:jc w:val="both"/>
      </w:pPr>
    </w:p>
    <w:p w:rsidR="009E0B30" w:rsidRDefault="009E0B30" w:rsidP="00BB43B6">
      <w:pPr>
        <w:keepNext/>
        <w:keepLines/>
        <w:jc w:val="both"/>
      </w:pPr>
    </w:p>
    <w:p w:rsidR="00D30E16" w:rsidRPr="00D30E16" w:rsidRDefault="00D30E16" w:rsidP="00BB43B6">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BB43B6" w:rsidTr="00BB43B6">
        <w:tc>
          <w:tcPr>
            <w:tcW w:w="720" w:type="dxa"/>
            <w:shd w:val="clear" w:color="auto" w:fill="auto"/>
          </w:tcPr>
          <w:p w:rsidR="00BB43B6" w:rsidRDefault="00BB43B6" w:rsidP="00BB43B6">
            <w:pPr>
              <w:keepNext/>
              <w:keepLines/>
              <w:jc w:val="both"/>
            </w:pPr>
            <w:bookmarkStart w:id="9" w:name="bkmrkSignature" w:colFirst="0" w:colLast="0"/>
          </w:p>
        </w:tc>
        <w:tc>
          <w:tcPr>
            <w:tcW w:w="4320" w:type="dxa"/>
            <w:tcBorders>
              <w:bottom w:val="single" w:sz="4" w:space="0" w:color="auto"/>
            </w:tcBorders>
            <w:shd w:val="clear" w:color="auto" w:fill="auto"/>
          </w:tcPr>
          <w:p w:rsidR="00BB43B6" w:rsidRDefault="001E46F2" w:rsidP="00BB43B6">
            <w:pPr>
              <w:keepNext/>
              <w:keepLines/>
              <w:jc w:val="both"/>
            </w:pPr>
            <w:r>
              <w:t>/s/ Adam J. Teitzman</w:t>
            </w:r>
            <w:bookmarkStart w:id="10" w:name="_GoBack"/>
            <w:bookmarkEnd w:id="10"/>
          </w:p>
        </w:tc>
      </w:tr>
      <w:bookmarkEnd w:id="9"/>
      <w:tr w:rsidR="00BB43B6" w:rsidTr="00BB43B6">
        <w:tc>
          <w:tcPr>
            <w:tcW w:w="720" w:type="dxa"/>
            <w:shd w:val="clear" w:color="auto" w:fill="auto"/>
          </w:tcPr>
          <w:p w:rsidR="00BB43B6" w:rsidRDefault="00BB43B6" w:rsidP="00BB43B6">
            <w:pPr>
              <w:keepNext/>
              <w:keepLines/>
              <w:jc w:val="both"/>
            </w:pPr>
          </w:p>
        </w:tc>
        <w:tc>
          <w:tcPr>
            <w:tcW w:w="4320" w:type="dxa"/>
            <w:tcBorders>
              <w:top w:val="single" w:sz="4" w:space="0" w:color="auto"/>
            </w:tcBorders>
            <w:shd w:val="clear" w:color="auto" w:fill="auto"/>
          </w:tcPr>
          <w:p w:rsidR="00BB43B6" w:rsidRDefault="00BB43B6" w:rsidP="00BB43B6">
            <w:pPr>
              <w:keepNext/>
              <w:keepLines/>
              <w:jc w:val="both"/>
            </w:pPr>
            <w:r>
              <w:t>ADAM J. TEITZMAN</w:t>
            </w:r>
          </w:p>
          <w:p w:rsidR="00BB43B6" w:rsidRDefault="00BB43B6" w:rsidP="00BB43B6">
            <w:pPr>
              <w:keepNext/>
              <w:keepLines/>
              <w:jc w:val="both"/>
            </w:pPr>
            <w:r>
              <w:t>Commission Clerk</w:t>
            </w:r>
          </w:p>
        </w:tc>
      </w:tr>
    </w:tbl>
    <w:p w:rsidR="00BB43B6" w:rsidRDefault="00BB43B6" w:rsidP="00BB43B6">
      <w:pPr>
        <w:pStyle w:val="OrderSigInfo"/>
        <w:keepNext/>
        <w:keepLines/>
      </w:pPr>
      <w:r>
        <w:t>Florida Public Service Commission</w:t>
      </w:r>
    </w:p>
    <w:p w:rsidR="00BB43B6" w:rsidRDefault="00BB43B6" w:rsidP="00BB43B6">
      <w:pPr>
        <w:pStyle w:val="OrderSigInfo"/>
        <w:keepNext/>
        <w:keepLines/>
      </w:pPr>
      <w:r>
        <w:t>2540 Shumard Oak Boulevard</w:t>
      </w:r>
    </w:p>
    <w:p w:rsidR="00BB43B6" w:rsidRDefault="00BB43B6" w:rsidP="00BB43B6">
      <w:pPr>
        <w:pStyle w:val="OrderSigInfo"/>
        <w:keepNext/>
        <w:keepLines/>
      </w:pPr>
      <w:r>
        <w:t>Tallahassee, Florida 32399</w:t>
      </w:r>
    </w:p>
    <w:p w:rsidR="00BB43B6" w:rsidRDefault="00BB43B6" w:rsidP="00BB43B6">
      <w:pPr>
        <w:pStyle w:val="OrderSigInfo"/>
        <w:keepNext/>
        <w:keepLines/>
      </w:pPr>
      <w:r>
        <w:t>(850) 413</w:t>
      </w:r>
      <w:r>
        <w:noBreakHyphen/>
        <w:t>6770</w:t>
      </w:r>
    </w:p>
    <w:p w:rsidR="00BB43B6" w:rsidRDefault="00BB43B6" w:rsidP="00BB43B6">
      <w:pPr>
        <w:pStyle w:val="OrderSigInfo"/>
        <w:keepNext/>
        <w:keepLines/>
      </w:pPr>
      <w:r>
        <w:t>www.floridapsc.com</w:t>
      </w:r>
    </w:p>
    <w:p w:rsidR="00BB43B6" w:rsidRDefault="00BB43B6" w:rsidP="00BB43B6">
      <w:pPr>
        <w:pStyle w:val="OrderSigInfo"/>
        <w:keepNext/>
        <w:keepLines/>
      </w:pPr>
    </w:p>
    <w:p w:rsidR="00BB43B6" w:rsidRDefault="00BB43B6" w:rsidP="00BB43B6">
      <w:pPr>
        <w:pStyle w:val="OrderSigInfo"/>
        <w:keepNext/>
        <w:keepLines/>
      </w:pPr>
      <w:r>
        <w:t>Copies furnished:  A copy of this document is provided to the parties of record at the time of issuance and, if applicable, interested persons.</w:t>
      </w:r>
    </w:p>
    <w:p w:rsidR="00BB43B6" w:rsidRDefault="00BB43B6" w:rsidP="00BB43B6">
      <w:pPr>
        <w:pStyle w:val="OrderBody"/>
        <w:keepNext/>
        <w:keepLines/>
      </w:pPr>
    </w:p>
    <w:p w:rsidR="00BB43B6" w:rsidRDefault="00BB43B6" w:rsidP="00BB43B6">
      <w:pPr>
        <w:keepNext/>
        <w:keepLines/>
        <w:jc w:val="both"/>
      </w:pPr>
    </w:p>
    <w:p w:rsidR="00BB43B6" w:rsidRDefault="00BB43B6" w:rsidP="00BB43B6">
      <w:pPr>
        <w:keepNext/>
        <w:keepLines/>
        <w:jc w:val="both"/>
      </w:pPr>
      <w:r>
        <w:t>SF</w:t>
      </w:r>
    </w:p>
    <w:p w:rsidR="00BB43B6" w:rsidRDefault="00BB43B6" w:rsidP="00BB43B6">
      <w:pPr>
        <w:jc w:val="both"/>
      </w:pPr>
    </w:p>
    <w:p w:rsidR="00BB43B6" w:rsidRDefault="00BB43B6">
      <w:r>
        <w:br w:type="page"/>
      </w:r>
    </w:p>
    <w:p w:rsidR="00BB43B6" w:rsidRDefault="00BB43B6" w:rsidP="00BB43B6">
      <w:pPr>
        <w:pStyle w:val="CenterUnderline"/>
      </w:pPr>
      <w:r>
        <w:lastRenderedPageBreak/>
        <w:t>NOTICE OF FURTHER PROCEEDINGS OR JUDICIAL REVIEW</w:t>
      </w:r>
    </w:p>
    <w:p w:rsidR="00BB43B6" w:rsidRDefault="00BB43B6" w:rsidP="00BB43B6">
      <w:pPr>
        <w:pStyle w:val="CenterUnderline"/>
        <w:rPr>
          <w:u w:val="none"/>
        </w:rPr>
      </w:pPr>
    </w:p>
    <w:p w:rsidR="00BB43B6" w:rsidRDefault="00BB43B6" w:rsidP="00BB43B6">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BB43B6" w:rsidRDefault="00BB43B6" w:rsidP="00BB43B6">
      <w:pPr>
        <w:pStyle w:val="OrderBody"/>
      </w:pPr>
    </w:p>
    <w:p w:rsidR="00BB43B6" w:rsidRDefault="00BB43B6" w:rsidP="00BB43B6">
      <w:pPr>
        <w:pStyle w:val="OrderBody"/>
      </w:pPr>
      <w:r>
        <w:tab/>
        <w:t>Mediation may be available on a case-by-case basis.  If mediation is conducted, it does not affect a substantially interested person's right to a hearing.</w:t>
      </w:r>
    </w:p>
    <w:p w:rsidR="00BB43B6" w:rsidRDefault="00BB43B6" w:rsidP="00BB43B6">
      <w:pPr>
        <w:pStyle w:val="OrderBody"/>
      </w:pPr>
    </w:p>
    <w:p w:rsidR="00BB43B6" w:rsidRDefault="00BB43B6" w:rsidP="00BB43B6">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D30E16">
        <w:rPr>
          <w:u w:val="single"/>
        </w:rPr>
        <w:t>July 16, 2024</w:t>
      </w:r>
      <w:r>
        <w:t>.</w:t>
      </w:r>
    </w:p>
    <w:p w:rsidR="00BB43B6" w:rsidRDefault="00BB43B6" w:rsidP="00BB43B6">
      <w:pPr>
        <w:pStyle w:val="OrderBody"/>
      </w:pPr>
    </w:p>
    <w:p w:rsidR="00BB43B6" w:rsidRDefault="00BB43B6" w:rsidP="00BB43B6">
      <w:pPr>
        <w:pStyle w:val="OrderBody"/>
      </w:pPr>
      <w:r>
        <w:tab/>
        <w:t>In the absence of such a petition, this order shall become final and effective upon the issuance of a Consummating Order.</w:t>
      </w:r>
    </w:p>
    <w:p w:rsidR="00BB43B6" w:rsidRDefault="00BB43B6" w:rsidP="00BB43B6">
      <w:pPr>
        <w:pStyle w:val="OrderBody"/>
      </w:pPr>
    </w:p>
    <w:p w:rsidR="00BB43B6" w:rsidRDefault="00BB43B6" w:rsidP="00BB43B6">
      <w:pPr>
        <w:pStyle w:val="OrderBody"/>
      </w:pPr>
      <w:r>
        <w:tab/>
        <w:t>Any objection or protest filed in this/these docket(s) before the issuance date of this order is considered abandoned unless it satisfies the foregoing conditions and is renewed within the specified protest period.</w:t>
      </w:r>
    </w:p>
    <w:p w:rsidR="00BB43B6" w:rsidRDefault="00BB43B6" w:rsidP="00BB43B6">
      <w:pPr>
        <w:pStyle w:val="OrderBody"/>
      </w:pPr>
    </w:p>
    <w:p w:rsidR="00BB43B6" w:rsidRDefault="00BB43B6" w:rsidP="00BB43B6">
      <w:pPr>
        <w:pStyle w:val="OrderBody"/>
      </w:pPr>
    </w:p>
    <w:p w:rsidR="00BB43B6" w:rsidRPr="00BB43B6" w:rsidRDefault="00BB43B6" w:rsidP="00BB43B6">
      <w:pPr>
        <w:pStyle w:val="OrderBody"/>
      </w:pPr>
    </w:p>
    <w:p w:rsidR="000168EB" w:rsidRDefault="000168EB">
      <w:pPr>
        <w:sectPr w:rsidR="000168EB">
          <w:headerReference w:type="default" r:id="rId6"/>
          <w:footerReference w:type="first" r:id="rId7"/>
          <w:pgSz w:w="12240" w:h="15840" w:code="1"/>
          <w:pgMar w:top="1440" w:right="1440" w:bottom="1440" w:left="1440" w:header="720" w:footer="720" w:gutter="0"/>
          <w:cols w:space="720"/>
          <w:titlePg/>
          <w:docGrid w:linePitch="360"/>
        </w:sectPr>
      </w:pPr>
    </w:p>
    <w:p w:rsidR="000168EB" w:rsidRDefault="000168EB">
      <w:pPr>
        <w:sectPr w:rsidR="000168EB">
          <w:headerReference w:type="first" r:id="rId8"/>
          <w:pgSz w:w="12240" w:h="15840" w:code="1"/>
          <w:pgMar w:top="1440" w:right="1440" w:bottom="1440" w:left="1440" w:header="720" w:footer="720" w:gutter="0"/>
          <w:cols w:space="720"/>
          <w:titlePg/>
          <w:docGrid w:linePitch="360"/>
        </w:sectPr>
      </w:pPr>
      <w:r w:rsidRPr="00EE6D5B">
        <w:rPr>
          <w:noProof/>
        </w:rPr>
        <w:lastRenderedPageBreak/>
        <w:drawing>
          <wp:inline distT="0" distB="0" distL="0" distR="0" wp14:anchorId="732DB27F" wp14:editId="3B25B6AF">
            <wp:extent cx="5941060" cy="78581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148" cy="7863532"/>
                    </a:xfrm>
                    <a:prstGeom prst="rect">
                      <a:avLst/>
                    </a:prstGeom>
                    <a:noFill/>
                    <a:ln>
                      <a:noFill/>
                    </a:ln>
                  </pic:spPr>
                </pic:pic>
              </a:graphicData>
            </a:graphic>
          </wp:inline>
        </w:drawing>
      </w:r>
    </w:p>
    <w:p w:rsidR="000168EB" w:rsidRDefault="000168EB">
      <w:pPr>
        <w:sectPr w:rsidR="000168EB">
          <w:pgSz w:w="12240" w:h="15840" w:code="1"/>
          <w:pgMar w:top="1440" w:right="1440" w:bottom="1440" w:left="1440" w:header="720" w:footer="720" w:gutter="0"/>
          <w:cols w:space="720"/>
          <w:titlePg/>
          <w:docGrid w:linePitch="360"/>
        </w:sectPr>
      </w:pPr>
      <w:r w:rsidRPr="00EE6D5B">
        <w:rPr>
          <w:noProof/>
        </w:rPr>
        <w:lastRenderedPageBreak/>
        <w:drawing>
          <wp:inline distT="0" distB="0" distL="0" distR="0" wp14:anchorId="50007093" wp14:editId="3BEB88ED">
            <wp:extent cx="5943600" cy="77336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733665"/>
                    </a:xfrm>
                    <a:prstGeom prst="rect">
                      <a:avLst/>
                    </a:prstGeom>
                    <a:noFill/>
                    <a:ln>
                      <a:noFill/>
                    </a:ln>
                  </pic:spPr>
                </pic:pic>
              </a:graphicData>
            </a:graphic>
          </wp:inline>
        </w:drawing>
      </w:r>
    </w:p>
    <w:p w:rsidR="000168EB" w:rsidRDefault="000168EB">
      <w:pPr>
        <w:sectPr w:rsidR="000168EB">
          <w:pgSz w:w="12240" w:h="15840" w:code="1"/>
          <w:pgMar w:top="1440" w:right="1440" w:bottom="1440" w:left="1440" w:header="720" w:footer="720" w:gutter="0"/>
          <w:cols w:space="720"/>
          <w:titlePg/>
          <w:docGrid w:linePitch="360"/>
        </w:sectPr>
      </w:pPr>
      <w:r w:rsidRPr="00EE6D5B">
        <w:rPr>
          <w:noProof/>
        </w:rPr>
        <w:lastRenderedPageBreak/>
        <w:drawing>
          <wp:inline distT="0" distB="0" distL="0" distR="0" wp14:anchorId="60ADF4E1" wp14:editId="0C985055">
            <wp:extent cx="5943600" cy="7733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733665"/>
                    </a:xfrm>
                    <a:prstGeom prst="rect">
                      <a:avLst/>
                    </a:prstGeom>
                    <a:noFill/>
                    <a:ln>
                      <a:noFill/>
                    </a:ln>
                  </pic:spPr>
                </pic:pic>
              </a:graphicData>
            </a:graphic>
          </wp:inline>
        </w:drawing>
      </w:r>
    </w:p>
    <w:p w:rsidR="000168EB" w:rsidRDefault="000168EB">
      <w:pPr>
        <w:sectPr w:rsidR="000168EB">
          <w:pgSz w:w="12240" w:h="15840" w:code="1"/>
          <w:pgMar w:top="1440" w:right="1440" w:bottom="1440" w:left="1440" w:header="720" w:footer="720" w:gutter="0"/>
          <w:cols w:space="720"/>
          <w:titlePg/>
          <w:docGrid w:linePitch="360"/>
        </w:sectPr>
      </w:pPr>
      <w:r w:rsidRPr="00EE6D5B">
        <w:rPr>
          <w:noProof/>
        </w:rPr>
        <w:lastRenderedPageBreak/>
        <w:drawing>
          <wp:inline distT="0" distB="0" distL="0" distR="0" wp14:anchorId="0BD2E1FE" wp14:editId="34348C5D">
            <wp:extent cx="5943600" cy="77336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733665"/>
                    </a:xfrm>
                    <a:prstGeom prst="rect">
                      <a:avLst/>
                    </a:prstGeom>
                    <a:noFill/>
                    <a:ln>
                      <a:noFill/>
                    </a:ln>
                  </pic:spPr>
                </pic:pic>
              </a:graphicData>
            </a:graphic>
          </wp:inline>
        </w:drawing>
      </w:r>
    </w:p>
    <w:p w:rsidR="000168EB" w:rsidRDefault="000168EB">
      <w:pPr>
        <w:sectPr w:rsidR="000168EB">
          <w:pgSz w:w="12240" w:h="15840" w:code="1"/>
          <w:pgMar w:top="1440" w:right="1440" w:bottom="1440" w:left="1440" w:header="720" w:footer="720" w:gutter="0"/>
          <w:cols w:space="720"/>
          <w:titlePg/>
          <w:docGrid w:linePitch="360"/>
        </w:sectPr>
      </w:pPr>
      <w:r w:rsidRPr="00EE6D5B">
        <w:rPr>
          <w:noProof/>
        </w:rPr>
        <w:lastRenderedPageBreak/>
        <w:drawing>
          <wp:inline distT="0" distB="0" distL="0" distR="0" wp14:anchorId="76F49C70" wp14:editId="21225A84">
            <wp:extent cx="5943600" cy="77336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733665"/>
                    </a:xfrm>
                    <a:prstGeom prst="rect">
                      <a:avLst/>
                    </a:prstGeom>
                    <a:noFill/>
                    <a:ln>
                      <a:noFill/>
                    </a:ln>
                  </pic:spPr>
                </pic:pic>
              </a:graphicData>
            </a:graphic>
          </wp:inline>
        </w:drawing>
      </w:r>
    </w:p>
    <w:p w:rsidR="000168EB" w:rsidRDefault="000168EB">
      <w:r w:rsidRPr="00EE6D5B">
        <w:rPr>
          <w:noProof/>
        </w:rPr>
        <w:lastRenderedPageBreak/>
        <w:drawing>
          <wp:inline distT="0" distB="0" distL="0" distR="0" wp14:anchorId="1A2EA2CB" wp14:editId="0A27F388">
            <wp:extent cx="5943600" cy="7733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733665"/>
                    </a:xfrm>
                    <a:prstGeom prst="rect">
                      <a:avLst/>
                    </a:prstGeom>
                    <a:noFill/>
                    <a:ln>
                      <a:noFill/>
                    </a:ln>
                  </pic:spPr>
                </pic:pic>
              </a:graphicData>
            </a:graphic>
          </wp:inline>
        </w:drawing>
      </w:r>
    </w:p>
    <w:sectPr w:rsidR="000168EB">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3B6" w:rsidRDefault="00BB43B6">
      <w:r>
        <w:separator/>
      </w:r>
    </w:p>
  </w:endnote>
  <w:endnote w:type="continuationSeparator" w:id="0">
    <w:p w:rsidR="00BB43B6" w:rsidRDefault="00BB4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3B6" w:rsidRDefault="00BB43B6">
      <w:r>
        <w:separator/>
      </w:r>
    </w:p>
  </w:footnote>
  <w:footnote w:type="continuationSeparator" w:id="0">
    <w:p w:rsidR="00BB43B6" w:rsidRDefault="00BB43B6">
      <w:r>
        <w:continuationSeparator/>
      </w:r>
    </w:p>
  </w:footnote>
  <w:footnote w:id="1">
    <w:p w:rsidR="009633AB" w:rsidRDefault="009633AB" w:rsidP="009633AB">
      <w:pPr>
        <w:pStyle w:val="FootnoteText"/>
      </w:pPr>
      <w:r>
        <w:rPr>
          <w:rStyle w:val="FootnoteReference"/>
        </w:rPr>
        <w:footnoteRef/>
      </w:r>
      <w:r>
        <w:t xml:space="preserve"> Order No. PSC-2023-0097-FOF-WS, issued February 22, 2023 in Docket No. 20220199-WS, </w:t>
      </w:r>
      <w:r w:rsidRPr="000F6F1A">
        <w:rPr>
          <w:i/>
        </w:rPr>
        <w:t>In re: Joint application for acknowledgement of corporate reorganization and approval of name changes on Certificate Nos. 641-W and 551-S in Duval County, Certificate No. 555-W in Alachua County, Certificate Nos. 678-W and 672-W in Leon County, Certificate No. 676-W in Okaloosa County, and Certificate Nos. 501-W and 435-S in Washington County from Duval Waterworks, Inc., Gator Waterworks, Inc., Lake Talquin Waterworks, Inc., Seminole</w:t>
      </w:r>
      <w:r>
        <w:t xml:space="preserve"> </w:t>
      </w:r>
      <w:r w:rsidRPr="000F6F1A">
        <w:rPr>
          <w:i/>
        </w:rPr>
        <w:t>Waterworks, Inc., Okaloosa Waterworks, Inc., and Sunny Hills Utility Company to North Florida Community Water Services, Inc.</w:t>
      </w:r>
    </w:p>
  </w:footnote>
  <w:footnote w:id="2">
    <w:p w:rsidR="009633AB" w:rsidRDefault="009633AB" w:rsidP="009633AB">
      <w:pPr>
        <w:pStyle w:val="FootnoteText"/>
      </w:pPr>
      <w:r>
        <w:rPr>
          <w:rStyle w:val="FootnoteReference"/>
        </w:rPr>
        <w:footnoteRef/>
      </w:r>
      <w:r>
        <w:t xml:space="preserve"> Document No. 02926-2024, dated May 7, 2024.</w:t>
      </w:r>
    </w:p>
  </w:footnote>
  <w:footnote w:id="3">
    <w:p w:rsidR="00101BA6" w:rsidRDefault="00101BA6" w:rsidP="00101BA6">
      <w:pPr>
        <w:pStyle w:val="FootnoteText"/>
      </w:pPr>
      <w:r>
        <w:rPr>
          <w:rStyle w:val="FootnoteReference"/>
        </w:rPr>
        <w:footnoteRef/>
      </w:r>
      <w:r>
        <w:t xml:space="preserve"> </w:t>
      </w:r>
      <w:r w:rsidRPr="009D0F56">
        <w:t xml:space="preserve">Order Nos. PSC-2015-0173-PAA-WS, issued May 5, 2015, in Docket No. 20150069, </w:t>
      </w:r>
      <w:r w:rsidRPr="000F6F1A">
        <w:rPr>
          <w:i/>
        </w:rPr>
        <w:t>In re: Settlement proposal for possible overearnings by Southlake Utilities, Inc. in Lake County</w:t>
      </w:r>
      <w:r w:rsidRPr="009D0F56">
        <w:t xml:space="preserve">; PSC-11-0012-PAA-SU, issued January 4, 2011, in Docket No. 100446-SU, </w:t>
      </w:r>
      <w:r w:rsidRPr="000F6F1A">
        <w:rPr>
          <w:i/>
        </w:rPr>
        <w:t>In re: Settlement proposal for possible overearnings by Tierra Verde Utilities, Inc. in Pinellas County</w:t>
      </w:r>
      <w:r w:rsidRPr="009D0F56">
        <w:t xml:space="preserve">; PSC-10-0680-PAA-SU, issued November 15, 2010 in Docket No. 100379-SU, </w:t>
      </w:r>
      <w:r w:rsidRPr="000F6F1A">
        <w:rPr>
          <w:i/>
        </w:rPr>
        <w:t>In re: Settlement proposal for possible overearnings by Mid-County Services, Inc. in Pinellas County</w:t>
      </w:r>
      <w:r w:rsidRPr="009D0F56">
        <w:t xml:space="preserve">; and PSC-05-0956-PAA-SU, issued October 7, 2005, in Docket No. 050540-SU, </w:t>
      </w:r>
      <w:r w:rsidRPr="000F6F1A">
        <w:rPr>
          <w:i/>
        </w:rPr>
        <w:t>In re: Settlement offer for possible overearnings in Marion County by BFF Corp.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D30E16">
    <w:pPr>
      <w:pStyle w:val="OrderHeader"/>
    </w:pPr>
    <w:r>
      <w:t xml:space="preserve">ORDER NO. </w:t>
    </w:r>
    <w:fldSimple w:instr=" REF OrderNo0218 ">
      <w:r w:rsidR="003F68E6">
        <w:t>PSC-2024-0218-PAA-WS</w:t>
      </w:r>
    </w:fldSimple>
  </w:p>
  <w:p w:rsidR="00FA6EFD" w:rsidRDefault="00BB43B6">
    <w:pPr>
      <w:pStyle w:val="OrderHeader"/>
    </w:pPr>
    <w:bookmarkStart w:id="11" w:name="HeaderDocketNo"/>
    <w:bookmarkEnd w:id="11"/>
    <w:r>
      <w:t>DOCKET NO. 20240085-WS</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00EC6">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8EB" w:rsidRDefault="000168EB" w:rsidP="000168EB">
    <w:pPr>
      <w:pStyle w:val="OrderHeader"/>
    </w:pPr>
    <w:r>
      <w:t xml:space="preserve">ORDER NO. </w:t>
    </w:r>
    <w:r w:rsidR="00D30E16">
      <w:fldChar w:fldCharType="begin"/>
    </w:r>
    <w:r w:rsidR="00D30E16">
      <w:instrText xml:space="preserve"> REF OrderNo0218 </w:instrText>
    </w:r>
    <w:r w:rsidR="00D30E16">
      <w:fldChar w:fldCharType="separate"/>
    </w:r>
    <w:r w:rsidR="003F68E6">
      <w:t>PSC-2024-0218-PAA-WS</w:t>
    </w:r>
    <w:r w:rsidR="00D30E16">
      <w:fldChar w:fldCharType="end"/>
    </w:r>
    <w:r>
      <w:tab/>
    </w:r>
    <w:r>
      <w:tab/>
      <w:t>Appendix A</w:t>
    </w:r>
  </w:p>
  <w:p w:rsidR="000168EB" w:rsidRDefault="000168EB" w:rsidP="000168EB">
    <w:pPr>
      <w:pStyle w:val="OrderHeader"/>
    </w:pPr>
    <w:r>
      <w:t>DOCKET NO. 20240085-WS</w:t>
    </w:r>
  </w:p>
  <w:p w:rsidR="000168EB" w:rsidRDefault="000168EB" w:rsidP="000168EB">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000EC6">
      <w:rPr>
        <w:rStyle w:val="PageNumber"/>
        <w:noProof/>
      </w:rPr>
      <w:t>6</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85-WS"/>
  </w:docVars>
  <w:rsids>
    <w:rsidRoot w:val="00BB43B6"/>
    <w:rsid w:val="00000EC6"/>
    <w:rsid w:val="000022B8"/>
    <w:rsid w:val="00003883"/>
    <w:rsid w:val="00011251"/>
    <w:rsid w:val="000168EB"/>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1BA6"/>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197B"/>
    <w:rsid w:val="001655D4"/>
    <w:rsid w:val="00165803"/>
    <w:rsid w:val="00187E32"/>
    <w:rsid w:val="001918FF"/>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E46F2"/>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8E6"/>
    <w:rsid w:val="003F6BA7"/>
    <w:rsid w:val="003F7445"/>
    <w:rsid w:val="00411DF2"/>
    <w:rsid w:val="00411E8F"/>
    <w:rsid w:val="004247F5"/>
    <w:rsid w:val="0042527B"/>
    <w:rsid w:val="00427EAC"/>
    <w:rsid w:val="004431B4"/>
    <w:rsid w:val="00445604"/>
    <w:rsid w:val="00451158"/>
    <w:rsid w:val="0045537F"/>
    <w:rsid w:val="00457DC7"/>
    <w:rsid w:val="004640B3"/>
    <w:rsid w:val="0046772C"/>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151B8"/>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7191"/>
    <w:rsid w:val="006E21C4"/>
    <w:rsid w:val="006E42BE"/>
    <w:rsid w:val="006E5D4D"/>
    <w:rsid w:val="006E6D16"/>
    <w:rsid w:val="006E77CF"/>
    <w:rsid w:val="00703F2A"/>
    <w:rsid w:val="00704C5D"/>
    <w:rsid w:val="007072BC"/>
    <w:rsid w:val="0071527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363F3"/>
    <w:rsid w:val="00842035"/>
    <w:rsid w:val="00842602"/>
    <w:rsid w:val="008449F0"/>
    <w:rsid w:val="00846F11"/>
    <w:rsid w:val="00847B45"/>
    <w:rsid w:val="008573DF"/>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33AB"/>
    <w:rsid w:val="00964A38"/>
    <w:rsid w:val="00966A9D"/>
    <w:rsid w:val="0096742B"/>
    <w:rsid w:val="00967C64"/>
    <w:rsid w:val="009718C5"/>
    <w:rsid w:val="00976AFF"/>
    <w:rsid w:val="00986AED"/>
    <w:rsid w:val="009924CF"/>
    <w:rsid w:val="00994100"/>
    <w:rsid w:val="009A04B7"/>
    <w:rsid w:val="009A6B17"/>
    <w:rsid w:val="009B052E"/>
    <w:rsid w:val="009B4E00"/>
    <w:rsid w:val="009D4C29"/>
    <w:rsid w:val="009E0B30"/>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269A"/>
    <w:rsid w:val="00A86A50"/>
    <w:rsid w:val="00A9178A"/>
    <w:rsid w:val="00A91F1C"/>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B43B6"/>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11F"/>
    <w:rsid w:val="00D30B48"/>
    <w:rsid w:val="00D30E16"/>
    <w:rsid w:val="00D3168A"/>
    <w:rsid w:val="00D330EF"/>
    <w:rsid w:val="00D350D1"/>
    <w:rsid w:val="00D46FAA"/>
    <w:rsid w:val="00D47A40"/>
    <w:rsid w:val="00D51D33"/>
    <w:rsid w:val="00D57BB2"/>
    <w:rsid w:val="00D57E57"/>
    <w:rsid w:val="00D70752"/>
    <w:rsid w:val="00D80E2D"/>
    <w:rsid w:val="00D84D5E"/>
    <w:rsid w:val="00D8560E"/>
    <w:rsid w:val="00D8758F"/>
    <w:rsid w:val="00DA4EDD"/>
    <w:rsid w:val="00DA6B78"/>
    <w:rsid w:val="00DB03EF"/>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ocId w14:val="4518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9633AB"/>
    <w:pPr>
      <w:jc w:val="center"/>
    </w:pPr>
    <w:rPr>
      <w:rFonts w:ascii="Arial" w:hAnsi="Arial"/>
      <w:b/>
    </w:rPr>
  </w:style>
  <w:style w:type="paragraph" w:customStyle="1" w:styleId="IssueHeading">
    <w:name w:val="Issue Heading"/>
    <w:basedOn w:val="Heading1"/>
    <w:next w:val="BodyText"/>
    <w:link w:val="IssueHeadingChar"/>
    <w:qFormat/>
    <w:rsid w:val="009633AB"/>
    <w:pPr>
      <w:keepNext w:val="0"/>
    </w:pPr>
    <w:rPr>
      <w:rFonts w:ascii="Arial" w:hAnsi="Arial"/>
      <w:b/>
      <w:i/>
    </w:rPr>
  </w:style>
  <w:style w:type="character" w:customStyle="1" w:styleId="IssueHeadingChar">
    <w:name w:val="Issue Heading Char"/>
    <w:link w:val="IssueHeading"/>
    <w:rsid w:val="009633AB"/>
    <w:rPr>
      <w:rFonts w:ascii="Arial" w:hAnsi="Arial" w:cs="Arial"/>
      <w:b/>
      <w:bCs/>
      <w:i/>
      <w:kern w:val="32"/>
      <w:sz w:val="24"/>
      <w:szCs w:val="32"/>
    </w:rPr>
  </w:style>
  <w:style w:type="paragraph" w:customStyle="1" w:styleId="IssueSubsectionHeading">
    <w:name w:val="Issue Subsection Heading"/>
    <w:basedOn w:val="Heading2"/>
    <w:next w:val="BodyText"/>
    <w:link w:val="IssueSubsectionHeadingChar"/>
    <w:qFormat/>
    <w:rsid w:val="009633AB"/>
    <w:pPr>
      <w:keepNext w:val="0"/>
    </w:pPr>
    <w:rPr>
      <w:rFonts w:ascii="Arial" w:hAnsi="Arial"/>
      <w:b/>
      <w:i/>
    </w:rPr>
  </w:style>
  <w:style w:type="character" w:customStyle="1" w:styleId="IssueSubsectionHeadingChar">
    <w:name w:val="Issue Subsection Heading Char"/>
    <w:link w:val="IssueSubsectionHeading"/>
    <w:rsid w:val="009633AB"/>
    <w:rPr>
      <w:rFonts w:ascii="Arial" w:hAnsi="Arial" w:cs="Arial"/>
      <w:b/>
      <w:bCs/>
      <w:i/>
      <w:iCs/>
      <w:sz w:val="24"/>
      <w:szCs w:val="28"/>
    </w:rPr>
  </w:style>
  <w:style w:type="paragraph" w:styleId="BalloonText">
    <w:name w:val="Balloon Text"/>
    <w:basedOn w:val="Normal"/>
    <w:link w:val="BalloonTextChar"/>
    <w:semiHidden/>
    <w:unhideWhenUsed/>
    <w:rsid w:val="009E0B30"/>
    <w:rPr>
      <w:rFonts w:ascii="Segoe UI" w:hAnsi="Segoe UI" w:cs="Segoe UI"/>
      <w:sz w:val="18"/>
      <w:szCs w:val="18"/>
    </w:rPr>
  </w:style>
  <w:style w:type="character" w:customStyle="1" w:styleId="BalloonTextChar">
    <w:name w:val="Balloon Text Char"/>
    <w:basedOn w:val="DefaultParagraphFont"/>
    <w:link w:val="BalloonText"/>
    <w:semiHidden/>
    <w:rsid w:val="009E0B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11</Pages>
  <Words>1153</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2024-06-25T12:49:00Z</dcterms:created>
  <dcterms:modified xsi:type="dcterms:W3CDTF">2024-06-25T16:42:00Z</dcterms:modified>
</cp:coreProperties>
</file>