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41B3F" w:rsidP="00A41B3F">
      <w:pPr>
        <w:pStyle w:val="OrderHeading"/>
      </w:pPr>
      <w:r>
        <w:t>BEFORE THE FLORIDA PUBLIC SERVICE COMMISSION</w:t>
      </w:r>
    </w:p>
    <w:p w:rsidR="00A41B3F" w:rsidRDefault="00A41B3F" w:rsidP="00A41B3F">
      <w:pPr>
        <w:pStyle w:val="OrderBody"/>
      </w:pPr>
    </w:p>
    <w:p w:rsidR="00A41B3F" w:rsidRDefault="00A41B3F" w:rsidP="00A41B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41B3F" w:rsidRPr="00C63FCF" w:rsidTr="00C63FCF">
        <w:trPr>
          <w:trHeight w:val="828"/>
        </w:trPr>
        <w:tc>
          <w:tcPr>
            <w:tcW w:w="4788" w:type="dxa"/>
            <w:tcBorders>
              <w:bottom w:val="nil"/>
              <w:right w:val="double" w:sz="6" w:space="0" w:color="auto"/>
            </w:tcBorders>
            <w:shd w:val="clear" w:color="auto" w:fill="auto"/>
          </w:tcPr>
          <w:p w:rsidR="00A41B3F" w:rsidRDefault="00A41B3F"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A41B3F" w:rsidRDefault="00A41B3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41B3F" w:rsidRDefault="00A41B3F" w:rsidP="00C63FCF">
            <w:pPr>
              <w:pStyle w:val="OrderBody"/>
              <w:tabs>
                <w:tab w:val="center" w:pos="4320"/>
                <w:tab w:val="right" w:pos="8640"/>
              </w:tabs>
              <w:jc w:val="left"/>
            </w:pPr>
            <w:r>
              <w:t xml:space="preserve">DOCKET NO. </w:t>
            </w:r>
            <w:bookmarkStart w:id="1" w:name="SMDocketNo"/>
            <w:bookmarkEnd w:id="1"/>
            <w:r>
              <w:t>20240026-EI</w:t>
            </w:r>
          </w:p>
        </w:tc>
      </w:tr>
      <w:tr w:rsidR="00A41B3F" w:rsidRPr="00C63FCF" w:rsidTr="00C63FCF">
        <w:trPr>
          <w:trHeight w:val="828"/>
        </w:trPr>
        <w:tc>
          <w:tcPr>
            <w:tcW w:w="4788" w:type="dxa"/>
            <w:tcBorders>
              <w:bottom w:val="nil"/>
              <w:right w:val="double" w:sz="6" w:space="0" w:color="auto"/>
            </w:tcBorders>
            <w:shd w:val="clear" w:color="auto" w:fill="auto"/>
          </w:tcPr>
          <w:p w:rsidR="00A41B3F" w:rsidRDefault="00A41B3F" w:rsidP="00C63FCF">
            <w:pPr>
              <w:pStyle w:val="OrderBody"/>
              <w:tabs>
                <w:tab w:val="center" w:pos="4320"/>
                <w:tab w:val="right" w:pos="8640"/>
              </w:tabs>
              <w:jc w:val="left"/>
            </w:pPr>
            <w:r>
              <w:t>In re: Petition for approval of 2023 depreciation and dismantlement study, by Tampa Electric Company.</w:t>
            </w:r>
          </w:p>
          <w:p w:rsidR="00A41B3F" w:rsidRDefault="00A41B3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41B3F" w:rsidRDefault="00A41B3F" w:rsidP="00C63FCF">
            <w:pPr>
              <w:pStyle w:val="OrderBody"/>
              <w:tabs>
                <w:tab w:val="center" w:pos="4320"/>
                <w:tab w:val="right" w:pos="8640"/>
              </w:tabs>
              <w:jc w:val="left"/>
            </w:pPr>
            <w:r>
              <w:t>DOCKET NO. 20230139-EI</w:t>
            </w:r>
          </w:p>
          <w:p w:rsidR="00A41B3F" w:rsidRDefault="00A41B3F" w:rsidP="00C63FCF">
            <w:pPr>
              <w:pStyle w:val="OrderBody"/>
              <w:tabs>
                <w:tab w:val="center" w:pos="4320"/>
                <w:tab w:val="right" w:pos="8640"/>
              </w:tabs>
              <w:jc w:val="left"/>
            </w:pPr>
          </w:p>
        </w:tc>
      </w:tr>
      <w:tr w:rsidR="00A41B3F" w:rsidRPr="00C63FCF" w:rsidTr="00C63FCF">
        <w:trPr>
          <w:trHeight w:val="828"/>
        </w:trPr>
        <w:tc>
          <w:tcPr>
            <w:tcW w:w="4788" w:type="dxa"/>
            <w:tcBorders>
              <w:top w:val="nil"/>
              <w:bottom w:val="single" w:sz="8" w:space="0" w:color="auto"/>
              <w:right w:val="double" w:sz="6" w:space="0" w:color="auto"/>
            </w:tcBorders>
            <w:shd w:val="clear" w:color="auto" w:fill="auto"/>
          </w:tcPr>
          <w:p w:rsidR="00A41B3F" w:rsidRDefault="00A41B3F"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A41B3F" w:rsidRDefault="00A41B3F" w:rsidP="00A41B3F">
            <w:pPr>
              <w:pStyle w:val="OrderBody"/>
            </w:pPr>
            <w:r>
              <w:t xml:space="preserve">DOCKET NO. </w:t>
            </w:r>
            <w:bookmarkStart w:id="2" w:name="SMDocketNo2"/>
            <w:bookmarkEnd w:id="2"/>
            <w:r>
              <w:t>20230090-EI</w:t>
            </w:r>
          </w:p>
          <w:p w:rsidR="00D8728B" w:rsidRDefault="00D8728B" w:rsidP="00C63FCF">
            <w:pPr>
              <w:pStyle w:val="OrderBody"/>
              <w:tabs>
                <w:tab w:val="center" w:pos="4320"/>
                <w:tab w:val="right" w:pos="8640"/>
              </w:tabs>
              <w:jc w:val="left"/>
            </w:pPr>
          </w:p>
          <w:p w:rsidR="00A41B3F" w:rsidRDefault="00A41B3F" w:rsidP="00C63FCF">
            <w:pPr>
              <w:pStyle w:val="OrderBody"/>
              <w:tabs>
                <w:tab w:val="center" w:pos="4320"/>
                <w:tab w:val="right" w:pos="8640"/>
              </w:tabs>
              <w:jc w:val="left"/>
            </w:pPr>
            <w:r>
              <w:t xml:space="preserve">ORDER NO. </w:t>
            </w:r>
            <w:bookmarkStart w:id="3" w:name="OrderNo0269"/>
            <w:r w:rsidR="00673453">
              <w:t>PSC-2024-0269-PCO-EI</w:t>
            </w:r>
            <w:bookmarkEnd w:id="3"/>
          </w:p>
          <w:p w:rsidR="00A41B3F" w:rsidRDefault="00A41B3F" w:rsidP="00C63FCF">
            <w:pPr>
              <w:pStyle w:val="OrderBody"/>
              <w:tabs>
                <w:tab w:val="center" w:pos="4320"/>
                <w:tab w:val="right" w:pos="8640"/>
              </w:tabs>
              <w:jc w:val="left"/>
            </w:pPr>
            <w:r>
              <w:t xml:space="preserve">ISSUED: </w:t>
            </w:r>
            <w:r w:rsidR="00673453">
              <w:t>July 26, 2024</w:t>
            </w:r>
          </w:p>
          <w:p w:rsidR="00A41B3F" w:rsidRDefault="00A41B3F" w:rsidP="00C63FCF">
            <w:pPr>
              <w:pStyle w:val="OrderBody"/>
              <w:tabs>
                <w:tab w:val="center" w:pos="4320"/>
                <w:tab w:val="right" w:pos="8640"/>
              </w:tabs>
              <w:jc w:val="left"/>
            </w:pPr>
          </w:p>
        </w:tc>
      </w:tr>
    </w:tbl>
    <w:p w:rsidR="00A41B3F" w:rsidRDefault="00A41B3F" w:rsidP="00A41B3F"/>
    <w:p w:rsidR="00A41B3F" w:rsidRDefault="00A41B3F" w:rsidP="00A41B3F"/>
    <w:p w:rsidR="00D8728B" w:rsidRDefault="00A41B3F" w:rsidP="00A41B3F">
      <w:pPr>
        <w:pStyle w:val="CenterUnderline"/>
      </w:pPr>
      <w:bookmarkStart w:id="4" w:name="Commissioners"/>
      <w:bookmarkEnd w:id="4"/>
      <w:r>
        <w:t>ORDER</w:t>
      </w:r>
      <w:bookmarkStart w:id="5" w:name="OrderTitle"/>
      <w:r>
        <w:t xml:space="preserve"> </w:t>
      </w:r>
      <w:r w:rsidR="00D8728B">
        <w:t>GRANTING COMMISSION STAFF’S MOTION</w:t>
      </w:r>
    </w:p>
    <w:p w:rsidR="00A41B3F" w:rsidRDefault="00D8728B" w:rsidP="00A41B3F">
      <w:pPr>
        <w:pStyle w:val="CenterUnderline"/>
      </w:pPr>
      <w:r>
        <w:t>FOR LEAVE TO AMEND EXHIBIT</w:t>
      </w:r>
      <w:r w:rsidR="00A41B3F">
        <w:t xml:space="preserve"> </w:t>
      </w:r>
      <w:bookmarkEnd w:id="5"/>
    </w:p>
    <w:p w:rsidR="004D7FF1" w:rsidRDefault="004D7FF1" w:rsidP="004D7FF1">
      <w:pPr>
        <w:pStyle w:val="CenterUnderline"/>
        <w:jc w:val="left"/>
        <w:rPr>
          <w:u w:val="none"/>
        </w:rPr>
      </w:pPr>
    </w:p>
    <w:p w:rsidR="0026465B" w:rsidRDefault="004D7FF1" w:rsidP="004D7FF1">
      <w:pPr>
        <w:pStyle w:val="CenterUnderline"/>
        <w:ind w:firstLine="720"/>
        <w:jc w:val="both"/>
        <w:rPr>
          <w:u w:val="none"/>
        </w:rPr>
      </w:pPr>
      <w:r>
        <w:rPr>
          <w:u w:val="none"/>
        </w:rPr>
        <w:t xml:space="preserve">An Order Establishing Procedure and Consolidating Dockets, </w:t>
      </w:r>
      <w:r w:rsidRPr="004D7FF1">
        <w:rPr>
          <w:u w:val="none"/>
        </w:rPr>
        <w:t>Order No. PSC-2024-0096-PCO-EI</w:t>
      </w:r>
      <w:r>
        <w:rPr>
          <w:u w:val="none"/>
        </w:rPr>
        <w:t>, was issued in the above-captioned dockets on A</w:t>
      </w:r>
      <w:r w:rsidRPr="004D7FF1">
        <w:rPr>
          <w:u w:val="none"/>
        </w:rPr>
        <w:t>pril 16, 2024</w:t>
      </w:r>
      <w:r w:rsidR="0026465B">
        <w:rPr>
          <w:u w:val="none"/>
        </w:rPr>
        <w:t>. The Staff of the Florida Public Service Commission (“Commission Staff”) timely filed the d</w:t>
      </w:r>
      <w:r w:rsidR="0026465B" w:rsidRPr="004D7FF1">
        <w:rPr>
          <w:u w:val="none"/>
        </w:rPr>
        <w:t xml:space="preserve">irect testimony and exhibits of Angela L. Calhoun </w:t>
      </w:r>
      <w:r w:rsidR="0026465B">
        <w:rPr>
          <w:u w:val="none"/>
        </w:rPr>
        <w:t xml:space="preserve">on </w:t>
      </w:r>
      <w:r w:rsidR="0026465B" w:rsidRPr="004D7FF1">
        <w:rPr>
          <w:u w:val="none"/>
        </w:rPr>
        <w:t>June 10, 2024.</w:t>
      </w:r>
    </w:p>
    <w:p w:rsidR="004D7FF1" w:rsidRPr="004D7FF1" w:rsidRDefault="004D7FF1" w:rsidP="004D7FF1">
      <w:pPr>
        <w:pStyle w:val="CenterUnderline"/>
        <w:jc w:val="left"/>
        <w:rPr>
          <w:u w:val="none"/>
        </w:rPr>
      </w:pPr>
    </w:p>
    <w:p w:rsidR="004D7FF1" w:rsidRDefault="002937EA" w:rsidP="002937EA">
      <w:pPr>
        <w:pStyle w:val="CenterUnderline"/>
        <w:ind w:firstLine="720"/>
        <w:jc w:val="both"/>
        <w:rPr>
          <w:u w:val="none"/>
        </w:rPr>
      </w:pPr>
      <w:r>
        <w:rPr>
          <w:u w:val="none"/>
        </w:rPr>
        <w:t xml:space="preserve">During her deposition on </w:t>
      </w:r>
      <w:r w:rsidR="004D7FF1" w:rsidRPr="004D7FF1">
        <w:rPr>
          <w:u w:val="none"/>
        </w:rPr>
        <w:t>July 10, 2024</w:t>
      </w:r>
      <w:r>
        <w:rPr>
          <w:u w:val="none"/>
        </w:rPr>
        <w:t xml:space="preserve">, Ms. </w:t>
      </w:r>
      <w:r w:rsidRPr="004D7FF1">
        <w:rPr>
          <w:u w:val="none"/>
        </w:rPr>
        <w:t xml:space="preserve">Calhoun </w:t>
      </w:r>
      <w:r>
        <w:rPr>
          <w:u w:val="none"/>
        </w:rPr>
        <w:t xml:space="preserve">indicated </w:t>
      </w:r>
      <w:r w:rsidR="004D7FF1" w:rsidRPr="004D7FF1">
        <w:rPr>
          <w:u w:val="none"/>
        </w:rPr>
        <w:t xml:space="preserve">she inadvertently included </w:t>
      </w:r>
      <w:r>
        <w:rPr>
          <w:u w:val="none"/>
        </w:rPr>
        <w:t xml:space="preserve">in </w:t>
      </w:r>
      <w:r w:rsidRPr="004D7FF1">
        <w:rPr>
          <w:u w:val="none"/>
        </w:rPr>
        <w:t>Exhibit ALC-2</w:t>
      </w:r>
      <w:r>
        <w:rPr>
          <w:u w:val="none"/>
        </w:rPr>
        <w:t xml:space="preserve"> </w:t>
      </w:r>
      <w:r w:rsidR="004D7FF1" w:rsidRPr="004D7FF1">
        <w:rPr>
          <w:u w:val="none"/>
        </w:rPr>
        <w:t xml:space="preserve">a column of information titled “Preliminary Type” instead of the column of information referenced in her </w:t>
      </w:r>
      <w:r>
        <w:rPr>
          <w:u w:val="none"/>
        </w:rPr>
        <w:t xml:space="preserve">pre-filed </w:t>
      </w:r>
      <w:r w:rsidR="004D7FF1" w:rsidRPr="004D7FF1">
        <w:rPr>
          <w:u w:val="none"/>
        </w:rPr>
        <w:t>testimony titled “Close Type.”</w:t>
      </w:r>
    </w:p>
    <w:p w:rsidR="002937EA" w:rsidRDefault="002937EA" w:rsidP="002937EA">
      <w:pPr>
        <w:pStyle w:val="CenterUnderline"/>
        <w:jc w:val="both"/>
        <w:rPr>
          <w:u w:val="none"/>
        </w:rPr>
      </w:pPr>
    </w:p>
    <w:p w:rsidR="002937EA" w:rsidRDefault="002937EA" w:rsidP="000E4910">
      <w:pPr>
        <w:pStyle w:val="CenterUnderline"/>
        <w:ind w:firstLine="720"/>
        <w:jc w:val="both"/>
        <w:rPr>
          <w:u w:val="none"/>
        </w:rPr>
      </w:pPr>
      <w:r>
        <w:rPr>
          <w:u w:val="none"/>
        </w:rPr>
        <w:t>On July 12, 2024, Commission Staff filed a Motion for Leave to Amend Exhibit</w:t>
      </w:r>
      <w:r w:rsidR="000E4910">
        <w:rPr>
          <w:u w:val="none"/>
        </w:rPr>
        <w:t xml:space="preserve"> seeking to amend </w:t>
      </w:r>
      <w:r>
        <w:rPr>
          <w:u w:val="none"/>
        </w:rPr>
        <w:t>Exhibit ALC-2.</w:t>
      </w:r>
      <w:r w:rsidR="000E4910">
        <w:rPr>
          <w:u w:val="none"/>
        </w:rPr>
        <w:t xml:space="preserve"> </w:t>
      </w:r>
      <w:r w:rsidR="000E4910" w:rsidRPr="000E4910">
        <w:rPr>
          <w:u w:val="none"/>
        </w:rPr>
        <w:t>No Party to this proceeding has filed an objection to the relief requested by Commission Staff.</w:t>
      </w:r>
      <w:r w:rsidR="00CC3E7C">
        <w:rPr>
          <w:rStyle w:val="FootnoteReference"/>
          <w:u w:val="none"/>
        </w:rPr>
        <w:footnoteReference w:id="1"/>
      </w:r>
    </w:p>
    <w:p w:rsidR="002937EA" w:rsidRDefault="002937EA" w:rsidP="002937EA">
      <w:pPr>
        <w:pStyle w:val="CenterUnderline"/>
        <w:jc w:val="both"/>
        <w:rPr>
          <w:u w:val="none"/>
        </w:rPr>
      </w:pPr>
    </w:p>
    <w:p w:rsidR="00CA179A" w:rsidRDefault="00CA179A" w:rsidP="007D2428">
      <w:pPr>
        <w:pStyle w:val="CenterUnderline"/>
        <w:jc w:val="both"/>
        <w:rPr>
          <w:u w:val="none"/>
        </w:rPr>
      </w:pPr>
      <w:r>
        <w:rPr>
          <w:u w:val="none"/>
        </w:rPr>
        <w:tab/>
        <w:t>Pursuant to the authority granted by Rule 28-106.211, Florida Administrative Code</w:t>
      </w:r>
      <w:r w:rsidR="00C608FC">
        <w:rPr>
          <w:u w:val="none"/>
        </w:rPr>
        <w:t xml:space="preserve"> (“F.A.C.”)</w:t>
      </w:r>
      <w:r>
        <w:rPr>
          <w:u w:val="none"/>
        </w:rPr>
        <w:t>, a presiding officer before whom a case is pending may issue any orders necessary to effectuate discovery, prevent delay, and promote the just, speedy, and inexpensive determination of all aspects of a case.</w:t>
      </w:r>
    </w:p>
    <w:p w:rsidR="00AE0C1A" w:rsidRDefault="00AE0C1A" w:rsidP="007D2428">
      <w:pPr>
        <w:pStyle w:val="CenterUnderline"/>
        <w:jc w:val="both"/>
        <w:rPr>
          <w:u w:val="none"/>
        </w:rPr>
      </w:pPr>
    </w:p>
    <w:p w:rsidR="00AE0C1A" w:rsidRDefault="00CA179A" w:rsidP="007D2428">
      <w:pPr>
        <w:pStyle w:val="CenterUnderline"/>
        <w:jc w:val="both"/>
        <w:rPr>
          <w:u w:val="none"/>
        </w:rPr>
      </w:pPr>
      <w:r>
        <w:rPr>
          <w:u w:val="none"/>
        </w:rPr>
        <w:tab/>
      </w:r>
      <w:r w:rsidR="00705C3B">
        <w:rPr>
          <w:u w:val="none"/>
        </w:rPr>
        <w:t xml:space="preserve">Based on the foregoing, </w:t>
      </w:r>
      <w:r w:rsidR="002C472E">
        <w:rPr>
          <w:u w:val="none"/>
        </w:rPr>
        <w:t>it is</w:t>
      </w:r>
    </w:p>
    <w:p w:rsidR="00AE0C1A" w:rsidRPr="006410B4" w:rsidRDefault="00AE0C1A" w:rsidP="007D2428">
      <w:pPr>
        <w:pStyle w:val="CenterUnderline"/>
        <w:jc w:val="both"/>
        <w:rPr>
          <w:u w:val="none"/>
        </w:rPr>
      </w:pPr>
    </w:p>
    <w:p w:rsidR="00A41B3F" w:rsidRDefault="00A41B3F" w:rsidP="007D2428">
      <w:pPr>
        <w:pStyle w:val="ListParagraph"/>
        <w:ind w:left="0"/>
        <w:jc w:val="both"/>
        <w:rPr>
          <w:rFonts w:ascii="Times New Roman" w:hAnsi="Times New Roman"/>
          <w:iCs/>
          <w:color w:val="212121"/>
        </w:rPr>
      </w:pPr>
      <w:r w:rsidRPr="00817318">
        <w:rPr>
          <w:rFonts w:ascii="Times New Roman" w:hAnsi="Times New Roman"/>
          <w:iCs/>
          <w:color w:val="212121"/>
        </w:rPr>
        <w:tab/>
        <w:t>ORDERED by Commissioner</w:t>
      </w:r>
      <w:r>
        <w:rPr>
          <w:rFonts w:ascii="Times New Roman" w:hAnsi="Times New Roman"/>
          <w:iCs/>
          <w:color w:val="212121"/>
        </w:rPr>
        <w:t xml:space="preserve"> Gary F. Clark</w:t>
      </w:r>
      <w:r w:rsidRPr="00817318">
        <w:rPr>
          <w:rFonts w:ascii="Times New Roman" w:hAnsi="Times New Roman"/>
          <w:iCs/>
          <w:color w:val="212121"/>
        </w:rPr>
        <w:t xml:space="preserve">, as Prehearing Officer, that </w:t>
      </w:r>
      <w:r w:rsidR="002C472E">
        <w:rPr>
          <w:rFonts w:ascii="Times New Roman" w:hAnsi="Times New Roman"/>
          <w:iCs/>
          <w:color w:val="212121"/>
        </w:rPr>
        <w:t>Commission Staff’s Motion for Leave to Amend Exhibit is GRANTED. It is further</w:t>
      </w:r>
    </w:p>
    <w:p w:rsidR="002C472E" w:rsidRDefault="002C472E" w:rsidP="007D2428">
      <w:pPr>
        <w:pStyle w:val="ListParagraph"/>
        <w:ind w:left="0"/>
        <w:jc w:val="both"/>
        <w:rPr>
          <w:rFonts w:ascii="Times New Roman" w:hAnsi="Times New Roman"/>
          <w:iCs/>
          <w:color w:val="212121"/>
        </w:rPr>
      </w:pPr>
    </w:p>
    <w:p w:rsidR="002C472E" w:rsidRPr="00817318" w:rsidRDefault="002C472E" w:rsidP="007D2428">
      <w:pPr>
        <w:pStyle w:val="ListParagraph"/>
        <w:ind w:left="0"/>
        <w:jc w:val="both"/>
        <w:rPr>
          <w:rFonts w:ascii="Times New Roman" w:hAnsi="Times New Roman"/>
          <w:iCs/>
          <w:color w:val="212121"/>
        </w:rPr>
      </w:pPr>
      <w:r>
        <w:rPr>
          <w:rFonts w:ascii="Times New Roman" w:hAnsi="Times New Roman"/>
          <w:iCs/>
          <w:color w:val="212121"/>
        </w:rPr>
        <w:tab/>
        <w:t>ORDERED that Commission Staff will file the exhibit within two business days</w:t>
      </w:r>
      <w:r w:rsidR="00C6158D">
        <w:rPr>
          <w:rFonts w:ascii="Times New Roman" w:hAnsi="Times New Roman"/>
          <w:iCs/>
          <w:color w:val="212121"/>
        </w:rPr>
        <w:t xml:space="preserve"> of the date this Order is issued</w:t>
      </w:r>
      <w:r>
        <w:rPr>
          <w:rFonts w:ascii="Times New Roman" w:hAnsi="Times New Roman"/>
          <w:iCs/>
          <w:color w:val="212121"/>
        </w:rPr>
        <w:t>.</w:t>
      </w:r>
    </w:p>
    <w:p w:rsidR="00A41B3F" w:rsidRDefault="00A41B3F" w:rsidP="007D2428">
      <w:pPr>
        <w:pStyle w:val="ListParagraph"/>
        <w:ind w:left="0"/>
        <w:jc w:val="both"/>
        <w:rPr>
          <w:rFonts w:ascii="Times New Roman" w:hAnsi="Times New Roman"/>
          <w:iCs/>
          <w:color w:val="212121"/>
        </w:rPr>
      </w:pPr>
    </w:p>
    <w:p w:rsidR="00A41B3F" w:rsidRDefault="00A41B3F" w:rsidP="00A41B3F">
      <w:pPr>
        <w:pStyle w:val="ListParagraph"/>
        <w:keepNext/>
        <w:keepLines/>
        <w:ind w:left="0"/>
        <w:jc w:val="both"/>
        <w:rPr>
          <w:rFonts w:ascii="Times New Roman" w:hAnsi="Times New Roman"/>
          <w:iCs/>
        </w:rPr>
      </w:pPr>
      <w:r w:rsidRPr="002C472E">
        <w:rPr>
          <w:rFonts w:ascii="Times New Roman" w:hAnsi="Times New Roman"/>
          <w:iCs/>
        </w:rPr>
        <w:tab/>
        <w:t xml:space="preserve">By ORDER of Commissioner Gary F. Clark, as Prehearing Officer, this </w:t>
      </w:r>
      <w:bookmarkStart w:id="6" w:name="replaceDate"/>
      <w:bookmarkEnd w:id="6"/>
      <w:r w:rsidR="00673453">
        <w:rPr>
          <w:rFonts w:ascii="Times New Roman" w:hAnsi="Times New Roman"/>
          <w:iCs/>
          <w:u w:val="single"/>
        </w:rPr>
        <w:t>26th</w:t>
      </w:r>
      <w:r w:rsidR="00673453">
        <w:rPr>
          <w:rFonts w:ascii="Times New Roman" w:hAnsi="Times New Roman"/>
          <w:iCs/>
        </w:rPr>
        <w:t xml:space="preserve"> day of </w:t>
      </w:r>
      <w:r w:rsidR="00673453">
        <w:rPr>
          <w:rFonts w:ascii="Times New Roman" w:hAnsi="Times New Roman"/>
          <w:iCs/>
          <w:u w:val="single"/>
        </w:rPr>
        <w:t>July</w:t>
      </w:r>
      <w:r w:rsidR="00673453">
        <w:rPr>
          <w:rFonts w:ascii="Times New Roman" w:hAnsi="Times New Roman"/>
          <w:iCs/>
        </w:rPr>
        <w:t xml:space="preserve">, </w:t>
      </w:r>
      <w:r w:rsidR="00673453">
        <w:rPr>
          <w:rFonts w:ascii="Times New Roman" w:hAnsi="Times New Roman"/>
          <w:iCs/>
          <w:u w:val="single"/>
        </w:rPr>
        <w:t>2024</w:t>
      </w:r>
      <w:r w:rsidR="00673453">
        <w:rPr>
          <w:rFonts w:ascii="Times New Roman" w:hAnsi="Times New Roman"/>
          <w:iCs/>
        </w:rPr>
        <w:t>.</w:t>
      </w:r>
    </w:p>
    <w:p w:rsidR="00673453" w:rsidRPr="00673453" w:rsidRDefault="00673453" w:rsidP="00A41B3F">
      <w:pPr>
        <w:pStyle w:val="ListParagraph"/>
        <w:keepNext/>
        <w:keepLines/>
        <w:ind w:left="0"/>
        <w:jc w:val="both"/>
        <w:rPr>
          <w:rFonts w:ascii="Times New Roman" w:hAnsi="Times New Roman"/>
          <w:iCs/>
        </w:rPr>
      </w:pPr>
    </w:p>
    <w:p w:rsidR="00A41B3F" w:rsidRPr="002C472E" w:rsidRDefault="00A41B3F" w:rsidP="00A41B3F">
      <w:pPr>
        <w:pStyle w:val="ListParagraph"/>
        <w:keepNext/>
        <w:keepLines/>
        <w:ind w:left="0"/>
        <w:jc w:val="both"/>
        <w:rPr>
          <w:rFonts w:ascii="Times New Roman" w:hAnsi="Times New Roman"/>
          <w:iCs/>
        </w:rPr>
      </w:pPr>
    </w:p>
    <w:p w:rsidR="00A41B3F" w:rsidRPr="002C472E" w:rsidRDefault="00A41B3F" w:rsidP="00A41B3F">
      <w:pPr>
        <w:pStyle w:val="ListParagraph"/>
        <w:keepNext/>
        <w:keepLines/>
        <w:ind w:left="0"/>
        <w:jc w:val="both"/>
        <w:rPr>
          <w:rFonts w:ascii="Times New Roman" w:hAnsi="Times New Roman"/>
          <w:iCs/>
        </w:rPr>
      </w:pPr>
    </w:p>
    <w:tbl>
      <w:tblPr>
        <w:tblW w:w="4720" w:type="dxa"/>
        <w:tblInd w:w="3800" w:type="dxa"/>
        <w:tblLayout w:type="fixed"/>
        <w:tblLook w:val="0000" w:firstRow="0" w:lastRow="0" w:firstColumn="0" w:lastColumn="0" w:noHBand="0" w:noVBand="0"/>
      </w:tblPr>
      <w:tblGrid>
        <w:gridCol w:w="686"/>
        <w:gridCol w:w="4034"/>
      </w:tblGrid>
      <w:tr w:rsidR="002C472E" w:rsidRPr="002C472E" w:rsidTr="00A41B3F">
        <w:tc>
          <w:tcPr>
            <w:tcW w:w="720" w:type="dxa"/>
            <w:shd w:val="clear" w:color="auto" w:fill="auto"/>
          </w:tcPr>
          <w:p w:rsidR="00A41B3F" w:rsidRPr="002C472E" w:rsidRDefault="00A41B3F" w:rsidP="00A41B3F">
            <w:pPr>
              <w:pStyle w:val="ListParagraph"/>
              <w:keepNext/>
              <w:keepLines/>
              <w:ind w:left="0"/>
              <w:jc w:val="both"/>
              <w:rPr>
                <w:rFonts w:ascii="Times New Roman" w:hAnsi="Times New Roman"/>
                <w:iCs/>
              </w:rPr>
            </w:pPr>
            <w:bookmarkStart w:id="7" w:name="bkmrkSignature" w:colFirst="0" w:colLast="0"/>
          </w:p>
        </w:tc>
        <w:tc>
          <w:tcPr>
            <w:tcW w:w="4320" w:type="dxa"/>
            <w:tcBorders>
              <w:bottom w:val="single" w:sz="4" w:space="0" w:color="auto"/>
            </w:tcBorders>
            <w:shd w:val="clear" w:color="auto" w:fill="auto"/>
          </w:tcPr>
          <w:p w:rsidR="00A41B3F" w:rsidRPr="002C472E" w:rsidRDefault="00673453" w:rsidP="00A41B3F">
            <w:pPr>
              <w:pStyle w:val="ListParagraph"/>
              <w:keepNext/>
              <w:keepLines/>
              <w:ind w:left="0"/>
              <w:jc w:val="both"/>
              <w:rPr>
                <w:rFonts w:ascii="Times New Roman" w:hAnsi="Times New Roman"/>
                <w:iCs/>
              </w:rPr>
            </w:pPr>
            <w:r>
              <w:rPr>
                <w:rFonts w:ascii="Times New Roman" w:hAnsi="Times New Roman"/>
                <w:iCs/>
              </w:rPr>
              <w:t>/s/ Gary F. Clark</w:t>
            </w:r>
            <w:bookmarkStart w:id="8" w:name="_GoBack"/>
            <w:bookmarkEnd w:id="8"/>
          </w:p>
        </w:tc>
      </w:tr>
      <w:bookmarkEnd w:id="7"/>
      <w:tr w:rsidR="002C472E" w:rsidRPr="002C472E" w:rsidTr="00A41B3F">
        <w:tc>
          <w:tcPr>
            <w:tcW w:w="720" w:type="dxa"/>
            <w:shd w:val="clear" w:color="auto" w:fill="auto"/>
          </w:tcPr>
          <w:p w:rsidR="00A41B3F" w:rsidRPr="002C472E" w:rsidRDefault="00A41B3F" w:rsidP="00A41B3F">
            <w:pPr>
              <w:pStyle w:val="ListParagraph"/>
              <w:keepNext/>
              <w:keepLines/>
              <w:ind w:left="0"/>
              <w:jc w:val="both"/>
              <w:rPr>
                <w:rFonts w:ascii="Times New Roman" w:hAnsi="Times New Roman"/>
                <w:iCs/>
              </w:rPr>
            </w:pPr>
          </w:p>
        </w:tc>
        <w:tc>
          <w:tcPr>
            <w:tcW w:w="4320" w:type="dxa"/>
            <w:tcBorders>
              <w:top w:val="single" w:sz="4" w:space="0" w:color="auto"/>
            </w:tcBorders>
            <w:shd w:val="clear" w:color="auto" w:fill="auto"/>
          </w:tcPr>
          <w:p w:rsidR="00A41B3F" w:rsidRPr="002C472E" w:rsidRDefault="00A41B3F" w:rsidP="00A41B3F">
            <w:pPr>
              <w:pStyle w:val="ListParagraph"/>
              <w:keepNext/>
              <w:keepLines/>
              <w:ind w:left="0"/>
              <w:jc w:val="both"/>
              <w:rPr>
                <w:rFonts w:ascii="Times New Roman" w:hAnsi="Times New Roman"/>
                <w:iCs/>
              </w:rPr>
            </w:pPr>
            <w:r w:rsidRPr="002C472E">
              <w:rPr>
                <w:rFonts w:ascii="Times New Roman" w:hAnsi="Times New Roman"/>
                <w:iCs/>
              </w:rPr>
              <w:t>GARY F. CLARK</w:t>
            </w:r>
          </w:p>
          <w:p w:rsidR="00A41B3F" w:rsidRPr="002C472E" w:rsidRDefault="00A41B3F" w:rsidP="00A41B3F">
            <w:pPr>
              <w:pStyle w:val="ListParagraph"/>
              <w:keepNext/>
              <w:keepLines/>
              <w:ind w:left="0"/>
              <w:jc w:val="both"/>
              <w:rPr>
                <w:rFonts w:ascii="Times New Roman" w:hAnsi="Times New Roman"/>
                <w:iCs/>
              </w:rPr>
            </w:pPr>
            <w:r w:rsidRPr="002C472E">
              <w:rPr>
                <w:rFonts w:ascii="Times New Roman" w:hAnsi="Times New Roman"/>
                <w:iCs/>
              </w:rPr>
              <w:t>Commissioner and Prehearing Officer</w:t>
            </w:r>
          </w:p>
        </w:tc>
      </w:tr>
    </w:tbl>
    <w:p w:rsidR="00A41B3F" w:rsidRPr="002C472E" w:rsidRDefault="00A41B3F" w:rsidP="00A41B3F">
      <w:pPr>
        <w:pStyle w:val="OrderSigInfo"/>
        <w:keepNext/>
        <w:keepLines/>
      </w:pPr>
      <w:r w:rsidRPr="002C472E">
        <w:t>Florida Public Service Commission</w:t>
      </w:r>
    </w:p>
    <w:p w:rsidR="00A41B3F" w:rsidRPr="002C472E" w:rsidRDefault="00A41B3F" w:rsidP="00A41B3F">
      <w:pPr>
        <w:pStyle w:val="OrderSigInfo"/>
        <w:keepNext/>
        <w:keepLines/>
      </w:pPr>
      <w:r w:rsidRPr="002C472E">
        <w:t>2540 Shumard Oak Boulevard</w:t>
      </w:r>
    </w:p>
    <w:p w:rsidR="00A41B3F" w:rsidRPr="002C472E" w:rsidRDefault="00A41B3F" w:rsidP="00A41B3F">
      <w:pPr>
        <w:pStyle w:val="OrderSigInfo"/>
        <w:keepNext/>
        <w:keepLines/>
      </w:pPr>
      <w:r w:rsidRPr="002C472E">
        <w:t>Tallahassee, Florida 32399</w:t>
      </w:r>
    </w:p>
    <w:p w:rsidR="00A41B3F" w:rsidRPr="002C472E" w:rsidRDefault="00A41B3F" w:rsidP="00A41B3F">
      <w:pPr>
        <w:pStyle w:val="OrderSigInfo"/>
        <w:keepNext/>
        <w:keepLines/>
      </w:pPr>
      <w:r w:rsidRPr="002C472E">
        <w:t>(850) 413</w:t>
      </w:r>
      <w:r w:rsidRPr="002C472E">
        <w:noBreakHyphen/>
        <w:t>6770</w:t>
      </w:r>
    </w:p>
    <w:p w:rsidR="00A41B3F" w:rsidRPr="002C472E" w:rsidRDefault="00A41B3F" w:rsidP="00A41B3F">
      <w:pPr>
        <w:pStyle w:val="OrderSigInfo"/>
        <w:keepNext/>
        <w:keepLines/>
      </w:pPr>
      <w:r w:rsidRPr="002C472E">
        <w:t>www.floridapsc.com</w:t>
      </w:r>
    </w:p>
    <w:p w:rsidR="00A41B3F" w:rsidRDefault="00A41B3F" w:rsidP="00A41B3F">
      <w:pPr>
        <w:pStyle w:val="OrderSigInfo"/>
        <w:keepNext/>
        <w:keepLines/>
      </w:pPr>
    </w:p>
    <w:p w:rsidR="00A41B3F" w:rsidRPr="005062AF" w:rsidRDefault="00A41B3F" w:rsidP="00A41B3F">
      <w:pPr>
        <w:pStyle w:val="OrderSigInfo"/>
        <w:keepNext/>
        <w:keepLines/>
      </w:pPr>
      <w:r>
        <w:t>Copies furnished: A copy of this document is p</w:t>
      </w:r>
      <w:r w:rsidRPr="005062AF">
        <w:t>rovided to the parties of record at the time of issuance and, if applicable, interested persons.</w:t>
      </w:r>
    </w:p>
    <w:p w:rsidR="00A41B3F" w:rsidRPr="005062AF" w:rsidRDefault="00A41B3F" w:rsidP="00A41B3F">
      <w:pPr>
        <w:pStyle w:val="OrderBody"/>
        <w:keepNext/>
        <w:keepLines/>
      </w:pPr>
    </w:p>
    <w:p w:rsidR="00A41B3F" w:rsidRPr="005062AF" w:rsidRDefault="00A41B3F" w:rsidP="00A41B3F">
      <w:pPr>
        <w:pStyle w:val="ListParagraph"/>
        <w:keepNext/>
        <w:keepLines/>
        <w:ind w:left="0"/>
        <w:jc w:val="both"/>
        <w:rPr>
          <w:rFonts w:ascii="Times New Roman" w:hAnsi="Times New Roman"/>
          <w:iCs/>
        </w:rPr>
      </w:pPr>
    </w:p>
    <w:p w:rsidR="00A41B3F" w:rsidRPr="005062AF" w:rsidRDefault="00A41B3F" w:rsidP="00A41B3F">
      <w:pPr>
        <w:pStyle w:val="ListParagraph"/>
        <w:keepNext/>
        <w:keepLines/>
        <w:ind w:left="0"/>
        <w:jc w:val="both"/>
        <w:rPr>
          <w:rFonts w:ascii="Times New Roman" w:hAnsi="Times New Roman"/>
          <w:iCs/>
        </w:rPr>
      </w:pPr>
      <w:r w:rsidRPr="005062AF">
        <w:rPr>
          <w:rFonts w:ascii="Times New Roman" w:hAnsi="Times New Roman"/>
          <w:iCs/>
        </w:rPr>
        <w:t>CMM</w:t>
      </w:r>
    </w:p>
    <w:p w:rsidR="00A41B3F" w:rsidRPr="005062AF" w:rsidRDefault="00A41B3F" w:rsidP="00A41B3F">
      <w:pPr>
        <w:pStyle w:val="ListParagraph"/>
        <w:ind w:left="0"/>
        <w:jc w:val="both"/>
        <w:rPr>
          <w:rFonts w:ascii="Times New Roman" w:hAnsi="Times New Roman"/>
          <w:iCs/>
        </w:rPr>
      </w:pPr>
    </w:p>
    <w:p w:rsidR="00A41B3F" w:rsidRPr="005062AF" w:rsidRDefault="00A41B3F">
      <w:pPr>
        <w:rPr>
          <w:rFonts w:eastAsia="Calibri"/>
          <w:iCs/>
        </w:rPr>
      </w:pPr>
      <w:r w:rsidRPr="005062AF">
        <w:rPr>
          <w:iCs/>
        </w:rPr>
        <w:br w:type="page"/>
      </w:r>
    </w:p>
    <w:p w:rsidR="00A41B3F" w:rsidRDefault="00A41B3F" w:rsidP="00A41B3F">
      <w:pPr>
        <w:pStyle w:val="CenterUnderline"/>
      </w:pPr>
      <w:r>
        <w:lastRenderedPageBreak/>
        <w:t>NOTICE OF FURTHER PROCEEDINGS OR JUDICIAL REVIEW</w:t>
      </w:r>
    </w:p>
    <w:p w:rsidR="00A41B3F" w:rsidRDefault="00A41B3F" w:rsidP="00A41B3F">
      <w:pPr>
        <w:pStyle w:val="CenterUnderline"/>
      </w:pPr>
    </w:p>
    <w:p w:rsidR="00A41B3F" w:rsidRDefault="00A41B3F" w:rsidP="00A41B3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41B3F" w:rsidRDefault="00A41B3F" w:rsidP="00A41B3F">
      <w:pPr>
        <w:pStyle w:val="OrderBody"/>
      </w:pPr>
    </w:p>
    <w:p w:rsidR="00A41B3F" w:rsidRDefault="00A41B3F" w:rsidP="00A41B3F">
      <w:pPr>
        <w:pStyle w:val="OrderBody"/>
      </w:pPr>
      <w:r>
        <w:tab/>
        <w:t>Mediation may be available on a case-by-case basis. If mediation is conducted, it does not affect a substantially interested person's right to a hearing.</w:t>
      </w:r>
    </w:p>
    <w:p w:rsidR="00A41B3F" w:rsidRDefault="00A41B3F" w:rsidP="00A41B3F">
      <w:pPr>
        <w:pStyle w:val="OrderBody"/>
      </w:pPr>
    </w:p>
    <w:p w:rsidR="00A41B3F" w:rsidRDefault="00A41B3F" w:rsidP="00A41B3F">
      <w:pPr>
        <w:pStyle w:val="OrderBody"/>
      </w:pPr>
      <w:r>
        <w:tab/>
        <w:t>Any party adversely affected by this order, which is preliminary, procedural</w:t>
      </w:r>
      <w:r w:rsidR="005062AF">
        <w:t>,</w:t>
      </w:r>
      <w:r>
        <w:t xml:space="preserve"> or intermediate in nature, may request: (1) reconsideration within 10 days pursuant to Rule 25-22.0376, Florida Administrative Code; or (2) judicial review by the Florida Supreme Court, in the case of an electric, gas</w:t>
      </w:r>
      <w:r w:rsidR="005062AF">
        <w:t>,</w:t>
      </w:r>
      <w:r>
        <w:t xml:space="preserve"> or telephone utility. A motion for reconsideration shall be filed with the Office of Commission Clerk, in the form prescribed by Rule 25-22.0376, Florida Administrative Code. Judicial review of a preliminary, procedural</w:t>
      </w:r>
      <w:r w:rsidR="005062AF">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A41B3F" w:rsidRDefault="00A41B3F" w:rsidP="00A41B3F">
      <w:pPr>
        <w:pStyle w:val="OrderBody"/>
      </w:pPr>
    </w:p>
    <w:p w:rsidR="00A41B3F" w:rsidRDefault="00A41B3F" w:rsidP="00A41B3F">
      <w:pPr>
        <w:pStyle w:val="OrderBody"/>
      </w:pPr>
    </w:p>
    <w:p w:rsidR="00A41B3F" w:rsidRDefault="00A41B3F" w:rsidP="00A41B3F">
      <w:pPr>
        <w:pStyle w:val="OrderBody"/>
      </w:pPr>
    </w:p>
    <w:p w:rsidR="00A41B3F" w:rsidRDefault="00A41B3F" w:rsidP="00A41B3F">
      <w:pPr>
        <w:pStyle w:val="OrderBody"/>
      </w:pPr>
    </w:p>
    <w:p w:rsidR="00CB5276" w:rsidRDefault="00CB5276">
      <w:pPr>
        <w:pStyle w:val="OrderBody"/>
      </w:pPr>
      <w:bookmarkStart w:id="9" w:name="OrderText"/>
      <w:bookmarkEnd w:id="9"/>
    </w:p>
    <w:p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B3F" w:rsidRDefault="00A41B3F">
      <w:r>
        <w:separator/>
      </w:r>
    </w:p>
  </w:endnote>
  <w:endnote w:type="continuationSeparator" w:id="0">
    <w:p w:rsidR="00A41B3F" w:rsidRDefault="00A4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B3F" w:rsidRDefault="00A41B3F">
      <w:r>
        <w:separator/>
      </w:r>
    </w:p>
  </w:footnote>
  <w:footnote w:type="continuationSeparator" w:id="0">
    <w:p w:rsidR="00A41B3F" w:rsidRDefault="00A41B3F">
      <w:r>
        <w:continuationSeparator/>
      </w:r>
    </w:p>
  </w:footnote>
  <w:footnote w:id="1">
    <w:p w:rsidR="00CC3E7C" w:rsidRDefault="00CC3E7C">
      <w:pPr>
        <w:pStyle w:val="FootnoteText"/>
      </w:pPr>
      <w:r>
        <w:rPr>
          <w:rStyle w:val="FootnoteReference"/>
        </w:rPr>
        <w:footnoteRef/>
      </w:r>
      <w:r>
        <w:t xml:space="preserve"> </w:t>
      </w:r>
      <w:r w:rsidRPr="00CC3E7C">
        <w:t>Rule 28-106.204(1), F.A.C. (providing seven days to file a response in opposition to a written motion).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9 ">
      <w:r w:rsidR="00673453">
        <w:t>PSC-2024-0269-PCO-EI</w:t>
      </w:r>
    </w:fldSimple>
  </w:p>
  <w:p w:rsidR="00FA6EFD" w:rsidRDefault="00A41B3F">
    <w:pPr>
      <w:pStyle w:val="OrderHeader"/>
    </w:pPr>
    <w:bookmarkStart w:id="10" w:name="HeaderDocketNo"/>
    <w:bookmarkEnd w:id="10"/>
    <w:r>
      <w:t>DOCKET NOS. 20240026-EI, 20230139-EI, 20230090-EI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6F2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A41B3F"/>
    <w:rsid w:val="00000AD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6BB3"/>
    <w:rsid w:val="000B783E"/>
    <w:rsid w:val="000B7D81"/>
    <w:rsid w:val="000C1994"/>
    <w:rsid w:val="000C6926"/>
    <w:rsid w:val="000D02B8"/>
    <w:rsid w:val="000D06E8"/>
    <w:rsid w:val="000D52C1"/>
    <w:rsid w:val="000D6E65"/>
    <w:rsid w:val="000D6F24"/>
    <w:rsid w:val="000D78FB"/>
    <w:rsid w:val="000E050C"/>
    <w:rsid w:val="000E20F0"/>
    <w:rsid w:val="000E2593"/>
    <w:rsid w:val="000E344D"/>
    <w:rsid w:val="000E3F6D"/>
    <w:rsid w:val="000E4910"/>
    <w:rsid w:val="000F11F1"/>
    <w:rsid w:val="000F359F"/>
    <w:rsid w:val="000F3B2C"/>
    <w:rsid w:val="000F3F6C"/>
    <w:rsid w:val="000F63EB"/>
    <w:rsid w:val="000F648A"/>
    <w:rsid w:val="000F7BE3"/>
    <w:rsid w:val="001029E6"/>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1DC3"/>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465B"/>
    <w:rsid w:val="0026544B"/>
    <w:rsid w:val="00270F89"/>
    <w:rsid w:val="00276CDC"/>
    <w:rsid w:val="00277655"/>
    <w:rsid w:val="002824B7"/>
    <w:rsid w:val="00282AC4"/>
    <w:rsid w:val="002937EA"/>
    <w:rsid w:val="00293DC9"/>
    <w:rsid w:val="00297C37"/>
    <w:rsid w:val="002A11AC"/>
    <w:rsid w:val="002A6F30"/>
    <w:rsid w:val="002A7884"/>
    <w:rsid w:val="002B3111"/>
    <w:rsid w:val="002C09F5"/>
    <w:rsid w:val="002C118E"/>
    <w:rsid w:val="002C2096"/>
    <w:rsid w:val="002C472E"/>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67517"/>
    <w:rsid w:val="0037196E"/>
    <w:rsid w:val="003744F5"/>
    <w:rsid w:val="00382C6A"/>
    <w:rsid w:val="003875A9"/>
    <w:rsid w:val="00387BDE"/>
    <w:rsid w:val="00390DD8"/>
    <w:rsid w:val="00394DC6"/>
    <w:rsid w:val="00397C3E"/>
    <w:rsid w:val="003B1A09"/>
    <w:rsid w:val="003B6F02"/>
    <w:rsid w:val="003B7F5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D7FF1"/>
    <w:rsid w:val="004E469D"/>
    <w:rsid w:val="004E7F4F"/>
    <w:rsid w:val="004F2DDE"/>
    <w:rsid w:val="004F5A55"/>
    <w:rsid w:val="004F6426"/>
    <w:rsid w:val="004F7826"/>
    <w:rsid w:val="0050097F"/>
    <w:rsid w:val="005062A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0596"/>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10B4"/>
    <w:rsid w:val="006423A7"/>
    <w:rsid w:val="006455DF"/>
    <w:rsid w:val="00645AF6"/>
    <w:rsid w:val="00646B45"/>
    <w:rsid w:val="00647025"/>
    <w:rsid w:val="0064730A"/>
    <w:rsid w:val="006507DA"/>
    <w:rsid w:val="006531A4"/>
    <w:rsid w:val="00660774"/>
    <w:rsid w:val="0066389A"/>
    <w:rsid w:val="0066495C"/>
    <w:rsid w:val="00665CC7"/>
    <w:rsid w:val="006700F4"/>
    <w:rsid w:val="00672612"/>
    <w:rsid w:val="00673453"/>
    <w:rsid w:val="00674ECC"/>
    <w:rsid w:val="00677F18"/>
    <w:rsid w:val="00693483"/>
    <w:rsid w:val="006A0BF3"/>
    <w:rsid w:val="006A3C05"/>
    <w:rsid w:val="006A7C2B"/>
    <w:rsid w:val="006B0036"/>
    <w:rsid w:val="006B0DA6"/>
    <w:rsid w:val="006B3FA9"/>
    <w:rsid w:val="006C547E"/>
    <w:rsid w:val="006D2B51"/>
    <w:rsid w:val="006D5575"/>
    <w:rsid w:val="006D7191"/>
    <w:rsid w:val="006E21C4"/>
    <w:rsid w:val="006E42BE"/>
    <w:rsid w:val="006E5D4D"/>
    <w:rsid w:val="006E6D16"/>
    <w:rsid w:val="00703F2A"/>
    <w:rsid w:val="00704C5D"/>
    <w:rsid w:val="00705C3B"/>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2428"/>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1B3F"/>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E0C1A"/>
    <w:rsid w:val="00B019C1"/>
    <w:rsid w:val="00B02001"/>
    <w:rsid w:val="00B02E3B"/>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08FC"/>
    <w:rsid w:val="00C6158D"/>
    <w:rsid w:val="00C64D49"/>
    <w:rsid w:val="00C66692"/>
    <w:rsid w:val="00C673B5"/>
    <w:rsid w:val="00C7063D"/>
    <w:rsid w:val="00C72339"/>
    <w:rsid w:val="00C820BC"/>
    <w:rsid w:val="00C830BC"/>
    <w:rsid w:val="00C8524D"/>
    <w:rsid w:val="00C90904"/>
    <w:rsid w:val="00C91123"/>
    <w:rsid w:val="00CA179A"/>
    <w:rsid w:val="00CA6CC2"/>
    <w:rsid w:val="00CA71FF"/>
    <w:rsid w:val="00CB2393"/>
    <w:rsid w:val="00CB2456"/>
    <w:rsid w:val="00CB5276"/>
    <w:rsid w:val="00CB5BFC"/>
    <w:rsid w:val="00CB68D7"/>
    <w:rsid w:val="00CB785B"/>
    <w:rsid w:val="00CC3E7C"/>
    <w:rsid w:val="00CC7E68"/>
    <w:rsid w:val="00CD3D74"/>
    <w:rsid w:val="00CD7132"/>
    <w:rsid w:val="00CE0E6F"/>
    <w:rsid w:val="00CE3B21"/>
    <w:rsid w:val="00CE48C7"/>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28B"/>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5C2E"/>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41B3F"/>
    <w:pPr>
      <w:ind w:left="720"/>
      <w:contextualSpacing/>
    </w:pPr>
    <w:rPr>
      <w:rFonts w:ascii="Calibri" w:eastAsia="Calibri" w:hAnsi="Calibri"/>
    </w:rPr>
  </w:style>
  <w:style w:type="paragraph" w:styleId="BalloonText">
    <w:name w:val="Balloon Text"/>
    <w:basedOn w:val="Normal"/>
    <w:link w:val="BalloonTextChar"/>
    <w:semiHidden/>
    <w:unhideWhenUsed/>
    <w:rsid w:val="00673453"/>
    <w:rPr>
      <w:rFonts w:ascii="Segoe UI" w:hAnsi="Segoe UI" w:cs="Segoe UI"/>
      <w:sz w:val="18"/>
      <w:szCs w:val="18"/>
    </w:rPr>
  </w:style>
  <w:style w:type="character" w:customStyle="1" w:styleId="BalloonTextChar">
    <w:name w:val="Balloon Text Char"/>
    <w:basedOn w:val="DefaultParagraphFont"/>
    <w:link w:val="BalloonText"/>
    <w:semiHidden/>
    <w:rsid w:val="006734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25329-0E12-43A5-9E10-3AE04422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2024-07-25T19:00:00Z</dcterms:created>
  <dcterms:modified xsi:type="dcterms:W3CDTF">2024-07-26T16:19:00Z</dcterms:modified>
</cp:coreProperties>
</file>