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5A0438DD"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640BAD73" w14:textId="77777777" w:rsidR="007C0528" w:rsidRDefault="007C0528" w:rsidP="00532DFB">
            <w:pPr>
              <w:pStyle w:val="MastHeadState"/>
            </w:pPr>
            <w:bookmarkStart w:id="0" w:name="_GoBack"/>
            <w:bookmarkEnd w:id="0"/>
            <w:r>
              <w:t>State of Florida</w:t>
            </w:r>
          </w:p>
          <w:p w14:paraId="2F0A0F36" w14:textId="77777777" w:rsidR="007C0528" w:rsidRDefault="00072CCA">
            <w:pPr>
              <w:jc w:val="center"/>
            </w:pPr>
            <w:r>
              <w:rPr>
                <w:noProof/>
              </w:rPr>
              <w:drawing>
                <wp:inline distT="0" distB="0" distL="0" distR="0" wp14:anchorId="2814B2C1" wp14:editId="3D1A4EAF">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2FF65CD1"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19537B5F" w14:textId="77777777" w:rsidR="007C0528" w:rsidRDefault="007C0528">
            <w:pPr>
              <w:pStyle w:val="MastHeadPSC"/>
            </w:pPr>
            <w:r>
              <w:t>Public Service Commission</w:t>
            </w:r>
          </w:p>
          <w:p w14:paraId="32B09CE4" w14:textId="77777777" w:rsidR="007C0528" w:rsidRDefault="007C0528">
            <w:pPr>
              <w:pStyle w:val="MastHeadAddress"/>
            </w:pPr>
            <w:r>
              <w:t>Capital Circle Office Center ● 2540 Shumard Oak Boulevard</w:t>
            </w:r>
            <w:r>
              <w:br/>
              <w:t>Tallahassee, Florida 32399-0850</w:t>
            </w:r>
          </w:p>
          <w:p w14:paraId="3C7FA534" w14:textId="77777777" w:rsidR="007C0528" w:rsidRDefault="007C0528">
            <w:pPr>
              <w:pStyle w:val="MastHeadMemorandum"/>
            </w:pPr>
            <w:r>
              <w:t>-M-E-M-O-R-A-N-D-U-M-</w:t>
            </w:r>
          </w:p>
          <w:p w14:paraId="07F19595" w14:textId="77777777" w:rsidR="007C0528" w:rsidRDefault="007C0528">
            <w:pPr>
              <w:pStyle w:val="MemoHeading"/>
            </w:pPr>
          </w:p>
        </w:tc>
      </w:tr>
      <w:tr w:rsidR="007C0528" w14:paraId="5F6C1AC7"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6F0657EA"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61679FD8" w14:textId="77777777" w:rsidR="007C0528" w:rsidRDefault="0048338D">
            <w:pPr>
              <w:pStyle w:val="MemoHeading"/>
            </w:pPr>
            <w:bookmarkStart w:id="1" w:name="FilingDate"/>
            <w:r>
              <w:t>March 20, 2025</w:t>
            </w:r>
            <w:bookmarkEnd w:id="1"/>
          </w:p>
        </w:tc>
      </w:tr>
      <w:tr w:rsidR="007C0528" w14:paraId="4EEF714E" w14:textId="77777777">
        <w:tc>
          <w:tcPr>
            <w:tcW w:w="1254" w:type="dxa"/>
            <w:tcBorders>
              <w:top w:val="nil"/>
              <w:left w:val="nil"/>
              <w:bottom w:val="nil"/>
              <w:right w:val="nil"/>
            </w:tcBorders>
            <w:shd w:val="clear" w:color="auto" w:fill="auto"/>
            <w:tcMar>
              <w:top w:w="288" w:type="dxa"/>
              <w:bottom w:w="0" w:type="dxa"/>
              <w:right w:w="0" w:type="dxa"/>
            </w:tcMar>
          </w:tcPr>
          <w:p w14:paraId="514C210E"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709CEAFA" w14:textId="77777777" w:rsidR="007C0528" w:rsidRDefault="007C0528" w:rsidP="0093658B">
            <w:pPr>
              <w:pStyle w:val="MemoHeading"/>
            </w:pPr>
            <w:r>
              <w:t>Office of Commission Clerk (</w:t>
            </w:r>
            <w:r w:rsidR="004E69B5">
              <w:t>Teitzman</w:t>
            </w:r>
            <w:r>
              <w:t>)</w:t>
            </w:r>
          </w:p>
        </w:tc>
      </w:tr>
      <w:tr w:rsidR="007C0528" w14:paraId="164F6A00" w14:textId="77777777">
        <w:tc>
          <w:tcPr>
            <w:tcW w:w="1254" w:type="dxa"/>
            <w:tcBorders>
              <w:top w:val="nil"/>
              <w:left w:val="nil"/>
              <w:bottom w:val="nil"/>
              <w:right w:val="nil"/>
            </w:tcBorders>
            <w:shd w:val="clear" w:color="auto" w:fill="auto"/>
            <w:tcMar>
              <w:top w:w="288" w:type="dxa"/>
              <w:right w:w="0" w:type="dxa"/>
            </w:tcMar>
          </w:tcPr>
          <w:p w14:paraId="52DA9A2C"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275965D9" w14:textId="4AEB601D" w:rsidR="0048338D" w:rsidRDefault="0048338D">
            <w:pPr>
              <w:pStyle w:val="MemoHeading"/>
            </w:pPr>
            <w:bookmarkStart w:id="2" w:name="From"/>
            <w:r>
              <w:t>Division of Engineering (</w:t>
            </w:r>
            <w:r w:rsidR="002C6611">
              <w:t xml:space="preserve">M. </w:t>
            </w:r>
            <w:r>
              <w:t>Watts, King, Ramirez-Abundez, Ramos, Smith II)</w:t>
            </w:r>
          </w:p>
          <w:p w14:paraId="2BA503D5" w14:textId="77777777" w:rsidR="0048338D" w:rsidRDefault="0048338D">
            <w:pPr>
              <w:pStyle w:val="MemoHeading"/>
            </w:pPr>
            <w:r>
              <w:t>Division of Accounting and Finance (Norris, Przygocki, Sewards)</w:t>
            </w:r>
          </w:p>
          <w:p w14:paraId="7490DF96" w14:textId="77777777" w:rsidR="0048338D" w:rsidRDefault="0048338D">
            <w:pPr>
              <w:pStyle w:val="MemoHeading"/>
            </w:pPr>
            <w:r>
              <w:t>Division of Economics (Bruce, Sibley)</w:t>
            </w:r>
          </w:p>
          <w:p w14:paraId="74DE7C31" w14:textId="77777777" w:rsidR="007C0528" w:rsidRDefault="0048338D">
            <w:pPr>
              <w:pStyle w:val="MemoHeading"/>
            </w:pPr>
            <w:r>
              <w:t>Office of the General Counsel (Dose, Crawford, Thompson)</w:t>
            </w:r>
            <w:bookmarkEnd w:id="2"/>
          </w:p>
        </w:tc>
      </w:tr>
      <w:tr w:rsidR="007C0528" w14:paraId="3ACD71E2" w14:textId="77777777">
        <w:tc>
          <w:tcPr>
            <w:tcW w:w="1254" w:type="dxa"/>
            <w:tcBorders>
              <w:top w:val="nil"/>
              <w:left w:val="nil"/>
              <w:bottom w:val="nil"/>
              <w:right w:val="nil"/>
            </w:tcBorders>
            <w:shd w:val="clear" w:color="auto" w:fill="auto"/>
            <w:tcMar>
              <w:top w:w="288" w:type="dxa"/>
              <w:right w:w="0" w:type="dxa"/>
            </w:tcMar>
          </w:tcPr>
          <w:p w14:paraId="7FA241C3"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0EC1C5C9" w14:textId="77777777" w:rsidR="007C0528" w:rsidRDefault="0048338D">
            <w:pPr>
              <w:pStyle w:val="MemoHeadingRe"/>
            </w:pPr>
            <w:bookmarkStart w:id="3" w:name="Re"/>
            <w:r>
              <w:t>Docket No. 20240032-SU – Application for certificate to provide wastewater service in Charlotte County by Environmental Utilities, LLC.</w:t>
            </w:r>
            <w:bookmarkEnd w:id="3"/>
          </w:p>
        </w:tc>
      </w:tr>
      <w:tr w:rsidR="007C0528" w14:paraId="60D48C16" w14:textId="77777777">
        <w:tc>
          <w:tcPr>
            <w:tcW w:w="1254" w:type="dxa"/>
            <w:tcBorders>
              <w:top w:val="nil"/>
              <w:left w:val="nil"/>
              <w:bottom w:val="nil"/>
              <w:right w:val="nil"/>
            </w:tcBorders>
            <w:shd w:val="clear" w:color="auto" w:fill="auto"/>
            <w:tcMar>
              <w:top w:w="288" w:type="dxa"/>
              <w:bottom w:w="0" w:type="dxa"/>
              <w:right w:w="0" w:type="dxa"/>
            </w:tcMar>
          </w:tcPr>
          <w:p w14:paraId="7696B7FA"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0F1CD999" w14:textId="77777777" w:rsidR="007C0528" w:rsidRDefault="0048338D">
            <w:pPr>
              <w:pStyle w:val="MemoHeading"/>
            </w:pPr>
            <w:bookmarkStart w:id="4" w:name="AgendaDate"/>
            <w:r>
              <w:t>04/01/25</w:t>
            </w:r>
            <w:bookmarkEnd w:id="4"/>
            <w:r w:rsidR="007C0528">
              <w:t xml:space="preserve"> – </w:t>
            </w:r>
            <w:bookmarkStart w:id="5" w:name="PermittedStatus"/>
            <w:r>
              <w:t xml:space="preserve">Regular Agenda – </w:t>
            </w:r>
            <w:r w:rsidR="006A6634">
              <w:t>Post Hearing Decision – Participation is Limited to Commissioners and Staff</w:t>
            </w:r>
            <w:bookmarkEnd w:id="5"/>
          </w:p>
        </w:tc>
      </w:tr>
      <w:tr w:rsidR="007C0528" w14:paraId="02905D83" w14:textId="77777777">
        <w:tc>
          <w:tcPr>
            <w:tcW w:w="3690" w:type="dxa"/>
            <w:gridSpan w:val="3"/>
            <w:tcBorders>
              <w:top w:val="nil"/>
              <w:left w:val="nil"/>
              <w:bottom w:val="nil"/>
              <w:right w:val="nil"/>
            </w:tcBorders>
            <w:shd w:val="clear" w:color="auto" w:fill="auto"/>
            <w:tcMar>
              <w:top w:w="288" w:type="dxa"/>
              <w:bottom w:w="0" w:type="dxa"/>
              <w:right w:w="0" w:type="dxa"/>
            </w:tcMar>
          </w:tcPr>
          <w:p w14:paraId="550F0919"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3CDCED82" w14:textId="77777777" w:rsidR="007C0528" w:rsidRDefault="0048338D">
            <w:pPr>
              <w:pStyle w:val="MemoHeading"/>
            </w:pPr>
            <w:bookmarkStart w:id="6" w:name="CommissionersAssigned"/>
            <w:r>
              <w:t>Graham, Clark, Passidomo Smith</w:t>
            </w:r>
            <w:bookmarkEnd w:id="6"/>
          </w:p>
        </w:tc>
      </w:tr>
      <w:tr w:rsidR="007C0528" w14:paraId="641E8432" w14:textId="77777777">
        <w:tc>
          <w:tcPr>
            <w:tcW w:w="3690" w:type="dxa"/>
            <w:gridSpan w:val="3"/>
            <w:tcBorders>
              <w:top w:val="nil"/>
              <w:left w:val="nil"/>
              <w:bottom w:val="nil"/>
              <w:right w:val="nil"/>
            </w:tcBorders>
            <w:shd w:val="clear" w:color="auto" w:fill="auto"/>
            <w:tcMar>
              <w:top w:w="288" w:type="dxa"/>
              <w:bottom w:w="0" w:type="dxa"/>
              <w:right w:w="0" w:type="dxa"/>
            </w:tcMar>
          </w:tcPr>
          <w:p w14:paraId="7760106D"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3B631B63" w14:textId="2DD23D73" w:rsidR="007C0528" w:rsidRDefault="0048338D">
            <w:pPr>
              <w:pStyle w:val="MemoHeading"/>
            </w:pPr>
            <w:bookmarkStart w:id="7" w:name="PrehearingOfficer"/>
            <w:r>
              <w:t>Passidomo</w:t>
            </w:r>
            <w:bookmarkEnd w:id="7"/>
            <w:r w:rsidR="00DD5ACD">
              <w:t xml:space="preserve"> Smith</w:t>
            </w:r>
          </w:p>
        </w:tc>
      </w:tr>
      <w:tr w:rsidR="007C0528" w14:paraId="3717343A"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01C26D33"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1AE3FABF" w14:textId="132B05B0" w:rsidR="007C0528" w:rsidRDefault="00EC4CE0">
            <w:pPr>
              <w:pStyle w:val="MemoHeading"/>
            </w:pPr>
            <w:r>
              <w:t>04/29/25 (90 days under Section 120.569(2)(l), Florida Statutes</w:t>
            </w:r>
            <w:r w:rsidR="003E1E95">
              <w:t>,</w:t>
            </w:r>
            <w:r>
              <w:t xml:space="preserve"> to render final order following administrative hearing)</w:t>
            </w:r>
          </w:p>
        </w:tc>
      </w:tr>
      <w:tr w:rsidR="007C0528" w14:paraId="1F21D1EB"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103B6074"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50EFEB47" w14:textId="77777777" w:rsidR="007C0528" w:rsidRDefault="0048338D">
            <w:pPr>
              <w:pStyle w:val="MemoHeading"/>
            </w:pPr>
            <w:bookmarkStart w:id="9" w:name="SpecialInstructions"/>
            <w:r>
              <w:t>None</w:t>
            </w:r>
            <w:bookmarkEnd w:id="9"/>
          </w:p>
        </w:tc>
      </w:tr>
    </w:tbl>
    <w:p w14:paraId="6F7EF704" w14:textId="77777777" w:rsidR="007C0528" w:rsidRDefault="007C0528">
      <w:pPr>
        <w:pStyle w:val="BodyText"/>
      </w:pPr>
    </w:p>
    <w:p w14:paraId="74D73BB4"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001A4DEC" w14:textId="77777777" w:rsidR="007A1D00" w:rsidRPr="00A347FF" w:rsidRDefault="007A1D00" w:rsidP="007A1D00">
      <w:pPr>
        <w:jc w:val="both"/>
      </w:pPr>
      <w:r w:rsidRPr="00A347FF">
        <w:t xml:space="preserve">Section 367.011(3), Florida Statutes (F.S.), provides that regulation of water and wastewater utilities is in the public interest as an exercise of the police power of the state for the protection </w:t>
      </w:r>
      <w:proofErr w:type="gramStart"/>
      <w:r w:rsidRPr="00A347FF">
        <w:t>of</w:t>
      </w:r>
      <w:proofErr w:type="gramEnd"/>
      <w:r w:rsidRPr="00A347FF">
        <w:t xml:space="preserve"> the public health, safety, and welfare. The provisions of Chapter 367, F.S., are to be liberally construed for accomplishment of this purpose. Section 367.031, F.S., give</w:t>
      </w:r>
      <w:r>
        <w:t>s</w:t>
      </w:r>
      <w:r w:rsidRPr="00A347FF">
        <w:t xml:space="preserve"> the </w:t>
      </w:r>
      <w:r>
        <w:t>Florida Public Service Commission (</w:t>
      </w:r>
      <w:r w:rsidRPr="00A347FF">
        <w:t>Commission</w:t>
      </w:r>
      <w:r>
        <w:t>)</w:t>
      </w:r>
      <w:r w:rsidRPr="00A347FF">
        <w:t xml:space="preserve"> the authority to issue a utility a certificate of authorization to serve a specific water or wastewater service area. Section 367.045(1</w:t>
      </w:r>
      <w:proofErr w:type="gramStart"/>
      <w:r w:rsidRPr="00A347FF">
        <w:t>)(</w:t>
      </w:r>
      <w:proofErr w:type="gramEnd"/>
      <w:r w:rsidRPr="00A347FF">
        <w:t xml:space="preserve">b), F.S., authorizes the </w:t>
      </w:r>
      <w:r w:rsidRPr="00A347FF">
        <w:lastRenderedPageBreak/>
        <w:t>Commission to require each applicant for an initial certificate to provide all information required by rule or order of the Commission which includes a detailed inquiry into the ability of the applicant to provide service, the area and facilities involved, the need for service in the area involved, and the existence or nonexistence of service from other sources within geographical proximity.</w:t>
      </w:r>
    </w:p>
    <w:p w14:paraId="0C2C0F02" w14:textId="77777777" w:rsidR="007A1D00" w:rsidRPr="00A347FF" w:rsidRDefault="007A1D00" w:rsidP="007A1D00">
      <w:pPr>
        <w:jc w:val="both"/>
      </w:pPr>
    </w:p>
    <w:p w14:paraId="11488304" w14:textId="77777777" w:rsidR="007A1D00" w:rsidRDefault="007A1D00" w:rsidP="007A1D00">
      <w:pPr>
        <w:jc w:val="both"/>
      </w:pPr>
      <w:r w:rsidRPr="00A347FF">
        <w:t xml:space="preserve">On February 12, 2024, Environmental Utilities, LLC (EU or Utility) filed its Application for an Original Certificate to Provide Wastewater Service in Charlotte County pursuant to Section 367.031, F.S., and Rule 25-30.033, Florida Administrative Code (F.A.C.). </w:t>
      </w:r>
      <w:r w:rsidRPr="000E0E5F">
        <w:t xml:space="preserve">The Utility seeks to provide central sewer service to </w:t>
      </w:r>
      <w:r>
        <w:t xml:space="preserve">certain </w:t>
      </w:r>
      <w:r w:rsidRPr="000E0E5F">
        <w:t>residents of the barrier islands of Little Gasparilla, Don Pedro, and Knight</w:t>
      </w:r>
      <w:r>
        <w:t xml:space="preserve"> Islands</w:t>
      </w:r>
      <w:r w:rsidRPr="000E0E5F">
        <w:t xml:space="preserve">, which are currently served by septic tanks. The proposed service territory includes an estimated </w:t>
      </w:r>
      <w:r>
        <w:t>964</w:t>
      </w:r>
      <w:r w:rsidRPr="000E0E5F">
        <w:t xml:space="preserve"> existing </w:t>
      </w:r>
      <w:r w:rsidR="00B22901">
        <w:t>equivalent residential connections (</w:t>
      </w:r>
      <w:r w:rsidRPr="000E0E5F">
        <w:t>ERCs</w:t>
      </w:r>
      <w:r w:rsidR="00B22901">
        <w:t>)</w:t>
      </w:r>
      <w:r w:rsidRPr="000E0E5F">
        <w:t xml:space="preserve"> and </w:t>
      </w:r>
      <w:r w:rsidRPr="005C51F6">
        <w:t>284</w:t>
      </w:r>
      <w:r w:rsidRPr="000E0E5F">
        <w:t xml:space="preserve"> potential future ERCs, for a total of 1,248 ERCs at buildout.</w:t>
      </w:r>
      <w:r>
        <w:t xml:space="preserve"> </w:t>
      </w:r>
      <w:r w:rsidRPr="000E0E5F">
        <w:t xml:space="preserve">The Utility seeks to begin serving customers </w:t>
      </w:r>
      <w:r>
        <w:t>in</w:t>
      </w:r>
      <w:r w:rsidRPr="000E0E5F">
        <w:t xml:space="preserve"> </w:t>
      </w:r>
      <w:r>
        <w:t>2026.</w:t>
      </w:r>
    </w:p>
    <w:p w14:paraId="25D6F6A7" w14:textId="77777777" w:rsidR="007A1D00" w:rsidRDefault="007A1D00" w:rsidP="007A1D00">
      <w:pPr>
        <w:jc w:val="both"/>
      </w:pPr>
    </w:p>
    <w:p w14:paraId="42C136D4" w14:textId="210487C2" w:rsidR="007A1D00" w:rsidRDefault="007A1D00" w:rsidP="007A1D00">
      <w:pPr>
        <w:jc w:val="both"/>
      </w:pPr>
      <w:r>
        <w:t xml:space="preserve">EU previously filed an application to provide central sewer service </w:t>
      </w:r>
      <w:r w:rsidR="00DD5ACD">
        <w:t xml:space="preserve">to the same geographic area </w:t>
      </w:r>
      <w:r>
        <w:t xml:space="preserve">in Docket No. 20200226-SU (2020 Docket). The Commission denied the Utility’s request because EU did not demonstrate a need for service, and therefore, its request for certification was found </w:t>
      </w:r>
      <w:r w:rsidR="00DD5ACD">
        <w:t xml:space="preserve">not </w:t>
      </w:r>
      <w:r>
        <w:t>to be in the public interest.</w:t>
      </w:r>
      <w:r>
        <w:rPr>
          <w:rStyle w:val="FootnoteReference"/>
        </w:rPr>
        <w:footnoteReference w:id="1"/>
      </w:r>
    </w:p>
    <w:p w14:paraId="09613028" w14:textId="77777777" w:rsidR="007A1D00" w:rsidRDefault="007A1D00" w:rsidP="007A1D00">
      <w:pPr>
        <w:jc w:val="both"/>
      </w:pPr>
    </w:p>
    <w:p w14:paraId="7081351C" w14:textId="53F4BA4B" w:rsidR="007A1D00" w:rsidRPr="002C4F2A" w:rsidRDefault="00B303D5" w:rsidP="007A1D00">
      <w:pPr>
        <w:jc w:val="both"/>
      </w:pPr>
      <w:r>
        <w:t>T</w:t>
      </w:r>
      <w:r w:rsidR="007A1D00" w:rsidRPr="000E0E5F">
        <w:t xml:space="preserve">imely objections </w:t>
      </w:r>
      <w:r>
        <w:t xml:space="preserve">to EU’s application in this docket </w:t>
      </w:r>
      <w:r w:rsidR="007A1D00" w:rsidRPr="000E0E5F">
        <w:t xml:space="preserve">were filed on behalf of Palm Island Estates Association, Inc. (PIE), Linda </w:t>
      </w:r>
      <w:proofErr w:type="spellStart"/>
      <w:r w:rsidR="007A1D00" w:rsidRPr="000E0E5F">
        <w:t>Cotherman</w:t>
      </w:r>
      <w:proofErr w:type="spellEnd"/>
      <w:r w:rsidR="007A1D00" w:rsidRPr="000E0E5F">
        <w:t xml:space="preserve"> (LC), and Little Gasparilla Island </w:t>
      </w:r>
      <w:r w:rsidR="007A1D00" w:rsidRPr="002C4F2A">
        <w:t>Preservation Alliance (LGIPA)</w:t>
      </w:r>
      <w:r w:rsidR="00A65759">
        <w:t xml:space="preserve"> </w:t>
      </w:r>
      <w:r w:rsidR="007A1D00">
        <w:t>(collectively, the Intervenors)</w:t>
      </w:r>
      <w:r w:rsidR="007A1D00" w:rsidRPr="002C4F2A">
        <w:t xml:space="preserve">. </w:t>
      </w:r>
      <w:r>
        <w:t>The Intervenors raised a number of</w:t>
      </w:r>
      <w:r w:rsidR="007A1D00">
        <w:t xml:space="preserve"> issues in their filings</w:t>
      </w:r>
      <w:r w:rsidR="005E2EDA">
        <w:t>, some of which are relevant and some of which are not relevant</w:t>
      </w:r>
      <w:r w:rsidR="00EC5C25">
        <w:t>, to a Commission proceeding for approval of an original certificate and initial rates and charges</w:t>
      </w:r>
      <w:r w:rsidR="007A1D00">
        <w:t>.</w:t>
      </w:r>
      <w:r w:rsidR="00EC5C25">
        <w:t xml:space="preserve"> The issues which were established in this case are guided by the requirements in Sections 367.031 and 367.045, F.S., and the administrative rules implementing those sections.</w:t>
      </w:r>
      <w:r w:rsidR="007A1D00">
        <w:t xml:space="preserve"> </w:t>
      </w:r>
      <w:r w:rsidR="00DD5ACD">
        <w:t>T</w:t>
      </w:r>
      <w:r w:rsidR="007A1D00">
        <w:t>he Commission will only address the issues for which it has been given jurisdiction by the Florida State Legislature. Therefore, the Commission will not address the approval of the system design, environmental concerns, or legal issues concerning easements, as these issues are within the purview of other regulatory bodies</w:t>
      </w:r>
      <w:r w:rsidR="007A1D00" w:rsidRPr="002C4F2A">
        <w:t>.</w:t>
      </w:r>
    </w:p>
    <w:p w14:paraId="27DF776C" w14:textId="77777777" w:rsidR="007A1D00" w:rsidRPr="002C4F2A" w:rsidRDefault="007A1D00" w:rsidP="007A1D00">
      <w:pPr>
        <w:jc w:val="both"/>
      </w:pPr>
    </w:p>
    <w:p w14:paraId="42F534A3" w14:textId="550789D7" w:rsidR="007A1D00" w:rsidRPr="000E0E5F" w:rsidRDefault="007A1D00" w:rsidP="007A1D00">
      <w:pPr>
        <w:jc w:val="both"/>
      </w:pPr>
      <w:r w:rsidRPr="002C4F2A">
        <w:lastRenderedPageBreak/>
        <w:t>O</w:t>
      </w:r>
      <w:r w:rsidRPr="000E0E5F">
        <w:t>n January</w:t>
      </w:r>
      <w:r>
        <w:t xml:space="preserve"> </w:t>
      </w:r>
      <w:r w:rsidRPr="000E0E5F">
        <w:t>28, 2025, the Commission held an evidentiary hea</w:t>
      </w:r>
      <w:r w:rsidR="003C1939">
        <w:t>ring in Englewood, Florida. The technical portion of the</w:t>
      </w:r>
      <w:r w:rsidRPr="000E0E5F">
        <w:t xml:space="preserve"> hearing was followed by two service hearings: one on January 28, 2025, and one the following morning on January 29, 2025. A total o</w:t>
      </w:r>
      <w:r w:rsidRPr="002C4F2A">
        <w:t>f 1</w:t>
      </w:r>
      <w:r>
        <w:t>04</w:t>
      </w:r>
      <w:r w:rsidRPr="002C4F2A">
        <w:t xml:space="preserve"> </w:t>
      </w:r>
      <w:r>
        <w:t>people</w:t>
      </w:r>
      <w:r w:rsidRPr="000E0E5F">
        <w:t xml:space="preserve"> spoke at the service hearings and over </w:t>
      </w:r>
      <w:r>
        <w:t>44</w:t>
      </w:r>
      <w:r w:rsidRPr="00A238ED">
        <w:t>0</w:t>
      </w:r>
      <w:r w:rsidRPr="000E0E5F">
        <w:rPr>
          <w:color w:val="00B050"/>
        </w:rPr>
        <w:t xml:space="preserve"> </w:t>
      </w:r>
      <w:r w:rsidRPr="000E0E5F">
        <w:t>written comments were received</w:t>
      </w:r>
      <w:r>
        <w:t xml:space="preserve"> in the docket file during the pendency of the proceedings</w:t>
      </w:r>
      <w:r w:rsidRPr="000E0E5F">
        <w:t>.</w:t>
      </w:r>
    </w:p>
    <w:p w14:paraId="53F13937" w14:textId="77777777" w:rsidR="007A1D00" w:rsidRPr="002C4F2A" w:rsidRDefault="007A1D00" w:rsidP="007A1D00">
      <w:pPr>
        <w:jc w:val="both"/>
      </w:pPr>
    </w:p>
    <w:p w14:paraId="682CD150" w14:textId="77777777" w:rsidR="0068481F" w:rsidRDefault="007A1D00" w:rsidP="007A1D00">
      <w:pPr>
        <w:pStyle w:val="BodyText"/>
      </w:pPr>
      <w:r w:rsidRPr="002C4F2A">
        <w:t>EU, PIE, LGIPA and LC filed post-hearing briefs on February 28, 2025. The Commission has jurisdiction pursuant to Sections 367.011, 367.031, 367.045, 367.081, and 367.101, F.S</w:t>
      </w:r>
      <w:r>
        <w:t>.</w:t>
      </w:r>
    </w:p>
    <w:p w14:paraId="1A66DE34" w14:textId="77777777" w:rsidR="007C0528" w:rsidRDefault="007C0528" w:rsidP="0068481F"/>
    <w:bookmarkEnd w:id="11"/>
    <w:p w14:paraId="77673932"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4E0A17DE" w14:textId="77777777" w:rsidR="007C0528" w:rsidRDefault="007C0528">
      <w:pPr>
        <w:pStyle w:val="RecommendationMajorSectionHeading"/>
      </w:pPr>
      <w:bookmarkStart w:id="15" w:name="DiscussionOfIssues"/>
      <w:r>
        <w:lastRenderedPageBreak/>
        <w:t>Discussion of Issues</w:t>
      </w:r>
    </w:p>
    <w:bookmarkEnd w:id="15"/>
    <w:p w14:paraId="74427E48" w14:textId="77777777" w:rsidR="0048338D" w:rsidRDefault="0048338D">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14:paraId="35F379CE" w14:textId="77777777" w:rsidR="0048338D" w:rsidRDefault="0048338D">
      <w:pPr>
        <w:pStyle w:val="BodyText"/>
      </w:pPr>
      <w:r>
        <w:t> Has Environmental Utilities, LLC met the filing and noticing requirements pursuant to Rules 25-30.030 and 25-30.033, Florida Administrative Code?</w:t>
      </w:r>
    </w:p>
    <w:p w14:paraId="5894B22B" w14:textId="77777777" w:rsidR="0048338D" w:rsidRPr="004C3641" w:rsidRDefault="0048338D">
      <w:pPr>
        <w:pStyle w:val="IssueSubsectionHeading"/>
        <w:rPr>
          <w:vanish/>
          <w:specVanish/>
        </w:rPr>
      </w:pPr>
      <w:r w:rsidRPr="004C3641">
        <w:t>Recommendation: </w:t>
      </w:r>
    </w:p>
    <w:p w14:paraId="5B840FC2" w14:textId="01A4C90B" w:rsidR="0048338D" w:rsidRDefault="0048338D">
      <w:pPr>
        <w:pStyle w:val="BodyText"/>
      </w:pPr>
      <w:r>
        <w:t> </w:t>
      </w:r>
      <w:r w:rsidR="00646E5C">
        <w:t xml:space="preserve">Yes. </w:t>
      </w:r>
      <w:r w:rsidR="007A1D00" w:rsidRPr="00C61838">
        <w:t>The Utility properly notified potential customers of its application and met the noticing requirements of Rule 25-30.030, F.A.C. The application meets all other requirements of Rule 25-30.033, F.A.C. (</w:t>
      </w:r>
      <w:r w:rsidR="007A1D00">
        <w:t>M. Watt</w:t>
      </w:r>
      <w:r w:rsidR="007A1D00" w:rsidRPr="00C61838">
        <w:t>s</w:t>
      </w:r>
      <w:r w:rsidR="007A1D00">
        <w:t>)</w:t>
      </w:r>
    </w:p>
    <w:p w14:paraId="745D7425" w14:textId="77777777" w:rsidR="00D86E8C" w:rsidRDefault="00D86E8C">
      <w:pPr>
        <w:pStyle w:val="BodyText"/>
        <w:rPr>
          <w:rFonts w:ascii="Arial" w:hAnsi="Arial" w:cs="Arial"/>
          <w:b/>
          <w:i/>
        </w:rPr>
      </w:pPr>
      <w:r>
        <w:rPr>
          <w:rFonts w:ascii="Arial" w:hAnsi="Arial" w:cs="Arial"/>
          <w:b/>
          <w:i/>
        </w:rPr>
        <w:t>Position of the Parties:</w:t>
      </w:r>
    </w:p>
    <w:p w14:paraId="403D9425" w14:textId="77777777" w:rsidR="00D86E8C" w:rsidRPr="00B91104" w:rsidRDefault="00A65759" w:rsidP="00A65759">
      <w:pPr>
        <w:pStyle w:val="BodyText"/>
        <w:tabs>
          <w:tab w:val="left" w:pos="1080"/>
        </w:tabs>
      </w:pPr>
      <w:r>
        <w:rPr>
          <w:rFonts w:ascii="Arial" w:hAnsi="Arial" w:cs="Arial"/>
          <w:b/>
          <w:i/>
        </w:rPr>
        <w:t>LC</w:t>
      </w:r>
      <w:r w:rsidR="0035512F">
        <w:rPr>
          <w:rFonts w:ascii="Arial" w:hAnsi="Arial" w:cs="Arial"/>
          <w:b/>
          <w:i/>
        </w:rPr>
        <w:t>:</w:t>
      </w:r>
      <w:r w:rsidR="00B91104" w:rsidRPr="00B91104">
        <w:rPr>
          <w:rFonts w:ascii="Arial" w:hAnsi="Arial" w:cs="Arial"/>
        </w:rPr>
        <w:tab/>
      </w:r>
      <w:r w:rsidR="00B91104" w:rsidRPr="00B91104">
        <w:t>No</w:t>
      </w:r>
      <w:r w:rsidR="007C7243">
        <w:t>.</w:t>
      </w:r>
    </w:p>
    <w:p w14:paraId="15692E14" w14:textId="77777777" w:rsidR="002D253B" w:rsidRPr="00B91104" w:rsidRDefault="002D253B" w:rsidP="009026A8">
      <w:pPr>
        <w:pStyle w:val="BodyText"/>
        <w:tabs>
          <w:tab w:val="left" w:pos="1080"/>
        </w:tabs>
      </w:pPr>
      <w:r>
        <w:rPr>
          <w:rFonts w:ascii="Arial" w:hAnsi="Arial" w:cs="Arial"/>
          <w:b/>
          <w:i/>
        </w:rPr>
        <w:t>LGIPA:</w:t>
      </w:r>
      <w:r w:rsidR="00B91104" w:rsidRPr="00B91104">
        <w:rPr>
          <w:rFonts w:ascii="Arial" w:hAnsi="Arial" w:cs="Arial"/>
        </w:rPr>
        <w:tab/>
      </w:r>
      <w:r w:rsidR="00DC5A0F">
        <w:t xml:space="preserve">No, </w:t>
      </w:r>
      <w:r w:rsidR="00DC5A0F" w:rsidRPr="003E2A7B">
        <w:t>EU has not met the filing requirements because EU has not satisfied all of the</w:t>
      </w:r>
      <w:r w:rsidR="00DC5A0F">
        <w:t xml:space="preserve"> </w:t>
      </w:r>
      <w:r w:rsidR="00DC5A0F" w:rsidRPr="003E2A7B">
        <w:t xml:space="preserve">requirements set forth in Rule 25-30.033, </w:t>
      </w:r>
      <w:r w:rsidR="00DC5A0F">
        <w:t>F.A.C</w:t>
      </w:r>
      <w:r w:rsidR="00DC5A0F" w:rsidRPr="003E2A7B">
        <w:t>.</w:t>
      </w:r>
      <w:r w:rsidR="00DC5A0F">
        <w:t xml:space="preserve">, including a need for service, consistency with the Comprehensive Plan and Sewer Master Plan, financial and technical ability, and </w:t>
      </w:r>
      <w:r w:rsidR="00DC5A0F" w:rsidRPr="004E3B88">
        <w:t>continued use of the land</w:t>
      </w:r>
      <w:r w:rsidR="00DC5A0F">
        <w:t>, i.e., easements. Additionally, EU has not satisfied the noticing requirements because the grinder sewer system proposed in its rebuttal case was not noticed with EU’s original Application.</w:t>
      </w:r>
    </w:p>
    <w:p w14:paraId="7F19788C" w14:textId="77777777" w:rsidR="002D253B" w:rsidRPr="00B91104" w:rsidRDefault="002D253B" w:rsidP="009026A8">
      <w:pPr>
        <w:pStyle w:val="BodyText"/>
        <w:tabs>
          <w:tab w:val="left" w:pos="1080"/>
        </w:tabs>
      </w:pPr>
      <w:r>
        <w:rPr>
          <w:rFonts w:ascii="Arial" w:hAnsi="Arial" w:cs="Arial"/>
          <w:b/>
          <w:i/>
        </w:rPr>
        <w:t>PIE:</w:t>
      </w:r>
      <w:r w:rsidR="00B91104" w:rsidRPr="00B91104">
        <w:rPr>
          <w:rFonts w:ascii="Arial" w:hAnsi="Arial" w:cs="Arial"/>
        </w:rPr>
        <w:tab/>
      </w:r>
      <w:r w:rsidR="00BE7F28">
        <w:t>No, Environmental Utilities has not met the filing and noticing requirements pursuant to Rules 25-30.030 and 25-30.033, Florida Administrative Code</w:t>
      </w:r>
    </w:p>
    <w:p w14:paraId="0F329769" w14:textId="77777777" w:rsidR="002D253B" w:rsidRPr="00B91104" w:rsidRDefault="002D253B" w:rsidP="009026A8">
      <w:pPr>
        <w:pStyle w:val="BodyText"/>
        <w:tabs>
          <w:tab w:val="left" w:pos="1080"/>
        </w:tabs>
      </w:pPr>
      <w:r>
        <w:rPr>
          <w:rFonts w:ascii="Arial" w:hAnsi="Arial" w:cs="Arial"/>
          <w:b/>
          <w:i/>
        </w:rPr>
        <w:t>EU:</w:t>
      </w:r>
      <w:r w:rsidR="00B91104" w:rsidRPr="00B91104">
        <w:rPr>
          <w:rFonts w:ascii="Arial" w:hAnsi="Arial" w:cs="Arial"/>
        </w:rPr>
        <w:tab/>
      </w:r>
      <w:r w:rsidR="00FF1E01" w:rsidRPr="00A04277">
        <w:t>Yes.</w:t>
      </w:r>
    </w:p>
    <w:p w14:paraId="22E7570F" w14:textId="77777777" w:rsidR="0048338D" w:rsidRPr="004C3641" w:rsidRDefault="0048338D">
      <w:pPr>
        <w:pStyle w:val="IssueSubsectionHeading"/>
        <w:rPr>
          <w:vanish/>
          <w:specVanish/>
        </w:rPr>
      </w:pPr>
      <w:r w:rsidRPr="004C3641">
        <w:t>Staff Analysis: </w:t>
      </w:r>
    </w:p>
    <w:p w14:paraId="2003B1F8" w14:textId="77777777" w:rsidR="007A1D00" w:rsidRPr="00781A41" w:rsidRDefault="0048338D" w:rsidP="007A1D00">
      <w:pPr>
        <w:jc w:val="both"/>
        <w:rPr>
          <w:rFonts w:ascii="Arial" w:hAnsi="Arial" w:cs="Arial"/>
        </w:rPr>
      </w:pPr>
      <w:r>
        <w:t> </w:t>
      </w:r>
    </w:p>
    <w:p w14:paraId="48CF3090" w14:textId="77777777" w:rsidR="007A1D00" w:rsidRPr="00FA56D3" w:rsidRDefault="007A1D00" w:rsidP="007A1D00">
      <w:pPr>
        <w:jc w:val="center"/>
        <w:rPr>
          <w:rFonts w:ascii="Arial" w:hAnsi="Arial" w:cs="Arial"/>
        </w:rPr>
      </w:pPr>
      <w:r w:rsidRPr="00FA56D3">
        <w:rPr>
          <w:rFonts w:ascii="Arial" w:hAnsi="Arial" w:cs="Arial"/>
          <w:b/>
        </w:rPr>
        <w:t>ANALYSIS</w:t>
      </w:r>
    </w:p>
    <w:p w14:paraId="4F86EA5D" w14:textId="77777777" w:rsidR="007A1D00" w:rsidRDefault="007A1D00" w:rsidP="007A1D00">
      <w:pPr>
        <w:jc w:val="both"/>
      </w:pPr>
    </w:p>
    <w:p w14:paraId="05D9DAC3" w14:textId="260D0716" w:rsidR="007A1D00" w:rsidRPr="00EA68E0" w:rsidRDefault="007A1D00" w:rsidP="007A1D00">
      <w:pPr>
        <w:jc w:val="both"/>
      </w:pPr>
      <w:r w:rsidRPr="00EA68E0">
        <w:t xml:space="preserve">For original certificates, Rule 25-30.030, F.A.C., requires </w:t>
      </w:r>
      <w:r w:rsidR="00912D77">
        <w:t>a</w:t>
      </w:r>
      <w:r w:rsidRPr="00EA68E0">
        <w:t xml:space="preserve"> utility to notice relevant local government authorities, nearby utility entities, and each owner of property within the proposed service territory. The notice must contain a description of the proposed service area, contact information, and instructions on how potential customers could file objections with the Commission. The Utility provided affidavits of noticing as required by Rule 25-30.030(5), F.A.C. (EXH 48) </w:t>
      </w:r>
      <w:r w:rsidR="00330728">
        <w:t>S</w:t>
      </w:r>
      <w:r w:rsidRPr="00EA68E0">
        <w:t xml:space="preserve">everal potential customers, including PIE, LGIPA, and LC, </w:t>
      </w:r>
      <w:r w:rsidR="00113E49">
        <w:t xml:space="preserve">timely </w:t>
      </w:r>
      <w:r w:rsidRPr="00EA68E0">
        <w:t>objected to EU’s application for an original certificate after receiving this notice. Based on staff’s review of the record, it appears that the Utility has met the noticing require</w:t>
      </w:r>
      <w:r w:rsidR="00B61E0C">
        <w:t>ments of Rule 25-30.030, F.A.C.</w:t>
      </w:r>
    </w:p>
    <w:p w14:paraId="11AA30AD" w14:textId="77777777" w:rsidR="007A1D00" w:rsidRPr="00EA68E0" w:rsidRDefault="007A1D00" w:rsidP="007A1D00">
      <w:pPr>
        <w:jc w:val="both"/>
      </w:pPr>
    </w:p>
    <w:p w14:paraId="491A1B6A" w14:textId="4A9DCE01" w:rsidR="007A1D00" w:rsidRPr="00EA68E0" w:rsidRDefault="007A1D00" w:rsidP="007A1D00">
      <w:pPr>
        <w:jc w:val="both"/>
      </w:pPr>
      <w:r w:rsidRPr="00EA68E0">
        <w:lastRenderedPageBreak/>
        <w:t>Rule 25-30.033(1), F.A.C., requires a utility to file with its application certain information, including a description of the proposed utility, technical and financial information, a description of the proposed service territory, need for service, and other documentation. On February 27, 2024, EU filed its application pursuant to the rule. (EXH 5) On May 13, 2024, the Utility filed a service territory modification deleting Hideaway Bay Beach Club (Hideaway Bay) from the proposed service territory. (EXH 48) If the requested amendment had been to add territory, which would include prospective customers or landowners who had not received notice, EU would have been required to issue a second round of notices. Staff reviewed and verified the amended legal description and territory map filed pursuant to the request for service territory modification. (EXH 50) The proposed service territory is included in this recommendation as A</w:t>
      </w:r>
      <w:r w:rsidR="00913EC8">
        <w:t>ttachment A.</w:t>
      </w:r>
    </w:p>
    <w:p w14:paraId="099A7EB0" w14:textId="77777777" w:rsidR="007A1D00" w:rsidRPr="00EA68E0" w:rsidRDefault="007A1D00" w:rsidP="007A1D00">
      <w:pPr>
        <w:jc w:val="both"/>
      </w:pPr>
    </w:p>
    <w:p w14:paraId="06FADCDD" w14:textId="4BAA293A" w:rsidR="007A1D00" w:rsidRPr="00482284" w:rsidRDefault="00912D77" w:rsidP="007A1D00">
      <w:pPr>
        <w:jc w:val="both"/>
      </w:pPr>
      <w:r w:rsidRPr="00EA68E0">
        <w:t xml:space="preserve">PIE and LC contended in their briefs that the changes to the information required by Rule 25-30.033(1), F.A.C., provided through discovery and rebuttal testimony, constituted a material change to the application such that the </w:t>
      </w:r>
      <w:r>
        <w:t>application required amendment.</w:t>
      </w:r>
      <w:r w:rsidRPr="00EA68E0">
        <w:t xml:space="preserve"> (</w:t>
      </w:r>
      <w:r>
        <w:t xml:space="preserve">PIE </w:t>
      </w:r>
      <w:r w:rsidRPr="00EA68E0">
        <w:t xml:space="preserve">BR </w:t>
      </w:r>
      <w:r>
        <w:t>5; LC BR 5</w:t>
      </w:r>
      <w:r w:rsidRPr="00EA68E0">
        <w:t xml:space="preserve">) </w:t>
      </w:r>
      <w:r>
        <w:t xml:space="preserve">LGIPA argued in its brief that EU’s application did not establish a need for service, did not demonstrate the financial or technical ability to serve the requested territory, failed to provide evidence that it has continued use of the land upon which treatment facilities will be located, and that the application is not in the public interest. LGIPA further contended that EU did not satisfy the noticing requirements because EU did not include notice of the grinder sewer system in its original application. (LGIPA BR 3-4) </w:t>
      </w:r>
      <w:r w:rsidRPr="00EA68E0">
        <w:t>As such, the</w:t>
      </w:r>
      <w:r>
        <w:t xml:space="preserve"> Intervenors</w:t>
      </w:r>
      <w:r w:rsidRPr="00EA68E0">
        <w:t xml:space="preserve"> argue</w:t>
      </w:r>
      <w:r>
        <w:t xml:space="preserve"> that</w:t>
      </w:r>
      <w:r w:rsidRPr="00EA68E0">
        <w:t xml:space="preserve"> the application EU filed does not meet the filing requirements of Rule</w:t>
      </w:r>
      <w:r>
        <w:t xml:space="preserve"> 25-30.033, F.A.C</w:t>
      </w:r>
      <w:r w:rsidRPr="00EA68E0">
        <w:t>.</w:t>
      </w:r>
      <w:r w:rsidR="007A1D00" w:rsidRPr="00EA68E0">
        <w:t xml:space="preserve"> However, staff does not agree. Commission </w:t>
      </w:r>
      <w:r w:rsidR="007A1D00">
        <w:t>r</w:t>
      </w:r>
      <w:r w:rsidR="007A1D00" w:rsidRPr="00EA68E0">
        <w:t>ules do not require an applicant to file an amendment to its application when information is supplemented, amended, or clarified during the certification process. Staff believes this would not only be inefficient but also could be an additional cost to a utility and potentially its customers.</w:t>
      </w:r>
      <w:r w:rsidR="007A1D00" w:rsidRPr="00EA68E0" w:rsidDel="00880743">
        <w:t xml:space="preserve"> </w:t>
      </w:r>
      <w:r w:rsidR="00FE7079">
        <w:t>Section 367.031, F.S., clearly contemplates that obtaining a certificate of authorization is only a first step towards the construction and operation of a utility.</w:t>
      </w:r>
      <w:r w:rsidR="00FE7079">
        <w:rPr>
          <w:rStyle w:val="FootnoteReference"/>
        </w:rPr>
        <w:footnoteReference w:id="2"/>
      </w:r>
      <w:r w:rsidR="00FE7079">
        <w:t xml:space="preserve"> </w:t>
      </w:r>
      <w:r w:rsidR="007A1D00" w:rsidRPr="00EA68E0">
        <w:t>Docket No. 160220-WS</w:t>
      </w:r>
      <w:r w:rsidR="00EF7C92">
        <w:t xml:space="preserve"> provides a relevant example</w:t>
      </w:r>
      <w:r w:rsidR="007A1D00" w:rsidRPr="00EA68E0">
        <w:t>.</w:t>
      </w:r>
      <w:r w:rsidR="0064479E">
        <w:rPr>
          <w:rStyle w:val="FootnoteReference"/>
        </w:rPr>
        <w:footnoteReference w:id="3"/>
      </w:r>
      <w:r w:rsidR="007A1D00" w:rsidRPr="00EA68E0">
        <w:t xml:space="preserve"> </w:t>
      </w:r>
      <w:r w:rsidR="00EF7C92">
        <w:t>In that docket, t</w:t>
      </w:r>
      <w:r w:rsidR="007A1D00" w:rsidRPr="00EA68E0">
        <w:t>he applicant filed an application for original water and wastewater certificates</w:t>
      </w:r>
      <w:r w:rsidR="00EF7C92">
        <w:t>, proposing</w:t>
      </w:r>
      <w:r w:rsidR="007A1D00" w:rsidRPr="00EA68E0">
        <w:t xml:space="preserve"> to build a water and a wastewater </w:t>
      </w:r>
      <w:r w:rsidR="007A1D00" w:rsidRPr="00EA68E0">
        <w:lastRenderedPageBreak/>
        <w:t xml:space="preserve">treatment plant to provide service to the prospective customers. The Commission granted the certificates, and approved a </w:t>
      </w:r>
      <w:r w:rsidR="002B7919">
        <w:t xml:space="preserve">rule </w:t>
      </w:r>
      <w:r w:rsidR="007A1D00" w:rsidRPr="00EA68E0">
        <w:t xml:space="preserve">waiver to bifurcate the </w:t>
      </w:r>
      <w:r w:rsidR="002B7919">
        <w:t xml:space="preserve">certification and </w:t>
      </w:r>
      <w:r w:rsidR="007A1D00" w:rsidRPr="00EA68E0">
        <w:t>rate-setting portion</w:t>
      </w:r>
      <w:r w:rsidR="002B7919">
        <w:t>s</w:t>
      </w:r>
      <w:r w:rsidR="007A1D00" w:rsidRPr="00EA68E0">
        <w:t xml:space="preserve"> of the application. When the applicant filed the information required to set the rates, the method to provide wastewater service had changed from building and operating the treatment plant to purchasing bulk wastewater treatment. The Commission did not require an amendment to the application, but determined the rates based on t</w:t>
      </w:r>
      <w:r w:rsidR="00E95E15">
        <w:t>he information provided. S</w:t>
      </w:r>
      <w:r w:rsidR="007A1D00" w:rsidRPr="00EA68E0">
        <w:t xml:space="preserve">taff believes </w:t>
      </w:r>
      <w:r w:rsidR="007A1D00">
        <w:t>the Utility</w:t>
      </w:r>
      <w:r w:rsidR="000C683F">
        <w:t xml:space="preserve"> provided the</w:t>
      </w:r>
      <w:r w:rsidR="007A1D00" w:rsidRPr="00EA68E0">
        <w:t xml:space="preserve"> information</w:t>
      </w:r>
      <w:r w:rsidR="000C683F">
        <w:t xml:space="preserve"> required by Rules 25-30.030 and 25-30.033, F.A.C.,</w:t>
      </w:r>
      <w:r w:rsidR="007A1D00" w:rsidRPr="00EA68E0">
        <w:t xml:space="preserve"> in its testimony and exhibits from its witnesses, and provided supplemental information needed for its application through discovery. (</w:t>
      </w:r>
      <w:r w:rsidR="007A1D00">
        <w:t xml:space="preserve">EXH 5; </w:t>
      </w:r>
      <w:r w:rsidR="007A1D00" w:rsidRPr="00EA68E0">
        <w:t>TR 310-31</w:t>
      </w:r>
      <w:r w:rsidR="00913EC8">
        <w:t xml:space="preserve">1; EXH 33; TR 357-361; EXH 39) </w:t>
      </w:r>
      <w:r w:rsidR="007A1D00" w:rsidRPr="00EA68E0">
        <w:t xml:space="preserve">This </w:t>
      </w:r>
      <w:r w:rsidR="003B6387">
        <w:t xml:space="preserve">information </w:t>
      </w:r>
      <w:r w:rsidR="007A1D00" w:rsidRPr="00EA68E0">
        <w:t xml:space="preserve">not only meets the requirements of </w:t>
      </w:r>
      <w:r w:rsidR="003B6387">
        <w:t>the rules</w:t>
      </w:r>
      <w:r w:rsidR="007A1D00">
        <w:t>,</w:t>
      </w:r>
      <w:r w:rsidR="007A1D00" w:rsidRPr="00EA68E0">
        <w:t xml:space="preserve"> but</w:t>
      </w:r>
      <w:r w:rsidR="003B6387">
        <w:t xml:space="preserve"> also</w:t>
      </w:r>
      <w:r w:rsidR="007A1D00" w:rsidRPr="00EA68E0">
        <w:t xml:space="preserve"> allowed the Intervenors the opportunity to review and vet this information during the pendency of the hearing process.</w:t>
      </w:r>
    </w:p>
    <w:p w14:paraId="1C098A13" w14:textId="77777777" w:rsidR="007A1D00" w:rsidRPr="00781A41" w:rsidRDefault="007A1D00" w:rsidP="007A1D00">
      <w:pPr>
        <w:jc w:val="both"/>
        <w:rPr>
          <w:b/>
          <w:u w:val="single"/>
        </w:rPr>
      </w:pPr>
    </w:p>
    <w:p w14:paraId="3502B400" w14:textId="77777777" w:rsidR="007A1D00" w:rsidRPr="00FA56D3" w:rsidRDefault="007A1D00" w:rsidP="007A1D00">
      <w:pPr>
        <w:jc w:val="center"/>
        <w:rPr>
          <w:rFonts w:ascii="Arial" w:hAnsi="Arial" w:cs="Arial"/>
        </w:rPr>
      </w:pPr>
      <w:r w:rsidRPr="00FA56D3">
        <w:rPr>
          <w:rFonts w:ascii="Arial" w:hAnsi="Arial" w:cs="Arial"/>
          <w:b/>
        </w:rPr>
        <w:t>CONCLUSION</w:t>
      </w:r>
    </w:p>
    <w:p w14:paraId="43C02736" w14:textId="77777777" w:rsidR="007A1D00" w:rsidRPr="00781A41" w:rsidRDefault="007A1D00" w:rsidP="007A1D00">
      <w:pPr>
        <w:jc w:val="both"/>
      </w:pPr>
    </w:p>
    <w:p w14:paraId="3DAD19D6" w14:textId="77777777" w:rsidR="007A1D00" w:rsidRPr="00C61838" w:rsidRDefault="007A1D00" w:rsidP="007A1D00">
      <w:pPr>
        <w:jc w:val="both"/>
      </w:pPr>
      <w:r w:rsidRPr="00C61838">
        <w:t>Staff recommends that the Utility properly notified potential customers of its application and met the noticing requirements of Rule 25-30.030, F.A.C. The application meets all other requirements of Rule 25-30.033, F.A.C.</w:t>
      </w:r>
    </w:p>
    <w:p w14:paraId="016CCB91" w14:textId="77777777" w:rsidR="0048338D" w:rsidRDefault="0048338D">
      <w:pPr>
        <w:pStyle w:val="IssueHeading"/>
        <w:rPr>
          <w:vanish/>
          <w:specVanish/>
        </w:rPr>
      </w:pPr>
      <w:r w:rsidRPr="004C3641">
        <w:rPr>
          <w:b w:val="0"/>
          <w:i w:val="0"/>
        </w:rPr>
        <w:br w:type="page"/>
      </w:r>
      <w:r w:rsidRPr="004C3641">
        <w:lastRenderedPageBreak/>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14:paraId="45CA3ACA" w14:textId="77777777" w:rsidR="0048338D" w:rsidRDefault="0048338D">
      <w:pPr>
        <w:pStyle w:val="BodyText"/>
      </w:pPr>
      <w:r>
        <w:t> Is there a need for service in Environmental Utilities, LLC’s proposed service territory?</w:t>
      </w:r>
    </w:p>
    <w:p w14:paraId="7A3E2B4D" w14:textId="77777777" w:rsidR="0048338D" w:rsidRPr="004C3641" w:rsidRDefault="0048338D">
      <w:pPr>
        <w:pStyle w:val="IssueSubsectionHeading"/>
        <w:rPr>
          <w:vanish/>
          <w:specVanish/>
        </w:rPr>
      </w:pPr>
      <w:r w:rsidRPr="004C3641">
        <w:t>Recommendation: </w:t>
      </w:r>
    </w:p>
    <w:p w14:paraId="3E101F0F" w14:textId="79C1B2B0" w:rsidR="0048338D" w:rsidRDefault="0048338D">
      <w:pPr>
        <w:pStyle w:val="BodyText"/>
      </w:pPr>
      <w:r>
        <w:t> </w:t>
      </w:r>
      <w:r w:rsidR="00B75AF0" w:rsidRPr="00070B33">
        <w:t>Yes. The Utility has provided the four items, required by Rule 25-30.033(1</w:t>
      </w:r>
      <w:proofErr w:type="gramStart"/>
      <w:r w:rsidR="00B75AF0" w:rsidRPr="00070B33">
        <w:t>)(</w:t>
      </w:r>
      <w:proofErr w:type="gramEnd"/>
      <w:r w:rsidR="00B75AF0" w:rsidRPr="00070B33">
        <w:t>k), F.A.C., an applicant must provide to demonstrate a need for service, including requests for service from existing property owners and potential developers. In addition, a resolution adopted by the Charlotte County Board of County Commissioners affirming a need for service was provided. (M. Watts</w:t>
      </w:r>
      <w:r w:rsidR="007A1D00">
        <w:t>)</w:t>
      </w:r>
      <w:r>
        <w:t xml:space="preserve"> </w:t>
      </w:r>
    </w:p>
    <w:p w14:paraId="0B84667B" w14:textId="77777777" w:rsidR="00B91104" w:rsidRDefault="00B91104" w:rsidP="00B91104">
      <w:pPr>
        <w:pStyle w:val="BodyText"/>
        <w:rPr>
          <w:rFonts w:ascii="Arial" w:hAnsi="Arial" w:cs="Arial"/>
          <w:b/>
          <w:i/>
        </w:rPr>
      </w:pPr>
      <w:r>
        <w:rPr>
          <w:rFonts w:ascii="Arial" w:hAnsi="Arial" w:cs="Arial"/>
          <w:b/>
          <w:i/>
        </w:rPr>
        <w:t>Position of the Parties:</w:t>
      </w:r>
    </w:p>
    <w:p w14:paraId="715C42F7" w14:textId="77777777" w:rsidR="009026A8" w:rsidRPr="00B91104" w:rsidRDefault="009026A8" w:rsidP="009026A8">
      <w:pPr>
        <w:pStyle w:val="BodyText"/>
        <w:tabs>
          <w:tab w:val="left" w:pos="1080"/>
        </w:tabs>
      </w:pPr>
      <w:r>
        <w:rPr>
          <w:rFonts w:ascii="Arial" w:hAnsi="Arial" w:cs="Arial"/>
          <w:b/>
          <w:i/>
        </w:rPr>
        <w:t>LC:</w:t>
      </w:r>
      <w:r w:rsidRPr="00B91104">
        <w:rPr>
          <w:rFonts w:ascii="Arial" w:hAnsi="Arial" w:cs="Arial"/>
        </w:rPr>
        <w:tab/>
      </w:r>
      <w:r w:rsidRPr="00B91104">
        <w:t>No</w:t>
      </w:r>
      <w:r>
        <w:t>.</w:t>
      </w:r>
    </w:p>
    <w:p w14:paraId="7B81E61A" w14:textId="77777777" w:rsidR="009026A8" w:rsidRPr="00B91104" w:rsidRDefault="009026A8" w:rsidP="009026A8">
      <w:pPr>
        <w:pStyle w:val="BodyText"/>
        <w:tabs>
          <w:tab w:val="left" w:pos="1080"/>
        </w:tabs>
      </w:pPr>
      <w:r>
        <w:rPr>
          <w:rFonts w:ascii="Arial" w:hAnsi="Arial" w:cs="Arial"/>
          <w:b/>
          <w:i/>
        </w:rPr>
        <w:t>LGIPA:</w:t>
      </w:r>
      <w:r w:rsidRPr="00B91104">
        <w:rPr>
          <w:rFonts w:ascii="Arial" w:hAnsi="Arial" w:cs="Arial"/>
        </w:rPr>
        <w:tab/>
      </w:r>
      <w:r w:rsidR="00E54531">
        <w:t xml:space="preserve">No, </w:t>
      </w:r>
      <w:r w:rsidR="00E54531" w:rsidRPr="003E2A7B">
        <w:t xml:space="preserve">EU has not established a need for service in the proposed service territory, </w:t>
      </w:r>
      <w:r w:rsidR="00E54531">
        <w:t>either through requests for service or an environmental or public health and safety need.</w:t>
      </w:r>
    </w:p>
    <w:p w14:paraId="416574B2" w14:textId="77777777" w:rsidR="009026A8" w:rsidRPr="00B91104" w:rsidRDefault="009026A8" w:rsidP="009026A8">
      <w:pPr>
        <w:pStyle w:val="BodyText"/>
        <w:tabs>
          <w:tab w:val="left" w:pos="1080"/>
        </w:tabs>
      </w:pPr>
      <w:r>
        <w:rPr>
          <w:rFonts w:ascii="Arial" w:hAnsi="Arial" w:cs="Arial"/>
          <w:b/>
          <w:i/>
        </w:rPr>
        <w:t>PIE:</w:t>
      </w:r>
      <w:r w:rsidRPr="00B91104">
        <w:rPr>
          <w:rFonts w:ascii="Arial" w:hAnsi="Arial" w:cs="Arial"/>
        </w:rPr>
        <w:tab/>
      </w:r>
      <w:r w:rsidR="00E54531">
        <w:t>No, EU has not established a need for service</w:t>
      </w:r>
    </w:p>
    <w:p w14:paraId="6C3AB73D" w14:textId="77777777" w:rsidR="009026A8" w:rsidRPr="00B91104" w:rsidRDefault="009026A8" w:rsidP="009026A8">
      <w:pPr>
        <w:pStyle w:val="BodyText"/>
        <w:tabs>
          <w:tab w:val="left" w:pos="1080"/>
        </w:tabs>
      </w:pPr>
      <w:r>
        <w:rPr>
          <w:rFonts w:ascii="Arial" w:hAnsi="Arial" w:cs="Arial"/>
          <w:b/>
          <w:i/>
        </w:rPr>
        <w:t>EU:</w:t>
      </w:r>
      <w:r w:rsidRPr="00B91104">
        <w:rPr>
          <w:rFonts w:ascii="Arial" w:hAnsi="Arial" w:cs="Arial"/>
        </w:rPr>
        <w:tab/>
      </w:r>
      <w:r w:rsidRPr="00A04277">
        <w:t xml:space="preserve">Yes. Central wastewater service is needed at this time </w:t>
      </w:r>
      <w:r>
        <w:t xml:space="preserve">as set forth by expert witness </w:t>
      </w:r>
      <w:proofErr w:type="spellStart"/>
      <w:r>
        <w:t>Lapointe</w:t>
      </w:r>
      <w:proofErr w:type="spellEnd"/>
      <w:r>
        <w:t xml:space="preserve">, the Sewer Master Plan and Resolution 2023-155, </w:t>
      </w:r>
      <w:r w:rsidRPr="00A04277">
        <w:t xml:space="preserve">and </w:t>
      </w:r>
      <w:r>
        <w:t xml:space="preserve">it is a priority of </w:t>
      </w:r>
      <w:r w:rsidRPr="00A04277">
        <w:t>Charlotte County</w:t>
      </w:r>
    </w:p>
    <w:p w14:paraId="2394928D" w14:textId="77777777" w:rsidR="0048338D" w:rsidRPr="004C3641" w:rsidRDefault="0048338D">
      <w:pPr>
        <w:pStyle w:val="IssueSubsectionHeading"/>
        <w:rPr>
          <w:vanish/>
          <w:specVanish/>
        </w:rPr>
      </w:pPr>
      <w:r w:rsidRPr="004C3641">
        <w:t>Staff Analysis: </w:t>
      </w:r>
    </w:p>
    <w:p w14:paraId="15C6FA93" w14:textId="77777777" w:rsidR="007A1D00" w:rsidRPr="00781A41" w:rsidRDefault="0048338D" w:rsidP="007A1D00">
      <w:pPr>
        <w:jc w:val="both"/>
        <w:rPr>
          <w:rFonts w:ascii="Arial" w:hAnsi="Arial" w:cs="Arial"/>
          <w:b/>
          <w:bCs/>
          <w:i/>
          <w:iCs/>
          <w:vanish/>
        </w:rPr>
      </w:pPr>
      <w:r>
        <w:t> </w:t>
      </w:r>
    </w:p>
    <w:p w14:paraId="0D879A98" w14:textId="77777777" w:rsidR="007A1D00" w:rsidRDefault="007A1D00" w:rsidP="007A1D00">
      <w:pPr>
        <w:jc w:val="both"/>
        <w:rPr>
          <w:rFonts w:ascii="Arial" w:hAnsi="Arial" w:cs="Arial"/>
        </w:rPr>
      </w:pPr>
      <w:r w:rsidRPr="00781A41">
        <w:rPr>
          <w:rFonts w:ascii="Arial" w:hAnsi="Arial" w:cs="Arial"/>
        </w:rPr>
        <w:t> </w:t>
      </w:r>
    </w:p>
    <w:p w14:paraId="5D78F886" w14:textId="77777777" w:rsidR="007A1D00" w:rsidRPr="00FA56D3" w:rsidRDefault="007A1D00" w:rsidP="007A1D00">
      <w:pPr>
        <w:jc w:val="center"/>
        <w:rPr>
          <w:rFonts w:ascii="Arial" w:hAnsi="Arial" w:cs="Arial"/>
        </w:rPr>
      </w:pPr>
      <w:r w:rsidRPr="00FA56D3">
        <w:rPr>
          <w:rFonts w:ascii="Arial" w:hAnsi="Arial" w:cs="Arial"/>
          <w:b/>
        </w:rPr>
        <w:t>ANALYSIS</w:t>
      </w:r>
    </w:p>
    <w:p w14:paraId="04E3191B" w14:textId="77777777" w:rsidR="007A1D00" w:rsidRPr="00E443C6" w:rsidRDefault="007A1D00" w:rsidP="007A1D00">
      <w:pPr>
        <w:jc w:val="both"/>
        <w:rPr>
          <w:rFonts w:ascii="Arial" w:hAnsi="Arial" w:cs="Arial"/>
          <w:b/>
        </w:rPr>
      </w:pPr>
    </w:p>
    <w:p w14:paraId="425477B1" w14:textId="77777777" w:rsidR="00912D77" w:rsidRPr="00070B33" w:rsidRDefault="00912D77" w:rsidP="00912D77">
      <w:pPr>
        <w:jc w:val="both"/>
      </w:pPr>
      <w:r w:rsidRPr="00070B33">
        <w:t>Section 367.045(1</w:t>
      </w:r>
      <w:proofErr w:type="gramStart"/>
      <w:r w:rsidRPr="00070B33">
        <w:t>)(</w:t>
      </w:r>
      <w:proofErr w:type="gramEnd"/>
      <w:r w:rsidRPr="00070B33">
        <w:t xml:space="preserve">b), F.S., requires an examination of the need for service in the proposed service territory. Pursuant to Rule 25-30.033, F.A.C., an applicant for an original certificate must provide a statement showing the need for service in the proposed territory. Rule 25-30.033(k), F.A.C., which is discussed more fully below, provides certain information a utility must provide to establish need. Although PIE quoted Rule 25-30.033(k), F.A.C., in its brief, neither it nor the other Intervenors provided arguments that specifically addressed all the rule requirements. </w:t>
      </w:r>
      <w:r>
        <w:t xml:space="preserve">The Intervenors instead focused their arguments on the lack of environmental need, inconsistencies with the Comp Plan, lack of local support, and lack of County support for EU’s application. Specifically, the Intervenors argued that there was no water quality testing in the bridgeless barrier islands in the proposed service territory to show that septic systems caused pollution or health and safety problems. (LC BR 5-7; PIE BR 5-7; LGIPA BR 7) LC argued that water quality standards are already met in the waters surrounding the proposed service area. </w:t>
      </w:r>
      <w:r>
        <w:lastRenderedPageBreak/>
        <w:t>(LC BR 6-7) PIE and LGIPA contended that EU only raised hypothetical environmental concerns without demonstrating that any actual environmental damage has occurred. (PIE BR 6-7; LGIPA BR 6-7) LC and PIE contended that the Comp Plan supports septic on the bridgeless barrier islands. (LC BR 7-8; PIE BR 7-12) The Intervenors all argued that there was a lack of substantial local support for service from potential customers. (PIE BR 12-13; LC BR 8-9; LGIPA BR 4-6) LC and LGIPA additionally claimed that there was little evidence of County support for EU’s application (LC BR 9-10; LGIPA BR 8).</w:t>
      </w:r>
    </w:p>
    <w:p w14:paraId="3D80A661" w14:textId="77777777" w:rsidR="00912D77" w:rsidRPr="00070B33" w:rsidRDefault="00912D77" w:rsidP="00912D77">
      <w:pPr>
        <w:jc w:val="both"/>
      </w:pPr>
    </w:p>
    <w:p w14:paraId="60DD5B68" w14:textId="0D2BD290" w:rsidR="00B75AF0" w:rsidRPr="00070B33" w:rsidRDefault="00912D77" w:rsidP="00912D77">
      <w:pPr>
        <w:jc w:val="both"/>
      </w:pPr>
      <w:r w:rsidRPr="00070B33">
        <w:t>In</w:t>
      </w:r>
      <w:r w:rsidR="00B75AF0" w:rsidRPr="00070B33">
        <w:t xml:space="preserve"> the 2020 Docket, the Utility did not provide any requests for service. Typically, when an applicant provides one or more requests for service to demonstrate need, no additional factors are considered apart from the rule requirements to establish need.</w:t>
      </w:r>
      <w:r w:rsidR="00B75AF0" w:rsidRPr="00070B33">
        <w:rPr>
          <w:vertAlign w:val="superscript"/>
        </w:rPr>
        <w:footnoteReference w:id="4"/>
      </w:r>
      <w:r w:rsidR="00B75AF0" w:rsidRPr="00070B33">
        <w:t xml:space="preserve"> Since the Utility did not provide any requests for service, the Commission considered other factors </w:t>
      </w:r>
      <w:r w:rsidR="00646E5C">
        <w:t xml:space="preserve">that </w:t>
      </w:r>
      <w:r w:rsidR="00B75AF0" w:rsidRPr="00070B33">
        <w:t>the Intervenors discussed in their briefs. However, based primarily on the fact that EU did not provide any requests for service, the Commission determined that the record did not support a need for service.</w:t>
      </w:r>
      <w:r w:rsidR="00B75AF0" w:rsidRPr="00070B33">
        <w:rPr>
          <w:vertAlign w:val="superscript"/>
        </w:rPr>
        <w:footnoteReference w:id="5"/>
      </w:r>
      <w:r w:rsidR="00B75AF0" w:rsidRPr="00070B33">
        <w:t xml:space="preserve"> In</w:t>
      </w:r>
      <w:r w:rsidR="00330728">
        <w:t xml:space="preserve"> contrast, in</w:t>
      </w:r>
      <w:r w:rsidR="00B75AF0" w:rsidRPr="00070B33">
        <w:t xml:space="preserve"> the instant docket, EU’s application included 29 requests for service from current property owners and developers. (EXH 5, BSP 55-63)</w:t>
      </w:r>
    </w:p>
    <w:p w14:paraId="27088D89" w14:textId="77777777" w:rsidR="00B75AF0" w:rsidRPr="00070B33" w:rsidRDefault="00B75AF0" w:rsidP="00B75AF0">
      <w:pPr>
        <w:jc w:val="both"/>
      </w:pPr>
    </w:p>
    <w:p w14:paraId="0E2A88B4" w14:textId="77777777" w:rsidR="00B75AF0" w:rsidRPr="00070B33" w:rsidRDefault="00B75AF0" w:rsidP="00B75AF0">
      <w:pPr>
        <w:jc w:val="both"/>
      </w:pPr>
      <w:r w:rsidRPr="00070B33">
        <w:t xml:space="preserve">As in the 2020 Docket, there continues to be a high level of opposition to EU’s proposal by its prospective customers. PIE witness </w:t>
      </w:r>
      <w:proofErr w:type="spellStart"/>
      <w:r w:rsidRPr="00070B33">
        <w:t>McCully</w:t>
      </w:r>
      <w:proofErr w:type="spellEnd"/>
      <w:r w:rsidRPr="00070B33">
        <w:t xml:space="preserve"> testified that the overwhelming majority of the members of PIE, a voluntary homeowner’s association representing 240 households and over 390 individuals, opposed the notion of septic to sewer conversion and preferred to remain on septic systems. (TR 151)</w:t>
      </w:r>
      <w:r w:rsidRPr="00070B33">
        <w:rPr>
          <w:color w:val="00B050"/>
        </w:rPr>
        <w:t xml:space="preserve"> </w:t>
      </w:r>
      <w:r w:rsidRPr="00070B33">
        <w:t xml:space="preserve">However, under cross examination, witness </w:t>
      </w:r>
      <w:proofErr w:type="spellStart"/>
      <w:r w:rsidRPr="00070B33">
        <w:t>McCully</w:t>
      </w:r>
      <w:proofErr w:type="spellEnd"/>
      <w:r w:rsidRPr="00070B33">
        <w:t xml:space="preserve"> stated, “We </w:t>
      </w:r>
      <w:r w:rsidRPr="00070B33">
        <w:lastRenderedPageBreak/>
        <w:t xml:space="preserve">don’t wish to engage in the debate over the environmental benefits of central sewer versus on-site septic systems. Our opposition is and always has been that our membership opposes the installation of central sewer by a privately owned, for-profit utility.” (TR 157; EXH 57) Similar to witness </w:t>
      </w:r>
      <w:proofErr w:type="spellStart"/>
      <w:r w:rsidRPr="00070B33">
        <w:t>McCully</w:t>
      </w:r>
      <w:proofErr w:type="spellEnd"/>
      <w:r w:rsidRPr="00070B33">
        <w:t xml:space="preserve">, LGIPA witness </w:t>
      </w:r>
      <w:proofErr w:type="spellStart"/>
      <w:r w:rsidRPr="00070B33">
        <w:t>Weibley</w:t>
      </w:r>
      <w:proofErr w:type="spellEnd"/>
      <w:r w:rsidRPr="00070B33">
        <w:t xml:space="preserve"> testified that no member of LGIPA had expressed support for EU’s application. Witness </w:t>
      </w:r>
      <w:proofErr w:type="spellStart"/>
      <w:r w:rsidRPr="00070B33">
        <w:t>Weibley</w:t>
      </w:r>
      <w:proofErr w:type="spellEnd"/>
      <w:r w:rsidRPr="00070B33">
        <w:t xml:space="preserve"> stated that its 241 members were polled on the issue, and 229 stated that they were opposed to the application, five were neutral, and seven did not respond. None expressed support. (TR 218) The written comments submitted in the docket were largely in opposition to the Utility’s application, with a small minority in support.</w:t>
      </w:r>
    </w:p>
    <w:p w14:paraId="10CB2341" w14:textId="77777777" w:rsidR="00B75AF0" w:rsidRPr="00070B33" w:rsidRDefault="00B75AF0" w:rsidP="00B75AF0">
      <w:pPr>
        <w:jc w:val="both"/>
      </w:pPr>
    </w:p>
    <w:p w14:paraId="333AD3BF" w14:textId="77777777" w:rsidR="00912D77" w:rsidRPr="00070B33" w:rsidRDefault="00912D77" w:rsidP="00912D77">
      <w:pPr>
        <w:jc w:val="both"/>
      </w:pPr>
      <w:r w:rsidRPr="00070B33">
        <w:t>Of the 104 people who testified at the service hearings, only 10 indicated support for EU’s application, and one speaker was neutral. (1/28 S-TR</w:t>
      </w:r>
      <w:r w:rsidRPr="00070B33">
        <w:rPr>
          <w:color w:val="00B050"/>
        </w:rPr>
        <w:t xml:space="preserve"> </w:t>
      </w:r>
      <w:r w:rsidRPr="00070B33">
        <w:t>16, 18, 32, 65, 68, 121-124, 149; 1/29 S-TR 17, 27, 42, 147) Ninety-three people testified against the application, and multiple prospective customers testified that they have their septic systems inspected and serviced regularly, that their septic systems are working, and that they do not need or want central wastewater service</w:t>
      </w:r>
      <w:r w:rsidRPr="00070B33">
        <w:rPr>
          <w:color w:val="00B050"/>
        </w:rPr>
        <w:t xml:space="preserve">. </w:t>
      </w:r>
      <w:r w:rsidRPr="00070B33">
        <w:t>(1/28 S-TR 100, 105, 127, 132, 137, 155, 157; 1/29 S-TR</w:t>
      </w:r>
      <w:r w:rsidRPr="00070B33">
        <w:rPr>
          <w:color w:val="00B050"/>
        </w:rPr>
        <w:t xml:space="preserve"> </w:t>
      </w:r>
      <w:r w:rsidRPr="00070B33">
        <w:t xml:space="preserve">18, 30, 37, 61, 63, 80, 90, 99, 103, 110) Several more prospective customers testified that their septic systems work fine, particularly even after the impacts from storms caused power outages and other damage. </w:t>
      </w:r>
    </w:p>
    <w:p w14:paraId="72DA2552" w14:textId="77777777" w:rsidR="00912D77" w:rsidRPr="00070B33" w:rsidRDefault="00912D77" w:rsidP="00912D77">
      <w:pPr>
        <w:jc w:val="both"/>
      </w:pPr>
    </w:p>
    <w:p w14:paraId="35D6A573" w14:textId="2A18E7F2" w:rsidR="00912D77" w:rsidRPr="00070B33" w:rsidRDefault="00912D77" w:rsidP="00912D77">
      <w:pPr>
        <w:jc w:val="both"/>
      </w:pPr>
      <w:r>
        <w:t>The common theme amongst the opposition testimony was that the prospective customers do not need the sewer system as they already have a functioning septic tank. However, our rules do</w:t>
      </w:r>
      <w:r w:rsidRPr="00070B33">
        <w:t xml:space="preserve"> not specifically define “need for service</w:t>
      </w:r>
      <w:r>
        <w:t>.</w:t>
      </w:r>
      <w:r w:rsidRPr="00070B33">
        <w:t xml:space="preserve">” </w:t>
      </w:r>
      <w:r>
        <w:t>Instead, Rule 25-30.033(1</w:t>
      </w:r>
      <w:proofErr w:type="gramStart"/>
      <w:r>
        <w:t>)(</w:t>
      </w:r>
      <w:proofErr w:type="gramEnd"/>
      <w:r>
        <w:t>k), F.A.C.,</w:t>
      </w:r>
      <w:r w:rsidRPr="00070B33">
        <w:t xml:space="preserve"> requires </w:t>
      </w:r>
      <w:r w:rsidR="00330728">
        <w:t>a</w:t>
      </w:r>
      <w:r w:rsidRPr="00070B33">
        <w:t xml:space="preserve"> utility to provide certain information </w:t>
      </w:r>
      <w:r>
        <w:t xml:space="preserve">to prove </w:t>
      </w:r>
      <w:r w:rsidRPr="00070B33">
        <w:t>a need for service</w:t>
      </w:r>
      <w:r>
        <w:t xml:space="preserve"> exists</w:t>
      </w:r>
      <w:r w:rsidRPr="00070B33">
        <w:t xml:space="preserve">. </w:t>
      </w:r>
      <w:r>
        <w:t>The rule first</w:t>
      </w:r>
      <w:r w:rsidRPr="00070B33">
        <w:t xml:space="preserve"> requires the utility to provide the number of customers currently being served and proposed to be served by customer class and meter size, including the types of customers to be served. In the application, witness Boyer gives the number of current and proposed customers, and states that virtually all are single family homes. (EXH 5, BSP 23) Wastewater customers do not have wastewater meters. Therefore, the information provided by EU is sufficient for the purposes of this </w:t>
      </w:r>
      <w:r>
        <w:t xml:space="preserve">subsection of the </w:t>
      </w:r>
      <w:r w:rsidR="00B61E0C">
        <w:t>rule.</w:t>
      </w:r>
    </w:p>
    <w:p w14:paraId="0696092B" w14:textId="77777777" w:rsidR="00912D77" w:rsidRPr="00070B33" w:rsidRDefault="00912D77" w:rsidP="00912D77">
      <w:pPr>
        <w:jc w:val="both"/>
      </w:pPr>
    </w:p>
    <w:p w14:paraId="44EA68AC" w14:textId="4B85F47A" w:rsidR="00912D77" w:rsidRPr="00070B33" w:rsidRDefault="00912D77" w:rsidP="00912D77">
      <w:pPr>
        <w:jc w:val="both"/>
      </w:pPr>
      <w:r w:rsidRPr="00070B33">
        <w:t xml:space="preserve">Second, </w:t>
      </w:r>
      <w:r>
        <w:t>the rule</w:t>
      </w:r>
      <w:r w:rsidRPr="00070B33" w:rsidDel="00956663">
        <w:t xml:space="preserve"> </w:t>
      </w:r>
      <w:r w:rsidRPr="00070B33">
        <w:t xml:space="preserve">requires the utility to provide a copy of all requests for service from property owners or developers in areas not currently served. As noted above, the application contained 29 requests from developers, current residents, and one landowner with a house under construction. At the service hearing, the speakers challenged the number of requests because some are from family members, friends, and developers who requested service for multiple properties. </w:t>
      </w:r>
      <w:r w:rsidRPr="00070B33">
        <w:lastRenderedPageBreak/>
        <w:t>(1/28 S-TR 97, 147-148; 1/29 S-TR 78-79) However, the Commission has never considered the relationship of a requester to the utility owner in considering a need for service, nor has it given weight to the relative number of requests. It is not uncommon for the Commission to grant certificates to utilities owned by a developer, accepting the request from the owner of the development company for service when the utility is owned by the same individual as proof of a need for service.</w:t>
      </w:r>
      <w:r w:rsidRPr="00070B33">
        <w:rPr>
          <w:vertAlign w:val="superscript"/>
        </w:rPr>
        <w:footnoteReference w:id="6"/>
      </w:r>
    </w:p>
    <w:p w14:paraId="5F828F94" w14:textId="77777777" w:rsidR="00B75AF0" w:rsidRPr="00070B33" w:rsidRDefault="00B75AF0" w:rsidP="00B75AF0">
      <w:pPr>
        <w:jc w:val="both"/>
      </w:pPr>
    </w:p>
    <w:p w14:paraId="2ECB16DB" w14:textId="074D7F8D" w:rsidR="00B75AF0" w:rsidRPr="00070B33" w:rsidRDefault="00202509" w:rsidP="00B75AF0">
      <w:pPr>
        <w:jc w:val="both"/>
      </w:pPr>
      <w:r w:rsidRPr="00070B33">
        <w:t>Third,</w:t>
      </w:r>
      <w:r>
        <w:t xml:space="preserve"> the rule to establish need for service</w:t>
      </w:r>
      <w:r w:rsidRPr="00070B33">
        <w:t xml:space="preserve"> requires</w:t>
      </w:r>
      <w:r w:rsidR="00B75AF0" w:rsidRPr="00070B33">
        <w:t xml:space="preserve"> the utility to provide the current land use designation of the proposed service territory as described in the local comprehensive plan. The application states that the current land use designation is Compact Growth, Mixed Use. (EXH 5, BSP C2-23) However, according to the Charlotte 2050 Comprehensive Plan (Comp Plan), the correct land use designation is Coastal Residential. (EXH 53, BSP E627)</w:t>
      </w:r>
    </w:p>
    <w:p w14:paraId="40388D3A" w14:textId="77777777" w:rsidR="00B75AF0" w:rsidRPr="00070B33" w:rsidRDefault="00B75AF0" w:rsidP="00B75AF0">
      <w:pPr>
        <w:jc w:val="both"/>
      </w:pPr>
    </w:p>
    <w:p w14:paraId="548EB05A" w14:textId="0E0FB235" w:rsidR="00B75AF0" w:rsidRPr="00070B33" w:rsidRDefault="00202509" w:rsidP="00B75AF0">
      <w:pPr>
        <w:jc w:val="both"/>
      </w:pPr>
      <w:r w:rsidRPr="00070B33">
        <w:t xml:space="preserve">Finally, </w:t>
      </w:r>
      <w:r>
        <w:t>the rule</w:t>
      </w:r>
      <w:r w:rsidRPr="00070B33">
        <w:t xml:space="preserve"> requires the utility to provide any known land use restrictions. In its application, EU stated that it knew of no land use restrictions in the proposed service territory. LC asserted there were multiple land use restrictions in the Comp Plan and from other government agencies.</w:t>
      </w:r>
      <w:r>
        <w:t xml:space="preserve"> (LC BR 4, 11)</w:t>
      </w:r>
      <w:r w:rsidRPr="00070B33">
        <w:t xml:space="preserve"> LC indicated that the Utility would need multiple permits to deal with these restrictions. (</w:t>
      </w:r>
      <w:r>
        <w:t xml:space="preserve">LC BR 7; </w:t>
      </w:r>
      <w:r w:rsidRPr="00070B33">
        <w:t xml:space="preserve">EXH 27, BSP C13-835) </w:t>
      </w:r>
      <w:r w:rsidR="00B75AF0" w:rsidRPr="00070B33">
        <w:t>When LC questioned EU witness Boyer about permits, witness Boyer replied that dealing with permitting requirements was in the Utility’s budget as part of standard engineering and construction costs. He went on to testify that Florida Power &amp; Light Company, an electric utility providing service to the area, as well as three other water utilities, have dealt with these issues in the proposed service area multiple times, and that EU is familiar with the process. (TR 144) While the Comp Plan is discussed in greater detail in Issue 3, staff notes that LC’s permitting concerns are not under the jurisdiction of the Commission, and therefore, will not be ad</w:t>
      </w:r>
      <w:r w:rsidR="007642F4">
        <w:t>dressed by this recommendation.</w:t>
      </w:r>
    </w:p>
    <w:p w14:paraId="47731D70" w14:textId="77777777" w:rsidR="00B0580E" w:rsidRDefault="00B0580E" w:rsidP="00B75AF0">
      <w:pPr>
        <w:jc w:val="both"/>
      </w:pPr>
    </w:p>
    <w:p w14:paraId="6A9C6E5A" w14:textId="452F6CF0" w:rsidR="00B75AF0" w:rsidRPr="00070B33" w:rsidRDefault="00202509" w:rsidP="00B75AF0">
      <w:pPr>
        <w:jc w:val="both"/>
      </w:pPr>
      <w:r>
        <w:lastRenderedPageBreak/>
        <w:t>Following the 2020 Docket</w:t>
      </w:r>
      <w:r w:rsidRPr="00070B33">
        <w:t>, the Charlotte County Board of County Commissioners</w:t>
      </w:r>
      <w:r w:rsidR="00B75AF0" w:rsidRPr="00070B33">
        <w:t xml:space="preserve"> (BOCC) adopted Resolution No. 2023-155 (Resolution), which supports the Utility’s application for a wastewater certificate for the proposed service territory.</w:t>
      </w:r>
      <w:r w:rsidR="00B75AF0" w:rsidRPr="00070B33">
        <w:rPr>
          <w:vertAlign w:val="superscript"/>
        </w:rPr>
        <w:footnoteReference w:id="7"/>
      </w:r>
      <w:r w:rsidR="00B75AF0" w:rsidRPr="00070B33">
        <w:t xml:space="preserve"> The Resolution specifically requests that:</w:t>
      </w:r>
    </w:p>
    <w:p w14:paraId="0E42523C" w14:textId="77777777" w:rsidR="00B75AF0" w:rsidRPr="00070B33" w:rsidRDefault="00B75AF0" w:rsidP="00B75AF0">
      <w:pPr>
        <w:jc w:val="both"/>
        <w:rPr>
          <w:sz w:val="18"/>
        </w:rPr>
      </w:pPr>
    </w:p>
    <w:p w14:paraId="21597714" w14:textId="2904254C" w:rsidR="00B75AF0" w:rsidRPr="00070B33" w:rsidRDefault="00B75AF0" w:rsidP="00B75AF0">
      <w:pPr>
        <w:spacing w:after="120"/>
        <w:ind w:left="720" w:right="720"/>
        <w:jc w:val="both"/>
      </w:pPr>
      <w:r w:rsidRPr="00070B33">
        <w:t xml:space="preserve">. . . </w:t>
      </w:r>
      <w:proofErr w:type="gramStart"/>
      <w:r w:rsidRPr="00070B33">
        <w:t>the</w:t>
      </w:r>
      <w:proofErr w:type="gramEnd"/>
      <w:r w:rsidRPr="00070B33" w:rsidDel="00C16B98">
        <w:t xml:space="preserve"> </w:t>
      </w:r>
      <w:r w:rsidRPr="00070B33">
        <w:t>PSC assist the County in protecting our waters and enhance the health, safety and welfare of Charlotte County by approving Environmental Utilities, Inc.’s application for a wastewater certificate to provide central wastewater service to the Barrier Islands.</w:t>
      </w:r>
    </w:p>
    <w:p w14:paraId="003A0559" w14:textId="76167358" w:rsidR="00B75AF0" w:rsidRPr="00070B33" w:rsidRDefault="00B75AF0" w:rsidP="00B75AF0">
      <w:pPr>
        <w:spacing w:after="120"/>
        <w:jc w:val="both"/>
      </w:pPr>
      <w:r w:rsidRPr="00070B33">
        <w:t>(EXH 14, BSP C6-597)</w:t>
      </w:r>
    </w:p>
    <w:p w14:paraId="41A209A5" w14:textId="77777777" w:rsidR="00202509" w:rsidRPr="00070B33" w:rsidRDefault="00202509" w:rsidP="00202509">
      <w:pPr>
        <w:jc w:val="both"/>
      </w:pPr>
    </w:p>
    <w:p w14:paraId="0058D7BC" w14:textId="77777777" w:rsidR="00202509" w:rsidRDefault="00202509" w:rsidP="00202509">
      <w:pPr>
        <w:jc w:val="both"/>
      </w:pPr>
      <w:r w:rsidRPr="00070B33">
        <w:t xml:space="preserve">PIE witness </w:t>
      </w:r>
      <w:proofErr w:type="spellStart"/>
      <w:r w:rsidRPr="00070B33">
        <w:t>Hardgrove</w:t>
      </w:r>
      <w:proofErr w:type="spellEnd"/>
      <w:r w:rsidRPr="00070B33">
        <w:t xml:space="preserve"> objected to the Resolution on the grounds that it was not reviewed by planning department professionals for Comp Plan consistency and was presented at the meeting on the consent agenda. (TR 172, 176-177) </w:t>
      </w:r>
      <w:r>
        <w:t xml:space="preserve">In its brief, PIE argued that the Resolution merely stated that EU’s application was consistent with the Comp Plan without any supporting evidence. PIE further stated that EU’s application remains contradictory to the Comp Plan as the Resolution did nothing to change the Comp Plan. (PIE BR 10-11) </w:t>
      </w:r>
      <w:r w:rsidRPr="00070B33">
        <w:t xml:space="preserve">LC’s exhibit echoed witness </w:t>
      </w:r>
      <w:proofErr w:type="spellStart"/>
      <w:r w:rsidRPr="00070B33">
        <w:t>Hardgrove’s</w:t>
      </w:r>
      <w:proofErr w:type="spellEnd"/>
      <w:r w:rsidRPr="00070B33">
        <w:t xml:space="preserve"> concerns with the Resolution. (EXH 27, BSP C13-834) </w:t>
      </w:r>
      <w:r>
        <w:t xml:space="preserve">In her brief, LC stated that the application remains inconsistent with the Comp Plan. (LC BR 11) </w:t>
      </w:r>
      <w:r w:rsidRPr="00070B33">
        <w:t xml:space="preserve">Nonetheless, the Resolution affirms the County’s concerns regarding the current septic systems’ impact on the area, and purports that the proposed system is “not inconsistent” with the Comp Plan or the Sewer Master Plan (SMP). (EXH 14) </w:t>
      </w:r>
    </w:p>
    <w:p w14:paraId="6B590423" w14:textId="77777777" w:rsidR="00202509" w:rsidRPr="00070B33" w:rsidRDefault="00202509" w:rsidP="00202509">
      <w:pPr>
        <w:jc w:val="both"/>
      </w:pPr>
    </w:p>
    <w:p w14:paraId="2F17C138" w14:textId="7B8742EB" w:rsidR="00B75AF0" w:rsidRDefault="00202509" w:rsidP="00202509">
      <w:pPr>
        <w:jc w:val="both"/>
      </w:pPr>
      <w:r>
        <w:t>Additionally, t</w:t>
      </w:r>
      <w:r w:rsidRPr="00070B33" w:rsidDel="00D433E4">
        <w:t>he Charlotte County Code of Ordinances, Section 3-8-41(a)</w:t>
      </w:r>
      <w:r w:rsidDel="00D433E4">
        <w:t xml:space="preserve"> (</w:t>
      </w:r>
      <w:r>
        <w:t xml:space="preserve">Mandatory Connection </w:t>
      </w:r>
      <w:r w:rsidDel="00D433E4">
        <w:t>Ordinance)</w:t>
      </w:r>
      <w:r w:rsidRPr="00070B33" w:rsidDel="00D433E4">
        <w:t>, requires all developed property to connect the plumbing system for any structure on the property to an available public or private sewer system within 365 days after written notification by the public or private sewer system that the system is available for connection. (EXH 5, BSP C2-72)</w:t>
      </w:r>
      <w:r>
        <w:t xml:space="preserve"> </w:t>
      </w:r>
      <w:r w:rsidRPr="00D433E4">
        <w:t>LGIPA noted that the Commission found that the Mandatory Connection Ordinance did not establish a need for service simply by existing. (LGIPA BR 8). LGIPA argued that, since there have been no changes to the County ordinanc</w:t>
      </w:r>
      <w:r>
        <w:t>es since the previous decision,</w:t>
      </w:r>
      <w:r w:rsidRPr="00D433E4">
        <w:t xml:space="preserve"> that the ordinance should continue to be given no weight by the Commission. </w:t>
      </w:r>
      <w:r w:rsidRPr="00D433E4">
        <w:lastRenderedPageBreak/>
        <w:t xml:space="preserve">(LGIPA BR 8) Staff agrees that the Mandatory Connection Ordinance does not establish need for service. </w:t>
      </w:r>
      <w:r w:rsidR="00330728">
        <w:t>N</w:t>
      </w:r>
      <w:r w:rsidRPr="00D433E4">
        <w:t>eed for service is established via Rule 25-30.033(1</w:t>
      </w:r>
      <w:proofErr w:type="gramStart"/>
      <w:r w:rsidRPr="00D433E4">
        <w:t>)(</w:t>
      </w:r>
      <w:proofErr w:type="gramEnd"/>
      <w:r w:rsidRPr="00D433E4">
        <w:t>k)</w:t>
      </w:r>
      <w:r>
        <w:t>, F.A.C.,</w:t>
      </w:r>
      <w:r w:rsidRPr="00D433E4">
        <w:t xml:space="preserve"> as discussed above.</w:t>
      </w:r>
    </w:p>
    <w:p w14:paraId="58D7FFE6" w14:textId="77777777" w:rsidR="00202509" w:rsidRPr="00070B33" w:rsidRDefault="00202509" w:rsidP="00202509">
      <w:pPr>
        <w:jc w:val="both"/>
      </w:pPr>
    </w:p>
    <w:p w14:paraId="3D5C5471" w14:textId="2C983356" w:rsidR="00B75AF0" w:rsidRDefault="00B75AF0" w:rsidP="00B75AF0">
      <w:pPr>
        <w:jc w:val="both"/>
      </w:pPr>
      <w:r w:rsidRPr="00070B33">
        <w:t>Since the Utility provided the information required by Rule 25-30.033(1)(k), F.A.C., including requests for service by property owners and developers, the record does support a need for service based upon these requests. Also, the County’s Resolution states the County’s belief that there is a need for wastewater service in the proposed territory.</w:t>
      </w:r>
    </w:p>
    <w:p w14:paraId="65F62C8D" w14:textId="7F4E55DB" w:rsidR="00330728" w:rsidRDefault="00330728" w:rsidP="00B75AF0">
      <w:pPr>
        <w:jc w:val="both"/>
      </w:pPr>
    </w:p>
    <w:p w14:paraId="7B40A3EC" w14:textId="08753CD3" w:rsidR="00B0580E" w:rsidRDefault="00B0580E" w:rsidP="00B75AF0">
      <w:pPr>
        <w:jc w:val="both"/>
      </w:pPr>
    </w:p>
    <w:p w14:paraId="14AB16F0" w14:textId="2BD2824E" w:rsidR="00B0580E" w:rsidRDefault="00B0580E" w:rsidP="00B75AF0">
      <w:pPr>
        <w:jc w:val="both"/>
      </w:pPr>
    </w:p>
    <w:p w14:paraId="45DDA4DB" w14:textId="45C483BB" w:rsidR="00B0580E" w:rsidRDefault="00B0580E" w:rsidP="00B75AF0">
      <w:pPr>
        <w:jc w:val="both"/>
      </w:pPr>
    </w:p>
    <w:p w14:paraId="1EFE7C9F" w14:textId="6F977805" w:rsidR="00B0580E" w:rsidRDefault="00B0580E" w:rsidP="00B75AF0">
      <w:pPr>
        <w:jc w:val="both"/>
      </w:pPr>
    </w:p>
    <w:p w14:paraId="63208944" w14:textId="77777777" w:rsidR="00B75AF0" w:rsidRPr="00070B33" w:rsidRDefault="00B75AF0" w:rsidP="00B75AF0">
      <w:pPr>
        <w:jc w:val="center"/>
        <w:rPr>
          <w:rFonts w:ascii="Arial" w:hAnsi="Arial" w:cs="Arial"/>
        </w:rPr>
      </w:pPr>
      <w:r w:rsidRPr="00070B33">
        <w:rPr>
          <w:rFonts w:ascii="Arial" w:hAnsi="Arial" w:cs="Arial"/>
          <w:b/>
        </w:rPr>
        <w:t>CONCLUSION</w:t>
      </w:r>
    </w:p>
    <w:p w14:paraId="723EF1DB" w14:textId="77777777" w:rsidR="00B75AF0" w:rsidRPr="00070B33" w:rsidRDefault="00B75AF0" w:rsidP="00B75AF0">
      <w:pPr>
        <w:jc w:val="both"/>
      </w:pPr>
    </w:p>
    <w:p w14:paraId="29F52250" w14:textId="73D15DEF" w:rsidR="0048338D" w:rsidRDefault="00B75AF0" w:rsidP="00B75AF0">
      <w:pPr>
        <w:pStyle w:val="BodyText"/>
      </w:pPr>
      <w:r w:rsidRPr="00070B33">
        <w:t>EU has provided the four items required by Rule 25-30.033(1)(k), F.A.C., to demonstrate a need for service: the number of customers proposed to be served; a copy of all requests for service from property owners or developers in areas not currently served; the current land use designation; and any known land use restrictions. In addition, a resolution adopted by the Charlotte County Board of County Commissioners affirming a need for service was provided. Based on the foregoing, staff recommends that EU has demonstrated there is a need for service in the proposed service area</w:t>
      </w:r>
      <w:r w:rsidR="00154699">
        <w:t>.</w:t>
      </w:r>
    </w:p>
    <w:p w14:paraId="3C322AE8" w14:textId="77777777" w:rsidR="0048338D" w:rsidRDefault="0048338D">
      <w:pPr>
        <w:pStyle w:val="IssueHeading"/>
        <w:rPr>
          <w:vanish/>
          <w:specVanish/>
        </w:rPr>
      </w:pPr>
      <w:r w:rsidRPr="004C3641">
        <w:rPr>
          <w:b w:val="0"/>
          <w:i w:val="0"/>
        </w:rPr>
        <w:br w:type="page"/>
      </w:r>
      <w:r w:rsidRPr="004C3641">
        <w:lastRenderedPageBreak/>
        <w:t xml:space="preserve">Issue </w:t>
      </w:r>
      <w:fldSimple w:instr=" SEQ Issue \* MERGEFORMAT ">
        <w:r>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 \l 1 </w:instrText>
      </w:r>
      <w:r>
        <w:fldChar w:fldCharType="end"/>
      </w:r>
      <w:r>
        <w:t> </w:t>
      </w:r>
    </w:p>
    <w:p w14:paraId="6BA4E9EF" w14:textId="77777777" w:rsidR="0048338D" w:rsidRDefault="0048338D">
      <w:pPr>
        <w:pStyle w:val="BodyText"/>
      </w:pPr>
      <w:r>
        <w:t> Is Environmental Utilities, LLC’s application consistent with Charlotte County’s Comprehensive Plan and/or Sewer Master Plan?</w:t>
      </w:r>
    </w:p>
    <w:p w14:paraId="30AF65FE" w14:textId="77777777" w:rsidR="0048338D" w:rsidRPr="004C3641" w:rsidRDefault="0048338D">
      <w:pPr>
        <w:pStyle w:val="IssueSubsectionHeading"/>
        <w:rPr>
          <w:vanish/>
          <w:specVanish/>
        </w:rPr>
      </w:pPr>
      <w:r w:rsidRPr="004C3641">
        <w:t>Recommendation: </w:t>
      </w:r>
    </w:p>
    <w:p w14:paraId="53E897F7" w14:textId="1AE0D8D1" w:rsidR="0048338D" w:rsidRDefault="0048338D">
      <w:pPr>
        <w:pStyle w:val="BodyText"/>
      </w:pPr>
      <w:r>
        <w:t> </w:t>
      </w:r>
      <w:r w:rsidR="00F66CF9" w:rsidRPr="00482206">
        <w:t>EU’s application does not appear to be consistent with the County’s Comprehensive Plan but does appear to be consistent with the Sewer Master Plan. However, the County’s Resolution establishes support for EU’s application, and the Commission is not bound by Charlotte County’s Comp Plan or Sewer Master Plan. (M. Watts</w:t>
      </w:r>
      <w:r w:rsidR="00646E5C">
        <w:t>, Thompson, Dose</w:t>
      </w:r>
      <w:r w:rsidR="007A1D00">
        <w:t>)</w:t>
      </w:r>
      <w:r>
        <w:t xml:space="preserve"> </w:t>
      </w:r>
    </w:p>
    <w:p w14:paraId="1D1ABEA4" w14:textId="77777777" w:rsidR="00B91104" w:rsidRDefault="00B91104" w:rsidP="00B91104">
      <w:pPr>
        <w:pStyle w:val="BodyText"/>
        <w:rPr>
          <w:rFonts w:ascii="Arial" w:hAnsi="Arial" w:cs="Arial"/>
          <w:b/>
          <w:i/>
        </w:rPr>
      </w:pPr>
      <w:r>
        <w:rPr>
          <w:rFonts w:ascii="Arial" w:hAnsi="Arial" w:cs="Arial"/>
          <w:b/>
          <w:i/>
        </w:rPr>
        <w:t>Position of the Parties:</w:t>
      </w:r>
    </w:p>
    <w:p w14:paraId="2610603D" w14:textId="77777777" w:rsidR="00D43E83" w:rsidRPr="00B91104" w:rsidRDefault="00D43E83" w:rsidP="00D43E83">
      <w:pPr>
        <w:pStyle w:val="BodyText"/>
        <w:tabs>
          <w:tab w:val="left" w:pos="1080"/>
        </w:tabs>
      </w:pPr>
      <w:r>
        <w:rPr>
          <w:rFonts w:ascii="Arial" w:hAnsi="Arial" w:cs="Arial"/>
          <w:b/>
          <w:i/>
        </w:rPr>
        <w:t>LC:</w:t>
      </w:r>
      <w:r w:rsidRPr="00B91104">
        <w:rPr>
          <w:rFonts w:ascii="Arial" w:hAnsi="Arial" w:cs="Arial"/>
        </w:rPr>
        <w:tab/>
      </w:r>
      <w:r w:rsidRPr="00B91104">
        <w:t>No</w:t>
      </w:r>
      <w:r>
        <w:t>.</w:t>
      </w:r>
    </w:p>
    <w:p w14:paraId="5D48C2A6" w14:textId="77777777" w:rsidR="00D43E83" w:rsidRPr="00B91104" w:rsidRDefault="00D43E83" w:rsidP="00D43E83">
      <w:pPr>
        <w:pStyle w:val="BodyText"/>
        <w:tabs>
          <w:tab w:val="left" w:pos="1080"/>
        </w:tabs>
      </w:pPr>
      <w:r>
        <w:rPr>
          <w:rFonts w:ascii="Arial" w:hAnsi="Arial" w:cs="Arial"/>
          <w:b/>
          <w:i/>
        </w:rPr>
        <w:t>LGIPA:</w:t>
      </w:r>
      <w:r w:rsidRPr="00B91104">
        <w:rPr>
          <w:rFonts w:ascii="Arial" w:hAnsi="Arial" w:cs="Arial"/>
        </w:rPr>
        <w:tab/>
      </w:r>
      <w:r w:rsidRPr="003E2A7B">
        <w:t xml:space="preserve">EU’s </w:t>
      </w:r>
      <w:r>
        <w:t>A</w:t>
      </w:r>
      <w:r w:rsidRPr="003E2A7B">
        <w:t>pplication is inconsistent with Charlotte County’s Comprehensive Plan and Charlotte County’s Sewer Master Plan.</w:t>
      </w:r>
    </w:p>
    <w:p w14:paraId="4B6046E0" w14:textId="77777777" w:rsidR="00D43E83" w:rsidRPr="00B91104" w:rsidRDefault="00D43E83" w:rsidP="00D43E83">
      <w:pPr>
        <w:pStyle w:val="BodyText"/>
        <w:tabs>
          <w:tab w:val="left" w:pos="1080"/>
        </w:tabs>
      </w:pPr>
      <w:r>
        <w:rPr>
          <w:rFonts w:ascii="Arial" w:hAnsi="Arial" w:cs="Arial"/>
          <w:b/>
          <w:i/>
        </w:rPr>
        <w:t>PIE:</w:t>
      </w:r>
      <w:r w:rsidRPr="00B91104">
        <w:rPr>
          <w:rFonts w:ascii="Arial" w:hAnsi="Arial" w:cs="Arial"/>
        </w:rPr>
        <w:tab/>
      </w:r>
      <w:r>
        <w:rPr>
          <w:color w:val="000000"/>
        </w:rPr>
        <w:t>No, the application is inconsistent with Charlotte County’s Comprehensive Plan and Sewer Master Plan.</w:t>
      </w:r>
    </w:p>
    <w:p w14:paraId="478BE0C8" w14:textId="77777777" w:rsidR="00D43E83" w:rsidRDefault="00D43E83" w:rsidP="00D43E83">
      <w:pPr>
        <w:pStyle w:val="BodyText"/>
        <w:tabs>
          <w:tab w:val="left" w:pos="1080"/>
        </w:tabs>
        <w:rPr>
          <w:rFonts w:ascii="Arial" w:hAnsi="Arial" w:cs="Arial"/>
          <w:b/>
          <w:i/>
        </w:rPr>
      </w:pPr>
      <w:r>
        <w:rPr>
          <w:rFonts w:ascii="Arial" w:hAnsi="Arial" w:cs="Arial"/>
          <w:b/>
          <w:i/>
        </w:rPr>
        <w:t>EU:</w:t>
      </w:r>
      <w:r w:rsidRPr="00B91104">
        <w:rPr>
          <w:rFonts w:ascii="Arial" w:hAnsi="Arial" w:cs="Arial"/>
        </w:rPr>
        <w:tab/>
      </w:r>
      <w:r w:rsidRPr="00A04277">
        <w:t>Yes</w:t>
      </w:r>
      <w:r>
        <w:t xml:space="preserve"> as to both</w:t>
      </w:r>
      <w:r w:rsidRPr="00A04277">
        <w:t>.</w:t>
      </w:r>
    </w:p>
    <w:p w14:paraId="5C3B3797" w14:textId="77777777" w:rsidR="0048338D" w:rsidRPr="004C3641" w:rsidRDefault="0048338D">
      <w:pPr>
        <w:pStyle w:val="IssueSubsectionHeading"/>
        <w:rPr>
          <w:vanish/>
          <w:specVanish/>
        </w:rPr>
      </w:pPr>
      <w:r w:rsidRPr="004C3641">
        <w:t>Staff Analysis: </w:t>
      </w:r>
    </w:p>
    <w:p w14:paraId="66D07B03" w14:textId="77777777" w:rsidR="007A1D00" w:rsidRPr="00781A41" w:rsidRDefault="0048338D" w:rsidP="007A1D00">
      <w:pPr>
        <w:jc w:val="both"/>
        <w:rPr>
          <w:rFonts w:ascii="Arial" w:hAnsi="Arial" w:cs="Arial"/>
          <w:b/>
          <w:bCs/>
          <w:i/>
          <w:iCs/>
          <w:vanish/>
        </w:rPr>
      </w:pPr>
      <w:r>
        <w:t> </w:t>
      </w:r>
    </w:p>
    <w:p w14:paraId="670C1627" w14:textId="77777777" w:rsidR="007A1D00" w:rsidRPr="00781A41" w:rsidRDefault="007A1D00" w:rsidP="007A1D00">
      <w:pPr>
        <w:jc w:val="both"/>
        <w:rPr>
          <w:rFonts w:ascii="Arial" w:hAnsi="Arial" w:cs="Arial"/>
        </w:rPr>
      </w:pPr>
      <w:r w:rsidRPr="00781A41">
        <w:rPr>
          <w:rFonts w:ascii="Arial" w:hAnsi="Arial" w:cs="Arial"/>
        </w:rPr>
        <w:t> </w:t>
      </w:r>
    </w:p>
    <w:p w14:paraId="55BABDDE" w14:textId="77777777" w:rsidR="007A1D00" w:rsidRPr="00FA56D3" w:rsidRDefault="007A1D00" w:rsidP="007A1D00">
      <w:pPr>
        <w:jc w:val="center"/>
        <w:rPr>
          <w:rFonts w:ascii="Arial" w:hAnsi="Arial" w:cs="Arial"/>
        </w:rPr>
      </w:pPr>
      <w:r w:rsidRPr="00FA56D3">
        <w:rPr>
          <w:rFonts w:ascii="Arial" w:hAnsi="Arial" w:cs="Arial"/>
          <w:b/>
        </w:rPr>
        <w:t>ANALYSIS</w:t>
      </w:r>
    </w:p>
    <w:p w14:paraId="7812D678" w14:textId="77777777" w:rsidR="007A1D00" w:rsidRDefault="007A1D00" w:rsidP="007A1D00">
      <w:pPr>
        <w:jc w:val="both"/>
      </w:pPr>
    </w:p>
    <w:p w14:paraId="74A22807" w14:textId="657C209F" w:rsidR="00F66CF9" w:rsidRPr="00482206" w:rsidRDefault="00F66CF9" w:rsidP="00F66CF9">
      <w:pPr>
        <w:jc w:val="both"/>
      </w:pPr>
      <w:r w:rsidRPr="00482206">
        <w:t>Under Section 367.045(5</w:t>
      </w:r>
      <w:proofErr w:type="gramStart"/>
      <w:r w:rsidRPr="00482206">
        <w:t>)(</w:t>
      </w:r>
      <w:proofErr w:type="gramEnd"/>
      <w:r w:rsidRPr="00482206">
        <w:t>b), F.S., when granting or amending a certificate of authorization, the Commission need not consider whether the issuance or amendment of the certificate of authorization is inconsistent with the local comprehensive plan of a county or municipality unless a timely objection to the notice required by this section has been made by an appropriate motion or application. If an objection has been timely made, the Commission shall consider, but is not bound by, the local comprehensive plan of the county or municipality.</w:t>
      </w:r>
      <w:r w:rsidRPr="00482206">
        <w:rPr>
          <w:color w:val="000000"/>
          <w:vertAlign w:val="superscript"/>
        </w:rPr>
        <w:footnoteReference w:id="8"/>
      </w:r>
      <w:r w:rsidRPr="00482206">
        <w:t xml:space="preserve"> Unlike a local comprehensive plan, there is no statutory or rule requirement that the Commission consider the County’s Sewer Master Plan (SMP). Just as the Commission is not bound by a local comprehensive plan in a certificate proceeding, staff believes that a document such as the SMP – which is not contemplated in Section 367.045, F.S., or Rule 25-30.033, F.A.C. – is not binding upon the Commission. However, consistency with the SMP was identified as an issue in this proceeding, and there was substantial evidence and discussion at the hearing regarding this issue. The SMP and Comp</w:t>
      </w:r>
      <w:r w:rsidR="007642F4">
        <w:t xml:space="preserve"> Plan are both discussed below.</w:t>
      </w:r>
    </w:p>
    <w:p w14:paraId="0BE6913A" w14:textId="77777777" w:rsidR="00F66CF9" w:rsidRPr="00482206" w:rsidRDefault="00F66CF9" w:rsidP="00F66CF9">
      <w:pPr>
        <w:jc w:val="both"/>
      </w:pPr>
    </w:p>
    <w:p w14:paraId="275E1B24" w14:textId="77777777" w:rsidR="00F66CF9" w:rsidRPr="00482206" w:rsidRDefault="00F66CF9" w:rsidP="00F66CF9">
      <w:pPr>
        <w:jc w:val="both"/>
      </w:pPr>
      <w:r w:rsidRPr="00482206">
        <w:t>The Utility states in its application that, according to the SMP, all areas within a certain environmental impact score range should be converted from septic to sewer within five years, including the proposed service territory.</w:t>
      </w:r>
      <w:r w:rsidRPr="00482206">
        <w:rPr>
          <w:vertAlign w:val="superscript"/>
        </w:rPr>
        <w:footnoteReference w:id="9"/>
      </w:r>
      <w:r w:rsidRPr="00482206">
        <w:t xml:space="preserve"> (EXH 5 BSP C2-41)</w:t>
      </w:r>
      <w:r w:rsidRPr="00482206">
        <w:rPr>
          <w:color w:val="00B050"/>
        </w:rPr>
        <w:t xml:space="preserve"> </w:t>
      </w:r>
      <w:r w:rsidRPr="00482206">
        <w:t>The SMP does not indicate that the conversion of all similarly scored areas should be accomplished within five years, but the proposed service territory was included in the five-year plan.</w:t>
      </w:r>
      <w:r w:rsidRPr="00482206">
        <w:rPr>
          <w:vertAlign w:val="superscript"/>
        </w:rPr>
        <w:footnoteReference w:id="10"/>
      </w:r>
      <w:r w:rsidRPr="00482206">
        <w:t xml:space="preserve"> (EXH 5 BSP C2-144, C2-152) PIE argued that the only projects on the bridgeless barrier islands are for connecting existing private wastewater utilities to the County infrastructure, and that the Comp Plan would need to be amended to allow the proposed project to be implemented. (PIE BR 14) LC also argued that the SMP only addresses the two existing systems in its 5-Year Improvement Plan, and no other systems in its 10-Year and 15-Year Improvement Plans. (LC BR 12) However, staff notes that while the overall objectives of the SMP purport to encompass the benefits to the County at large and thus provided the scoring criteria for all areas of the County not served by central wastewater service, the specific buildout and capital improvement plans apply to the areas that the County intends to expend County funds to implement. (EXH 5, BSP C2-110, C2-134-157, C2-244-255) </w:t>
      </w:r>
      <w:r>
        <w:t xml:space="preserve">Additionally, </w:t>
      </w:r>
      <w:r w:rsidRPr="00482206">
        <w:t xml:space="preserve">LGIPA argued that the SMP has not changed since the 2020 Docket, and since the Commission concluded then that the application did not appear to be consistent with the SMP, it should make the same finding in the instant docket. (LGIPA BR 11) </w:t>
      </w:r>
      <w:r>
        <w:t>However</w:t>
      </w:r>
      <w:r w:rsidRPr="00482206">
        <w:t>, staff believes that to the extent that the proposed service territory is identified as an area that would benefit from septic-to-sewer conversion, EU’s application is consistent with the SMP.</w:t>
      </w:r>
    </w:p>
    <w:p w14:paraId="6043E8FA" w14:textId="77777777" w:rsidR="00F66CF9" w:rsidRPr="00482206" w:rsidRDefault="00F66CF9" w:rsidP="00F66CF9">
      <w:pPr>
        <w:jc w:val="both"/>
      </w:pPr>
    </w:p>
    <w:p w14:paraId="284DA1CD" w14:textId="66335C4A" w:rsidR="00F66CF9" w:rsidRDefault="00F66CF9" w:rsidP="00F66CF9">
      <w:pPr>
        <w:jc w:val="both"/>
      </w:pPr>
      <w:r w:rsidRPr="00482206">
        <w:t>PIE and LC provided several examples in their briefs of policies within the Comp Plan that they asserted were inconsistent with EU’s application. LC argued that Future Land Use (FLU) Policy 3.2.4 states that sanitary sewer services may not be extended outside the Urban Service Area with the exception of where it has been clearly demonstrated that a health problem exists for which there is no other feasible solution, and EU has not provided evidence such health problem exists. She also contends that the Barrier Island Overlay District (BIOD) language in the FLU Element Appendix I prohibits the wastewater system in the proposed service area. (LC BR 11) In its brief, PIE echoed LC’s arguments regarding FLU Policy 3.2.4. (PIE BR 8-10) PIE also argue</w:t>
      </w:r>
      <w:r>
        <w:t>d</w:t>
      </w:r>
      <w:r w:rsidRPr="00482206">
        <w:t xml:space="preserve"> that the Utility’s proposal is inconsistent with a policy for the bridgeless barrier islands due to the difficulty of transporting items to and from the islands, and incentivizes transferring development rights off the island. (PIE BR 11) PIE also cite</w:t>
      </w:r>
      <w:r>
        <w:t>d</w:t>
      </w:r>
      <w:r w:rsidRPr="00482206">
        <w:t xml:space="preserve"> Coastal</w:t>
      </w:r>
      <w:r w:rsidR="00202509">
        <w:t xml:space="preserve"> Planning</w:t>
      </w:r>
      <w:r w:rsidRPr="00482206">
        <w:t xml:space="preserve"> (CST) Policy 3.2.7 which states that the County shall not provide nor allow infrastructure and service to be provided to offshore islands, coastal swamps, marshland and beaches, as well as Water and Sewer (WSW) Policy 3.2.4 which states that the County shall discourage expansion of the service areas regulated by the Commission outside the Urban Service Area. (PIE BR 12) LGIPA argued that the Resolution did not equate </w:t>
      </w:r>
      <w:r w:rsidR="00202509">
        <w:t>to</w:t>
      </w:r>
      <w:r w:rsidRPr="00482206">
        <w:t xml:space="preserve"> consistency </w:t>
      </w:r>
      <w:r w:rsidR="00202509">
        <w:t>with</w:t>
      </w:r>
      <w:r w:rsidRPr="00482206">
        <w:t xml:space="preserve"> the Comp Plan, and EU witness Watson, who sponsored the Resolution as an exhibit, was unknowledgeable about the Comp Plan. (LGIPA BR 9-10) Additionally, LGIPA adopted PIE’s argument on the issue, and stated that the Commission’s conclusion regarding the Comp Plan’s inconsistency with the Utility’s application in the 2020 Docket should remain the Commission’s conclusion in the instant docket. (LGIPA BR 10</w:t>
      </w:r>
      <w:r>
        <w:t xml:space="preserve">; </w:t>
      </w:r>
      <w:r w:rsidRPr="00482206">
        <w:t>EXH 16, BSP C7-612-C7-61</w:t>
      </w:r>
      <w:r w:rsidR="00202509">
        <w:t>7; EXH 27, BSP C13-832-C13-834)</w:t>
      </w:r>
    </w:p>
    <w:p w14:paraId="45450D4A" w14:textId="77777777" w:rsidR="00F66CF9" w:rsidRPr="00482206" w:rsidRDefault="00F66CF9" w:rsidP="00F66CF9">
      <w:pPr>
        <w:jc w:val="both"/>
      </w:pPr>
    </w:p>
    <w:p w14:paraId="051BA53B" w14:textId="41F862F4" w:rsidR="00F66CF9" w:rsidRPr="00482206" w:rsidRDefault="00F66CF9" w:rsidP="00F66CF9">
      <w:pPr>
        <w:jc w:val="both"/>
      </w:pPr>
      <w:r w:rsidRPr="00482206">
        <w:t xml:space="preserve">Upon review, staff does not entirely agree with the Intervenors’ assessments of the applicability of the Comp Plan citations to the proposed system. First, LC’s argument that the BIOD language in the FLU Element Appendix I prohibits the wastewater system in the proposed service area. Staff notes that this element states, “The County shall not expand the scope of potable water or sanitary sewer service to the bridgeless barrier islands.” Staff does not believe that this supports LC’s position on this issue </w:t>
      </w:r>
      <w:r w:rsidR="006254B5">
        <w:t>as</w:t>
      </w:r>
      <w:r w:rsidRPr="00482206">
        <w:t xml:space="preserve"> the County is not the one that would be expanding wastewater service to the bridgeless barrier islands. Second, CST Polic</w:t>
      </w:r>
      <w:r>
        <w:t>y</w:t>
      </w:r>
      <w:r w:rsidRPr="00482206">
        <w:t xml:space="preserve"> 3.2.7 is entitled, “Infrastru</w:t>
      </w:r>
      <w:r w:rsidR="006254B5">
        <w:t>cture and Services to other than</w:t>
      </w:r>
      <w:r w:rsidRPr="00482206">
        <w:t xml:space="preserve"> the Bridgeless Barrier Islands.” This policy is applicable to “offshore” islands and specifically states that services to the Bridgeless Barrier Islands are addressed in the BIOD in the FLU </w:t>
      </w:r>
      <w:r>
        <w:t xml:space="preserve">Element </w:t>
      </w:r>
      <w:r w:rsidRPr="00482206">
        <w:t>Appendix I. As such, it is not applicable to the proposed service territory. Third, WSW Policy 3.2.4 states:</w:t>
      </w:r>
    </w:p>
    <w:p w14:paraId="109E77A4" w14:textId="77777777" w:rsidR="00F66CF9" w:rsidRPr="00482206" w:rsidRDefault="00F66CF9" w:rsidP="00F66CF9">
      <w:pPr>
        <w:jc w:val="both"/>
      </w:pPr>
    </w:p>
    <w:p w14:paraId="2A6092B1" w14:textId="77777777" w:rsidR="00F66CF9" w:rsidRPr="00482206" w:rsidRDefault="00F66CF9" w:rsidP="00F66CF9">
      <w:pPr>
        <w:ind w:left="720" w:right="720"/>
        <w:jc w:val="both"/>
      </w:pPr>
      <w:r w:rsidRPr="00482206">
        <w:t xml:space="preserve">The County shall discourage expansion of the service areas of utility companies regulated by the Florida Public Service Commission (PSC) to any areas outside of the Urban Service Area, in accordance with </w:t>
      </w:r>
      <w:r w:rsidRPr="00482206">
        <w:rPr>
          <w:b/>
          <w:bCs/>
        </w:rPr>
        <w:t xml:space="preserve">FLU Policy 3.2.5: Support Economic Viability of Agricultural Lands </w:t>
      </w:r>
      <w:r w:rsidRPr="00482206">
        <w:t>and Special Provision 1(b) of the Rural Settlement Overlay District contained in FLU Appendix I.</w:t>
      </w:r>
    </w:p>
    <w:p w14:paraId="55E8480C" w14:textId="77777777" w:rsidR="00F66CF9" w:rsidRPr="00482206" w:rsidRDefault="00F66CF9" w:rsidP="00F66CF9">
      <w:pPr>
        <w:ind w:left="720" w:right="720"/>
        <w:jc w:val="both"/>
      </w:pPr>
    </w:p>
    <w:p w14:paraId="4B20D398" w14:textId="1A6A212C" w:rsidR="00F66CF9" w:rsidRPr="00482206" w:rsidRDefault="00F66CF9" w:rsidP="00F66CF9">
      <w:pPr>
        <w:jc w:val="both"/>
      </w:pPr>
      <w:r w:rsidRPr="00482206">
        <w:t>(EXH 53, BSP E743)</w:t>
      </w:r>
      <w:r w:rsidR="006254B5" w:rsidRPr="006254B5">
        <w:t xml:space="preserve"> </w:t>
      </w:r>
      <w:r w:rsidR="006254B5">
        <w:t>(</w:t>
      </w:r>
      <w:proofErr w:type="gramStart"/>
      <w:r w:rsidR="006254B5">
        <w:t>emphasis</w:t>
      </w:r>
      <w:proofErr w:type="gramEnd"/>
      <w:r w:rsidR="006254B5">
        <w:t xml:space="preserve"> in original)</w:t>
      </w:r>
    </w:p>
    <w:p w14:paraId="456242E3" w14:textId="77777777" w:rsidR="00F66CF9" w:rsidRPr="00482206" w:rsidRDefault="00F66CF9" w:rsidP="00F66CF9">
      <w:pPr>
        <w:jc w:val="both"/>
      </w:pPr>
    </w:p>
    <w:p w14:paraId="65ACE20B" w14:textId="77777777" w:rsidR="00F66CF9" w:rsidRPr="00482206" w:rsidRDefault="00F66CF9" w:rsidP="00F66CF9">
      <w:pPr>
        <w:jc w:val="both"/>
      </w:pPr>
      <w:r w:rsidRPr="00482206">
        <w:t xml:space="preserve">Staff notes that this policy specifically restricts expansion of service areas of utilities regulated by the Commission outside of the Urban Service Area to “agricultural” lands (FLU Policy 3.2.5), which the proposed service territory is not, and to the Rural Settlement Overlay District, which is a special district located on the eastern edge of the County. Finally, PIE witness </w:t>
      </w:r>
      <w:proofErr w:type="spellStart"/>
      <w:r w:rsidRPr="00482206">
        <w:t>Hardgrove</w:t>
      </w:r>
      <w:proofErr w:type="spellEnd"/>
      <w:r w:rsidRPr="00482206">
        <w:t xml:space="preserve"> testified that</w:t>
      </w:r>
      <w:r>
        <w:t xml:space="preserve"> </w:t>
      </w:r>
      <w:r w:rsidRPr="00482206">
        <w:t>FLU Policy 3.2.4, cited in both LC’s and PIE’s briefs, was the most significant one. (TR 160) This policy provides:</w:t>
      </w:r>
    </w:p>
    <w:p w14:paraId="3468A932" w14:textId="77777777" w:rsidR="00F66CF9" w:rsidRPr="00482206" w:rsidRDefault="00F66CF9" w:rsidP="00F66CF9">
      <w:pPr>
        <w:jc w:val="both"/>
      </w:pPr>
    </w:p>
    <w:p w14:paraId="2E2FBDE7" w14:textId="77777777" w:rsidR="00F66CF9" w:rsidRPr="00482206" w:rsidRDefault="00F66CF9" w:rsidP="00F66CF9">
      <w:pPr>
        <w:ind w:left="720" w:right="720"/>
        <w:jc w:val="both"/>
      </w:pPr>
      <w:r w:rsidRPr="00482206">
        <w:t>FLU Policy 3.2.4: Limitation on the Extension of Urban Infrastructure</w:t>
      </w:r>
    </w:p>
    <w:p w14:paraId="78951F7B" w14:textId="77777777" w:rsidR="00F66CF9" w:rsidRPr="00482206" w:rsidRDefault="00F66CF9" w:rsidP="00F66CF9">
      <w:pPr>
        <w:ind w:left="720" w:right="720"/>
        <w:jc w:val="both"/>
      </w:pPr>
      <w:r w:rsidRPr="00482206">
        <w:t xml:space="preserve">Infrastructure such as water and sewer utilities and </w:t>
      </w:r>
      <w:proofErr w:type="spellStart"/>
      <w:r w:rsidRPr="00482206">
        <w:t>stormwater</w:t>
      </w:r>
      <w:proofErr w:type="spellEnd"/>
      <w:r w:rsidRPr="00482206">
        <w:t xml:space="preserve"> facilities within the Rural Service Area shall reflect a rural level of service and shall not be modified to the point that it allows for urban development. The County shall prohibit the provision of water and sewer infrastructure within the Rural Service Area</w:t>
      </w:r>
      <w:r w:rsidRPr="00482206">
        <w:rPr>
          <w:vertAlign w:val="superscript"/>
        </w:rPr>
        <w:footnoteReference w:id="11"/>
      </w:r>
      <w:r w:rsidRPr="00482206">
        <w:t xml:space="preserve"> . . . .</w:t>
      </w:r>
    </w:p>
    <w:p w14:paraId="0BE5A65A" w14:textId="77777777" w:rsidR="00F66CF9" w:rsidRPr="00482206" w:rsidRDefault="00F66CF9" w:rsidP="00F66CF9">
      <w:pPr>
        <w:ind w:left="720"/>
        <w:jc w:val="both"/>
      </w:pPr>
    </w:p>
    <w:p w14:paraId="042B7722" w14:textId="27810A60" w:rsidR="00F66CF9" w:rsidRPr="00482206" w:rsidRDefault="006254B5" w:rsidP="00F66CF9">
      <w:pPr>
        <w:jc w:val="both"/>
        <w:rPr>
          <w:b/>
          <w:u w:val="single"/>
        </w:rPr>
      </w:pPr>
      <w:r w:rsidRPr="00482206">
        <w:t xml:space="preserve">Of all the Comp Plan inconsistencies argued by the Intervenors, staff believes that this policy is the only one with which the Utility’s application </w:t>
      </w:r>
      <w:r>
        <w:t>is</w:t>
      </w:r>
      <w:r w:rsidRPr="00482206">
        <w:t xml:space="preserve"> inconsistent.</w:t>
      </w:r>
      <w:r>
        <w:t xml:space="preserve"> </w:t>
      </w:r>
      <w:r w:rsidRPr="00482206">
        <w:t>In the 2020 Docket, the Commission addressed the concerns expressed by the parties regarding the Comp Plan in the issue on the need for service. The Commission found that EU’s application appeared to be inconsistent with the Comp Plan, and no change has been made to the relevant portion of the Comp Plan since that time.</w:t>
      </w:r>
      <w:r w:rsidRPr="00482206">
        <w:rPr>
          <w:vertAlign w:val="superscript"/>
        </w:rPr>
        <w:footnoteReference w:id="12"/>
      </w:r>
      <w:r w:rsidRPr="00482206">
        <w:t xml:space="preserve"> However, in its Resolution, the Charlotte County BOCC stated its position that granting the Utility’s application to provide wastewater service in the proposed service territory is consistent with </w:t>
      </w:r>
      <w:r>
        <w:t>both</w:t>
      </w:r>
      <w:r w:rsidRPr="00482206">
        <w:t xml:space="preserve"> the Comp Plan </w:t>
      </w:r>
      <w:r>
        <w:t>and</w:t>
      </w:r>
      <w:r w:rsidRPr="00482206">
        <w:t xml:space="preserve"> the SMP</w:t>
      </w:r>
      <w:r w:rsidR="00F66CF9" w:rsidRPr="00482206">
        <w:t xml:space="preserve">. (EXH 14) </w:t>
      </w:r>
      <w:r w:rsidR="00F66CF9" w:rsidRPr="004E4C46">
        <w:t>LGIPA and PIE argued in their briefs that the statements in the Resolution did not constitute consistency with the Comp Plan because it lacked factual support, was voted on as a consent agenda item with no discussion, and an email suggests that EU’s attorney was the author of the Resolution (LGIPA BR 9-10; PIE BR 10-11; EXH 79)</w:t>
      </w:r>
      <w:r w:rsidR="00F66CF9">
        <w:t xml:space="preserve"> </w:t>
      </w:r>
      <w:r w:rsidR="00F66CF9" w:rsidRPr="00482206">
        <w:t>Despite the Resolution, the language of the Comp Plan cannot be read in any way so as to be consistent with the system proposed in this docket. As noted above, however, the Commission is not bound by a county’s comprehensive plan.</w:t>
      </w:r>
    </w:p>
    <w:p w14:paraId="1285FBD1" w14:textId="77777777" w:rsidR="00F66CF9" w:rsidRPr="00482206" w:rsidRDefault="00F66CF9" w:rsidP="00F66CF9">
      <w:pPr>
        <w:jc w:val="both"/>
        <w:rPr>
          <w:b/>
          <w:u w:val="single"/>
        </w:rPr>
      </w:pPr>
    </w:p>
    <w:p w14:paraId="391A37B3" w14:textId="77777777" w:rsidR="00F66CF9" w:rsidRPr="00482206" w:rsidRDefault="00F66CF9" w:rsidP="00F66CF9">
      <w:pPr>
        <w:jc w:val="center"/>
        <w:rPr>
          <w:rFonts w:ascii="Arial" w:hAnsi="Arial" w:cs="Arial"/>
        </w:rPr>
      </w:pPr>
      <w:r w:rsidRPr="00482206">
        <w:rPr>
          <w:rFonts w:ascii="Arial" w:hAnsi="Arial" w:cs="Arial"/>
          <w:b/>
        </w:rPr>
        <w:t>CONCLUSION</w:t>
      </w:r>
    </w:p>
    <w:p w14:paraId="3DD79F66" w14:textId="77777777" w:rsidR="00F66CF9" w:rsidRPr="00482206" w:rsidRDefault="00F66CF9" w:rsidP="00F66CF9">
      <w:pPr>
        <w:jc w:val="both"/>
      </w:pPr>
    </w:p>
    <w:p w14:paraId="2C250690" w14:textId="01D8307F" w:rsidR="0048338D" w:rsidRDefault="00601AF8" w:rsidP="00F66CF9">
      <w:pPr>
        <w:pStyle w:val="BodyText"/>
      </w:pPr>
      <w:r>
        <w:t xml:space="preserve">Staff recommends that </w:t>
      </w:r>
      <w:r w:rsidR="00F66CF9" w:rsidRPr="00482206">
        <w:t>EU’s application is inconsistent with the County’s Comp Plan, but not with the SMP. However, the County Resolution expresses support for the Utility’s application for a wastewater certificate for the proposed service territory, and while the Commission must consider Charlotte County’s Comp Plan, it is not required to defer to it</w:t>
      </w:r>
      <w:r w:rsidR="005C53E6">
        <w:t>.</w:t>
      </w:r>
    </w:p>
    <w:p w14:paraId="23798D8B" w14:textId="77777777" w:rsidR="0048338D" w:rsidRDefault="0048338D">
      <w:pPr>
        <w:pStyle w:val="IssueHeading"/>
        <w:rPr>
          <w:vanish/>
          <w:specVanish/>
        </w:rPr>
      </w:pPr>
      <w:r w:rsidRPr="004C3641">
        <w:rPr>
          <w:b w:val="0"/>
          <w:i w:val="0"/>
        </w:rPr>
        <w:br w:type="page"/>
      </w:r>
      <w:r w:rsidRPr="004C3641">
        <w:t xml:space="preserve">Issue </w:t>
      </w:r>
      <w:fldSimple w:instr=" SEQ Issue \* MERGEFORMAT ">
        <w:r>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 \l 1 </w:instrText>
      </w:r>
      <w:r>
        <w:fldChar w:fldCharType="end"/>
      </w:r>
      <w:r>
        <w:t> </w:t>
      </w:r>
    </w:p>
    <w:p w14:paraId="0937CF10" w14:textId="77777777" w:rsidR="0048338D" w:rsidRDefault="0048338D">
      <w:pPr>
        <w:pStyle w:val="BodyText"/>
      </w:pPr>
      <w:r>
        <w:t> Will the certification of Environmental Utilities, LLC result in the creation of a utility which will be in competition with or duplication of any other system?</w:t>
      </w:r>
    </w:p>
    <w:p w14:paraId="3D0F49D1" w14:textId="77777777" w:rsidR="0048338D" w:rsidRPr="004C3641" w:rsidRDefault="0048338D">
      <w:pPr>
        <w:pStyle w:val="IssueSubsectionHeading"/>
        <w:rPr>
          <w:vanish/>
          <w:specVanish/>
        </w:rPr>
      </w:pPr>
      <w:r w:rsidRPr="004C3641">
        <w:t>Recommendation: </w:t>
      </w:r>
    </w:p>
    <w:p w14:paraId="0E8FA8D3" w14:textId="77777777" w:rsidR="0048338D" w:rsidRDefault="0048338D">
      <w:pPr>
        <w:pStyle w:val="BodyText"/>
      </w:pPr>
      <w:r>
        <w:t> </w:t>
      </w:r>
      <w:r w:rsidR="007A1D00">
        <w:t>No. There are no other wastewater service providers in or near the area who are willing or able to provide wastewater service to the proposed service territory. (M. Watts)</w:t>
      </w:r>
      <w:r>
        <w:t xml:space="preserve"> </w:t>
      </w:r>
    </w:p>
    <w:p w14:paraId="384C6E96" w14:textId="77777777" w:rsidR="00B91104" w:rsidRDefault="00B91104" w:rsidP="00B91104">
      <w:pPr>
        <w:pStyle w:val="BodyText"/>
        <w:rPr>
          <w:rFonts w:ascii="Arial" w:hAnsi="Arial" w:cs="Arial"/>
          <w:b/>
          <w:i/>
        </w:rPr>
      </w:pPr>
      <w:r>
        <w:rPr>
          <w:rFonts w:ascii="Arial" w:hAnsi="Arial" w:cs="Arial"/>
          <w:b/>
          <w:i/>
        </w:rPr>
        <w:t>Position of the Parties:</w:t>
      </w:r>
    </w:p>
    <w:p w14:paraId="673B325A" w14:textId="77777777" w:rsidR="00D43E83" w:rsidRPr="00B91104" w:rsidRDefault="00D43E83" w:rsidP="00D43E83">
      <w:pPr>
        <w:pStyle w:val="BodyText"/>
        <w:tabs>
          <w:tab w:val="left" w:pos="1080"/>
        </w:tabs>
      </w:pPr>
      <w:r>
        <w:rPr>
          <w:rFonts w:ascii="Arial" w:hAnsi="Arial" w:cs="Arial"/>
          <w:b/>
          <w:i/>
        </w:rPr>
        <w:t>LC:</w:t>
      </w:r>
      <w:r w:rsidRPr="00B91104">
        <w:rPr>
          <w:rFonts w:ascii="Arial" w:hAnsi="Arial" w:cs="Arial"/>
        </w:rPr>
        <w:tab/>
      </w:r>
      <w:r>
        <w:t>Yes.</w:t>
      </w:r>
    </w:p>
    <w:p w14:paraId="650799EF" w14:textId="58A2C3CC" w:rsidR="00D43E83" w:rsidRPr="00B91104" w:rsidRDefault="00D43E83" w:rsidP="00D43E83">
      <w:pPr>
        <w:pStyle w:val="BodyText"/>
        <w:tabs>
          <w:tab w:val="left" w:pos="1080"/>
        </w:tabs>
      </w:pPr>
      <w:r>
        <w:rPr>
          <w:rFonts w:ascii="Arial" w:hAnsi="Arial" w:cs="Arial"/>
          <w:b/>
          <w:i/>
        </w:rPr>
        <w:t>LGIPA:</w:t>
      </w:r>
      <w:r w:rsidRPr="00B91104">
        <w:rPr>
          <w:rFonts w:ascii="Arial" w:hAnsi="Arial" w:cs="Arial"/>
        </w:rPr>
        <w:tab/>
      </w:r>
      <w:r w:rsidR="006254B5">
        <w:t>LGIPA adopts the position of PIE and LC</w:t>
      </w:r>
      <w:r w:rsidR="007B7D73">
        <w:t>.</w:t>
      </w:r>
    </w:p>
    <w:p w14:paraId="6FA94D99" w14:textId="77777777" w:rsidR="00D43E83" w:rsidRPr="00B91104" w:rsidRDefault="00D43E83" w:rsidP="00D43E83">
      <w:pPr>
        <w:pStyle w:val="BodyText"/>
        <w:tabs>
          <w:tab w:val="left" w:pos="1080"/>
        </w:tabs>
      </w:pPr>
      <w:r>
        <w:rPr>
          <w:rFonts w:ascii="Arial" w:hAnsi="Arial" w:cs="Arial"/>
          <w:b/>
          <w:i/>
        </w:rPr>
        <w:t>PIE:</w:t>
      </w:r>
      <w:r w:rsidRPr="00B91104">
        <w:rPr>
          <w:rFonts w:ascii="Arial" w:hAnsi="Arial" w:cs="Arial"/>
        </w:rPr>
        <w:tab/>
      </w:r>
      <w:r>
        <w:t xml:space="preserve">PIE specifically adopts the position taken by Linda B. </w:t>
      </w:r>
      <w:proofErr w:type="spellStart"/>
      <w:r>
        <w:t>Cotherman</w:t>
      </w:r>
      <w:proofErr w:type="spellEnd"/>
      <w:r>
        <w:t xml:space="preserve"> regarding this topic</w:t>
      </w:r>
    </w:p>
    <w:p w14:paraId="4D12D660" w14:textId="77777777" w:rsidR="00D43E83" w:rsidRPr="00B91104" w:rsidRDefault="00D43E83" w:rsidP="00D43E83">
      <w:pPr>
        <w:pStyle w:val="BodyText"/>
        <w:tabs>
          <w:tab w:val="left" w:pos="1080"/>
          <w:tab w:val="left" w:pos="2430"/>
        </w:tabs>
      </w:pPr>
      <w:r>
        <w:rPr>
          <w:rFonts w:ascii="Arial" w:hAnsi="Arial" w:cs="Arial"/>
          <w:b/>
          <w:i/>
        </w:rPr>
        <w:t>EU:</w:t>
      </w:r>
      <w:r>
        <w:rPr>
          <w:rFonts w:ascii="Arial" w:hAnsi="Arial" w:cs="Arial"/>
        </w:rPr>
        <w:tab/>
      </w:r>
      <w:r w:rsidRPr="00A04277">
        <w:t>No.</w:t>
      </w:r>
    </w:p>
    <w:p w14:paraId="66B6FB03" w14:textId="77777777" w:rsidR="0048338D" w:rsidRPr="004C3641" w:rsidRDefault="0048338D">
      <w:pPr>
        <w:pStyle w:val="IssueSubsectionHeading"/>
        <w:rPr>
          <w:vanish/>
          <w:specVanish/>
        </w:rPr>
      </w:pPr>
      <w:r w:rsidRPr="004C3641">
        <w:t>Staff Analysis: </w:t>
      </w:r>
    </w:p>
    <w:p w14:paraId="14C88FA3" w14:textId="77777777" w:rsidR="007A1D00" w:rsidRDefault="0048338D" w:rsidP="007A1D00">
      <w:pPr>
        <w:jc w:val="both"/>
      </w:pPr>
      <w:r>
        <w:t> </w:t>
      </w:r>
    </w:p>
    <w:p w14:paraId="6D3B291E" w14:textId="77777777" w:rsidR="008F6E98" w:rsidRPr="00781A41" w:rsidRDefault="008F6E98" w:rsidP="007A1D00">
      <w:pPr>
        <w:jc w:val="both"/>
        <w:rPr>
          <w:rFonts w:ascii="Arial" w:hAnsi="Arial" w:cs="Arial"/>
          <w:b/>
          <w:bCs/>
          <w:i/>
          <w:iCs/>
          <w:vanish/>
        </w:rPr>
      </w:pPr>
    </w:p>
    <w:p w14:paraId="11A559FD" w14:textId="77777777" w:rsidR="007A1D00" w:rsidRPr="00FA56D3" w:rsidRDefault="007A1D00" w:rsidP="007A1D00">
      <w:pPr>
        <w:jc w:val="center"/>
        <w:rPr>
          <w:rFonts w:ascii="Arial" w:hAnsi="Arial" w:cs="Arial"/>
        </w:rPr>
      </w:pPr>
      <w:r w:rsidRPr="00FA56D3">
        <w:rPr>
          <w:rFonts w:ascii="Arial" w:hAnsi="Arial" w:cs="Arial"/>
          <w:b/>
        </w:rPr>
        <w:t>ANALYSIS</w:t>
      </w:r>
    </w:p>
    <w:p w14:paraId="0F79FC94" w14:textId="77777777" w:rsidR="007A1D00" w:rsidRDefault="007A1D00" w:rsidP="007A1D00">
      <w:pPr>
        <w:jc w:val="both"/>
      </w:pPr>
    </w:p>
    <w:p w14:paraId="55DB800C" w14:textId="33267599" w:rsidR="007A1D00" w:rsidRPr="00A359FA" w:rsidRDefault="007A1D00" w:rsidP="007A1D00">
      <w:pPr>
        <w:jc w:val="both"/>
      </w:pPr>
      <w:r w:rsidRPr="00A359FA">
        <w:t>Pursuant to Section 367.045(5</w:t>
      </w:r>
      <w:proofErr w:type="gramStart"/>
      <w:r w:rsidRPr="00A359FA">
        <w:t>)(</w:t>
      </w:r>
      <w:proofErr w:type="gramEnd"/>
      <w:r w:rsidRPr="00A359FA">
        <w:t xml:space="preserve">a), F.S., the Commission may not grant a certificate of authorization for a proposed system that will be in competition with, or duplication of, any other system or portion of a system, unless it first determines that such other system or portion thereof is inadequate to meet the reasonable needs of the public or that the person operating the system is unable, refuses, or neglects to provide reasonably adequate service. Section 367.021(11), F.S., defines “system” as facilities and land used </w:t>
      </w:r>
      <w:r w:rsidR="00394DF1">
        <w:t>or useful in providing service.</w:t>
      </w:r>
    </w:p>
    <w:p w14:paraId="60CC34BC" w14:textId="77777777" w:rsidR="007A1D00" w:rsidRPr="008A45EB" w:rsidRDefault="007A1D00" w:rsidP="007A1D00">
      <w:pPr>
        <w:jc w:val="both"/>
      </w:pPr>
    </w:p>
    <w:p w14:paraId="0B67510E" w14:textId="55ED5AE5" w:rsidR="00E61A85" w:rsidRDefault="007A1D00" w:rsidP="007A1D00">
      <w:pPr>
        <w:jc w:val="both"/>
      </w:pPr>
      <w:r w:rsidRPr="008A45EB">
        <w:t xml:space="preserve">LC attested that the proposed service territory is in Charlotte County Utilities’ </w:t>
      </w:r>
      <w:r>
        <w:t xml:space="preserve">(CCU) </w:t>
      </w:r>
      <w:r w:rsidRPr="008A45EB">
        <w:t>certificated service area. She also stated that the north end of Knight Island is already being served by Knight Island Utilities. (</w:t>
      </w:r>
      <w:r>
        <w:t xml:space="preserve">LC </w:t>
      </w:r>
      <w:r w:rsidRPr="008A45EB">
        <w:t xml:space="preserve">BR </w:t>
      </w:r>
      <w:r>
        <w:t>13</w:t>
      </w:r>
      <w:r w:rsidRPr="008A45EB">
        <w:t xml:space="preserve">) </w:t>
      </w:r>
      <w:r>
        <w:t xml:space="preserve">PIE </w:t>
      </w:r>
      <w:r w:rsidR="00E61A85">
        <w:t xml:space="preserve">stated in its brief that it </w:t>
      </w:r>
      <w:r>
        <w:t>adopted LC’s position on this issue</w:t>
      </w:r>
      <w:r w:rsidR="00E61A85">
        <w:t>, but provided no further argument</w:t>
      </w:r>
      <w:r w:rsidRPr="008A45EB">
        <w:t xml:space="preserve">. </w:t>
      </w:r>
      <w:r>
        <w:t>(PIE BR 15)</w:t>
      </w:r>
      <w:r w:rsidR="00601AF8">
        <w:t xml:space="preserve"> LGIPA adopted the positions of PIE and LC, but provided no further argument on this issue.</w:t>
      </w:r>
      <w:r>
        <w:t xml:space="preserve"> </w:t>
      </w:r>
      <w:r w:rsidR="00E61A85">
        <w:t>In its brief, EU argued</w:t>
      </w:r>
      <w:r w:rsidR="00E61A85" w:rsidRPr="00E61A85">
        <w:t xml:space="preserve"> that there is no competition with another system in the area for which the certificate is requested, as the area is currently served by individual septic systems. (EU BR 10) Further, Charlotte County’s Comp Plan does not allow the County to serve the area, and the County has evidenced its intention to allow EU to serve the area by executing the Bulk Sewer Treatment Agreement. (EU BR 10)</w:t>
      </w:r>
    </w:p>
    <w:p w14:paraId="0BBCB98A" w14:textId="77777777" w:rsidR="00E61A85" w:rsidRDefault="00E61A85" w:rsidP="007A1D00">
      <w:pPr>
        <w:jc w:val="both"/>
      </w:pPr>
    </w:p>
    <w:p w14:paraId="150FEB1D" w14:textId="3EE0F143" w:rsidR="007A1D00" w:rsidRPr="00781A41" w:rsidRDefault="00E61A85" w:rsidP="007A1D00">
      <w:pPr>
        <w:jc w:val="both"/>
        <w:rPr>
          <w:b/>
          <w:u w:val="single"/>
        </w:rPr>
      </w:pPr>
      <w:r>
        <w:t>I</w:t>
      </w:r>
      <w:r w:rsidR="007A1D00" w:rsidRPr="008A45EB">
        <w:t xml:space="preserve">n its application, the Utility provided a letter from Knight Island Utilities that </w:t>
      </w:r>
      <w:r w:rsidR="007A1D00">
        <w:t>affirmed it did not object to the Utility serving the proposed service territory.</w:t>
      </w:r>
      <w:r w:rsidR="007A1D00" w:rsidRPr="008A45EB">
        <w:t xml:space="preserve"> (EXH 5, BSP C2-458)</w:t>
      </w:r>
      <w:r w:rsidR="007A1D00" w:rsidRPr="00A359FA">
        <w:rPr>
          <w:color w:val="00B050"/>
        </w:rPr>
        <w:t xml:space="preserve"> </w:t>
      </w:r>
      <w:r w:rsidR="007A1D00">
        <w:t>S</w:t>
      </w:r>
      <w:r w:rsidR="007A1D00" w:rsidRPr="00167AE3">
        <w:t xml:space="preserve">ince </w:t>
      </w:r>
      <w:r w:rsidR="007A1D00">
        <w:t xml:space="preserve">CCU has no facilities near the proposed service territory, and </w:t>
      </w:r>
      <w:r w:rsidR="007A1D00" w:rsidRPr="00167AE3">
        <w:t>Knight Island</w:t>
      </w:r>
      <w:r w:rsidR="007A1D00">
        <w:t>’s</w:t>
      </w:r>
      <w:r w:rsidR="007A1D00" w:rsidRPr="00167AE3">
        <w:t xml:space="preserve"> </w:t>
      </w:r>
      <w:r w:rsidR="007A1D00">
        <w:t>letter</w:t>
      </w:r>
      <w:r w:rsidR="007A1D00" w:rsidRPr="00167AE3">
        <w:t xml:space="preserve"> </w:t>
      </w:r>
      <w:r w:rsidR="007A1D00">
        <w:t>indicates that it is not interested in extending service to the proposed service territ</w:t>
      </w:r>
      <w:r w:rsidR="007A1D00" w:rsidRPr="0046300F">
        <w:t>ory, the certification of EU would not result in the creation of a utility which will be in competition with, or duplication of, another system.</w:t>
      </w:r>
    </w:p>
    <w:p w14:paraId="1EBB70B5" w14:textId="19F79A29" w:rsidR="007A1D00" w:rsidRDefault="007A1D00" w:rsidP="007A1D00">
      <w:pPr>
        <w:jc w:val="both"/>
        <w:rPr>
          <w:b/>
          <w:u w:val="single"/>
        </w:rPr>
      </w:pPr>
    </w:p>
    <w:p w14:paraId="4AE1DE73" w14:textId="065BEB2C" w:rsidR="001162D7" w:rsidRDefault="001162D7" w:rsidP="007A1D00">
      <w:pPr>
        <w:jc w:val="both"/>
        <w:rPr>
          <w:b/>
          <w:u w:val="single"/>
        </w:rPr>
      </w:pPr>
    </w:p>
    <w:p w14:paraId="0F59B2B5" w14:textId="1B1E1BD1" w:rsidR="001162D7" w:rsidRDefault="001162D7" w:rsidP="007A1D00">
      <w:pPr>
        <w:jc w:val="both"/>
        <w:rPr>
          <w:b/>
          <w:u w:val="single"/>
        </w:rPr>
      </w:pPr>
    </w:p>
    <w:p w14:paraId="6D1DD06E" w14:textId="4DAD020A" w:rsidR="001162D7" w:rsidRDefault="001162D7" w:rsidP="007A1D00">
      <w:pPr>
        <w:jc w:val="both"/>
        <w:rPr>
          <w:b/>
          <w:u w:val="single"/>
        </w:rPr>
      </w:pPr>
    </w:p>
    <w:p w14:paraId="17DF99F0" w14:textId="77777777" w:rsidR="007A1D00" w:rsidRPr="00FA56D3" w:rsidRDefault="007A1D00" w:rsidP="007A1D00">
      <w:pPr>
        <w:jc w:val="center"/>
        <w:rPr>
          <w:rFonts w:ascii="Arial" w:hAnsi="Arial" w:cs="Arial"/>
        </w:rPr>
      </w:pPr>
      <w:r w:rsidRPr="00FA56D3">
        <w:rPr>
          <w:rFonts w:ascii="Arial" w:hAnsi="Arial" w:cs="Arial"/>
          <w:b/>
        </w:rPr>
        <w:t>CONCLUSION</w:t>
      </w:r>
    </w:p>
    <w:p w14:paraId="782138EB" w14:textId="77777777" w:rsidR="007A1D00" w:rsidRPr="00781A41" w:rsidRDefault="007A1D00" w:rsidP="007A1D00">
      <w:pPr>
        <w:jc w:val="both"/>
      </w:pPr>
    </w:p>
    <w:p w14:paraId="2D917A12" w14:textId="35C2EFEB" w:rsidR="0048338D" w:rsidRDefault="00FC7614" w:rsidP="007A1D00">
      <w:pPr>
        <w:pStyle w:val="BodyText"/>
      </w:pPr>
      <w:r>
        <w:t>Staff believes EU has met the requirements of the Statute, demonstrating</w:t>
      </w:r>
      <w:r w:rsidR="007A1D00" w:rsidRPr="0046300F">
        <w:t xml:space="preserve"> that there are no other wastewater service providers in or near the area who are willing or able to provide wastewater service to the proposed service territory</w:t>
      </w:r>
      <w:r w:rsidR="007A1D00">
        <w:t>.</w:t>
      </w:r>
      <w:r w:rsidR="00A53D58">
        <w:t xml:space="preserve"> Therefore, the certification of EU will not result in the creation of a utility which will be in competition with or duplication of any other system.</w:t>
      </w:r>
    </w:p>
    <w:p w14:paraId="4104D131" w14:textId="77777777" w:rsidR="0048338D" w:rsidRDefault="0048338D">
      <w:pPr>
        <w:pStyle w:val="IssueHeading"/>
        <w:rPr>
          <w:vanish/>
          <w:specVanish/>
        </w:rPr>
      </w:pPr>
      <w:r w:rsidRPr="004C3641">
        <w:rPr>
          <w:b w:val="0"/>
          <w:i w:val="0"/>
        </w:rPr>
        <w:br w:type="page"/>
      </w:r>
      <w:r w:rsidRPr="004C3641">
        <w:t xml:space="preserve">Issue </w:t>
      </w:r>
      <w:fldSimple w:instr=" SEQ Issue \* MERGEFORMAT ">
        <w:r>
          <w:rPr>
            <w:noProof/>
          </w:rPr>
          <w:t>5</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5</w:instrText>
      </w:r>
      <w:r>
        <w:fldChar w:fldCharType="end"/>
      </w:r>
      <w:r>
        <w:tab/>
        <w:instrText xml:space="preserve">" \l 1 </w:instrText>
      </w:r>
      <w:r>
        <w:fldChar w:fldCharType="end"/>
      </w:r>
      <w:r>
        <w:t> </w:t>
      </w:r>
    </w:p>
    <w:p w14:paraId="70DA17AB" w14:textId="77777777" w:rsidR="0048338D" w:rsidRDefault="0048338D">
      <w:pPr>
        <w:pStyle w:val="BodyText"/>
      </w:pPr>
      <w:r>
        <w:t> Does Environmental Utilities, LLC have the financial ability to serve the requested territory?</w:t>
      </w:r>
    </w:p>
    <w:p w14:paraId="79CAF746" w14:textId="77777777" w:rsidR="0048338D" w:rsidRPr="004C3641" w:rsidRDefault="0048338D">
      <w:pPr>
        <w:pStyle w:val="IssueSubsectionHeading"/>
        <w:rPr>
          <w:vanish/>
          <w:specVanish/>
        </w:rPr>
      </w:pPr>
      <w:r w:rsidRPr="004C3641">
        <w:t>Recommendation: </w:t>
      </w:r>
    </w:p>
    <w:p w14:paraId="7A7D37E1" w14:textId="77777777" w:rsidR="0048338D" w:rsidRDefault="0048338D">
      <w:pPr>
        <w:pStyle w:val="BodyText"/>
      </w:pPr>
      <w:r>
        <w:t> </w:t>
      </w:r>
      <w:r w:rsidR="008F6E98">
        <w:t>Yes, the Utility has the financial ability to serve the requested territory. (Przygocki)</w:t>
      </w:r>
      <w:r>
        <w:t xml:space="preserve"> </w:t>
      </w:r>
    </w:p>
    <w:p w14:paraId="30D5B1E5" w14:textId="77777777" w:rsidR="00B91104" w:rsidRDefault="00B91104" w:rsidP="00B91104">
      <w:pPr>
        <w:pStyle w:val="BodyText"/>
        <w:rPr>
          <w:rFonts w:ascii="Arial" w:hAnsi="Arial" w:cs="Arial"/>
          <w:b/>
          <w:i/>
        </w:rPr>
      </w:pPr>
      <w:r>
        <w:rPr>
          <w:rFonts w:ascii="Arial" w:hAnsi="Arial" w:cs="Arial"/>
          <w:b/>
          <w:i/>
        </w:rPr>
        <w:t>Position of the Parties:</w:t>
      </w:r>
    </w:p>
    <w:p w14:paraId="11165B1C" w14:textId="77777777" w:rsidR="00D43E83" w:rsidRPr="00B91104" w:rsidRDefault="00D43E83" w:rsidP="00D43E83">
      <w:pPr>
        <w:pStyle w:val="BodyText"/>
        <w:tabs>
          <w:tab w:val="left" w:pos="1080"/>
        </w:tabs>
      </w:pPr>
      <w:r>
        <w:rPr>
          <w:rFonts w:ascii="Arial" w:hAnsi="Arial" w:cs="Arial"/>
          <w:b/>
          <w:i/>
        </w:rPr>
        <w:t>LC:</w:t>
      </w:r>
      <w:r w:rsidRPr="00B91104">
        <w:rPr>
          <w:rFonts w:ascii="Arial" w:hAnsi="Arial" w:cs="Arial"/>
        </w:rPr>
        <w:tab/>
      </w:r>
      <w:r>
        <w:t>No.</w:t>
      </w:r>
    </w:p>
    <w:p w14:paraId="21B20E80" w14:textId="77777777" w:rsidR="00D43E83" w:rsidRPr="00B91104" w:rsidRDefault="00D43E83" w:rsidP="00D43E83">
      <w:pPr>
        <w:pStyle w:val="BodyText"/>
        <w:tabs>
          <w:tab w:val="left" w:pos="1080"/>
        </w:tabs>
      </w:pPr>
      <w:r>
        <w:rPr>
          <w:rFonts w:ascii="Arial" w:hAnsi="Arial" w:cs="Arial"/>
          <w:b/>
          <w:i/>
        </w:rPr>
        <w:t>LGIPA:</w:t>
      </w:r>
      <w:r w:rsidRPr="00B91104">
        <w:rPr>
          <w:rFonts w:ascii="Arial" w:hAnsi="Arial" w:cs="Arial"/>
        </w:rPr>
        <w:tab/>
      </w:r>
      <w:r>
        <w:t xml:space="preserve">No, </w:t>
      </w:r>
      <w:r w:rsidRPr="003E2A7B">
        <w:t>EU has not demonstrated the financial ability to serve the requested territory. EU’s proposed system and cost analysis, both in the original application and modified by rebuttal testimony, significantly underestimate the cost of the proposed system. Therefore, EU has not demonstrated the financial ability to construct the proposed system and serve the requested territory.</w:t>
      </w:r>
    </w:p>
    <w:p w14:paraId="46E3095C" w14:textId="3703C3B7" w:rsidR="00D43E83" w:rsidRPr="00B91104" w:rsidRDefault="00D43E83" w:rsidP="00D43E83">
      <w:pPr>
        <w:pStyle w:val="BodyText"/>
        <w:tabs>
          <w:tab w:val="left" w:pos="1080"/>
        </w:tabs>
      </w:pPr>
      <w:r>
        <w:rPr>
          <w:rFonts w:ascii="Arial" w:hAnsi="Arial" w:cs="Arial"/>
          <w:b/>
          <w:i/>
        </w:rPr>
        <w:t>PIE:</w:t>
      </w:r>
      <w:r w:rsidRPr="00B91104">
        <w:rPr>
          <w:rFonts w:ascii="Arial" w:hAnsi="Arial" w:cs="Arial"/>
        </w:rPr>
        <w:tab/>
      </w:r>
      <w:r>
        <w:t xml:space="preserve">PIE specifically adopts the position taken by </w:t>
      </w:r>
      <w:r w:rsidR="00913EC8">
        <w:t>LGIPA</w:t>
      </w:r>
      <w:r>
        <w:t xml:space="preserve"> and Linda B. </w:t>
      </w:r>
      <w:proofErr w:type="spellStart"/>
      <w:r>
        <w:t>Cotherman</w:t>
      </w:r>
      <w:proofErr w:type="spellEnd"/>
      <w:r>
        <w:t xml:space="preserve"> regarding this topic</w:t>
      </w:r>
    </w:p>
    <w:p w14:paraId="0EEAE57E" w14:textId="77777777" w:rsidR="00D43E83" w:rsidRPr="00B91104" w:rsidRDefault="00D43E83" w:rsidP="00D43E83">
      <w:pPr>
        <w:pStyle w:val="BodyText"/>
        <w:tabs>
          <w:tab w:val="left" w:pos="1080"/>
          <w:tab w:val="left" w:pos="2430"/>
        </w:tabs>
      </w:pPr>
      <w:r>
        <w:rPr>
          <w:rFonts w:ascii="Arial" w:hAnsi="Arial" w:cs="Arial"/>
          <w:b/>
          <w:i/>
        </w:rPr>
        <w:t>EU:</w:t>
      </w:r>
      <w:r>
        <w:rPr>
          <w:rFonts w:ascii="Arial" w:hAnsi="Arial" w:cs="Arial"/>
        </w:rPr>
        <w:tab/>
      </w:r>
      <w:r w:rsidRPr="00A04277">
        <w:t>Yes</w:t>
      </w:r>
      <w:r>
        <w:t>.</w:t>
      </w:r>
    </w:p>
    <w:p w14:paraId="228E1287" w14:textId="77777777" w:rsidR="008F6E98" w:rsidRPr="004C3641" w:rsidRDefault="008F6E98" w:rsidP="008F6E98">
      <w:pPr>
        <w:pStyle w:val="IssueSubsectionHeading"/>
        <w:rPr>
          <w:vanish/>
          <w:specVanish/>
        </w:rPr>
      </w:pPr>
      <w:r w:rsidRPr="004C3641">
        <w:t>Staff Analysis: </w:t>
      </w:r>
    </w:p>
    <w:p w14:paraId="3F698568" w14:textId="77777777" w:rsidR="008F6E98" w:rsidRDefault="008F6E98" w:rsidP="008F6E98">
      <w:pPr>
        <w:jc w:val="both"/>
      </w:pPr>
      <w:r>
        <w:t> </w:t>
      </w:r>
    </w:p>
    <w:p w14:paraId="4E2FC1BE" w14:textId="77777777" w:rsidR="008F6E98" w:rsidRPr="00781A41" w:rsidRDefault="008F6E98" w:rsidP="008F6E98">
      <w:pPr>
        <w:jc w:val="both"/>
        <w:rPr>
          <w:rFonts w:ascii="Arial" w:hAnsi="Arial" w:cs="Arial"/>
          <w:b/>
          <w:bCs/>
          <w:i/>
          <w:iCs/>
          <w:vanish/>
        </w:rPr>
      </w:pPr>
    </w:p>
    <w:p w14:paraId="1928837F" w14:textId="77777777" w:rsidR="008F6E98" w:rsidRPr="00FA56D3" w:rsidRDefault="008F6E98" w:rsidP="008F6E98">
      <w:pPr>
        <w:jc w:val="center"/>
        <w:rPr>
          <w:rFonts w:ascii="Arial" w:hAnsi="Arial" w:cs="Arial"/>
        </w:rPr>
      </w:pPr>
      <w:r w:rsidRPr="00FA56D3">
        <w:rPr>
          <w:rFonts w:ascii="Arial" w:hAnsi="Arial" w:cs="Arial"/>
          <w:b/>
        </w:rPr>
        <w:t>ANALYSIS</w:t>
      </w:r>
    </w:p>
    <w:p w14:paraId="42496113" w14:textId="77777777" w:rsidR="008F6E98" w:rsidRDefault="008F6E98" w:rsidP="008F6E98">
      <w:pPr>
        <w:jc w:val="both"/>
      </w:pPr>
    </w:p>
    <w:p w14:paraId="5A6C6A0B" w14:textId="4BAC6F96" w:rsidR="00A96E52" w:rsidRDefault="00A96E52" w:rsidP="008F6E98">
      <w:pPr>
        <w:pStyle w:val="BodyText"/>
      </w:pPr>
      <w:r>
        <w:t>Under Section 367(1</w:t>
      </w:r>
      <w:proofErr w:type="gramStart"/>
      <w:r>
        <w:t>)(</w:t>
      </w:r>
      <w:proofErr w:type="gramEnd"/>
      <w:r>
        <w:t xml:space="preserve">b), F.S., when a utility applies for an initial certificate of authorization from the Commission, it must provide all information required by rule or order of the Commission, including a detailed inquiry into the ability of the applicant to provide service. For original certificates, the Commission requires a demonstration from the applicant that it has both the financial and technical ability to serve the requested territory. </w:t>
      </w:r>
      <w:r w:rsidRPr="008C0BC7">
        <w:rPr>
          <w:i/>
        </w:rPr>
        <w:t>See</w:t>
      </w:r>
      <w:r>
        <w:t xml:space="preserve"> Rule 25-30.030(1</w:t>
      </w:r>
      <w:proofErr w:type="gramStart"/>
      <w:r>
        <w:t>)(</w:t>
      </w:r>
      <w:proofErr w:type="gramEnd"/>
      <w:r>
        <w:t>h) and (</w:t>
      </w:r>
      <w:proofErr w:type="spellStart"/>
      <w:r>
        <w:t>i</w:t>
      </w:r>
      <w:proofErr w:type="spellEnd"/>
      <w:r>
        <w:t>), F.A.C.</w:t>
      </w:r>
    </w:p>
    <w:p w14:paraId="141DE9C0" w14:textId="4B8E5116" w:rsidR="008F6E98" w:rsidRDefault="008F6E98" w:rsidP="008F6E98">
      <w:pPr>
        <w:pStyle w:val="BodyText"/>
      </w:pPr>
      <w:r>
        <w:t xml:space="preserve">EU provided personal financial statements for the owners of the Utility, John and Diane Boyer. (EXH 5, BSP C2-29, C2-30) The Utility also provided a letter from Freedom Holdings Manatee LLC confirming </w:t>
      </w:r>
      <w:r w:rsidR="006254B5">
        <w:t>it</w:t>
      </w:r>
      <w:r>
        <w:t xml:space="preserve"> will make a personal loan of up to 75 percent of the pro forma appraised value of the wastewater system available for the Utility to draw upon. (EXH 5, BSP C2-31)</w:t>
      </w:r>
    </w:p>
    <w:p w14:paraId="3D1A5BBE" w14:textId="6C021D33" w:rsidR="00C5415F" w:rsidRPr="00781A41" w:rsidRDefault="008F6E98" w:rsidP="00C5415F">
      <w:pPr>
        <w:pStyle w:val="BodyText"/>
        <w:rPr>
          <w:b/>
          <w:u w:val="single"/>
        </w:rPr>
      </w:pPr>
      <w:r>
        <w:t xml:space="preserve">LC argued that John and Diane Boyer have not properly demonstrated they can successfully construct and maintain this system. (TR 261) LC argued the evidence of financial resources for this project primarily consists of a non-binding letter. (LC BR 14) LC also stated that significant costs were omitted from the total construction costs. (LC BR 15) LGIPA and PIE adopted the position of LC. PIE also adopted the position taken by LGIPA and provided no further testimony on this subject. (PIE BR 15) LGIPA witness Hull </w:t>
      </w:r>
      <w:r w:rsidR="006254B5">
        <w:t>testified</w:t>
      </w:r>
      <w:r>
        <w:t xml:space="preserve"> that EU has severely underestimated the total cost of this Utility, as well as the overall cost of doing work on the Bridgeless Barrier Islands</w:t>
      </w:r>
      <w:r w:rsidR="00330728">
        <w:t>.</w:t>
      </w:r>
      <w:r>
        <w:t xml:space="preserve"> (LGIPA BR 14) Witness Hull estimated the total cost of this </w:t>
      </w:r>
      <w:r w:rsidR="006254B5">
        <w:t>project</w:t>
      </w:r>
      <w:r>
        <w:t xml:space="preserve"> to be $51,244,204, much higher than the Utility estimate of $17,363,148. (LGIPA BR 13; TR 229) However, EU witness Swain stated that the costs used in the financial schedules included engineering estimates at the time of the filing, which is typical for an original certificate in which the facilities have not been constructed. (TR 362) EU also stated there may be low interest loans and grants available once EU obtains a wastewater </w:t>
      </w:r>
      <w:r w:rsidR="008D4847">
        <w:t>certificate</w:t>
      </w:r>
      <w:r>
        <w:t xml:space="preserve">. (EU BR 10; TR 379) </w:t>
      </w:r>
      <w:r w:rsidR="006254B5">
        <w:t>Rule 25-30.033(1</w:t>
      </w:r>
      <w:proofErr w:type="gramStart"/>
      <w:r w:rsidR="006254B5">
        <w:t>)(</w:t>
      </w:r>
      <w:proofErr w:type="gramEnd"/>
      <w:r w:rsidR="006254B5">
        <w:t>p)1., F.A.C., states that the applicant shall provide the existing and proposed costs of the system. Staff believes the Utility has met this requirement with the estimates included in its filing. (EXH 39) Additionally, staff believes that even the higher estimated costs would not have an impact on the Utility’s financial ability to serve the requested territory because of the financial documents provided by the owners and Freedom Holdings Manatee LLC</w:t>
      </w:r>
      <w:r>
        <w:t>.</w:t>
      </w:r>
    </w:p>
    <w:p w14:paraId="373E5B92" w14:textId="77777777" w:rsidR="00C5415F" w:rsidRPr="00FA56D3" w:rsidRDefault="00C5415F" w:rsidP="00C5415F">
      <w:pPr>
        <w:spacing w:after="240"/>
        <w:jc w:val="center"/>
        <w:rPr>
          <w:rFonts w:ascii="Arial" w:hAnsi="Arial" w:cs="Arial"/>
        </w:rPr>
      </w:pPr>
      <w:r w:rsidRPr="00FA56D3">
        <w:rPr>
          <w:rFonts w:ascii="Arial" w:hAnsi="Arial" w:cs="Arial"/>
          <w:b/>
        </w:rPr>
        <w:t>CONCLUSION</w:t>
      </w:r>
    </w:p>
    <w:p w14:paraId="5A15F7CD" w14:textId="07976A95" w:rsidR="008F6E98" w:rsidRDefault="0040593B" w:rsidP="008F6E98">
      <w:pPr>
        <w:jc w:val="both"/>
      </w:pPr>
      <w:r>
        <w:t>Based on a review of</w:t>
      </w:r>
      <w:r w:rsidR="008F6E98">
        <w:t xml:space="preserve"> the financial documents provided for the owners and Freedom Holdings Manatee LLC, </w:t>
      </w:r>
      <w:r>
        <w:t>staff</w:t>
      </w:r>
      <w:r w:rsidR="008F6E98">
        <w:t xml:space="preserve"> believes the Utility has met its burden of demonstrating the financial ability necessary to fund the Utility. Therefore, staff recommends that EU has the financial ability to serve the requested territory.</w:t>
      </w:r>
    </w:p>
    <w:p w14:paraId="17D04A18" w14:textId="77777777" w:rsidR="0048338D" w:rsidRDefault="0048338D">
      <w:pPr>
        <w:pStyle w:val="IssueHeading"/>
        <w:rPr>
          <w:vanish/>
          <w:specVanish/>
        </w:rPr>
      </w:pPr>
      <w:r w:rsidRPr="004C3641">
        <w:rPr>
          <w:b w:val="0"/>
          <w:i w:val="0"/>
        </w:rPr>
        <w:br w:type="page"/>
      </w:r>
      <w:r w:rsidRPr="004C3641">
        <w:t xml:space="preserve">Issue </w:t>
      </w:r>
      <w:fldSimple w:instr=" SEQ Issue \* MERGEFORMAT ">
        <w:r>
          <w:rPr>
            <w:noProof/>
          </w:rPr>
          <w:t>6</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6</w:instrText>
      </w:r>
      <w:r>
        <w:fldChar w:fldCharType="end"/>
      </w:r>
      <w:r>
        <w:tab/>
        <w:instrText xml:space="preserve">" \l 1 </w:instrText>
      </w:r>
      <w:r>
        <w:fldChar w:fldCharType="end"/>
      </w:r>
      <w:r>
        <w:t> </w:t>
      </w:r>
    </w:p>
    <w:p w14:paraId="2CB72D4C" w14:textId="77777777" w:rsidR="0048338D" w:rsidRDefault="0048338D">
      <w:pPr>
        <w:pStyle w:val="BodyText"/>
      </w:pPr>
      <w:r>
        <w:t> Does Environmental Utilities, LLC have the technical ability to serve the requested territory?</w:t>
      </w:r>
    </w:p>
    <w:p w14:paraId="0A518764" w14:textId="77777777" w:rsidR="0048338D" w:rsidRPr="004C3641" w:rsidRDefault="0048338D">
      <w:pPr>
        <w:pStyle w:val="IssueSubsectionHeading"/>
        <w:rPr>
          <w:vanish/>
          <w:specVanish/>
        </w:rPr>
      </w:pPr>
      <w:r w:rsidRPr="004C3641">
        <w:t>Recommendation: </w:t>
      </w:r>
    </w:p>
    <w:p w14:paraId="74C3C571" w14:textId="77777777" w:rsidR="0048338D" w:rsidRDefault="0048338D">
      <w:pPr>
        <w:pStyle w:val="BodyText"/>
      </w:pPr>
      <w:r>
        <w:t> </w:t>
      </w:r>
      <w:r w:rsidR="009D014E">
        <w:t>Y</w:t>
      </w:r>
      <w:r w:rsidR="009D014E" w:rsidRPr="001E6732">
        <w:t>es, EU demonstrated that, with the retention of outside professionals for the construction and operations of its system, it has the technical ability to serve the requested territory</w:t>
      </w:r>
      <w:r w:rsidR="009D014E">
        <w:t>. (Ramirez-Abundez)</w:t>
      </w:r>
      <w:r>
        <w:t xml:space="preserve"> </w:t>
      </w:r>
    </w:p>
    <w:p w14:paraId="157A7025" w14:textId="77777777" w:rsidR="00B91104" w:rsidRDefault="00B91104" w:rsidP="00B91104">
      <w:pPr>
        <w:pStyle w:val="BodyText"/>
        <w:rPr>
          <w:rFonts w:ascii="Arial" w:hAnsi="Arial" w:cs="Arial"/>
          <w:b/>
          <w:i/>
        </w:rPr>
      </w:pPr>
      <w:r>
        <w:rPr>
          <w:rFonts w:ascii="Arial" w:hAnsi="Arial" w:cs="Arial"/>
          <w:b/>
          <w:i/>
        </w:rPr>
        <w:t>Position of the Parties:</w:t>
      </w:r>
    </w:p>
    <w:p w14:paraId="152D0B18" w14:textId="77777777" w:rsidR="00B91104" w:rsidRPr="00B91104" w:rsidRDefault="00B91104" w:rsidP="000E365D">
      <w:pPr>
        <w:pStyle w:val="BodyText"/>
        <w:tabs>
          <w:tab w:val="left" w:pos="1080"/>
          <w:tab w:val="left" w:pos="2430"/>
        </w:tabs>
      </w:pPr>
      <w:r>
        <w:rPr>
          <w:rFonts w:ascii="Arial" w:hAnsi="Arial" w:cs="Arial"/>
          <w:b/>
          <w:i/>
        </w:rPr>
        <w:t>LC:</w:t>
      </w:r>
      <w:r w:rsidRPr="00B91104">
        <w:rPr>
          <w:rFonts w:ascii="Arial" w:hAnsi="Arial" w:cs="Arial"/>
        </w:rPr>
        <w:tab/>
      </w:r>
      <w:r w:rsidR="007C7243" w:rsidRPr="00F73613">
        <w:t>No.</w:t>
      </w:r>
    </w:p>
    <w:p w14:paraId="7C0F4E6A" w14:textId="77777777" w:rsidR="00B91104" w:rsidRPr="00B91104" w:rsidRDefault="00B91104" w:rsidP="000E365D">
      <w:pPr>
        <w:pStyle w:val="BodyText"/>
        <w:tabs>
          <w:tab w:val="left" w:pos="1080"/>
        </w:tabs>
      </w:pPr>
      <w:r>
        <w:rPr>
          <w:rFonts w:ascii="Arial" w:hAnsi="Arial" w:cs="Arial"/>
          <w:b/>
          <w:i/>
        </w:rPr>
        <w:t>LGIPA:</w:t>
      </w:r>
      <w:r w:rsidRPr="00B91104">
        <w:rPr>
          <w:rFonts w:ascii="Arial" w:hAnsi="Arial" w:cs="Arial"/>
        </w:rPr>
        <w:tab/>
      </w:r>
      <w:r w:rsidR="006D7E29">
        <w:t xml:space="preserve">No, </w:t>
      </w:r>
      <w:r w:rsidR="006D7E29" w:rsidRPr="003E2A7B">
        <w:t>EU has not demonstrated the technical ability to serve the requested territory. EU’s proposed system, which has been significantly modified several times throughout the discovery process in this proceeding, does not fully account for the technical requirements of serving the requested territory. Therefore, EU has not demonstrated the technical ability to construct the proposed system and serve the requested territory.</w:t>
      </w:r>
    </w:p>
    <w:p w14:paraId="72402946" w14:textId="665203C1" w:rsidR="00B91104" w:rsidRPr="00B91104" w:rsidRDefault="00B91104" w:rsidP="000E365D">
      <w:pPr>
        <w:pStyle w:val="BodyText"/>
        <w:tabs>
          <w:tab w:val="left" w:pos="1080"/>
        </w:tabs>
      </w:pPr>
      <w:r>
        <w:rPr>
          <w:rFonts w:ascii="Arial" w:hAnsi="Arial" w:cs="Arial"/>
          <w:b/>
          <w:i/>
        </w:rPr>
        <w:t>PIE:</w:t>
      </w:r>
      <w:r w:rsidRPr="00B91104">
        <w:rPr>
          <w:rFonts w:ascii="Arial" w:hAnsi="Arial" w:cs="Arial"/>
        </w:rPr>
        <w:tab/>
      </w:r>
      <w:r w:rsidR="00BE7F28">
        <w:t xml:space="preserve">PIE specifically adopts the position taken by </w:t>
      </w:r>
      <w:r w:rsidR="00913EC8">
        <w:t>LGIPA</w:t>
      </w:r>
      <w:r w:rsidR="00F55C46">
        <w:t xml:space="preserve"> </w:t>
      </w:r>
      <w:r w:rsidR="00BE7F28">
        <w:t xml:space="preserve">and Linda B. </w:t>
      </w:r>
      <w:proofErr w:type="spellStart"/>
      <w:r w:rsidR="00BE7F28">
        <w:t>Cotherman</w:t>
      </w:r>
      <w:proofErr w:type="spellEnd"/>
      <w:r w:rsidR="00BE7F28">
        <w:t xml:space="preserve"> regarding this topic</w:t>
      </w:r>
    </w:p>
    <w:p w14:paraId="227C4A82" w14:textId="77777777" w:rsidR="00B91104" w:rsidRPr="00B91104" w:rsidRDefault="00B91104" w:rsidP="000E365D">
      <w:pPr>
        <w:pStyle w:val="BodyText"/>
        <w:tabs>
          <w:tab w:val="left" w:pos="1080"/>
        </w:tabs>
      </w:pPr>
      <w:r>
        <w:rPr>
          <w:rFonts w:ascii="Arial" w:hAnsi="Arial" w:cs="Arial"/>
          <w:b/>
          <w:i/>
        </w:rPr>
        <w:t>EU:</w:t>
      </w:r>
      <w:r w:rsidRPr="00B91104">
        <w:rPr>
          <w:rFonts w:ascii="Arial" w:hAnsi="Arial" w:cs="Arial"/>
        </w:rPr>
        <w:tab/>
      </w:r>
      <w:r w:rsidR="00FF1E01" w:rsidRPr="00A04277">
        <w:t>Yes.</w:t>
      </w:r>
    </w:p>
    <w:p w14:paraId="15431C3F" w14:textId="77777777" w:rsidR="009D014E" w:rsidRPr="004C3641" w:rsidRDefault="009D014E" w:rsidP="009D014E">
      <w:pPr>
        <w:pStyle w:val="IssueSubsectionHeading"/>
        <w:rPr>
          <w:vanish/>
          <w:specVanish/>
        </w:rPr>
      </w:pPr>
      <w:r w:rsidRPr="004C3641">
        <w:t>Staff Analysis: </w:t>
      </w:r>
    </w:p>
    <w:p w14:paraId="4A9F4725" w14:textId="77777777" w:rsidR="009D014E" w:rsidRDefault="009D014E" w:rsidP="009D014E">
      <w:pPr>
        <w:jc w:val="both"/>
      </w:pPr>
      <w:r>
        <w:t> </w:t>
      </w:r>
    </w:p>
    <w:p w14:paraId="5B79415D" w14:textId="77777777" w:rsidR="009D014E" w:rsidRPr="00781A41" w:rsidRDefault="009D014E" w:rsidP="009D014E">
      <w:pPr>
        <w:jc w:val="both"/>
        <w:rPr>
          <w:rFonts w:ascii="Arial" w:hAnsi="Arial" w:cs="Arial"/>
          <w:b/>
          <w:bCs/>
          <w:i/>
          <w:iCs/>
          <w:vanish/>
        </w:rPr>
      </w:pPr>
    </w:p>
    <w:p w14:paraId="55CD6E57" w14:textId="77777777" w:rsidR="009D014E" w:rsidRPr="00FA56D3" w:rsidRDefault="009D014E" w:rsidP="009D014E">
      <w:pPr>
        <w:jc w:val="center"/>
        <w:rPr>
          <w:rFonts w:ascii="Arial" w:hAnsi="Arial" w:cs="Arial"/>
        </w:rPr>
      </w:pPr>
      <w:r w:rsidRPr="00FA56D3">
        <w:rPr>
          <w:rFonts w:ascii="Arial" w:hAnsi="Arial" w:cs="Arial"/>
          <w:b/>
        </w:rPr>
        <w:t>ANALYSIS</w:t>
      </w:r>
    </w:p>
    <w:p w14:paraId="450EEC7A" w14:textId="77777777" w:rsidR="009D014E" w:rsidRDefault="009D014E" w:rsidP="009D014E">
      <w:pPr>
        <w:pStyle w:val="BodyText"/>
        <w:spacing w:after="0"/>
      </w:pPr>
    </w:p>
    <w:p w14:paraId="6B5CF808" w14:textId="28B896A6" w:rsidR="00B75215" w:rsidRDefault="009D014E" w:rsidP="009D014E">
      <w:pPr>
        <w:pStyle w:val="BodyText"/>
      </w:pPr>
      <w:r>
        <w:t>Section 367.045(1)(b), F.S., and Rule 25-30.033(1)(</w:t>
      </w:r>
      <w:proofErr w:type="spellStart"/>
      <w:r>
        <w:t>i</w:t>
      </w:r>
      <w:proofErr w:type="spellEnd"/>
      <w:r>
        <w:t xml:space="preserve">), F.A.C., require a utility applying for an original certificate to provide information showing that it has the technical ability to provide service in the territory requested. EU witness Boyer testified that he has owned and operated Little Gasparilla Water Utility, Inc. for over 35 years. (TR 119) Furthermore, EU stated that it will employ technical professionals to operate the wastewater system. (TR 126; TR 146; EU BR 11) </w:t>
      </w:r>
      <w:r w:rsidRPr="00530FF3">
        <w:t>LGIPA does not believe EU demonstrated its technical ability to serve the requested territory due to the proposed system being modified throughout the discovery process in this proceeding.</w:t>
      </w:r>
      <w:r>
        <w:t xml:space="preserve"> (LGIPA BR 16)</w:t>
      </w:r>
      <w:r w:rsidRPr="00530FF3">
        <w:t xml:space="preserve"> LC argued that the applicant has not demonstrated any technical </w:t>
      </w:r>
      <w:r>
        <w:t xml:space="preserve">ability nor any maintenance experience with </w:t>
      </w:r>
      <w:r w:rsidRPr="00530FF3">
        <w:t>wastewater ut</w:t>
      </w:r>
      <w:r>
        <w:t xml:space="preserve">ilities. (LC BR 15-16) </w:t>
      </w:r>
      <w:r w:rsidRPr="00530FF3">
        <w:t>PIE adopted the same positions as LGIPA and LC regarding this issue</w:t>
      </w:r>
      <w:r w:rsidR="00B75215">
        <w:t>, without providing additional argument in its brief.</w:t>
      </w:r>
      <w:r>
        <w:t xml:space="preserve"> (PIE BR 15)</w:t>
      </w:r>
    </w:p>
    <w:p w14:paraId="53F0E783" w14:textId="2D710DF0" w:rsidR="00646E5C" w:rsidRDefault="009D014E" w:rsidP="00646E5C">
      <w:pPr>
        <w:pStyle w:val="BodyText"/>
      </w:pPr>
      <w:r>
        <w:t>LGIPA is correct in that EU did modify its proposed system during the course of this docket, but staff does not believe this impacts EU’s ability to employ the technical professionals needed to operate the wastewater system. Furthermore, staff disagrees with LC’s position that the applicant has not demonstrated any technical ability since EU indicated its intent to hire external professionals for its operations. The Commission has found in prior certification cases that the hiring of external professionals is reasonable and an appropriate demonstration of technical ability.</w:t>
      </w:r>
      <w:r>
        <w:rPr>
          <w:rStyle w:val="FootnoteReference"/>
        </w:rPr>
        <w:footnoteReference w:id="13"/>
      </w:r>
      <w:r>
        <w:t xml:space="preserve"> Staff believes that EU has met the requirement of the rule demonstrating that, with the retention of outside professionals for the construction and operation of its system, EU has the technical ability to serve the requested service terri</w:t>
      </w:r>
      <w:r w:rsidR="003D663A">
        <w:t>tory.</w:t>
      </w:r>
    </w:p>
    <w:p w14:paraId="5BEE606F" w14:textId="77777777" w:rsidR="00646E5C" w:rsidRDefault="00646E5C" w:rsidP="00646E5C">
      <w:pPr>
        <w:pStyle w:val="First-LevelSubheading"/>
        <w:spacing w:after="240"/>
        <w:jc w:val="center"/>
      </w:pPr>
      <w:r>
        <w:t>Conclusion</w:t>
      </w:r>
    </w:p>
    <w:p w14:paraId="20061E55" w14:textId="72D0EBBF" w:rsidR="009D014E" w:rsidRDefault="00612E43" w:rsidP="00646E5C">
      <w:pPr>
        <w:pStyle w:val="BodyText"/>
      </w:pPr>
      <w:r>
        <w:t xml:space="preserve">Staff believes </w:t>
      </w:r>
      <w:r w:rsidR="009D014E">
        <w:t>EU has met the requirement of the rule demonstrating that, with the retention of outside professionals for the construction and operation of its systems, it has the technical ability to serve the requested territory.</w:t>
      </w:r>
    </w:p>
    <w:p w14:paraId="25C6627F" w14:textId="77777777" w:rsidR="0048338D" w:rsidRDefault="0048338D">
      <w:pPr>
        <w:pStyle w:val="IssueHeading"/>
        <w:rPr>
          <w:vanish/>
          <w:specVanish/>
        </w:rPr>
      </w:pPr>
      <w:r w:rsidRPr="004C3641">
        <w:rPr>
          <w:b w:val="0"/>
          <w:i w:val="0"/>
        </w:rPr>
        <w:br w:type="page"/>
      </w:r>
      <w:r w:rsidRPr="004C3641">
        <w:t xml:space="preserve">Issue </w:t>
      </w:r>
      <w:fldSimple w:instr=" SEQ Issue \* MERGEFORMAT ">
        <w:r>
          <w:rPr>
            <w:noProof/>
          </w:rPr>
          <w:t>7</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7</w:instrText>
      </w:r>
      <w:r>
        <w:fldChar w:fldCharType="end"/>
      </w:r>
      <w:r>
        <w:tab/>
        <w:instrText xml:space="preserve">" \l 1 </w:instrText>
      </w:r>
      <w:r>
        <w:fldChar w:fldCharType="end"/>
      </w:r>
      <w:r>
        <w:t> </w:t>
      </w:r>
    </w:p>
    <w:p w14:paraId="46BD5DC8" w14:textId="77777777" w:rsidR="0048338D" w:rsidRDefault="0048338D">
      <w:pPr>
        <w:pStyle w:val="BodyText"/>
      </w:pPr>
      <w:r>
        <w:t> Will Environmental Utilities, LLC have sufficient plant capacity to serve the requested territory?</w:t>
      </w:r>
    </w:p>
    <w:p w14:paraId="69C38B9C" w14:textId="77777777" w:rsidR="0048338D" w:rsidRPr="004C3641" w:rsidRDefault="0048338D">
      <w:pPr>
        <w:pStyle w:val="IssueSubsectionHeading"/>
        <w:rPr>
          <w:vanish/>
          <w:specVanish/>
        </w:rPr>
      </w:pPr>
      <w:r w:rsidRPr="004C3641">
        <w:t>Recommendation: </w:t>
      </w:r>
    </w:p>
    <w:p w14:paraId="0DCFC43B" w14:textId="77777777" w:rsidR="0048338D" w:rsidRDefault="0048338D">
      <w:pPr>
        <w:pStyle w:val="BodyText"/>
      </w:pPr>
      <w:r>
        <w:t> </w:t>
      </w:r>
      <w:r w:rsidR="009D014E">
        <w:t>Yes. The Bulk Sewer Treatment Agreement (Agreement) with Charlotte County reserves adequate capacity to serve the proposed service territory and demonstrates that EU has planned for the estimated needs of the proposed service area. (Ramirez-Abundez)</w:t>
      </w:r>
      <w:r>
        <w:t xml:space="preserve"> </w:t>
      </w:r>
    </w:p>
    <w:p w14:paraId="76A7B5C4" w14:textId="77777777" w:rsidR="00B91104" w:rsidRDefault="00B91104" w:rsidP="00B91104">
      <w:pPr>
        <w:pStyle w:val="BodyText"/>
        <w:rPr>
          <w:rFonts w:ascii="Arial" w:hAnsi="Arial" w:cs="Arial"/>
          <w:b/>
          <w:i/>
        </w:rPr>
      </w:pPr>
      <w:r>
        <w:rPr>
          <w:rFonts w:ascii="Arial" w:hAnsi="Arial" w:cs="Arial"/>
          <w:b/>
          <w:i/>
        </w:rPr>
        <w:t>Position of the Parties:</w:t>
      </w:r>
    </w:p>
    <w:p w14:paraId="1AF51219" w14:textId="77777777" w:rsidR="00D43E83" w:rsidRPr="00B91104" w:rsidRDefault="00D43E83" w:rsidP="00D43E83">
      <w:pPr>
        <w:pStyle w:val="BodyText"/>
        <w:tabs>
          <w:tab w:val="left" w:pos="1080"/>
        </w:tabs>
      </w:pPr>
      <w:r>
        <w:rPr>
          <w:rFonts w:ascii="Arial" w:hAnsi="Arial" w:cs="Arial"/>
          <w:b/>
          <w:i/>
        </w:rPr>
        <w:t>LC:</w:t>
      </w:r>
      <w:r w:rsidRPr="00B91104">
        <w:rPr>
          <w:rFonts w:ascii="Arial" w:hAnsi="Arial" w:cs="Arial"/>
        </w:rPr>
        <w:tab/>
      </w:r>
      <w:r w:rsidRPr="00F73613">
        <w:t>Not necessarily.</w:t>
      </w:r>
    </w:p>
    <w:p w14:paraId="46C40027" w14:textId="41327DFB" w:rsidR="00D43E83" w:rsidRPr="00B91104" w:rsidRDefault="00D43E83" w:rsidP="00D43E83">
      <w:pPr>
        <w:pStyle w:val="BodyText"/>
        <w:tabs>
          <w:tab w:val="left" w:pos="1080"/>
        </w:tabs>
      </w:pPr>
      <w:r>
        <w:rPr>
          <w:rFonts w:ascii="Arial" w:hAnsi="Arial" w:cs="Arial"/>
          <w:b/>
          <w:i/>
        </w:rPr>
        <w:t>LGIPA:</w:t>
      </w:r>
      <w:r w:rsidRPr="00B91104">
        <w:rPr>
          <w:rFonts w:ascii="Arial" w:hAnsi="Arial" w:cs="Arial"/>
        </w:rPr>
        <w:tab/>
      </w:r>
      <w:r w:rsidR="006254B5">
        <w:t>LGIPA adopts the position of PIE and LC</w:t>
      </w:r>
      <w:r w:rsidR="009A409C">
        <w:t>.</w:t>
      </w:r>
    </w:p>
    <w:p w14:paraId="6846C569" w14:textId="77777777" w:rsidR="00D43E83" w:rsidRPr="00B91104" w:rsidRDefault="00D43E83" w:rsidP="00D43E83">
      <w:pPr>
        <w:pStyle w:val="BodyText"/>
        <w:tabs>
          <w:tab w:val="left" w:pos="1080"/>
        </w:tabs>
      </w:pPr>
      <w:r>
        <w:rPr>
          <w:rFonts w:ascii="Arial" w:hAnsi="Arial" w:cs="Arial"/>
          <w:b/>
          <w:i/>
        </w:rPr>
        <w:t>PIE:</w:t>
      </w:r>
      <w:r w:rsidRPr="00B91104">
        <w:rPr>
          <w:rFonts w:ascii="Arial" w:hAnsi="Arial" w:cs="Arial"/>
        </w:rPr>
        <w:tab/>
      </w:r>
      <w:r>
        <w:t xml:space="preserve">PIE specifically adopts the position taken by Linda B. </w:t>
      </w:r>
      <w:proofErr w:type="spellStart"/>
      <w:r>
        <w:t>Cotherman</w:t>
      </w:r>
      <w:proofErr w:type="spellEnd"/>
      <w:r>
        <w:t xml:space="preserve"> regarding this topic</w:t>
      </w:r>
    </w:p>
    <w:p w14:paraId="7E1046E6" w14:textId="77777777" w:rsidR="00D43E83" w:rsidRPr="00B91104" w:rsidRDefault="00D43E83" w:rsidP="00D43E83">
      <w:pPr>
        <w:pStyle w:val="BodyText"/>
        <w:tabs>
          <w:tab w:val="left" w:pos="1080"/>
          <w:tab w:val="left" w:pos="2430"/>
        </w:tabs>
      </w:pPr>
      <w:r>
        <w:rPr>
          <w:rFonts w:ascii="Arial" w:hAnsi="Arial" w:cs="Arial"/>
          <w:b/>
          <w:i/>
        </w:rPr>
        <w:t>EU:</w:t>
      </w:r>
      <w:r>
        <w:rPr>
          <w:rFonts w:ascii="Arial" w:hAnsi="Arial" w:cs="Arial"/>
        </w:rPr>
        <w:tab/>
      </w:r>
      <w:r w:rsidRPr="00A04277">
        <w:t>Yes, by virtue of the Bulk Sewer Treatment Agreement entered into with Charlotte County.</w:t>
      </w:r>
    </w:p>
    <w:p w14:paraId="517CEC20" w14:textId="77777777" w:rsidR="00D43E83" w:rsidRPr="00B91104" w:rsidRDefault="00D43E83" w:rsidP="00B91104">
      <w:pPr>
        <w:pStyle w:val="BodyText"/>
        <w:tabs>
          <w:tab w:val="left" w:pos="2430"/>
        </w:tabs>
      </w:pPr>
    </w:p>
    <w:p w14:paraId="407B6A28" w14:textId="77777777" w:rsidR="009D014E" w:rsidRPr="004C3641" w:rsidRDefault="009D014E" w:rsidP="009D014E">
      <w:pPr>
        <w:pStyle w:val="IssueSubsectionHeading"/>
        <w:rPr>
          <w:vanish/>
          <w:specVanish/>
        </w:rPr>
      </w:pPr>
      <w:r w:rsidRPr="004C3641">
        <w:t>Staff Analysis: </w:t>
      </w:r>
    </w:p>
    <w:p w14:paraId="59A454E6" w14:textId="77777777" w:rsidR="009D014E" w:rsidRDefault="009D014E" w:rsidP="009D014E">
      <w:pPr>
        <w:jc w:val="both"/>
      </w:pPr>
      <w:r>
        <w:t> </w:t>
      </w:r>
    </w:p>
    <w:p w14:paraId="1059E9A1" w14:textId="77777777" w:rsidR="009D014E" w:rsidRPr="00781A41" w:rsidRDefault="009D014E" w:rsidP="009D014E">
      <w:pPr>
        <w:spacing w:after="240"/>
        <w:jc w:val="both"/>
        <w:rPr>
          <w:rFonts w:ascii="Arial" w:hAnsi="Arial" w:cs="Arial"/>
          <w:b/>
          <w:bCs/>
          <w:i/>
          <w:iCs/>
          <w:vanish/>
        </w:rPr>
      </w:pPr>
    </w:p>
    <w:p w14:paraId="64647272" w14:textId="77777777" w:rsidR="009D014E" w:rsidRPr="00FA56D3" w:rsidRDefault="009D014E" w:rsidP="009D014E">
      <w:pPr>
        <w:spacing w:after="240"/>
        <w:jc w:val="center"/>
        <w:rPr>
          <w:rFonts w:ascii="Arial" w:hAnsi="Arial" w:cs="Arial"/>
        </w:rPr>
      </w:pPr>
      <w:r w:rsidRPr="00FA56D3">
        <w:rPr>
          <w:rFonts w:ascii="Arial" w:hAnsi="Arial" w:cs="Arial"/>
          <w:b/>
        </w:rPr>
        <w:t>ANALYSIS</w:t>
      </w:r>
    </w:p>
    <w:p w14:paraId="6F2CCA51" w14:textId="4B92FD2E" w:rsidR="006254B5" w:rsidRDefault="009D014E" w:rsidP="006254B5">
      <w:pPr>
        <w:pStyle w:val="BodyText"/>
      </w:pPr>
      <w:r>
        <w:t xml:space="preserve">In order to provide wastewater service to the proposed service territory, EU entered into a Bulk Wastewater Agreement with Charlotte County on July 14, 2020. (TR 33; EXH 15, P 1) Under the terms of the Agreement, EU would transport wastewater to a lift station on the mainland and the wastewater would then be treated in the County’s treatment facilities. (EXH 15, P 3-4) The </w:t>
      </w:r>
      <w:r w:rsidR="006254B5">
        <w:t xml:space="preserve">Agreement reserves capacity for up to 2,200 ERCs and has a 30-year term. (EXH 15) While EU believes it has sufficient capacity </w:t>
      </w:r>
      <w:r w:rsidR="006254B5" w:rsidRPr="00111835">
        <w:t>due to the Agreement</w:t>
      </w:r>
      <w:r w:rsidR="006254B5">
        <w:t>,</w:t>
      </w:r>
      <w:r w:rsidR="006254B5" w:rsidRPr="00111835">
        <w:t xml:space="preserve"> LC </w:t>
      </w:r>
      <w:r w:rsidR="006254B5">
        <w:t>argued that EU cannot guarantee plant capacity</w:t>
      </w:r>
      <w:r w:rsidR="006254B5" w:rsidRPr="00111835">
        <w:t xml:space="preserve"> until Transmission, Accrued Guaranteed Revenue</w:t>
      </w:r>
      <w:r w:rsidR="006254B5">
        <w:t>,</w:t>
      </w:r>
      <w:r w:rsidR="006254B5" w:rsidRPr="00111835">
        <w:t xml:space="preserve"> and Plant Fees are </w:t>
      </w:r>
      <w:r w:rsidR="006254B5">
        <w:t xml:space="preserve">remitted to the County </w:t>
      </w:r>
      <w:r w:rsidR="006254B5" w:rsidRPr="00111835">
        <w:t>to reserve capacity</w:t>
      </w:r>
      <w:r w:rsidR="006254B5">
        <w:t xml:space="preserve">. (EU BR 11; LC BR 16-17) LC argued that EU did not analyze the information for gallons per day (GPD) flow and ERCs for the requested territory. (LC BR 17) </w:t>
      </w:r>
      <w:r w:rsidR="006254B5" w:rsidRPr="00111835">
        <w:t>LGIPA and PIE adopted LC</w:t>
      </w:r>
      <w:r w:rsidR="006254B5">
        <w:t>’s</w:t>
      </w:r>
      <w:r w:rsidR="006254B5" w:rsidRPr="00111835">
        <w:t xml:space="preserve"> position on this issue</w:t>
      </w:r>
      <w:r w:rsidR="006254B5">
        <w:t xml:space="preserve"> </w:t>
      </w:r>
      <w:r w:rsidR="00330728">
        <w:t>and</w:t>
      </w:r>
      <w:r w:rsidR="006254B5">
        <w:t xml:space="preserve"> did not provide any further argument in their briefs</w:t>
      </w:r>
      <w:r w:rsidR="006254B5" w:rsidRPr="00111835">
        <w:t>.</w:t>
      </w:r>
      <w:r w:rsidR="003D663A">
        <w:t xml:space="preserve"> (LGIPA BR 3; PIE BR 15)</w:t>
      </w:r>
    </w:p>
    <w:p w14:paraId="7C8758A6" w14:textId="245A70F3" w:rsidR="009D014E" w:rsidRDefault="006254B5" w:rsidP="006254B5">
      <w:pPr>
        <w:pStyle w:val="BodyText"/>
      </w:pPr>
      <w:r>
        <w:t>Staff disagrees with LC’s argument that EU cannot guarantee plant capacity until transmission, guaranteed revenue, and plant fees are paid because the Agreement clearly indicates the County’s reserved treatment capacity for EU. (EXH 15, P 2) Furthermore, EU stated that the Agreement was for the maximum amount of capacity that the Utility believed would be needed to serve all the islands. (EXH 43, P 7) Based on the above, staff agrees with EU and believes it has demonstrated adequate capacity to serve the proposed service territory</w:t>
      </w:r>
      <w:r w:rsidR="009D014E">
        <w:t>.</w:t>
      </w:r>
    </w:p>
    <w:p w14:paraId="04C30011" w14:textId="2EEC28E3" w:rsidR="009D014E" w:rsidRDefault="009D014E" w:rsidP="009D014E">
      <w:pPr>
        <w:pStyle w:val="First-LevelSubheading"/>
        <w:spacing w:after="240"/>
        <w:jc w:val="center"/>
      </w:pPr>
      <w:r>
        <w:t>Conclusion</w:t>
      </w:r>
    </w:p>
    <w:p w14:paraId="47E64C8A" w14:textId="15B5CC32" w:rsidR="009D014E" w:rsidRDefault="009D014E" w:rsidP="009D014E">
      <w:pPr>
        <w:pStyle w:val="BodyText"/>
        <w:spacing w:after="0"/>
      </w:pPr>
      <w:r>
        <w:t>The Agreement with the County reserves adequate capacity to serve the proposed service territory and demonstrates that EU has planned for the estimated needs of the proposed service territory.</w:t>
      </w:r>
      <w:r w:rsidR="00AB514C">
        <w:t xml:space="preserve"> Therefore, EU has sufficient plant capacity to serve the requested territory.</w:t>
      </w:r>
    </w:p>
    <w:p w14:paraId="69132518" w14:textId="77777777" w:rsidR="0048338D" w:rsidRDefault="0048338D">
      <w:pPr>
        <w:pStyle w:val="IssueHeading"/>
        <w:rPr>
          <w:vanish/>
          <w:specVanish/>
        </w:rPr>
      </w:pPr>
      <w:r w:rsidRPr="004C3641">
        <w:rPr>
          <w:b w:val="0"/>
          <w:i w:val="0"/>
        </w:rPr>
        <w:br w:type="page"/>
      </w:r>
      <w:r w:rsidRPr="004C3641">
        <w:t xml:space="preserve">Issue </w:t>
      </w:r>
      <w:fldSimple w:instr=" SEQ Issue \* MERGEFORMAT ">
        <w:r>
          <w:rPr>
            <w:noProof/>
          </w:rPr>
          <w:t>8</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8</w:instrText>
      </w:r>
      <w:r>
        <w:fldChar w:fldCharType="end"/>
      </w:r>
      <w:r>
        <w:tab/>
        <w:instrText xml:space="preserve">" \l 1 </w:instrText>
      </w:r>
      <w:r>
        <w:fldChar w:fldCharType="end"/>
      </w:r>
      <w:r>
        <w:t> </w:t>
      </w:r>
    </w:p>
    <w:p w14:paraId="1E82F731" w14:textId="77777777" w:rsidR="0048338D" w:rsidRDefault="0048338D">
      <w:pPr>
        <w:pStyle w:val="BodyText"/>
      </w:pPr>
      <w:r>
        <w:t> Has Environmental Utilities, LLC provided evidence that it has continued use of the land upon which the utility treatment facilities are or will be located?</w:t>
      </w:r>
    </w:p>
    <w:p w14:paraId="2151D4BD" w14:textId="77777777" w:rsidR="0048338D" w:rsidRPr="004C3641" w:rsidRDefault="0048338D">
      <w:pPr>
        <w:pStyle w:val="IssueSubsectionHeading"/>
        <w:rPr>
          <w:vanish/>
          <w:specVanish/>
        </w:rPr>
      </w:pPr>
      <w:r w:rsidRPr="004C3641">
        <w:t>Recommendation: </w:t>
      </w:r>
    </w:p>
    <w:p w14:paraId="5B5B2A81" w14:textId="77777777" w:rsidR="0048338D" w:rsidRDefault="0048338D">
      <w:pPr>
        <w:pStyle w:val="BodyText"/>
      </w:pPr>
      <w:r>
        <w:t> </w:t>
      </w:r>
      <w:r w:rsidR="007A1D00" w:rsidRPr="00A359FA">
        <w:t xml:space="preserve">Wastewater treatment will occur pursuant to a Bulk Service Agreement. As such, </w:t>
      </w:r>
      <w:r w:rsidR="007A1D00">
        <w:t>the Utility</w:t>
      </w:r>
      <w:r w:rsidR="007A1D00" w:rsidRPr="00A359FA">
        <w:t xml:space="preserve"> does not own or operate the treatment facilities and evidence of continued use of the land is not required or applicable in this instance. (</w:t>
      </w:r>
      <w:r w:rsidR="007A1D00">
        <w:t>M. Watt</w:t>
      </w:r>
      <w:r w:rsidR="007A1D00" w:rsidRPr="00A359FA">
        <w:t>s</w:t>
      </w:r>
      <w:r w:rsidR="007A1D00">
        <w:t>)</w:t>
      </w:r>
      <w:r>
        <w:t xml:space="preserve"> </w:t>
      </w:r>
    </w:p>
    <w:p w14:paraId="537A7A84" w14:textId="77777777" w:rsidR="00B91104" w:rsidRDefault="00B91104" w:rsidP="00B91104">
      <w:pPr>
        <w:pStyle w:val="BodyText"/>
        <w:rPr>
          <w:rFonts w:ascii="Arial" w:hAnsi="Arial" w:cs="Arial"/>
          <w:b/>
          <w:i/>
        </w:rPr>
      </w:pPr>
      <w:r>
        <w:rPr>
          <w:rFonts w:ascii="Arial" w:hAnsi="Arial" w:cs="Arial"/>
          <w:b/>
          <w:i/>
        </w:rPr>
        <w:t>Position of the Parties:</w:t>
      </w:r>
    </w:p>
    <w:p w14:paraId="1CBB0A20" w14:textId="77777777" w:rsidR="005A221A" w:rsidRPr="00B91104" w:rsidRDefault="005A221A" w:rsidP="005A221A">
      <w:pPr>
        <w:pStyle w:val="BodyText"/>
        <w:tabs>
          <w:tab w:val="left" w:pos="1080"/>
        </w:tabs>
      </w:pPr>
      <w:r>
        <w:rPr>
          <w:rFonts w:ascii="Arial" w:hAnsi="Arial" w:cs="Arial"/>
          <w:b/>
          <w:i/>
        </w:rPr>
        <w:t>LC:</w:t>
      </w:r>
      <w:r w:rsidRPr="00B91104">
        <w:rPr>
          <w:rFonts w:ascii="Arial" w:hAnsi="Arial" w:cs="Arial"/>
        </w:rPr>
        <w:tab/>
      </w:r>
      <w:r w:rsidR="00FE30E7" w:rsidRPr="00F73613">
        <w:t>No.</w:t>
      </w:r>
    </w:p>
    <w:p w14:paraId="4E801DE1" w14:textId="77777777" w:rsidR="005A221A" w:rsidRPr="00B91104" w:rsidRDefault="005A221A" w:rsidP="005A221A">
      <w:pPr>
        <w:pStyle w:val="BodyText"/>
        <w:tabs>
          <w:tab w:val="left" w:pos="1080"/>
        </w:tabs>
      </w:pPr>
      <w:r>
        <w:rPr>
          <w:rFonts w:ascii="Arial" w:hAnsi="Arial" w:cs="Arial"/>
          <w:b/>
          <w:i/>
        </w:rPr>
        <w:t>LGIPA:</w:t>
      </w:r>
      <w:r w:rsidRPr="00B91104">
        <w:rPr>
          <w:rFonts w:ascii="Arial" w:hAnsi="Arial" w:cs="Arial"/>
        </w:rPr>
        <w:tab/>
      </w:r>
      <w:r w:rsidR="00FE30E7">
        <w:t xml:space="preserve">No, </w:t>
      </w:r>
      <w:r w:rsidR="00FE30E7" w:rsidRPr="003E2A7B">
        <w:t>EU has not provided evidence that it has continued use of the land upon which the utility treatment facilities are or will be located. EU has not provided evidence of easements or other real property rights necessary for the installation and operation of the proposed system.</w:t>
      </w:r>
    </w:p>
    <w:p w14:paraId="240719AE" w14:textId="51E00D22" w:rsidR="005A221A" w:rsidRPr="00B91104" w:rsidRDefault="005A221A" w:rsidP="005A221A">
      <w:pPr>
        <w:pStyle w:val="BodyText"/>
        <w:tabs>
          <w:tab w:val="left" w:pos="1080"/>
        </w:tabs>
      </w:pPr>
      <w:r>
        <w:rPr>
          <w:rFonts w:ascii="Arial" w:hAnsi="Arial" w:cs="Arial"/>
          <w:b/>
          <w:i/>
        </w:rPr>
        <w:t>PIE:</w:t>
      </w:r>
      <w:r w:rsidRPr="00B91104">
        <w:rPr>
          <w:rFonts w:ascii="Arial" w:hAnsi="Arial" w:cs="Arial"/>
        </w:rPr>
        <w:tab/>
      </w:r>
      <w:r w:rsidR="00FE30E7">
        <w:t xml:space="preserve">PIE specifically adopts the position taken by </w:t>
      </w:r>
      <w:r w:rsidR="00913EC8">
        <w:t>LGIPA</w:t>
      </w:r>
      <w:r w:rsidR="00FE30E7">
        <w:t xml:space="preserve"> and Linda B. </w:t>
      </w:r>
      <w:proofErr w:type="spellStart"/>
      <w:r w:rsidR="00FE30E7">
        <w:t>Cotherman</w:t>
      </w:r>
      <w:proofErr w:type="spellEnd"/>
      <w:r w:rsidR="00FE30E7">
        <w:t xml:space="preserve"> regarding this topic</w:t>
      </w:r>
    </w:p>
    <w:p w14:paraId="3F70F2FD" w14:textId="77777777" w:rsidR="005A221A" w:rsidRPr="00B91104" w:rsidRDefault="005A221A" w:rsidP="005A221A">
      <w:pPr>
        <w:pStyle w:val="BodyText"/>
        <w:tabs>
          <w:tab w:val="left" w:pos="1080"/>
          <w:tab w:val="left" w:pos="2430"/>
        </w:tabs>
      </w:pPr>
      <w:r>
        <w:rPr>
          <w:rFonts w:ascii="Arial" w:hAnsi="Arial" w:cs="Arial"/>
          <w:b/>
          <w:i/>
        </w:rPr>
        <w:t>EU:</w:t>
      </w:r>
      <w:r>
        <w:rPr>
          <w:rFonts w:ascii="Arial" w:hAnsi="Arial" w:cs="Arial"/>
        </w:rPr>
        <w:tab/>
      </w:r>
      <w:r w:rsidR="00FE30E7" w:rsidRPr="00A04277">
        <w:t>This requirement is effectively satisfied through the Bulk Sewer Treatment Agreement entered into between EU and Charlotte County.</w:t>
      </w:r>
    </w:p>
    <w:p w14:paraId="477C9E0F" w14:textId="77777777" w:rsidR="00FE30E7" w:rsidRPr="004C3641" w:rsidRDefault="00FE30E7" w:rsidP="00FE30E7">
      <w:pPr>
        <w:pStyle w:val="IssueSubsectionHeading"/>
        <w:rPr>
          <w:vanish/>
          <w:specVanish/>
        </w:rPr>
      </w:pPr>
      <w:r w:rsidRPr="004C3641">
        <w:t>Staff Analysis: </w:t>
      </w:r>
    </w:p>
    <w:p w14:paraId="12C8751A" w14:textId="77777777" w:rsidR="00FE30E7" w:rsidRDefault="00FE30E7" w:rsidP="00FE30E7">
      <w:pPr>
        <w:jc w:val="center"/>
      </w:pPr>
      <w:r>
        <w:t> </w:t>
      </w:r>
    </w:p>
    <w:p w14:paraId="2F411D25" w14:textId="77777777" w:rsidR="00FE30E7" w:rsidRDefault="00FE30E7" w:rsidP="00FE30E7">
      <w:pPr>
        <w:jc w:val="center"/>
      </w:pPr>
    </w:p>
    <w:p w14:paraId="7007DED8" w14:textId="77777777" w:rsidR="009054ED" w:rsidRPr="00FA56D3" w:rsidRDefault="009054ED" w:rsidP="00FE30E7">
      <w:pPr>
        <w:jc w:val="center"/>
        <w:rPr>
          <w:rFonts w:ascii="Arial" w:hAnsi="Arial" w:cs="Arial"/>
        </w:rPr>
      </w:pPr>
      <w:r w:rsidRPr="00FA56D3">
        <w:rPr>
          <w:rFonts w:ascii="Arial" w:hAnsi="Arial" w:cs="Arial"/>
          <w:b/>
        </w:rPr>
        <w:t>ANALYSIS</w:t>
      </w:r>
    </w:p>
    <w:p w14:paraId="78FCEC77" w14:textId="77777777" w:rsidR="009054ED" w:rsidRDefault="009054ED" w:rsidP="007A1D00">
      <w:pPr>
        <w:jc w:val="both"/>
      </w:pPr>
    </w:p>
    <w:p w14:paraId="22F6D22B" w14:textId="77777777" w:rsidR="00F66CF9" w:rsidRPr="00DB4AB2" w:rsidRDefault="00F66CF9" w:rsidP="00F66CF9">
      <w:pPr>
        <w:jc w:val="both"/>
        <w:rPr>
          <w:rFonts w:ascii="Arial" w:hAnsi="Arial" w:cs="Arial"/>
          <w:b/>
        </w:rPr>
      </w:pPr>
      <w:r w:rsidRPr="00DB4AB2">
        <w:rPr>
          <w:rFonts w:ascii="Arial" w:hAnsi="Arial" w:cs="Arial"/>
          <w:b/>
        </w:rPr>
        <w:t>Continued Use of the Land</w:t>
      </w:r>
    </w:p>
    <w:p w14:paraId="71E97563" w14:textId="77777777" w:rsidR="00F66CF9" w:rsidRPr="00DB4AB2" w:rsidRDefault="00F66CF9" w:rsidP="00F66CF9">
      <w:pPr>
        <w:jc w:val="both"/>
      </w:pPr>
      <w:r w:rsidRPr="00DB4AB2">
        <w:t>Section 367.1213, F.S., and Rule 25-30.033(1</w:t>
      </w:r>
      <w:proofErr w:type="gramStart"/>
      <w:r w:rsidRPr="00DB4AB2">
        <w:t>)(</w:t>
      </w:r>
      <w:proofErr w:type="gramEnd"/>
      <w:r w:rsidRPr="00DB4AB2">
        <w:t>m), F.A.C., requires evidence that a utility has the right to access and the continued use of the land upon which the utility treatment facilities are or will be located. As discussed in Issue 7, EU will utilize the County’s treatment facilities through the Bulk Sewer Treatment Agreement. (EXH 5, BSP C2-64-C2-71) The Agreement, which has a term of 30 years, grants the Utility the ability to send wastewater to CCU’s treatment facilities located on the mainland. In the 2020 Docket, the Commission found that, notwithstanding concerns regarding easements, since wastewater treatment would occur pursuant to a bulk service agreement, evidence of continued use of the land upon which treatment occurred was not required or applicable.</w:t>
      </w:r>
      <w:r w:rsidRPr="00DB4AB2">
        <w:rPr>
          <w:vertAlign w:val="superscript"/>
        </w:rPr>
        <w:footnoteReference w:id="14"/>
      </w:r>
    </w:p>
    <w:p w14:paraId="244958E4" w14:textId="77777777" w:rsidR="00F66CF9" w:rsidRPr="00DB4AB2" w:rsidRDefault="00F66CF9" w:rsidP="00F66CF9">
      <w:pPr>
        <w:jc w:val="both"/>
      </w:pPr>
    </w:p>
    <w:p w14:paraId="2CE3FB78" w14:textId="77777777" w:rsidR="00F66CF9" w:rsidRPr="00DB4AB2" w:rsidRDefault="00F66CF9" w:rsidP="00F66CF9">
      <w:pPr>
        <w:jc w:val="both"/>
      </w:pPr>
      <w:r w:rsidRPr="00DB4AB2">
        <w:t>LGIPA argued that EU has not provided evidence that it has continued use of the land upon which the utility treatment facilities are located. LGIPA quotes the definitions of “treatment” and “wastewater facility” in Rule 62-600.200, F.A.C., as follows:</w:t>
      </w:r>
    </w:p>
    <w:p w14:paraId="4132FFDD" w14:textId="77777777" w:rsidR="00F66CF9" w:rsidRPr="00DB4AB2" w:rsidRDefault="00F66CF9" w:rsidP="00F66CF9">
      <w:pPr>
        <w:jc w:val="both"/>
      </w:pPr>
    </w:p>
    <w:p w14:paraId="5C8E8FE2" w14:textId="77777777" w:rsidR="00F66CF9" w:rsidRPr="00DB4AB2" w:rsidRDefault="00F66CF9" w:rsidP="00F66CF9">
      <w:pPr>
        <w:ind w:left="720" w:right="720"/>
        <w:jc w:val="both"/>
      </w:pPr>
      <w:r w:rsidRPr="00DB4AB2">
        <w:t>“Treatment” means any method, technique, or process which changes the physical, chemical, or biological character or composition of wastewater and thereby reduces its potential for polluting waters of the state.</w:t>
      </w:r>
    </w:p>
    <w:p w14:paraId="6432BFB2" w14:textId="77777777" w:rsidR="00F66CF9" w:rsidRPr="00DB4AB2" w:rsidRDefault="00F66CF9" w:rsidP="00F66CF9">
      <w:pPr>
        <w:jc w:val="both"/>
      </w:pPr>
      <w:r w:rsidRPr="00DB4AB2">
        <w:tab/>
      </w:r>
    </w:p>
    <w:p w14:paraId="09F0ED67" w14:textId="77777777" w:rsidR="00F66CF9" w:rsidRPr="00DB4AB2" w:rsidRDefault="00F66CF9" w:rsidP="00F66CF9">
      <w:pPr>
        <w:ind w:left="720" w:right="720"/>
        <w:jc w:val="both"/>
      </w:pPr>
      <w:r w:rsidRPr="00DB4AB2">
        <w:t xml:space="preserve">”Wastewater facility” or “facility” means any facility which discharges wastes into waters of the State or which can reasonably be expected to be a source of water pollution and includes any or all of the following: the </w:t>
      </w:r>
      <w:r w:rsidRPr="00DB4AB2">
        <w:rPr>
          <w:i/>
        </w:rPr>
        <w:t>collection and transmission</w:t>
      </w:r>
      <w:r w:rsidRPr="00DB4AB2">
        <w:t xml:space="preserve"> [emphasis added by witness </w:t>
      </w:r>
      <w:proofErr w:type="spellStart"/>
      <w:r w:rsidRPr="00DB4AB2">
        <w:t>Cotherman</w:t>
      </w:r>
      <w:proofErr w:type="spellEnd"/>
      <w:r w:rsidRPr="00DB4AB2">
        <w:t xml:space="preserve">] system, the wastewater treatment works, the reuse or disposal system, and the </w:t>
      </w:r>
      <w:proofErr w:type="spellStart"/>
      <w:r w:rsidRPr="00DB4AB2">
        <w:t>biosolids</w:t>
      </w:r>
      <w:proofErr w:type="spellEnd"/>
      <w:r w:rsidRPr="00DB4AB2">
        <w:t xml:space="preserve"> management facility.</w:t>
      </w:r>
    </w:p>
    <w:p w14:paraId="7AD044CF" w14:textId="77777777" w:rsidR="00F66CF9" w:rsidRPr="00DB4AB2" w:rsidRDefault="00F66CF9" w:rsidP="00F66CF9">
      <w:pPr>
        <w:jc w:val="both"/>
      </w:pPr>
    </w:p>
    <w:p w14:paraId="22ECA27A" w14:textId="77777777" w:rsidR="00F66CF9" w:rsidRPr="00DB4AB2" w:rsidRDefault="00F66CF9" w:rsidP="00F66CF9">
      <w:pPr>
        <w:jc w:val="both"/>
      </w:pPr>
      <w:r w:rsidRPr="00DB4AB2">
        <w:t>(LGIPA BR 19)</w:t>
      </w:r>
    </w:p>
    <w:p w14:paraId="6B21DDBC" w14:textId="77777777" w:rsidR="00F66CF9" w:rsidRPr="00DB4AB2" w:rsidRDefault="00F66CF9" w:rsidP="00F66CF9">
      <w:pPr>
        <w:jc w:val="both"/>
      </w:pPr>
    </w:p>
    <w:p w14:paraId="0D447713" w14:textId="6765EC16" w:rsidR="00F66CF9" w:rsidRPr="00DB4AB2" w:rsidRDefault="00F66CF9" w:rsidP="00F66CF9">
      <w:pPr>
        <w:jc w:val="both"/>
      </w:pPr>
      <w:r w:rsidRPr="00DB4AB2">
        <w:t xml:space="preserve">However, </w:t>
      </w:r>
      <w:r w:rsidR="003267E4" w:rsidRPr="00DB4AB2">
        <w:t>Rule 25-30.033</w:t>
      </w:r>
      <w:r w:rsidR="003267E4">
        <w:t>(1</w:t>
      </w:r>
      <w:proofErr w:type="gramStart"/>
      <w:r w:rsidR="003267E4">
        <w:t>)</w:t>
      </w:r>
      <w:r w:rsidR="003267E4" w:rsidRPr="00DB4AB2">
        <w:t>(</w:t>
      </w:r>
      <w:proofErr w:type="gramEnd"/>
      <w:r w:rsidR="003267E4" w:rsidRPr="00DB4AB2">
        <w:t>m), F.A.C., requires</w:t>
      </w:r>
      <w:r w:rsidRPr="00DB4AB2">
        <w:t xml:space="preserve"> that the utility furnish documentation for continued access to the land which the utility </w:t>
      </w:r>
      <w:r w:rsidRPr="00DB4AB2">
        <w:rPr>
          <w:i/>
        </w:rPr>
        <w:t xml:space="preserve">treatment </w:t>
      </w:r>
      <w:r w:rsidRPr="00DB4AB2">
        <w:t>[emphasis added] will be located. LGIPA contends that EU witness Bell’s description of the process the grinder pump uses to prepare the raw sewage for transport, grinding it into a fine slurry before it leaves the pump, qualif</w:t>
      </w:r>
      <w:r w:rsidR="00735927">
        <w:t>ies as “treatment” as defined in</w:t>
      </w:r>
      <w:r w:rsidRPr="00DB4AB2">
        <w:t xml:space="preserve"> Rule 62-600.200(74), F.A.C. LGIPA states that the definition “includes “</w:t>
      </w:r>
      <w:r w:rsidRPr="00DB4AB2">
        <w:rPr>
          <w:i/>
        </w:rPr>
        <w:t>any</w:t>
      </w:r>
      <w:r w:rsidRPr="00DB4AB2">
        <w:t xml:space="preserve"> method, technique, or process which changes the physical, chemical, or biological character or composition of wastewater . . .” (emphasis added). (LGIPA BR 22)</w:t>
      </w:r>
    </w:p>
    <w:p w14:paraId="1698DE75" w14:textId="77777777" w:rsidR="00F66CF9" w:rsidRPr="00DB4AB2" w:rsidRDefault="00F66CF9" w:rsidP="00F66CF9">
      <w:pPr>
        <w:jc w:val="both"/>
      </w:pPr>
    </w:p>
    <w:p w14:paraId="019AFE15" w14:textId="68D24562" w:rsidR="00F66CF9" w:rsidRPr="00DB4AB2" w:rsidRDefault="00F66CF9" w:rsidP="00F66CF9">
      <w:pPr>
        <w:jc w:val="both"/>
      </w:pPr>
      <w:r w:rsidRPr="00DB4AB2">
        <w:t xml:space="preserve">Staff does not agree. While the grinder pump does change the physical character of the wastewater (though not the chemical or biological character), </w:t>
      </w:r>
      <w:r w:rsidR="00B63518">
        <w:t>there is no evidence in the record that such a change</w:t>
      </w:r>
      <w:r w:rsidRPr="00DB4AB2">
        <w:t xml:space="preserve"> “. . . thereby reduce</w:t>
      </w:r>
      <w:r w:rsidR="00B63518">
        <w:t>[s]</w:t>
      </w:r>
      <w:r w:rsidRPr="00DB4AB2">
        <w:t xml:space="preserve"> its potential for polluting the waters of the state,” as the final clause of the definition of “treatment” states in Rule 62-600.200, F.A.C. LGIPA correctly argues that the collection system proposed by the Utility meets the stated definition of a wastewater facility. However, while the system proposed by EU may be a wastewater facility, no treatment takes place within the system. Therefore, it is not a wastewater treatment facility and evidence of continued use of the land Section 367.1213, F.S., and Rule 25-30.033</w:t>
      </w:r>
      <w:r w:rsidR="003267E4">
        <w:t>(1</w:t>
      </w:r>
      <w:proofErr w:type="gramStart"/>
      <w:r w:rsidR="003267E4">
        <w:t>)</w:t>
      </w:r>
      <w:r w:rsidRPr="00DB4AB2">
        <w:t>(</w:t>
      </w:r>
      <w:proofErr w:type="gramEnd"/>
      <w:r w:rsidRPr="00DB4AB2">
        <w:t>m), F.A.C., is not required or applicable in this instance.</w:t>
      </w:r>
    </w:p>
    <w:p w14:paraId="32121B5C" w14:textId="77777777" w:rsidR="00F66CF9" w:rsidRPr="00DB4AB2" w:rsidRDefault="00F66CF9" w:rsidP="00F66CF9">
      <w:pPr>
        <w:jc w:val="both"/>
      </w:pPr>
    </w:p>
    <w:p w14:paraId="7BB066F2" w14:textId="77777777" w:rsidR="00F66CF9" w:rsidRPr="00DB4AB2" w:rsidRDefault="00F66CF9" w:rsidP="00F66CF9">
      <w:pPr>
        <w:jc w:val="both"/>
        <w:rPr>
          <w:rFonts w:ascii="Arial" w:hAnsi="Arial" w:cs="Arial"/>
          <w:b/>
        </w:rPr>
      </w:pPr>
      <w:r w:rsidRPr="00DB4AB2">
        <w:rPr>
          <w:rFonts w:ascii="Arial" w:hAnsi="Arial" w:cs="Arial"/>
          <w:b/>
        </w:rPr>
        <w:t>Easements</w:t>
      </w:r>
    </w:p>
    <w:p w14:paraId="396A450B" w14:textId="10BBC8F8" w:rsidR="00F66CF9" w:rsidRPr="00DB4AB2" w:rsidRDefault="00F66CF9" w:rsidP="00F66CF9">
      <w:pPr>
        <w:jc w:val="both"/>
      </w:pPr>
      <w:r w:rsidRPr="00DB4AB2">
        <w:t xml:space="preserve">The Intervenors devoted considerable </w:t>
      </w:r>
      <w:r w:rsidR="00735927">
        <w:t>effort</w:t>
      </w:r>
      <w:r w:rsidRPr="00DB4AB2">
        <w:t xml:space="preserve"> in their </w:t>
      </w:r>
      <w:proofErr w:type="spellStart"/>
      <w:r w:rsidRPr="00DB4AB2">
        <w:t>prefiled</w:t>
      </w:r>
      <w:proofErr w:type="spellEnd"/>
      <w:r w:rsidRPr="00DB4AB2">
        <w:t xml:space="preserve"> testimony and exhibits to the issue of easements, as well as discussing easements in their post-hearing briefs, contending that EU has not sufficiently accounted for the need for easements for its proposed service area. (LGIPA BR 20-21; LC BR 18-19)</w:t>
      </w:r>
      <w:r w:rsidRPr="00DB4AB2">
        <w:rPr>
          <w:vertAlign w:val="superscript"/>
        </w:rPr>
        <w:footnoteReference w:id="15"/>
      </w:r>
      <w:r w:rsidRPr="00DB4AB2">
        <w:t xml:space="preserve"> This is an issue separate and apart from the need to demonstrate continued access to the land upon which utility treatment facilities will be located under Section 367.1213, F.S. While there are no Commission statutes or rules that require an applicant to demonstrate </w:t>
      </w:r>
      <w:r w:rsidR="00735927">
        <w:t>that it</w:t>
      </w:r>
      <w:r w:rsidRPr="00DB4AB2">
        <w:t xml:space="preserve"> has secured easements needed to serve the requested service territory, staff recommends it is appropriate to address the parties’ arguments with respect to easements in this issue.</w:t>
      </w:r>
    </w:p>
    <w:p w14:paraId="3CE78140" w14:textId="77777777" w:rsidR="00F66CF9" w:rsidRPr="00DB4AB2" w:rsidRDefault="00F66CF9" w:rsidP="00F66CF9">
      <w:pPr>
        <w:jc w:val="both"/>
      </w:pPr>
    </w:p>
    <w:p w14:paraId="66D1242C" w14:textId="770AF92D" w:rsidR="00F011D5" w:rsidRPr="00DB4AB2" w:rsidRDefault="00F66CF9" w:rsidP="00F011D5">
      <w:pPr>
        <w:jc w:val="both"/>
      </w:pPr>
      <w:r w:rsidRPr="00DB4AB2">
        <w:t>EU witness Boyer described the proposed system as a grinder tank system where the grinder tank would be located on a customer’s private property. (TR 222) EU witness Cole testified that the waste would be ground up and pumped out to the low pressure system. (TR 314) The Utility would need access to customers’ private property to remove existing septic tanks, as well as to install the grinder pump. Witness Cole testified that the easement for the installation would require around a 15 foot by 15 foot area on private property. (TR 335) This would be a one-time event. Once the grinder pump is installed, the easement necessary for it would be much smaller since the grinder pump is 24 inches in diameter. (TR 334-335) Witness Cole also testified that during installation, crews try to place sewer lines in existing easements that also have another utility such as water lines in them. (TR 324-325) EU witness Boyer acknowledged the possibility that the Utility would need to claim eminent domain as a last resort and compensate property owners for the use of the land. (TR 132) Witness Boyer testified that EU has set aside $500,000 for this process. (TR 133) In its brief, EU contends that PIE and LC mistakenly interpret this issue to require the Utility to demonstrate it has access to easements to property where pump stations and other non-treatment facilities are located. (EU BR 12)</w:t>
      </w:r>
    </w:p>
    <w:p w14:paraId="18564E51" w14:textId="1AD55725" w:rsidR="00F66CF9" w:rsidRPr="00DB4AB2" w:rsidRDefault="00F66CF9" w:rsidP="00F66CF9">
      <w:pPr>
        <w:jc w:val="both"/>
      </w:pPr>
    </w:p>
    <w:p w14:paraId="2A3B159B" w14:textId="000F20D0" w:rsidR="00F66CF9" w:rsidRPr="00DB4AB2" w:rsidRDefault="00F66CF9" w:rsidP="00F66CF9">
      <w:pPr>
        <w:jc w:val="both"/>
        <w:rPr>
          <w:b/>
          <w:u w:val="single"/>
        </w:rPr>
      </w:pPr>
      <w:r w:rsidRPr="00DB4AB2">
        <w:t>While both LGIPA and LC argued in their briefs that the various easement issues to be addressed by the Utility constitute a finding that EU has not provided evidence that it has continued use of the land upon which the utility treatment facilities are or will be located, staff notes that “treatment,” as defined by Rule 62.600-200(74), F.A.C., will not take place within the collection system. Staff agrees with EU that Section 367.1213, F.S., and Rule 25-30.033(1</w:t>
      </w:r>
      <w:proofErr w:type="gramStart"/>
      <w:r w:rsidRPr="00DB4AB2">
        <w:t>)(</w:t>
      </w:r>
      <w:proofErr w:type="gramEnd"/>
      <w:r w:rsidRPr="00DB4AB2">
        <w:t xml:space="preserve">m), F.A.C., do not require an applicant to demonstrate that </w:t>
      </w:r>
      <w:r w:rsidR="0040593B">
        <w:t>it has</w:t>
      </w:r>
      <w:r w:rsidRPr="00DB4AB2">
        <w:t xml:space="preserve"> acquired easements to property where pump stations and other non-treatment facilities are located. The issue of acquiring such easements is one of many issues to be negotiated by an applicant subsequent to the award of a certificate of authorization under Section 367.031, F.S., and is outside of</w:t>
      </w:r>
      <w:r w:rsidR="00913EC8">
        <w:t xml:space="preserve"> the Commission’s jurisdiction.</w:t>
      </w:r>
    </w:p>
    <w:p w14:paraId="37B8AAA9" w14:textId="77777777" w:rsidR="00F66CF9" w:rsidRPr="00DB4AB2" w:rsidRDefault="00F66CF9" w:rsidP="00F66CF9">
      <w:pPr>
        <w:jc w:val="both"/>
        <w:rPr>
          <w:b/>
          <w:u w:val="single"/>
        </w:rPr>
      </w:pPr>
    </w:p>
    <w:p w14:paraId="4277D695" w14:textId="77777777" w:rsidR="00F66CF9" w:rsidRPr="00DB4AB2" w:rsidRDefault="00F66CF9" w:rsidP="00F66CF9">
      <w:pPr>
        <w:jc w:val="center"/>
        <w:rPr>
          <w:rFonts w:ascii="Arial" w:hAnsi="Arial" w:cs="Arial"/>
        </w:rPr>
      </w:pPr>
      <w:r w:rsidRPr="00DB4AB2">
        <w:rPr>
          <w:rFonts w:ascii="Arial" w:hAnsi="Arial" w:cs="Arial"/>
          <w:b/>
        </w:rPr>
        <w:t>CONCLUSION</w:t>
      </w:r>
    </w:p>
    <w:p w14:paraId="0A6FED05" w14:textId="77777777" w:rsidR="00F66CF9" w:rsidRPr="00DB4AB2" w:rsidRDefault="00F66CF9" w:rsidP="00F66CF9">
      <w:pPr>
        <w:jc w:val="both"/>
      </w:pPr>
    </w:p>
    <w:p w14:paraId="1A8824B6" w14:textId="02E498F6" w:rsidR="0048338D" w:rsidRDefault="00F66CF9" w:rsidP="00F66CF9">
      <w:pPr>
        <w:pStyle w:val="BodyText"/>
      </w:pPr>
      <w:r w:rsidRPr="00DB4AB2">
        <w:t>Wastewater treatment will occur pursuant to a Bulk Service Agreement. As such, the Utility does not own or operate the treatment facilities; therefore, staff recommends that evidence of continued use of the land upon which the utility treatment facilities are or will be located is not required or applicable in this instance</w:t>
      </w:r>
      <w:r w:rsidR="00CC5A6D">
        <w:t>.</w:t>
      </w:r>
    </w:p>
    <w:p w14:paraId="73F528CA" w14:textId="77777777" w:rsidR="0048338D" w:rsidRDefault="0048338D">
      <w:pPr>
        <w:pStyle w:val="IssueHeading"/>
        <w:rPr>
          <w:vanish/>
          <w:specVanish/>
        </w:rPr>
      </w:pPr>
      <w:r w:rsidRPr="004C3641">
        <w:rPr>
          <w:b w:val="0"/>
          <w:i w:val="0"/>
        </w:rPr>
        <w:br w:type="page"/>
      </w:r>
      <w:r w:rsidRPr="004C3641">
        <w:t xml:space="preserve">Issue </w:t>
      </w:r>
      <w:fldSimple w:instr=" SEQ Issue \* MERGEFORMAT ">
        <w:r>
          <w:rPr>
            <w:noProof/>
          </w:rPr>
          <w:t>9</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9</w:instrText>
      </w:r>
      <w:r>
        <w:fldChar w:fldCharType="end"/>
      </w:r>
      <w:r>
        <w:tab/>
        <w:instrText xml:space="preserve">" \l 1 </w:instrText>
      </w:r>
      <w:r>
        <w:fldChar w:fldCharType="end"/>
      </w:r>
      <w:r>
        <w:t> </w:t>
      </w:r>
    </w:p>
    <w:p w14:paraId="1F2AC2F3" w14:textId="77777777" w:rsidR="0048338D" w:rsidRDefault="0048338D">
      <w:pPr>
        <w:pStyle w:val="BodyText"/>
      </w:pPr>
      <w:r>
        <w:t> Is it in the public interest for Environmental Utilities, LLC to be granted a wastewater certificate for the territory proposed in its application?</w:t>
      </w:r>
    </w:p>
    <w:p w14:paraId="4685979A" w14:textId="77777777" w:rsidR="0048338D" w:rsidRPr="004C3641" w:rsidRDefault="0048338D">
      <w:pPr>
        <w:pStyle w:val="IssueSubsectionHeading"/>
        <w:rPr>
          <w:vanish/>
          <w:specVanish/>
        </w:rPr>
      </w:pPr>
      <w:r w:rsidRPr="004C3641">
        <w:t>Recommendation: </w:t>
      </w:r>
    </w:p>
    <w:p w14:paraId="0E15D90C" w14:textId="5466C579" w:rsidR="0048338D" w:rsidRDefault="0048338D">
      <w:pPr>
        <w:pStyle w:val="BodyText"/>
      </w:pPr>
      <w:r>
        <w:t> </w:t>
      </w:r>
      <w:r w:rsidR="009054ED">
        <w:t>Yes.</w:t>
      </w:r>
      <w:r w:rsidR="009054ED" w:rsidRPr="00A63B29">
        <w:t xml:space="preserve"> </w:t>
      </w:r>
      <w:r w:rsidR="009054ED">
        <w:t>Based on the recommendations in Issues 1 through 8</w:t>
      </w:r>
      <w:r w:rsidR="009054ED" w:rsidRPr="00E3753F">
        <w:t xml:space="preserve">, it is in the public interest to grant </w:t>
      </w:r>
      <w:r w:rsidR="009054ED">
        <w:t>the Utility</w:t>
      </w:r>
      <w:r w:rsidR="009054ED" w:rsidRPr="00E3753F">
        <w:t xml:space="preserve"> Certificate No. </w:t>
      </w:r>
      <w:r w:rsidR="009054ED" w:rsidRPr="001233D6">
        <w:t xml:space="preserve">585-S to </w:t>
      </w:r>
      <w:r w:rsidR="009054ED">
        <w:t xml:space="preserve">provide wastewater service </w:t>
      </w:r>
      <w:r w:rsidR="009054ED" w:rsidRPr="00E3753F">
        <w:t xml:space="preserve">to the territory described in Attachment </w:t>
      </w:r>
      <w:r w:rsidR="009054ED" w:rsidRPr="0013120F">
        <w:t>A</w:t>
      </w:r>
      <w:r w:rsidR="009054ED" w:rsidRPr="00E3753F">
        <w:t>.</w:t>
      </w:r>
      <w:r w:rsidR="009054ED" w:rsidRPr="00DE1C50">
        <w:t xml:space="preserve"> (</w:t>
      </w:r>
      <w:r w:rsidR="009054ED">
        <w:t xml:space="preserve">M. </w:t>
      </w:r>
      <w:r w:rsidR="009054ED" w:rsidRPr="00DE1C50">
        <w:t>Watts</w:t>
      </w:r>
      <w:r w:rsidR="009054ED">
        <w:t>)</w:t>
      </w:r>
    </w:p>
    <w:p w14:paraId="77345CA0" w14:textId="77777777" w:rsidR="00B91104" w:rsidRDefault="00B91104" w:rsidP="00B91104">
      <w:pPr>
        <w:pStyle w:val="BodyText"/>
        <w:rPr>
          <w:rFonts w:ascii="Arial" w:hAnsi="Arial" w:cs="Arial"/>
          <w:b/>
          <w:i/>
        </w:rPr>
      </w:pPr>
      <w:r>
        <w:rPr>
          <w:rFonts w:ascii="Arial" w:hAnsi="Arial" w:cs="Arial"/>
          <w:b/>
          <w:i/>
        </w:rPr>
        <w:t>Position of the Parties:</w:t>
      </w:r>
    </w:p>
    <w:p w14:paraId="2ED259F7" w14:textId="77777777" w:rsidR="00FE30E7" w:rsidRPr="00B91104" w:rsidRDefault="00FE30E7" w:rsidP="00FE30E7">
      <w:pPr>
        <w:pStyle w:val="BodyText"/>
        <w:tabs>
          <w:tab w:val="left" w:pos="1080"/>
        </w:tabs>
      </w:pPr>
      <w:r>
        <w:rPr>
          <w:rFonts w:ascii="Arial" w:hAnsi="Arial" w:cs="Arial"/>
          <w:b/>
          <w:i/>
        </w:rPr>
        <w:t>LC:</w:t>
      </w:r>
      <w:r w:rsidRPr="00B91104">
        <w:rPr>
          <w:rFonts w:ascii="Arial" w:hAnsi="Arial" w:cs="Arial"/>
        </w:rPr>
        <w:tab/>
      </w:r>
      <w:r w:rsidRPr="00F73613">
        <w:t>No.</w:t>
      </w:r>
    </w:p>
    <w:p w14:paraId="56D22BAD" w14:textId="77777777" w:rsidR="00FE30E7" w:rsidRPr="00B91104" w:rsidRDefault="00FE30E7" w:rsidP="00FE30E7">
      <w:pPr>
        <w:pStyle w:val="BodyText"/>
        <w:tabs>
          <w:tab w:val="left" w:pos="1080"/>
        </w:tabs>
      </w:pPr>
      <w:r>
        <w:rPr>
          <w:rFonts w:ascii="Arial" w:hAnsi="Arial" w:cs="Arial"/>
          <w:b/>
          <w:i/>
        </w:rPr>
        <w:t>LGIPA:</w:t>
      </w:r>
      <w:r w:rsidRPr="00B91104">
        <w:rPr>
          <w:rFonts w:ascii="Arial" w:hAnsi="Arial" w:cs="Arial"/>
        </w:rPr>
        <w:tab/>
      </w:r>
      <w:r>
        <w:t>No, i</w:t>
      </w:r>
      <w:r w:rsidRPr="003E2A7B">
        <w:t xml:space="preserve">t is not in the public interest for EU to be granted a wastewater certificate for the proposed territory. The vast majority of </w:t>
      </w:r>
      <w:r>
        <w:t>residents</w:t>
      </w:r>
      <w:r w:rsidRPr="003E2A7B">
        <w:t xml:space="preserve"> in the proposed service territory object to the proposed system</w:t>
      </w:r>
      <w:r>
        <w:t>, and EU has not provided evidence of an environmental or public health and safety need</w:t>
      </w:r>
      <w:r w:rsidRPr="003E2A7B">
        <w:t xml:space="preserve">. </w:t>
      </w:r>
      <w:r>
        <w:t xml:space="preserve">Nor has </w:t>
      </w:r>
      <w:r w:rsidRPr="003E2A7B">
        <w:t xml:space="preserve">EU has provided evidence of public benefit, and the proposed </w:t>
      </w:r>
      <w:r>
        <w:t>fees and rates</w:t>
      </w:r>
      <w:r w:rsidRPr="003E2A7B">
        <w:t xml:space="preserve"> will not be </w:t>
      </w:r>
      <w:r>
        <w:t>just and reasonable</w:t>
      </w:r>
      <w:r w:rsidRPr="003E2A7B">
        <w:t>.</w:t>
      </w:r>
    </w:p>
    <w:p w14:paraId="57E2689C" w14:textId="77777777" w:rsidR="00FE30E7" w:rsidRPr="00B91104" w:rsidRDefault="00FE30E7" w:rsidP="00FE30E7">
      <w:pPr>
        <w:pStyle w:val="BodyText"/>
        <w:tabs>
          <w:tab w:val="left" w:pos="1080"/>
        </w:tabs>
      </w:pPr>
      <w:r>
        <w:rPr>
          <w:rFonts w:ascii="Arial" w:hAnsi="Arial" w:cs="Arial"/>
          <w:b/>
          <w:i/>
        </w:rPr>
        <w:t>PIE:</w:t>
      </w:r>
      <w:r w:rsidRPr="00B91104">
        <w:rPr>
          <w:rFonts w:ascii="Arial" w:hAnsi="Arial" w:cs="Arial"/>
        </w:rPr>
        <w:tab/>
      </w:r>
      <w:r>
        <w:t>No, the public interest will not be served if a wastewater certificate for the territory proposed is issued to Environmental Utilities</w:t>
      </w:r>
    </w:p>
    <w:p w14:paraId="23D3FD91" w14:textId="77777777" w:rsidR="00FE30E7" w:rsidRPr="00B91104" w:rsidRDefault="00FE30E7" w:rsidP="00FE30E7">
      <w:pPr>
        <w:pStyle w:val="BodyText"/>
        <w:tabs>
          <w:tab w:val="left" w:pos="1080"/>
          <w:tab w:val="left" w:pos="2430"/>
        </w:tabs>
      </w:pPr>
      <w:r>
        <w:rPr>
          <w:rFonts w:ascii="Arial" w:hAnsi="Arial" w:cs="Arial"/>
          <w:b/>
          <w:i/>
        </w:rPr>
        <w:t>EU:</w:t>
      </w:r>
      <w:r>
        <w:rPr>
          <w:rFonts w:ascii="Arial" w:hAnsi="Arial" w:cs="Arial"/>
        </w:rPr>
        <w:tab/>
      </w:r>
      <w:r w:rsidRPr="00A04277">
        <w:t>Yes. The County has identified these islands as a priority for the removal of septic tanks which the Charlotte County Master Sewer Plan identifies as a major contributor to the degradation of water quality in the waters adjacent to the County.</w:t>
      </w:r>
    </w:p>
    <w:p w14:paraId="7DBAEFF1" w14:textId="77777777" w:rsidR="0048338D" w:rsidRPr="004C3641" w:rsidRDefault="0048338D">
      <w:pPr>
        <w:pStyle w:val="IssueSubsectionHeading"/>
        <w:rPr>
          <w:vanish/>
          <w:specVanish/>
        </w:rPr>
      </w:pPr>
      <w:r w:rsidRPr="004C3641">
        <w:t>Staff Analysis: </w:t>
      </w:r>
    </w:p>
    <w:p w14:paraId="0793F2C8" w14:textId="77777777" w:rsidR="009054ED" w:rsidRDefault="009054ED" w:rsidP="009054ED">
      <w:pPr>
        <w:jc w:val="both"/>
        <w:rPr>
          <w:rFonts w:ascii="Arial" w:hAnsi="Arial" w:cs="Arial"/>
        </w:rPr>
      </w:pPr>
    </w:p>
    <w:p w14:paraId="51D58A71" w14:textId="77777777" w:rsidR="009054ED" w:rsidRDefault="009054ED" w:rsidP="009054ED">
      <w:pPr>
        <w:jc w:val="both"/>
        <w:rPr>
          <w:rFonts w:ascii="Arial" w:hAnsi="Arial" w:cs="Arial"/>
        </w:rPr>
      </w:pPr>
      <w:r w:rsidRPr="00781A41">
        <w:rPr>
          <w:rFonts w:ascii="Arial" w:hAnsi="Arial" w:cs="Arial"/>
        </w:rPr>
        <w:t> </w:t>
      </w:r>
    </w:p>
    <w:p w14:paraId="082CFC34" w14:textId="77777777" w:rsidR="009054ED" w:rsidRPr="00FA56D3" w:rsidRDefault="009054ED" w:rsidP="009054ED">
      <w:pPr>
        <w:jc w:val="center"/>
        <w:rPr>
          <w:rFonts w:ascii="Arial" w:hAnsi="Arial" w:cs="Arial"/>
        </w:rPr>
      </w:pPr>
      <w:r w:rsidRPr="00FA56D3">
        <w:rPr>
          <w:rFonts w:ascii="Arial" w:hAnsi="Arial" w:cs="Arial"/>
          <w:b/>
        </w:rPr>
        <w:t>ANALYSIS</w:t>
      </w:r>
    </w:p>
    <w:p w14:paraId="40D400A0" w14:textId="77777777" w:rsidR="009054ED" w:rsidRDefault="009054ED" w:rsidP="009054ED">
      <w:pPr>
        <w:jc w:val="both"/>
      </w:pPr>
    </w:p>
    <w:p w14:paraId="418F8977" w14:textId="5307D4D1" w:rsidR="00B35322" w:rsidRPr="00221812" w:rsidRDefault="00B35322" w:rsidP="00B35322">
      <w:pPr>
        <w:jc w:val="both"/>
      </w:pPr>
      <w:r w:rsidRPr="00221812">
        <w:t>LC argued that the proposed system is not in the public interest because of the cost burden it will place on the prospective customers. (LC BR 19-20) Additionally, LC argued that the proposed system would have significant environmental impacts. (LC BR 21-22) PIE argued that the Utility’s application should be denied because it demonstrated a dearth of need, there was no evidence that the water quality in and around the bridgeless barrier islands was degraded, and that it was inconstant with the Comp Plan. (PIE BR 16) LGIPA argued that the elements that the Commission considers in determining public interest – need, no competition or duplication of another system, that the utility has the financial and technical ability to provide the service, and the utility has sufficient plant capacity – weighs in favor of the Commission denying the application. (LGIPA BR 24) LGIPA further argues that the cost of the system to the prospective customers, coupled with the financial burdens imposed by</w:t>
      </w:r>
      <w:r w:rsidR="00AD175B">
        <w:t xml:space="preserve"> damage from hurricanes and </w:t>
      </w:r>
      <w:r w:rsidRPr="00221812">
        <w:t>with the frequency and duration of power outages supports its position that EU’s application is not in the pu</w:t>
      </w:r>
      <w:r w:rsidR="003D663A">
        <w:t>blic interest. (LGIPA BR 24-27)</w:t>
      </w:r>
    </w:p>
    <w:p w14:paraId="3A995ECA" w14:textId="77777777" w:rsidR="00B35322" w:rsidRPr="00221812" w:rsidRDefault="00B35322" w:rsidP="00B35322">
      <w:pPr>
        <w:jc w:val="both"/>
      </w:pPr>
    </w:p>
    <w:p w14:paraId="28D64CF1" w14:textId="77777777" w:rsidR="00B35322" w:rsidRPr="00221812" w:rsidRDefault="00B35322" w:rsidP="00B35322">
      <w:pPr>
        <w:jc w:val="both"/>
      </w:pPr>
      <w:r w:rsidRPr="00221812">
        <w:t>Under Section 367.031, F.S., the Commission has the authority to issue a utility a certificate of authorization to serve a specific service area. Under Section 367.045(1)(b), F.S., when a utility applies for an initial certificate of authorization from the Commission, it shall provide all information required by rule or order of the Commission, including a detailed inquiry into the ability of the applicant to provide service, the area and facilities involved, the need for service in the area involved, and the existence or nonexistence of service from other sources within geographical proximity to the area in which the applicant seeks to provide service. To implement these statutes, Rule 25-30.033(1</w:t>
      </w:r>
      <w:proofErr w:type="gramStart"/>
      <w:r w:rsidRPr="00221812">
        <w:t>)(</w:t>
      </w:r>
      <w:proofErr w:type="gramEnd"/>
      <w:r w:rsidRPr="00221812">
        <w:t>h), (</w:t>
      </w:r>
      <w:proofErr w:type="spellStart"/>
      <w:r w:rsidRPr="00221812">
        <w:t>i</w:t>
      </w:r>
      <w:proofErr w:type="spellEnd"/>
      <w:r w:rsidRPr="00221812">
        <w:t>), and (k), F.A.C., require statements showing the financial and technical ability of the applicant to provide service, the need for service in the proposed service area, the identity of any other utilities within the proposed service area that could potentially provide service, and the steps the applicant took to ascertain whether such other service is available.</w:t>
      </w:r>
    </w:p>
    <w:p w14:paraId="4052800F" w14:textId="77777777" w:rsidR="00B35322" w:rsidRPr="00221812" w:rsidRDefault="00B35322" w:rsidP="00B35322">
      <w:pPr>
        <w:jc w:val="both"/>
      </w:pPr>
    </w:p>
    <w:p w14:paraId="3807965E" w14:textId="77777777" w:rsidR="00B35322" w:rsidRPr="00221812" w:rsidRDefault="00B35322" w:rsidP="00B35322">
      <w:pPr>
        <w:jc w:val="both"/>
      </w:pPr>
      <w:r w:rsidRPr="00221812">
        <w:t>Section 367.045(5</w:t>
      </w:r>
      <w:proofErr w:type="gramStart"/>
      <w:r w:rsidRPr="00221812">
        <w:t>)(</w:t>
      </w:r>
      <w:proofErr w:type="gramEnd"/>
      <w:r w:rsidRPr="00221812">
        <w:t>a), F.S., provides that the Commission may grant or amend a certificate of authorization, in whole or in part or with modifications in the public interest, or it may deny a certificate of authorization or an amendment to a certificate of authorization, if in the public interest. In prior proceedings, the Commission has made its determination regarding the public interest based upon whether a utility’s application demonstrates there is a need for service, that the application is not in competition with or duplication of another system, that the utility has the financial and technical ability to provide service, and the utility has sufficient plant capacity or will construct the plant when needed.</w:t>
      </w:r>
      <w:r w:rsidRPr="00221812">
        <w:rPr>
          <w:vertAlign w:val="superscript"/>
        </w:rPr>
        <w:footnoteReference w:id="16"/>
      </w:r>
    </w:p>
    <w:p w14:paraId="1620629A" w14:textId="77777777" w:rsidR="00B35322" w:rsidRPr="00221812" w:rsidRDefault="00B35322" w:rsidP="00B35322">
      <w:pPr>
        <w:jc w:val="both"/>
      </w:pPr>
    </w:p>
    <w:p w14:paraId="7373683D" w14:textId="77777777" w:rsidR="00B35322" w:rsidRPr="00221812" w:rsidRDefault="00B35322" w:rsidP="00B35322">
      <w:pPr>
        <w:jc w:val="both"/>
      </w:pPr>
      <w:r w:rsidRPr="00221812">
        <w:t>In Issue 2, staff recommends that EU’s application did comply with Section 367.045(1)(b), F.S., and Rule 25-30.033(1)(k), F.A.C., with regard to the need for service in the requested area. The Utility furnished requests for service from residents and developers in the proposed service territory as evidence that there is a need for service in the requested territory. EU provided Charlotte County Resolution No. 2023-155, adopted by the Charlotte County BOCC, which affirms a need for central sewer service in the proposed service territory. Based upon the record evidence in this docket, staff recommends that there is a need for service in the Utility’s proposed service area.</w:t>
      </w:r>
    </w:p>
    <w:p w14:paraId="2D72D224" w14:textId="77777777" w:rsidR="00B35322" w:rsidRPr="00221812" w:rsidRDefault="00B35322" w:rsidP="00B35322">
      <w:pPr>
        <w:jc w:val="both"/>
      </w:pPr>
    </w:p>
    <w:p w14:paraId="28F46ACC" w14:textId="5B8BB13C" w:rsidR="00B35322" w:rsidRPr="00221812" w:rsidRDefault="00B35322" w:rsidP="00B35322">
      <w:pPr>
        <w:jc w:val="both"/>
      </w:pPr>
      <w:r w:rsidRPr="00221812">
        <w:t>In Issue 3, staff recommends that EU’s application does not appear to be consistent with the County’s Comp Plan</w:t>
      </w:r>
      <w:r>
        <w:t xml:space="preserve"> but does appear to be consistent with the</w:t>
      </w:r>
      <w:r w:rsidRPr="00221812">
        <w:t xml:space="preserve"> SMP. However, the County’s Resolution establishes support for EU’s application, and under Section 367.045(5</w:t>
      </w:r>
      <w:proofErr w:type="gramStart"/>
      <w:r w:rsidRPr="00221812">
        <w:t>)(</w:t>
      </w:r>
      <w:proofErr w:type="gramEnd"/>
      <w:r w:rsidRPr="00221812">
        <w:t xml:space="preserve">b), F.S., the Commission shall consider but is not bound by the Comp Plan or SMP. Further, in Issue 4, staff recommends that the Utility will not be in competition with, or duplication </w:t>
      </w:r>
      <w:r w:rsidR="00913EC8">
        <w:t>of, any other system.</w:t>
      </w:r>
    </w:p>
    <w:p w14:paraId="43B1E508" w14:textId="77777777" w:rsidR="00B35322" w:rsidRPr="00221812" w:rsidRDefault="00B35322" w:rsidP="00B35322">
      <w:pPr>
        <w:jc w:val="both"/>
      </w:pPr>
    </w:p>
    <w:p w14:paraId="1AAC4457" w14:textId="77777777" w:rsidR="00B35322" w:rsidRPr="00221812" w:rsidRDefault="00B35322" w:rsidP="00B35322">
      <w:pPr>
        <w:jc w:val="both"/>
      </w:pPr>
      <w:r w:rsidRPr="00221812">
        <w:t>In Issues 5 and 6, staff recommends EU has demonstrated the financial and technical ability to provide service. The Utility has demonstrated that it will have access to adequate financial resources to operate the utility. As a demonstration of EU’s technical ability, staff cited the Utility’s intent to retain professionals for the engineering, design, permitting, construction, and operation of the EU wastewater collection system</w:t>
      </w:r>
      <w:r w:rsidRPr="00221812">
        <w:rPr>
          <w:i/>
        </w:rPr>
        <w:t>.</w:t>
      </w:r>
    </w:p>
    <w:p w14:paraId="255C7138" w14:textId="77777777" w:rsidR="00B35322" w:rsidRPr="00221812" w:rsidRDefault="00B35322" w:rsidP="00B35322">
      <w:pPr>
        <w:jc w:val="both"/>
      </w:pPr>
      <w:r w:rsidRPr="00221812">
        <w:t>In Issue 7, staff recommends that, since the Utility has demonstrated that, via the Bulk Service Agreement with CCU for 2,200 ERCs of treatment capacity, it will have sufficient plant capacity to serve the customers in the proposed service territory.</w:t>
      </w:r>
    </w:p>
    <w:p w14:paraId="66703A2C" w14:textId="77777777" w:rsidR="00B35322" w:rsidRPr="00221812" w:rsidRDefault="00B35322" w:rsidP="00B35322">
      <w:pPr>
        <w:jc w:val="both"/>
      </w:pPr>
    </w:p>
    <w:p w14:paraId="7A74991A" w14:textId="7D3C0912" w:rsidR="00B35322" w:rsidRDefault="00B35322" w:rsidP="00B35322">
      <w:pPr>
        <w:jc w:val="both"/>
      </w:pPr>
      <w:r w:rsidRPr="00221812">
        <w:t>In Issue 8, staff notes that wastewater treatment will occur pursuant to a Bulk Service Agreement. As such, EU does not own or operate the treatment facilities; therefore, staff recommends that evidence of continued use of the land upon which treatment facilities are located is not required or applicable in this instance.</w:t>
      </w:r>
    </w:p>
    <w:p w14:paraId="0334E277" w14:textId="189C1D4C" w:rsidR="00601AF8" w:rsidRDefault="00601AF8" w:rsidP="00B35322">
      <w:pPr>
        <w:jc w:val="both"/>
      </w:pPr>
    </w:p>
    <w:p w14:paraId="381CA8B4" w14:textId="50174E96" w:rsidR="00601AF8" w:rsidRPr="00221812" w:rsidRDefault="00601AF8" w:rsidP="00B35322">
      <w:pPr>
        <w:jc w:val="both"/>
      </w:pPr>
      <w:r>
        <w:t>Although LGIPA contends that the costs to customers inure against the public interest, financial burden is not an element contemplated by statute or rule and has not been a factor for consideration by the Commission in past certification proceedings.</w:t>
      </w:r>
      <w:r>
        <w:rPr>
          <w:rStyle w:val="FootnoteReference"/>
        </w:rPr>
        <w:footnoteReference w:id="17"/>
      </w:r>
      <w:r>
        <w:t xml:space="preserve"> </w:t>
      </w:r>
      <w:r>
        <w:rPr>
          <w:i/>
        </w:rPr>
        <w:t>See</w:t>
      </w:r>
      <w:r>
        <w:t xml:space="preserve"> Section 367.045, F.S. and Rule 25-30.033, F.A.C.</w:t>
      </w:r>
    </w:p>
    <w:p w14:paraId="66226298" w14:textId="77777777" w:rsidR="00B35322" w:rsidRPr="00221812" w:rsidRDefault="00B35322" w:rsidP="00B35322">
      <w:pPr>
        <w:jc w:val="both"/>
        <w:rPr>
          <w:i/>
        </w:rPr>
      </w:pPr>
    </w:p>
    <w:p w14:paraId="502D4DA4" w14:textId="77777777" w:rsidR="00B35322" w:rsidRPr="00221812" w:rsidRDefault="00B35322" w:rsidP="00B35322">
      <w:pPr>
        <w:jc w:val="both"/>
      </w:pPr>
      <w:r w:rsidRPr="00221812">
        <w:t>In summary, staff recommends that the Utility has demonstrated: (1) that there is a need for service; (2) that the application will not be in competition with, or duplication of, any other system; (3) that evidence of continued use of the land upon which treatment facilities are located is not required or applicable in this instance; and (4) that it has the financial and technical ability to provide service along with the sufficient plant capacity via the bulk service purchase agreement with CCU to serve the customers in the proposed service territory. Staff does not believe that the inconsistency with the Comp Plan is sufficient to outweigh the other elements discussed herein. As such, staff recommends EU has proven that its application is in the public interest.</w:t>
      </w:r>
    </w:p>
    <w:p w14:paraId="7508600C" w14:textId="77777777" w:rsidR="00B35322" w:rsidRPr="00221812" w:rsidRDefault="00B35322" w:rsidP="00B35322">
      <w:pPr>
        <w:jc w:val="both"/>
        <w:rPr>
          <w:b/>
          <w:u w:val="single"/>
        </w:rPr>
      </w:pPr>
    </w:p>
    <w:p w14:paraId="5D599389" w14:textId="77777777" w:rsidR="00B35322" w:rsidRPr="00221812" w:rsidRDefault="00B35322" w:rsidP="00B35322">
      <w:pPr>
        <w:jc w:val="center"/>
        <w:rPr>
          <w:rFonts w:ascii="Arial" w:hAnsi="Arial" w:cs="Arial"/>
        </w:rPr>
      </w:pPr>
      <w:r w:rsidRPr="00221812">
        <w:rPr>
          <w:rFonts w:ascii="Arial" w:hAnsi="Arial" w:cs="Arial"/>
          <w:b/>
        </w:rPr>
        <w:t>CONCLUSION</w:t>
      </w:r>
    </w:p>
    <w:p w14:paraId="507DCD41" w14:textId="77777777" w:rsidR="00B35322" w:rsidRPr="00221812" w:rsidRDefault="00B35322" w:rsidP="00B35322">
      <w:pPr>
        <w:jc w:val="both"/>
      </w:pPr>
    </w:p>
    <w:p w14:paraId="6883673F" w14:textId="05381254" w:rsidR="0048338D" w:rsidRDefault="00B35322" w:rsidP="00B35322">
      <w:pPr>
        <w:pStyle w:val="BodyText"/>
      </w:pPr>
      <w:r w:rsidRPr="00221812">
        <w:t>Based on the recommendations in Issues 1 through 8, staff recommends it is in the public interest to grant the Utility Certificate No. 585-S to provide wastewater service to the territory described in Attachment A</w:t>
      </w:r>
      <w:r w:rsidR="00FE18BF">
        <w:t>.</w:t>
      </w:r>
    </w:p>
    <w:p w14:paraId="141CCC22" w14:textId="77777777" w:rsidR="0048338D" w:rsidRDefault="0048338D">
      <w:pPr>
        <w:pStyle w:val="IssueHeading"/>
        <w:rPr>
          <w:vanish/>
          <w:specVanish/>
        </w:rPr>
      </w:pPr>
      <w:r w:rsidRPr="004C3641">
        <w:rPr>
          <w:b w:val="0"/>
          <w:i w:val="0"/>
        </w:rPr>
        <w:br w:type="page"/>
      </w:r>
      <w:r w:rsidRPr="004C3641">
        <w:t xml:space="preserve">Issue </w:t>
      </w:r>
      <w:fldSimple w:instr=" SEQ Issue \* MERGEFORMAT ">
        <w:r>
          <w:rPr>
            <w:noProof/>
          </w:rPr>
          <w:t>10</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10</w:instrText>
      </w:r>
      <w:r>
        <w:fldChar w:fldCharType="end"/>
      </w:r>
      <w:r>
        <w:tab/>
        <w:instrText xml:space="preserve">" \l 1 </w:instrText>
      </w:r>
      <w:r>
        <w:fldChar w:fldCharType="end"/>
      </w:r>
      <w:r>
        <w:t> </w:t>
      </w:r>
    </w:p>
    <w:p w14:paraId="2FCFEB93" w14:textId="77777777" w:rsidR="0048338D" w:rsidRDefault="0048338D">
      <w:pPr>
        <w:pStyle w:val="BodyText"/>
      </w:pPr>
      <w:r>
        <w:t> What is the appropriate return on equity for Environmental Utilities, LLC?</w:t>
      </w:r>
    </w:p>
    <w:p w14:paraId="568D3B38" w14:textId="77777777" w:rsidR="0048338D" w:rsidRPr="004C3641" w:rsidRDefault="0048338D">
      <w:pPr>
        <w:pStyle w:val="IssueSubsectionHeading"/>
        <w:rPr>
          <w:vanish/>
          <w:specVanish/>
        </w:rPr>
      </w:pPr>
      <w:r w:rsidRPr="004C3641">
        <w:t>Recommendation: </w:t>
      </w:r>
    </w:p>
    <w:p w14:paraId="0325C4DD" w14:textId="17005F33" w:rsidR="0048338D" w:rsidRDefault="0048338D">
      <w:pPr>
        <w:pStyle w:val="BodyText"/>
      </w:pPr>
      <w:r>
        <w:t> </w:t>
      </w:r>
      <w:r w:rsidR="004F1814">
        <w:t xml:space="preserve">The appropriate return on equity (ROE) is </w:t>
      </w:r>
      <w:r w:rsidR="004F1814" w:rsidRPr="008A5CDC">
        <w:t>8.66</w:t>
      </w:r>
      <w:r w:rsidR="00735927">
        <w:t xml:space="preserve"> percent</w:t>
      </w:r>
      <w:r w:rsidR="004F1814">
        <w:t xml:space="preserve"> with a range of plus or minus 100 basis points. (Przygocki)</w:t>
      </w:r>
    </w:p>
    <w:p w14:paraId="5AFE0CE1" w14:textId="77777777" w:rsidR="00B91104" w:rsidRDefault="00B91104" w:rsidP="00B91104">
      <w:pPr>
        <w:pStyle w:val="BodyText"/>
        <w:rPr>
          <w:rFonts w:ascii="Arial" w:hAnsi="Arial" w:cs="Arial"/>
          <w:b/>
          <w:i/>
        </w:rPr>
      </w:pPr>
      <w:r>
        <w:rPr>
          <w:rFonts w:ascii="Arial" w:hAnsi="Arial" w:cs="Arial"/>
          <w:b/>
          <w:i/>
        </w:rPr>
        <w:t>Position of the Parties:</w:t>
      </w:r>
    </w:p>
    <w:p w14:paraId="5F40EF3A" w14:textId="77777777" w:rsidR="00FE30E7" w:rsidRPr="00B91104" w:rsidRDefault="00FE30E7" w:rsidP="00FE30E7">
      <w:pPr>
        <w:pStyle w:val="BodyText"/>
        <w:tabs>
          <w:tab w:val="left" w:pos="1080"/>
        </w:tabs>
      </w:pPr>
      <w:r>
        <w:rPr>
          <w:rFonts w:ascii="Arial" w:hAnsi="Arial" w:cs="Arial"/>
          <w:b/>
          <w:i/>
        </w:rPr>
        <w:t>LC:</w:t>
      </w:r>
      <w:r w:rsidRPr="00B91104">
        <w:rPr>
          <w:rFonts w:ascii="Arial" w:hAnsi="Arial" w:cs="Arial"/>
        </w:rPr>
        <w:tab/>
      </w:r>
      <w:r>
        <w:t>Not Applicable.</w:t>
      </w:r>
    </w:p>
    <w:p w14:paraId="59266C98" w14:textId="26092BF5" w:rsidR="00FE30E7" w:rsidRPr="00B91104" w:rsidRDefault="00FE30E7" w:rsidP="00FE30E7">
      <w:pPr>
        <w:pStyle w:val="BodyText"/>
        <w:tabs>
          <w:tab w:val="left" w:pos="1080"/>
        </w:tabs>
      </w:pPr>
      <w:r>
        <w:rPr>
          <w:rFonts w:ascii="Arial" w:hAnsi="Arial" w:cs="Arial"/>
          <w:b/>
          <w:i/>
        </w:rPr>
        <w:t>LGIPA:</w:t>
      </w:r>
      <w:r w:rsidRPr="00B91104">
        <w:rPr>
          <w:rFonts w:ascii="Arial" w:hAnsi="Arial" w:cs="Arial"/>
        </w:rPr>
        <w:tab/>
      </w:r>
      <w:r w:rsidR="00735927">
        <w:t>LGIPA adopts the position of PIE and LC</w:t>
      </w:r>
      <w:r w:rsidR="00D10820">
        <w:t>.</w:t>
      </w:r>
    </w:p>
    <w:p w14:paraId="3220EBF8" w14:textId="1BE9B3A9" w:rsidR="00FE30E7" w:rsidRPr="00B91104" w:rsidRDefault="00FE30E7" w:rsidP="00FE30E7">
      <w:pPr>
        <w:pStyle w:val="BodyText"/>
        <w:tabs>
          <w:tab w:val="left" w:pos="1080"/>
        </w:tabs>
      </w:pPr>
      <w:r>
        <w:rPr>
          <w:rFonts w:ascii="Arial" w:hAnsi="Arial" w:cs="Arial"/>
          <w:b/>
          <w:i/>
        </w:rPr>
        <w:t>PIE:</w:t>
      </w:r>
      <w:r w:rsidRPr="00B91104">
        <w:rPr>
          <w:rFonts w:ascii="Arial" w:hAnsi="Arial" w:cs="Arial"/>
        </w:rPr>
        <w:tab/>
      </w:r>
      <w:r>
        <w:t xml:space="preserve">PIE specifically adopts the position taken by </w:t>
      </w:r>
      <w:r w:rsidR="00913EC8">
        <w:t>LGIPA</w:t>
      </w:r>
      <w:r>
        <w:t xml:space="preserve"> and Linda B. </w:t>
      </w:r>
      <w:proofErr w:type="spellStart"/>
      <w:r>
        <w:t>Cotherman</w:t>
      </w:r>
      <w:proofErr w:type="spellEnd"/>
      <w:r>
        <w:t xml:space="preserve"> regarding this topic</w:t>
      </w:r>
    </w:p>
    <w:p w14:paraId="34096063" w14:textId="77777777" w:rsidR="00FE30E7" w:rsidRPr="00B91104" w:rsidRDefault="00FE30E7" w:rsidP="00FE30E7">
      <w:pPr>
        <w:pStyle w:val="BodyText"/>
        <w:tabs>
          <w:tab w:val="left" w:pos="1080"/>
          <w:tab w:val="left" w:pos="2430"/>
        </w:tabs>
      </w:pPr>
      <w:r>
        <w:rPr>
          <w:rFonts w:ascii="Arial" w:hAnsi="Arial" w:cs="Arial"/>
          <w:b/>
          <w:i/>
        </w:rPr>
        <w:t>EU:</w:t>
      </w:r>
      <w:r>
        <w:rPr>
          <w:rFonts w:ascii="Arial" w:hAnsi="Arial" w:cs="Arial"/>
        </w:rPr>
        <w:tab/>
      </w:r>
      <w:r>
        <w:t>8.62%</w:t>
      </w:r>
    </w:p>
    <w:p w14:paraId="66C380E4" w14:textId="77777777" w:rsidR="00FE30E7" w:rsidRDefault="00FE30E7">
      <w:pPr>
        <w:pStyle w:val="IssueSubsectionHeading"/>
      </w:pPr>
    </w:p>
    <w:p w14:paraId="75349D3E" w14:textId="77777777" w:rsidR="008F6E98" w:rsidRPr="004C3641" w:rsidRDefault="008F6E98" w:rsidP="008F6E98">
      <w:pPr>
        <w:pStyle w:val="IssueSubsectionHeading"/>
        <w:rPr>
          <w:vanish/>
          <w:specVanish/>
        </w:rPr>
      </w:pPr>
      <w:r w:rsidRPr="004C3641">
        <w:t>Staff Analysis: </w:t>
      </w:r>
    </w:p>
    <w:p w14:paraId="7E813B5F" w14:textId="77777777" w:rsidR="008F6E98" w:rsidRDefault="008F6E98" w:rsidP="008F6E98">
      <w:pPr>
        <w:jc w:val="both"/>
        <w:rPr>
          <w:rFonts w:ascii="Arial" w:hAnsi="Arial" w:cs="Arial"/>
        </w:rPr>
      </w:pPr>
    </w:p>
    <w:p w14:paraId="3ECFA26C" w14:textId="77777777" w:rsidR="008F6E98" w:rsidRDefault="008F6E98" w:rsidP="008F6E98">
      <w:pPr>
        <w:jc w:val="both"/>
        <w:rPr>
          <w:rFonts w:ascii="Arial" w:hAnsi="Arial" w:cs="Arial"/>
        </w:rPr>
      </w:pPr>
      <w:r w:rsidRPr="00781A41">
        <w:rPr>
          <w:rFonts w:ascii="Arial" w:hAnsi="Arial" w:cs="Arial"/>
        </w:rPr>
        <w:t> </w:t>
      </w:r>
    </w:p>
    <w:p w14:paraId="3E96ED44" w14:textId="77777777" w:rsidR="004F1814" w:rsidRPr="00FA56D3" w:rsidRDefault="004F1814" w:rsidP="004F1814">
      <w:pPr>
        <w:jc w:val="center"/>
        <w:rPr>
          <w:rFonts w:ascii="Arial" w:hAnsi="Arial" w:cs="Arial"/>
        </w:rPr>
      </w:pPr>
      <w:r w:rsidRPr="00FA56D3">
        <w:rPr>
          <w:rFonts w:ascii="Arial" w:hAnsi="Arial" w:cs="Arial"/>
          <w:b/>
        </w:rPr>
        <w:t>ANALYSIS</w:t>
      </w:r>
    </w:p>
    <w:p w14:paraId="3F190FFC" w14:textId="77777777" w:rsidR="004F1814" w:rsidRDefault="004F1814" w:rsidP="004F1814">
      <w:pPr>
        <w:jc w:val="both"/>
      </w:pPr>
    </w:p>
    <w:p w14:paraId="09CB5CC5" w14:textId="77777777" w:rsidR="002C0491" w:rsidRDefault="004F1814" w:rsidP="002C0491">
      <w:pPr>
        <w:pStyle w:val="BodyText"/>
        <w:rPr>
          <w:rFonts w:eastAsia="Calibri"/>
        </w:rPr>
      </w:pPr>
      <w:r w:rsidRPr="00784EE3">
        <w:rPr>
          <w:rFonts w:eastAsia="Calibri"/>
        </w:rPr>
        <w:t>EU proposed an ROE of 8.67 percent, based on the cur</w:t>
      </w:r>
      <w:r>
        <w:rPr>
          <w:rFonts w:eastAsia="Calibri"/>
        </w:rPr>
        <w:t>rent leverage formula.</w:t>
      </w:r>
      <w:r>
        <w:rPr>
          <w:rStyle w:val="FootnoteReference"/>
          <w:rFonts w:eastAsia="Calibri"/>
        </w:rPr>
        <w:footnoteReference w:id="18"/>
      </w:r>
      <w:r w:rsidRPr="00784EE3">
        <w:rPr>
          <w:rFonts w:eastAsia="Calibri"/>
        </w:rPr>
        <w:t xml:space="preserve"> (</w:t>
      </w:r>
      <w:r w:rsidR="001F38D0">
        <w:rPr>
          <w:rFonts w:eastAsia="Calibri"/>
        </w:rPr>
        <w:t xml:space="preserve">EU BR 115; </w:t>
      </w:r>
      <w:r w:rsidRPr="00784EE3">
        <w:rPr>
          <w:rFonts w:eastAsia="Calibri"/>
        </w:rPr>
        <w:t xml:space="preserve">EXH 13) The intervening parties did not provide any testimony on this matter. </w:t>
      </w:r>
      <w:r w:rsidR="00FE18BF">
        <w:rPr>
          <w:rFonts w:eastAsia="Calibri"/>
        </w:rPr>
        <w:t>LC</w:t>
      </w:r>
      <w:r w:rsidR="00FE18BF" w:rsidRPr="00784EE3">
        <w:rPr>
          <w:rFonts w:eastAsia="Calibri"/>
        </w:rPr>
        <w:t xml:space="preserve"> </w:t>
      </w:r>
      <w:r w:rsidR="00532246">
        <w:rPr>
          <w:rFonts w:eastAsia="Calibri"/>
        </w:rPr>
        <w:t>argued</w:t>
      </w:r>
      <w:r w:rsidRPr="00784EE3">
        <w:rPr>
          <w:rFonts w:eastAsia="Calibri"/>
        </w:rPr>
        <w:t xml:space="preserve"> that no return on equity is appropriate because the </w:t>
      </w:r>
      <w:r w:rsidR="00532246">
        <w:rPr>
          <w:rFonts w:eastAsia="Calibri"/>
        </w:rPr>
        <w:t>area</w:t>
      </w:r>
      <w:r w:rsidRPr="00784EE3">
        <w:rPr>
          <w:rFonts w:eastAsia="Calibri"/>
        </w:rPr>
        <w:t xml:space="preserve"> should be handled by a governmental entity or a no</w:t>
      </w:r>
      <w:r>
        <w:rPr>
          <w:rFonts w:eastAsia="Calibri"/>
        </w:rPr>
        <w:t>t-for-profit corporation. (LC BR 22</w:t>
      </w:r>
      <w:r w:rsidRPr="00784EE3">
        <w:rPr>
          <w:rFonts w:eastAsia="Calibri"/>
        </w:rPr>
        <w:t xml:space="preserve">) </w:t>
      </w:r>
      <w:r w:rsidR="00C8104D" w:rsidRPr="00C8104D">
        <w:rPr>
          <w:rFonts w:eastAsia="Calibri"/>
        </w:rPr>
        <w:t>No argument was provided by LGIPA’s or PIE’s post-hearing briefs with respect to this issue.</w:t>
      </w:r>
      <w:r w:rsidR="002C0491">
        <w:rPr>
          <w:rFonts w:eastAsia="Calibri"/>
        </w:rPr>
        <w:t xml:space="preserve"> Staff notes that LC’s position on this issue is a general disclaimer that EU should not provide service to the area, and doesn’t speak specifically to the appropriate return on equity.</w:t>
      </w:r>
    </w:p>
    <w:p w14:paraId="3F871EEC" w14:textId="59B2B54D" w:rsidR="004F1814" w:rsidRPr="00784EE3" w:rsidRDefault="002C0491" w:rsidP="002C0491">
      <w:pPr>
        <w:pStyle w:val="BodyText"/>
        <w:rPr>
          <w:rFonts w:eastAsia="Calibri"/>
        </w:rPr>
      </w:pPr>
      <w:r w:rsidRPr="00784EE3">
        <w:rPr>
          <w:rFonts w:eastAsia="Calibri"/>
        </w:rPr>
        <w:t>In its filing, the Utility incorporated customer deposits into its calculation, however, the leverage formula does not consider non-investor sources of funding.</w:t>
      </w:r>
      <w:r>
        <w:rPr>
          <w:rStyle w:val="FootnoteReference"/>
          <w:rFonts w:eastAsia="Calibri"/>
        </w:rPr>
        <w:footnoteReference w:id="19"/>
      </w:r>
      <w:r w:rsidRPr="00784EE3">
        <w:rPr>
          <w:rFonts w:eastAsia="Calibri"/>
        </w:rPr>
        <w:t xml:space="preserve"> Staff recalculated the ROE using only investor sources of funding and recommends an ROE of 8.66 percent with a range of plus or minus 100 basis points and an</w:t>
      </w:r>
      <w:r>
        <w:rPr>
          <w:rFonts w:eastAsia="Calibri"/>
        </w:rPr>
        <w:t xml:space="preserve"> overall cost of capital of 8.63</w:t>
      </w:r>
      <w:r w:rsidRPr="00784EE3">
        <w:rPr>
          <w:rFonts w:eastAsia="Calibri"/>
        </w:rPr>
        <w:t xml:space="preserve"> percent</w:t>
      </w:r>
      <w:r>
        <w:rPr>
          <w:rFonts w:eastAsia="Calibri"/>
        </w:rPr>
        <w:t>, as shown on Schedule No. 2, attached to the recommendation</w:t>
      </w:r>
      <w:r w:rsidR="004F1814">
        <w:rPr>
          <w:rFonts w:eastAsia="Calibri"/>
        </w:rPr>
        <w:t>.</w:t>
      </w:r>
    </w:p>
    <w:p w14:paraId="3DBA1E8C" w14:textId="77777777" w:rsidR="004F1814" w:rsidRPr="00FA56D3" w:rsidRDefault="004F1814" w:rsidP="004F1814">
      <w:pPr>
        <w:jc w:val="center"/>
        <w:rPr>
          <w:rFonts w:ascii="Arial" w:hAnsi="Arial" w:cs="Arial"/>
        </w:rPr>
      </w:pPr>
      <w:r w:rsidRPr="00FA56D3">
        <w:rPr>
          <w:rFonts w:ascii="Arial" w:hAnsi="Arial" w:cs="Arial"/>
          <w:b/>
        </w:rPr>
        <w:t>CONCLUSION</w:t>
      </w:r>
    </w:p>
    <w:p w14:paraId="2832C065" w14:textId="77777777" w:rsidR="004F1814" w:rsidRPr="00781A41" w:rsidRDefault="004F1814" w:rsidP="004F1814">
      <w:pPr>
        <w:jc w:val="both"/>
      </w:pPr>
    </w:p>
    <w:p w14:paraId="3E0BACDF" w14:textId="77777777" w:rsidR="0048338D" w:rsidRDefault="004F1814" w:rsidP="004F1814">
      <w:pPr>
        <w:pStyle w:val="BodyText"/>
      </w:pPr>
      <w:r>
        <w:t>Based on the above, a return on equity o</w:t>
      </w:r>
      <w:r w:rsidRPr="00572A4C">
        <w:t>f 8.66</w:t>
      </w:r>
      <w:r>
        <w:t xml:space="preserve"> percent, with a range of plus or minus 100 basis points, should be approved.</w:t>
      </w:r>
    </w:p>
    <w:p w14:paraId="60F3BA1B" w14:textId="77777777" w:rsidR="0048338D" w:rsidRDefault="0048338D">
      <w:pPr>
        <w:pStyle w:val="IssueHeading"/>
        <w:rPr>
          <w:vanish/>
          <w:specVanish/>
        </w:rPr>
      </w:pPr>
      <w:r w:rsidRPr="004C3641">
        <w:rPr>
          <w:b w:val="0"/>
          <w:i w:val="0"/>
        </w:rPr>
        <w:br w:type="page"/>
      </w:r>
      <w:r w:rsidRPr="004C3641">
        <w:t xml:space="preserve">Issue </w:t>
      </w:r>
      <w:fldSimple w:instr=" SEQ Issue \* MERGEFORMAT ">
        <w:r>
          <w:rPr>
            <w:noProof/>
          </w:rPr>
          <w:t>11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11</w:instrText>
      </w:r>
      <w:r>
        <w:fldChar w:fldCharType="end"/>
      </w:r>
      <w:r>
        <w:tab/>
        <w:instrText xml:space="preserve">" \l 1 </w:instrText>
      </w:r>
      <w:r>
        <w:fldChar w:fldCharType="end"/>
      </w:r>
      <w:r>
        <w:t> </w:t>
      </w:r>
    </w:p>
    <w:p w14:paraId="01378883" w14:textId="77777777" w:rsidR="0048338D" w:rsidRDefault="0048338D">
      <w:pPr>
        <w:pStyle w:val="BodyText"/>
      </w:pPr>
      <w:r>
        <w:t> What are the appropriate rates and rate structures for Environmental Utilities, LLC?</w:t>
      </w:r>
    </w:p>
    <w:p w14:paraId="4A7CAFE1" w14:textId="77777777" w:rsidR="0048338D" w:rsidRPr="004C3641" w:rsidRDefault="0048338D">
      <w:pPr>
        <w:pStyle w:val="IssueSubsectionHeading"/>
        <w:rPr>
          <w:vanish/>
          <w:specVanish/>
        </w:rPr>
      </w:pPr>
      <w:r w:rsidRPr="004C3641">
        <w:t>Recommendation: </w:t>
      </w:r>
    </w:p>
    <w:p w14:paraId="2C741D9D" w14:textId="2BA80995" w:rsidR="0048338D" w:rsidRDefault="0048338D">
      <w:pPr>
        <w:pStyle w:val="BodyText"/>
      </w:pPr>
      <w:r>
        <w:t> </w:t>
      </w:r>
      <w:r w:rsidR="0074383B">
        <w:t>S</w:t>
      </w:r>
      <w:r w:rsidR="0074383B" w:rsidRPr="00353552">
        <w:t xml:space="preserve">taff’s recommended wastewater rates, shown on Schedule No. 4, should be approved. </w:t>
      </w:r>
      <w:r w:rsidR="0074383B">
        <w:t xml:space="preserve">The Utility’s proposal to include a repression adjustment should be denied; therefore, the staff-recommended rates shown on Schedule No. 4 do not include a repression adjustment. </w:t>
      </w:r>
      <w:r w:rsidR="0074383B" w:rsidRPr="00353552">
        <w:t>The rates should be effective for services rendered or connections made on or after the stamped approval date on the tariff sheets, pursuant to Rule 25-30.475, F.A.C. The</w:t>
      </w:r>
      <w:r w:rsidR="0074383B">
        <w:t xml:space="preserve"> </w:t>
      </w:r>
      <w:r w:rsidR="0074383B" w:rsidRPr="00353552">
        <w:t>Utility should be required to charge the approved rates until authorized to change them by the Commission in a subsequent proceeding. (</w:t>
      </w:r>
      <w:r w:rsidR="0074383B">
        <w:t>Sibley</w:t>
      </w:r>
      <w:r w:rsidR="00834321">
        <w:t>, Przygocki</w:t>
      </w:r>
      <w:r w:rsidR="0074383B">
        <w:t>)</w:t>
      </w:r>
    </w:p>
    <w:p w14:paraId="7DA0CAED" w14:textId="77777777" w:rsidR="00B91104" w:rsidRDefault="00B91104" w:rsidP="00B91104">
      <w:pPr>
        <w:pStyle w:val="BodyText"/>
        <w:rPr>
          <w:rFonts w:ascii="Arial" w:hAnsi="Arial" w:cs="Arial"/>
          <w:b/>
          <w:i/>
        </w:rPr>
      </w:pPr>
      <w:r>
        <w:rPr>
          <w:rFonts w:ascii="Arial" w:hAnsi="Arial" w:cs="Arial"/>
          <w:b/>
          <w:i/>
        </w:rPr>
        <w:t>Position of the Parties:</w:t>
      </w:r>
    </w:p>
    <w:p w14:paraId="1C95DD76" w14:textId="77777777" w:rsidR="00FE30E7" w:rsidRPr="00B91104" w:rsidRDefault="00FE30E7" w:rsidP="00FE30E7">
      <w:pPr>
        <w:pStyle w:val="BodyText"/>
        <w:tabs>
          <w:tab w:val="left" w:pos="1080"/>
        </w:tabs>
      </w:pPr>
      <w:r>
        <w:rPr>
          <w:rFonts w:ascii="Arial" w:hAnsi="Arial" w:cs="Arial"/>
          <w:b/>
          <w:i/>
        </w:rPr>
        <w:t>LC:</w:t>
      </w:r>
      <w:r w:rsidRPr="00B91104">
        <w:rPr>
          <w:rFonts w:ascii="Arial" w:hAnsi="Arial" w:cs="Arial"/>
        </w:rPr>
        <w:tab/>
      </w:r>
      <w:r>
        <w:t>Not Applicable.</w:t>
      </w:r>
    </w:p>
    <w:p w14:paraId="3C5DB8FB" w14:textId="010D0C77" w:rsidR="00FE30E7" w:rsidRPr="00B91104" w:rsidRDefault="00FE30E7" w:rsidP="00FE30E7">
      <w:pPr>
        <w:pStyle w:val="BodyText"/>
        <w:tabs>
          <w:tab w:val="left" w:pos="1080"/>
        </w:tabs>
      </w:pPr>
      <w:r>
        <w:rPr>
          <w:rFonts w:ascii="Arial" w:hAnsi="Arial" w:cs="Arial"/>
          <w:b/>
          <w:i/>
        </w:rPr>
        <w:t>LGIPA:</w:t>
      </w:r>
      <w:r w:rsidRPr="00B91104">
        <w:rPr>
          <w:rFonts w:ascii="Arial" w:hAnsi="Arial" w:cs="Arial"/>
        </w:rPr>
        <w:tab/>
      </w:r>
      <w:r w:rsidR="00735927">
        <w:t>LGIPA adopts the position of PIE and LC</w:t>
      </w:r>
      <w:r w:rsidR="00F92EC0" w:rsidRPr="00F92EC0">
        <w:t>.</w:t>
      </w:r>
    </w:p>
    <w:p w14:paraId="728E491A" w14:textId="1D47B888" w:rsidR="00FE30E7" w:rsidRPr="00B91104" w:rsidRDefault="00FE30E7" w:rsidP="00FE30E7">
      <w:pPr>
        <w:pStyle w:val="BodyText"/>
        <w:tabs>
          <w:tab w:val="left" w:pos="1080"/>
        </w:tabs>
      </w:pPr>
      <w:r>
        <w:rPr>
          <w:rFonts w:ascii="Arial" w:hAnsi="Arial" w:cs="Arial"/>
          <w:b/>
          <w:i/>
        </w:rPr>
        <w:t>PIE:</w:t>
      </w:r>
      <w:r w:rsidRPr="00B91104">
        <w:rPr>
          <w:rFonts w:ascii="Arial" w:hAnsi="Arial" w:cs="Arial"/>
        </w:rPr>
        <w:tab/>
      </w:r>
      <w:r>
        <w:t xml:space="preserve">PIE specifically adopts the position taken by </w:t>
      </w:r>
      <w:r w:rsidR="00913EC8">
        <w:t>LGIPA</w:t>
      </w:r>
      <w:r>
        <w:t xml:space="preserve"> and Linda B. </w:t>
      </w:r>
      <w:proofErr w:type="spellStart"/>
      <w:r>
        <w:t>Cotherman</w:t>
      </w:r>
      <w:proofErr w:type="spellEnd"/>
      <w:r>
        <w:t xml:space="preserve"> regarding this topic</w:t>
      </w:r>
    </w:p>
    <w:p w14:paraId="57975511" w14:textId="77777777" w:rsidR="00FE30E7" w:rsidRPr="00A04277" w:rsidRDefault="00FE30E7" w:rsidP="00FE30E7">
      <w:pPr>
        <w:tabs>
          <w:tab w:val="left" w:pos="1080"/>
        </w:tabs>
        <w:spacing w:after="200" w:line="276" w:lineRule="auto"/>
        <w:contextualSpacing/>
        <w:jc w:val="both"/>
        <w:outlineLvl w:val="2"/>
      </w:pPr>
      <w:r>
        <w:rPr>
          <w:rFonts w:ascii="Arial" w:hAnsi="Arial" w:cs="Arial"/>
          <w:b/>
          <w:i/>
        </w:rPr>
        <w:t>EU:</w:t>
      </w:r>
      <w:r>
        <w:rPr>
          <w:rFonts w:ascii="Arial" w:hAnsi="Arial" w:cs="Arial"/>
        </w:rPr>
        <w:tab/>
      </w:r>
      <w:r w:rsidRPr="00A04277">
        <w:t>Base Facility Charge: 5/8” x 3/4" …………</w:t>
      </w:r>
      <w:proofErr w:type="gramStart"/>
      <w:r w:rsidRPr="00A04277">
        <w:t>…  $</w:t>
      </w:r>
      <w:proofErr w:type="gramEnd"/>
      <w:r w:rsidRPr="00A04277">
        <w:t xml:space="preserve"> </w:t>
      </w:r>
      <w:r>
        <w:t>109.29</w:t>
      </w:r>
    </w:p>
    <w:p w14:paraId="63A7594C" w14:textId="77777777" w:rsidR="00FE30E7" w:rsidRPr="00A04277" w:rsidRDefault="00FE30E7" w:rsidP="00FE30E7">
      <w:pPr>
        <w:tabs>
          <w:tab w:val="left" w:pos="1080"/>
        </w:tabs>
        <w:spacing w:line="276" w:lineRule="auto"/>
        <w:ind w:left="1080"/>
        <w:contextualSpacing/>
        <w:jc w:val="both"/>
        <w:outlineLvl w:val="2"/>
      </w:pPr>
      <w:r w:rsidRPr="00A04277">
        <w:t>[</w:t>
      </w:r>
      <w:proofErr w:type="gramStart"/>
      <w:r w:rsidRPr="00A04277">
        <w:t>all</w:t>
      </w:r>
      <w:proofErr w:type="gramEnd"/>
      <w:r w:rsidRPr="00A04277">
        <w:t xml:space="preserve"> other meter sizes to be increased pursuant to Rule 25-30.055(1)(b), F.A.C.]</w:t>
      </w:r>
    </w:p>
    <w:p w14:paraId="26199692" w14:textId="77777777" w:rsidR="00FE30E7" w:rsidRPr="00A04277" w:rsidRDefault="00FE30E7" w:rsidP="00FE30E7">
      <w:pPr>
        <w:tabs>
          <w:tab w:val="left" w:pos="1080"/>
        </w:tabs>
        <w:spacing w:line="276" w:lineRule="auto"/>
        <w:ind w:left="1080"/>
        <w:contextualSpacing/>
        <w:jc w:val="both"/>
        <w:outlineLvl w:val="2"/>
      </w:pPr>
      <w:r w:rsidRPr="00A04277">
        <w:t xml:space="preserve">Residential Gallonage Charge (10,000 cap) …… $   </w:t>
      </w:r>
      <w:r>
        <w:t>18.82</w:t>
      </w:r>
    </w:p>
    <w:p w14:paraId="3EB23056" w14:textId="77777777" w:rsidR="00FE30E7" w:rsidRDefault="00FE30E7" w:rsidP="00FE30E7">
      <w:pPr>
        <w:pStyle w:val="BodyText"/>
        <w:tabs>
          <w:tab w:val="left" w:pos="1080"/>
        </w:tabs>
        <w:ind w:left="1080"/>
      </w:pPr>
      <w:r w:rsidRPr="00A04277">
        <w:t xml:space="preserve">General Service Gallonage Charge …………….. $   </w:t>
      </w:r>
      <w:r>
        <w:t>22.59</w:t>
      </w:r>
    </w:p>
    <w:p w14:paraId="54F53027" w14:textId="77777777" w:rsidR="0048338D" w:rsidRPr="004C3641" w:rsidRDefault="0048338D" w:rsidP="00184879">
      <w:pPr>
        <w:pStyle w:val="IssueSubsectionHeading"/>
        <w:rPr>
          <w:vanish/>
          <w:specVanish/>
        </w:rPr>
      </w:pPr>
      <w:r w:rsidRPr="004C3641">
        <w:t>Staff Analysis: </w:t>
      </w:r>
    </w:p>
    <w:p w14:paraId="5D452AFF" w14:textId="77777777" w:rsidR="0074383B" w:rsidRDefault="0048338D" w:rsidP="0074383B">
      <w:pPr>
        <w:pStyle w:val="BodyText"/>
        <w:spacing w:after="0"/>
      </w:pPr>
      <w:r>
        <w:t> </w:t>
      </w:r>
    </w:p>
    <w:p w14:paraId="418F68E1" w14:textId="77777777" w:rsidR="00570A0E" w:rsidRPr="0030232D" w:rsidRDefault="00570A0E" w:rsidP="00570A0E">
      <w:pPr>
        <w:keepNext/>
        <w:spacing w:before="240" w:after="240"/>
        <w:jc w:val="center"/>
        <w:rPr>
          <w:rFonts w:ascii="Arial" w:hAnsi="Arial" w:cs="Arial"/>
          <w:b/>
        </w:rPr>
      </w:pPr>
      <w:r>
        <w:rPr>
          <w:rFonts w:ascii="Arial" w:hAnsi="Arial" w:cs="Arial"/>
          <w:b/>
        </w:rPr>
        <w:t>ANALYSIS</w:t>
      </w:r>
    </w:p>
    <w:p w14:paraId="16048394" w14:textId="77777777" w:rsidR="002C0491" w:rsidRDefault="002C0491" w:rsidP="002C0491">
      <w:pPr>
        <w:jc w:val="both"/>
      </w:pPr>
      <w:r>
        <w:t>LGIPA and PIE adopted the position of LC. (LGIPA BR 3; PIE BR 16) LC argued that the estimated residential billing is neither a fair nor equitable rate. Specifically, LC noted that the SMP’s formula for determining an equitable monthly bill results in a $113 per month bill for sewer alone. However, the projected BFC for EU will be $109 per month without any volumetric use and thus will inevitably exceed the ceiling established by the SMP. The rates are discussed more fully in the following Projected Rates and Rate Structure section.</w:t>
      </w:r>
    </w:p>
    <w:p w14:paraId="00F6625A" w14:textId="77777777" w:rsidR="002C0491" w:rsidRDefault="002C0491" w:rsidP="002C0491">
      <w:pPr>
        <w:pStyle w:val="First-LevelSubheading"/>
        <w:rPr>
          <w:rFonts w:ascii="Times New Roman" w:hAnsi="Times New Roman" w:cs="Times New Roman"/>
          <w:b w:val="0"/>
        </w:rPr>
      </w:pPr>
    </w:p>
    <w:p w14:paraId="0727D078" w14:textId="77777777" w:rsidR="002C0491" w:rsidRDefault="002C0491" w:rsidP="002C0491">
      <w:pPr>
        <w:pStyle w:val="First-LevelSubheading"/>
      </w:pPr>
      <w:r>
        <w:t>Projected Rate Base</w:t>
      </w:r>
    </w:p>
    <w:p w14:paraId="774CF826" w14:textId="1D7540CC" w:rsidR="004F1814" w:rsidRPr="00A223D1" w:rsidRDefault="002C0491" w:rsidP="002C0491">
      <w:pPr>
        <w:pStyle w:val="BodyText"/>
      </w:pPr>
      <w:r w:rsidRPr="00A223D1">
        <w:t>Consistent</w:t>
      </w:r>
      <w:r w:rsidR="004F1814" w:rsidRPr="00A223D1">
        <w:t xml:space="preserve"> with Commission practice in applications for original certificates, rate base is identified only as a tool to aid in setting initial rates and is not intended to formally establish rate base.</w:t>
      </w:r>
      <w:r w:rsidR="004F1814">
        <w:rPr>
          <w:rStyle w:val="FootnoteReference"/>
        </w:rPr>
        <w:footnoteReference w:id="20"/>
      </w:r>
      <w:r w:rsidR="004F1814" w:rsidRPr="00A223D1">
        <w:t xml:space="preserve"> Based on </w:t>
      </w:r>
      <w:r w:rsidR="004F1814">
        <w:t>EU</w:t>
      </w:r>
      <w:r w:rsidR="004F1814" w:rsidRPr="00A223D1">
        <w:t xml:space="preserve">’s growth projections, the Utility originally anticipated operating at 80 percent of its </w:t>
      </w:r>
      <w:r w:rsidR="004F1814">
        <w:t>design capacity in 2034, but</w:t>
      </w:r>
      <w:r w:rsidR="004F1814" w:rsidRPr="00A223D1">
        <w:t xml:space="preserve"> </w:t>
      </w:r>
      <w:r w:rsidR="004F1814">
        <w:t xml:space="preserve">it subsequently </w:t>
      </w:r>
      <w:r w:rsidR="004F1814" w:rsidRPr="00A223D1">
        <w:t>updated that year to be 2038</w:t>
      </w:r>
      <w:r w:rsidR="004F1814">
        <w:t xml:space="preserve"> through rebuttal testimony</w:t>
      </w:r>
      <w:r w:rsidR="004F1814" w:rsidRPr="00A223D1">
        <w:t xml:space="preserve">. </w:t>
      </w:r>
      <w:r w:rsidR="004F1814">
        <w:t xml:space="preserve">(TR 361) </w:t>
      </w:r>
      <w:r w:rsidR="004F1814" w:rsidRPr="00A223D1">
        <w:t>The Utility’s proposed wastewater rate base calculations, as well as staff adjustments, are described below.</w:t>
      </w:r>
    </w:p>
    <w:p w14:paraId="5ED8BC4B" w14:textId="48057F39" w:rsidR="004F1814" w:rsidRDefault="004F1814" w:rsidP="004F1814">
      <w:pPr>
        <w:pStyle w:val="BodyText"/>
      </w:pPr>
      <w:r>
        <w:t>In its original filing, the Utility proposed a utility plant in service</w:t>
      </w:r>
      <w:r w:rsidR="009E4E86">
        <w:t xml:space="preserve"> (UPIS)</w:t>
      </w:r>
      <w:r>
        <w:t xml:space="preserve"> balance of $20,900,608. (EXH 13) </w:t>
      </w:r>
      <w:r w:rsidR="00D102BA">
        <w:t>In</w:t>
      </w:r>
      <w:r>
        <w:t xml:space="preserve"> rebuttal testimony</w:t>
      </w:r>
      <w:r w:rsidR="00D102BA">
        <w:t>,</w:t>
      </w:r>
      <w:r>
        <w:t xml:space="preserve"> witness Swain provided an updated UPIS balance of $20,329,767. (EXH 39) As discussed in EU witness Cole’s rebuttal testimony, the cost estimates have been updated based on a revised layout and recent unit prices. (TR 310) Staff agrees with the Utility updates to UPIS. As such, staff recommends a decrease of $565,362 to UPIS. Based on the above, staff recommends a total UPIS balance of $20,335,246.</w:t>
      </w:r>
    </w:p>
    <w:p w14:paraId="3BBC7811" w14:textId="46C912B0" w:rsidR="004F1814" w:rsidRDefault="004F1814" w:rsidP="004F1814">
      <w:pPr>
        <w:pStyle w:val="BodyText"/>
      </w:pPr>
      <w:r>
        <w:t>In its filing, EU proposed a balance of $800,000 in land. (EXH 13) The Utility provided no updates to its land balance from its original filing. Staff does not have any adjustments to land. Based on the above, staff recommends a land b</w:t>
      </w:r>
      <w:r w:rsidR="00913EC8">
        <w:t>alance of $800,000 be approved.</w:t>
      </w:r>
    </w:p>
    <w:p w14:paraId="4856F074" w14:textId="1206828B" w:rsidR="004F1814" w:rsidRDefault="004F1814" w:rsidP="004F1814">
      <w:pPr>
        <w:pStyle w:val="BodyText"/>
      </w:pPr>
      <w:r w:rsidRPr="00D50CEC">
        <w:t xml:space="preserve">In its filing, the Utility proposed an accumulated depreciation balance of $9,919,052. (EXH 13) </w:t>
      </w:r>
      <w:r w:rsidR="00040864">
        <w:t>In</w:t>
      </w:r>
      <w:r>
        <w:t xml:space="preserve"> rebuttal</w:t>
      </w:r>
      <w:r w:rsidR="00040864">
        <w:t>,</w:t>
      </w:r>
      <w:r>
        <w:t xml:space="preserve"> </w:t>
      </w:r>
      <w:r w:rsidR="00040864">
        <w:t>witness Swain</w:t>
      </w:r>
      <w:r>
        <w:t xml:space="preserve"> provided an updated accumulated depreciation balance of </w:t>
      </w:r>
      <w:r w:rsidRPr="00B11D69">
        <w:t>$</w:t>
      </w:r>
      <w:r>
        <w:t>9,933,997. (EXH 39) S</w:t>
      </w:r>
      <w:r>
        <w:rPr>
          <w:rFonts w:ascii="TimesNewRomanPSMT" w:hAnsi="TimesNewRomanPSMT" w:cs="TimesNewRomanPSMT"/>
        </w:rPr>
        <w:t>taff recalculated accumulated depreciation using the depreciation rates established by Rule 25-30.140, F.A.C.</w:t>
      </w:r>
      <w:r w:rsidR="00F62213">
        <w:rPr>
          <w:rFonts w:ascii="TimesNewRomanPSMT" w:hAnsi="TimesNewRomanPSMT" w:cs="TimesNewRomanPSMT"/>
        </w:rPr>
        <w:t>,</w:t>
      </w:r>
      <w:r>
        <w:rPr>
          <w:rFonts w:ascii="TimesNewRomanPSMT" w:hAnsi="TimesNewRomanPSMT" w:cs="TimesNewRomanPSMT"/>
        </w:rPr>
        <w:t xml:space="preserve"> based on the adjustments made to plant in service as described above. As a result,</w:t>
      </w:r>
      <w:r>
        <w:t xml:space="preserve"> s</w:t>
      </w:r>
      <w:r w:rsidRPr="00D50CEC">
        <w:t>taff recommends a</w:t>
      </w:r>
      <w:r>
        <w:t xml:space="preserve"> decrease</w:t>
      </w:r>
      <w:r w:rsidRPr="00D50CEC">
        <w:t xml:space="preserve"> to accumulated depreciation of</w:t>
      </w:r>
      <w:r w:rsidRPr="00B11D69">
        <w:t xml:space="preserve"> $</w:t>
      </w:r>
      <w:r>
        <w:t>464,552. Based on the above</w:t>
      </w:r>
      <w:r w:rsidRPr="00D50CEC">
        <w:t xml:space="preserve">, staff recommends an accumulated depreciation balance of </w:t>
      </w:r>
      <w:r w:rsidRPr="00B11D69">
        <w:t>$</w:t>
      </w:r>
      <w:r>
        <w:t>9,454,500</w:t>
      </w:r>
      <w:r w:rsidRPr="00B11D69">
        <w:t>.</w:t>
      </w:r>
    </w:p>
    <w:p w14:paraId="4A536888" w14:textId="02787F78" w:rsidR="004F1814" w:rsidRDefault="004F1814" w:rsidP="004F1814">
      <w:pPr>
        <w:pStyle w:val="BodyText"/>
      </w:pPr>
      <w:r w:rsidRPr="00D50CEC">
        <w:t>In its</w:t>
      </w:r>
      <w:r>
        <w:t xml:space="preserve"> original filing, the Utility proposed</w:t>
      </w:r>
      <w:r w:rsidRPr="00D50CEC">
        <w:t xml:space="preserve"> contributions in aid of construction (CIAC) and accumulated amortization of CIAC balance</w:t>
      </w:r>
      <w:r>
        <w:t>s</w:t>
      </w:r>
      <w:r w:rsidRPr="00D50CEC">
        <w:t xml:space="preserve"> of $</w:t>
      </w:r>
      <w:r>
        <w:t>16,153,462</w:t>
      </w:r>
      <w:r w:rsidRPr="00D50CEC">
        <w:t xml:space="preserve"> and $</w:t>
      </w:r>
      <w:r>
        <w:t>7,230,578</w:t>
      </w:r>
      <w:r w:rsidRPr="00D50CEC">
        <w:t>, respectively.</w:t>
      </w:r>
      <w:r>
        <w:t xml:space="preserve"> (EXH 13) </w:t>
      </w:r>
      <w:r w:rsidR="005B6700">
        <w:t>In</w:t>
      </w:r>
      <w:r>
        <w:t xml:space="preserve"> rebuttal</w:t>
      </w:r>
      <w:r w:rsidR="005B6700">
        <w:t>,</w:t>
      </w:r>
      <w:r>
        <w:t xml:space="preserve"> witness Swain provided updated balances of $16,967,390 and $6,980,166 for CIAC and </w:t>
      </w:r>
      <w:r w:rsidRPr="00D50CEC">
        <w:t>accumulated amortization of CIAC</w:t>
      </w:r>
      <w:r>
        <w:t>, respectively. (EXH 39) Based on staff’s recommended connection fees,</w:t>
      </w:r>
      <w:r w:rsidRPr="00D50CEC">
        <w:t xml:space="preserve"> </w:t>
      </w:r>
      <w:r>
        <w:t xml:space="preserve">staff has recalculated CIAC and accumulated amortization of CIAC. As such, staff recommends a balance of </w:t>
      </w:r>
      <w:r w:rsidRPr="00CA5643">
        <w:t>$16,967,393 and $7,558,202</w:t>
      </w:r>
      <w:r>
        <w:t xml:space="preserve"> for CIAC and accumulated amortization of CIAC, respectively.</w:t>
      </w:r>
    </w:p>
    <w:p w14:paraId="7CDE13CD" w14:textId="5433E67F" w:rsidR="004F1814" w:rsidRDefault="004F1814" w:rsidP="004F1814">
      <w:pPr>
        <w:pStyle w:val="BodyText"/>
      </w:pPr>
      <w:r w:rsidRPr="00D50CEC">
        <w:t xml:space="preserve">In its </w:t>
      </w:r>
      <w:r>
        <w:t xml:space="preserve">original </w:t>
      </w:r>
      <w:r w:rsidRPr="00D50CEC">
        <w:t>filing, the Utility proposed a working cap</w:t>
      </w:r>
      <w:r>
        <w:t>ital balance of $174,443. (EXH 13</w:t>
      </w:r>
      <w:r w:rsidRPr="00D50CEC">
        <w:t>)</w:t>
      </w:r>
      <w:r>
        <w:t xml:space="preserve"> This total was calculated using the balance sheet method consistent with Rule 25-30.433(3)</w:t>
      </w:r>
      <w:r w:rsidR="00BA53D7">
        <w:t>, F.A.C.,</w:t>
      </w:r>
      <w:r>
        <w:t xml:space="preserve"> for Class A utilities.</w:t>
      </w:r>
      <w:r w:rsidRPr="00D50CEC">
        <w:t xml:space="preserve"> </w:t>
      </w:r>
      <w:r>
        <w:t>Staff does not have any adjustments to working capital. As such, staff recommends a working capital balance of $174,443 should be approved.</w:t>
      </w:r>
    </w:p>
    <w:p w14:paraId="6EAA9CFA" w14:textId="77777777" w:rsidR="004F1814" w:rsidRDefault="004F1814" w:rsidP="004F1814">
      <w:pPr>
        <w:pStyle w:val="BodyText"/>
      </w:pPr>
      <w:r w:rsidRPr="00D50CEC">
        <w:t>In total, EU proposed a rate base of $</w:t>
      </w:r>
      <w:r>
        <w:t>3,033,115. (EXH 13</w:t>
      </w:r>
      <w:r w:rsidRPr="00D50CEC">
        <w:t>) Based on the adjustments discussed above, staff recommends that</w:t>
      </w:r>
      <w:r>
        <w:t xml:space="preserve"> rate base be decreased by </w:t>
      </w:r>
      <w:r w:rsidRPr="00CA5643">
        <w:t>$587,117</w:t>
      </w:r>
      <w:r>
        <w:t>.</w:t>
      </w:r>
      <w:r w:rsidRPr="00D50CEC">
        <w:t xml:space="preserve"> As such, staff recommends an adjusted rate base of</w:t>
      </w:r>
      <w:r>
        <w:t xml:space="preserve"> </w:t>
      </w:r>
      <w:r w:rsidRPr="00CA5643">
        <w:t>$2,445,998</w:t>
      </w:r>
      <w:r>
        <w:t>.</w:t>
      </w:r>
      <w:r w:rsidRPr="00D50CEC">
        <w:t xml:space="preserve"> Rate base calculations are shown on Schedule No. 1-A. Staff’s adjustments are shown on Schedule No. 1-B.</w:t>
      </w:r>
    </w:p>
    <w:p w14:paraId="22550641" w14:textId="77777777" w:rsidR="004F1814" w:rsidRDefault="004F1814" w:rsidP="004F1814">
      <w:pPr>
        <w:pStyle w:val="First-LevelSubheading"/>
      </w:pPr>
      <w:r>
        <w:t>Net Operating Income</w:t>
      </w:r>
    </w:p>
    <w:p w14:paraId="32DDA097" w14:textId="7E19C8C7" w:rsidR="004F1814" w:rsidRDefault="004F1814" w:rsidP="004F1814">
      <w:pPr>
        <w:pStyle w:val="BodyText"/>
      </w:pPr>
      <w:r>
        <w:t xml:space="preserve">In its original filing, the Utility requested net operating income (NOI) of $262,292. (EXH 13) </w:t>
      </w:r>
      <w:r w:rsidR="00D56503">
        <w:t>In</w:t>
      </w:r>
      <w:r>
        <w:t xml:space="preserve"> rebuttal</w:t>
      </w:r>
      <w:r w:rsidR="00D56503">
        <w:t>, witness Swain updated</w:t>
      </w:r>
      <w:r>
        <w:t xml:space="preserve"> EU</w:t>
      </w:r>
      <w:r w:rsidR="00D56503">
        <w:t xml:space="preserve">’s </w:t>
      </w:r>
      <w:r>
        <w:t xml:space="preserve">requested NOI to $119,320. (EXH 39) Based on the adjustments above, staff recommends an NOI of $211,074. Staff’s recommended NOI </w:t>
      </w:r>
      <w:r w:rsidRPr="00FA7992">
        <w:t>reflects the full return on investment resulting from recommended projections of rate base and overall cost of capital. The projected NOI is shown in Schedule No. 3-A.</w:t>
      </w:r>
    </w:p>
    <w:p w14:paraId="7B668470" w14:textId="77777777" w:rsidR="004F1814" w:rsidRDefault="004F1814" w:rsidP="004F1814">
      <w:pPr>
        <w:pStyle w:val="First-LevelSubheading"/>
      </w:pPr>
      <w:r>
        <w:t>Operation and Maintenance Expense</w:t>
      </w:r>
    </w:p>
    <w:p w14:paraId="26F3B6BF" w14:textId="0AB50460" w:rsidR="004F1814" w:rsidRDefault="004F1814" w:rsidP="004F1814">
      <w:pPr>
        <w:pStyle w:val="BodyText"/>
      </w:pPr>
      <w:r>
        <w:t xml:space="preserve">In its original filing, EU proposed total </w:t>
      </w:r>
      <w:r w:rsidR="00363E2B">
        <w:t>operation and maintenance (</w:t>
      </w:r>
      <w:r>
        <w:t>O&amp;M</w:t>
      </w:r>
      <w:r w:rsidR="00363E2B">
        <w:t>)</w:t>
      </w:r>
      <w:r>
        <w:t xml:space="preserve"> expense of $1,071,003. (EXH 13) </w:t>
      </w:r>
      <w:r w:rsidR="00D27652">
        <w:t>In</w:t>
      </w:r>
      <w:r w:rsidRPr="00F96130">
        <w:t xml:space="preserve"> rebuttal</w:t>
      </w:r>
      <w:r w:rsidR="00D27652">
        <w:t>, witness Swain</w:t>
      </w:r>
      <w:r>
        <w:t xml:space="preserve"> provided an updated total O&amp;M expense projection of $1,202,516.</w:t>
      </w:r>
      <w:r w:rsidRPr="00F96130">
        <w:t xml:space="preserve"> (EXH 39)</w:t>
      </w:r>
      <w:r>
        <w:t xml:space="preserve"> As discussed </w:t>
      </w:r>
      <w:r w:rsidR="00D27652">
        <w:t xml:space="preserve">by </w:t>
      </w:r>
      <w:r>
        <w:t xml:space="preserve">witness Swain, the increase in O&amp;M </w:t>
      </w:r>
      <w:r w:rsidR="0055118C">
        <w:t>e</w:t>
      </w:r>
      <w:r>
        <w:t xml:space="preserve">xpense is due to the 80 percent capacity year being shifted from 2034 to 2038, leading to extra years of inflation for the expenses. </w:t>
      </w:r>
      <w:r w:rsidRPr="001F6F24">
        <w:t>(TR 360-361)</w:t>
      </w:r>
      <w:r>
        <w:t xml:space="preserve"> Staff believes the costs projected in witness Swain’s rebuttal testimony are reasonable. Therefore, staff recommends an adjustment of $131,513 to total O&amp;M expense, reflecting the updated O&amp;M projections. As such, staff recommends a t</w:t>
      </w:r>
      <w:r w:rsidR="00913EC8">
        <w:t>otal O&amp;M expense of $1,202,516.</w:t>
      </w:r>
    </w:p>
    <w:p w14:paraId="6EB6932D" w14:textId="77777777" w:rsidR="004F1814" w:rsidRDefault="004F1814" w:rsidP="004F1814">
      <w:pPr>
        <w:pStyle w:val="First-LevelSubheading"/>
      </w:pPr>
      <w:r>
        <w:t>Net Depreciation Expense</w:t>
      </w:r>
    </w:p>
    <w:p w14:paraId="6D3924B9" w14:textId="681023E6" w:rsidR="004F1814" w:rsidRDefault="004F1814" w:rsidP="004F1814">
      <w:pPr>
        <w:pStyle w:val="BodyText"/>
      </w:pPr>
      <w:r>
        <w:t>In its original filing, t</w:t>
      </w:r>
      <w:r w:rsidRPr="00724E2B">
        <w:t xml:space="preserve">he Utility reflected </w:t>
      </w:r>
      <w:r>
        <w:t xml:space="preserve">net </w:t>
      </w:r>
      <w:r w:rsidRPr="00724E2B">
        <w:t>depreciation ex</w:t>
      </w:r>
      <w:r>
        <w:t>pense</w:t>
      </w:r>
      <w:r w:rsidRPr="00724E2B">
        <w:t xml:space="preserve"> of </w:t>
      </w:r>
      <w:r>
        <w:t>$216,798. (EXH 13</w:t>
      </w:r>
      <w:r w:rsidRPr="00724E2B">
        <w:t xml:space="preserve">) </w:t>
      </w:r>
      <w:r w:rsidR="002B7ABC">
        <w:t>In</w:t>
      </w:r>
      <w:r>
        <w:t xml:space="preserve"> rebuttal, </w:t>
      </w:r>
      <w:r w:rsidR="002B7ABC">
        <w:t>witness Swain</w:t>
      </w:r>
      <w:r>
        <w:t xml:space="preserve"> provided an updated net </w:t>
      </w:r>
      <w:r w:rsidRPr="009E145E">
        <w:t>depreciation expense</w:t>
      </w:r>
      <w:r>
        <w:t xml:space="preserve"> of $246,605 (EXH 39) </w:t>
      </w:r>
      <w:r w:rsidRPr="00724E2B">
        <w:t>Based on staff’s adjustments to rate base</w:t>
      </w:r>
      <w:r>
        <w:t xml:space="preserve"> and accumulated depreciation</w:t>
      </w:r>
      <w:r w:rsidRPr="00724E2B">
        <w:t xml:space="preserve">, corresponding adjustments should be made to </w:t>
      </w:r>
      <w:r>
        <w:t>decrease</w:t>
      </w:r>
      <w:r w:rsidRPr="00724E2B">
        <w:t xml:space="preserve"> </w:t>
      </w:r>
      <w:r>
        <w:t xml:space="preserve">net </w:t>
      </w:r>
      <w:r w:rsidRPr="00724E2B">
        <w:t>depreciation</w:t>
      </w:r>
      <w:r>
        <w:t xml:space="preserve"> expense </w:t>
      </w:r>
      <w:r w:rsidRPr="00724E2B">
        <w:t xml:space="preserve">by </w:t>
      </w:r>
      <w:r>
        <w:t>$59,866.</w:t>
      </w:r>
      <w:r w:rsidRPr="00724E2B">
        <w:t xml:space="preserve"> </w:t>
      </w:r>
      <w:r>
        <w:t>As such, staff recommends</w:t>
      </w:r>
      <w:r w:rsidRPr="00724E2B">
        <w:t xml:space="preserve"> net depreciation expense of </w:t>
      </w:r>
      <w:r>
        <w:t>$156,932.</w:t>
      </w:r>
    </w:p>
    <w:p w14:paraId="4442C551" w14:textId="77777777" w:rsidR="004F1814" w:rsidRDefault="004F1814" w:rsidP="004F1814">
      <w:pPr>
        <w:pStyle w:val="First-LevelSubheading"/>
      </w:pPr>
      <w:r>
        <w:t>Amortization Expense</w:t>
      </w:r>
    </w:p>
    <w:p w14:paraId="509894DC" w14:textId="7AD66644" w:rsidR="004F1814" w:rsidRPr="004C0F6D" w:rsidRDefault="004F1814" w:rsidP="004F1814">
      <w:pPr>
        <w:pStyle w:val="BodyText"/>
      </w:pPr>
      <w:r>
        <w:t>In its original filing, EU requested</w:t>
      </w:r>
      <w:r w:rsidRPr="004C0F6D">
        <w:t xml:space="preserve"> $17,644</w:t>
      </w:r>
      <w:r>
        <w:t xml:space="preserve"> of amortization expense. (EXH 13) </w:t>
      </w:r>
      <w:r w:rsidR="00347C71">
        <w:t>In</w:t>
      </w:r>
      <w:r w:rsidRPr="00F96130">
        <w:t xml:space="preserve"> rebuttal</w:t>
      </w:r>
      <w:r w:rsidR="00347C71">
        <w:t>, witness Swain</w:t>
      </w:r>
      <w:r w:rsidRPr="00F96130">
        <w:t xml:space="preserve"> </w:t>
      </w:r>
      <w:r>
        <w:t xml:space="preserve">updated </w:t>
      </w:r>
      <w:r w:rsidR="00347C71">
        <w:t>EU’s</w:t>
      </w:r>
      <w:r>
        <w:t xml:space="preserve"> amortization expense to $18,993. (EXH 39) Staff recommends an amortization expense of $18,993 be approved.</w:t>
      </w:r>
    </w:p>
    <w:p w14:paraId="08938CFF" w14:textId="77777777" w:rsidR="004F1814" w:rsidRDefault="004F1814" w:rsidP="004F1814">
      <w:pPr>
        <w:pStyle w:val="First-LevelSubheading"/>
      </w:pPr>
      <w:r>
        <w:t>Taxes Other Than Income</w:t>
      </w:r>
    </w:p>
    <w:p w14:paraId="1F94DAA5" w14:textId="1C633F47" w:rsidR="004F1814" w:rsidRDefault="004F1814" w:rsidP="004F1814">
      <w:pPr>
        <w:pStyle w:val="BodyText"/>
      </w:pPr>
      <w:r w:rsidRPr="00BD66D3">
        <w:t xml:space="preserve">In its </w:t>
      </w:r>
      <w:r w:rsidR="00EE2A0B">
        <w:t xml:space="preserve">original </w:t>
      </w:r>
      <w:r w:rsidRPr="00BD66D3">
        <w:t>filing, the Utility included</w:t>
      </w:r>
      <w:r>
        <w:t xml:space="preserve"> total</w:t>
      </w:r>
      <w:r w:rsidRPr="00BD66D3">
        <w:t xml:space="preserve"> taxes other than income (TOTI) expense of $</w:t>
      </w:r>
      <w:r>
        <w:t>245,479</w:t>
      </w:r>
      <w:r w:rsidRPr="00BD66D3">
        <w:t>.</w:t>
      </w:r>
      <w:r>
        <w:t xml:space="preserve"> (EXH 13) </w:t>
      </w:r>
      <w:r w:rsidR="00EE2A0B">
        <w:t>In</w:t>
      </w:r>
      <w:r w:rsidRPr="00BD66D3">
        <w:t xml:space="preserve"> rebuttal</w:t>
      </w:r>
      <w:r w:rsidR="00EE2A0B">
        <w:t>, witness Swain</w:t>
      </w:r>
      <w:r w:rsidRPr="00BD66D3">
        <w:t xml:space="preserve"> </w:t>
      </w:r>
      <w:r>
        <w:t xml:space="preserve">provided an updated TOTI amount of $237,588, which is a total decrease of $7,891 corresponding to the decreased revenue requirement in her filing. (EXH 39) </w:t>
      </w:r>
      <w:r w:rsidRPr="00BD66D3">
        <w:t xml:space="preserve">Staff has recalculated the property tax expense based on the recommended UPIS and accumulated depreciation balances and recommends an adjustment be made to </w:t>
      </w:r>
      <w:r>
        <w:t>decrease</w:t>
      </w:r>
      <w:r w:rsidRPr="00BD66D3">
        <w:t xml:space="preserve"> TOTI by </w:t>
      </w:r>
      <w:r>
        <w:t>$6,335</w:t>
      </w:r>
      <w:r w:rsidRPr="00BD66D3">
        <w:t>. Additiona</w:t>
      </w:r>
      <w:r>
        <w:t>lly, staff recommends decreasing</w:t>
      </w:r>
      <w:r w:rsidRPr="00BD66D3">
        <w:t xml:space="preserve"> </w:t>
      </w:r>
      <w:r w:rsidR="0030726F">
        <w:t>regulatory assessment fee</w:t>
      </w:r>
      <w:r w:rsidRPr="00BD66D3">
        <w:t xml:space="preserve">s by </w:t>
      </w:r>
      <w:r>
        <w:t>$90</w:t>
      </w:r>
      <w:r w:rsidRPr="00BD66D3">
        <w:t xml:space="preserve"> to recognize the appropriate revenue requirement, as discussed below. As such, staff recommends total TOTI expenses of </w:t>
      </w:r>
      <w:r>
        <w:t>$239,053.</w:t>
      </w:r>
    </w:p>
    <w:p w14:paraId="2C94B4C6" w14:textId="77777777" w:rsidR="004F1814" w:rsidRDefault="004F1814" w:rsidP="004F1814">
      <w:pPr>
        <w:pStyle w:val="First-LevelSubheading"/>
      </w:pPr>
      <w:r>
        <w:t>Income Taxes</w:t>
      </w:r>
    </w:p>
    <w:p w14:paraId="5FE7D8AF" w14:textId="77777777" w:rsidR="004F1814" w:rsidRDefault="004F1814" w:rsidP="004F1814">
      <w:pPr>
        <w:pStyle w:val="BodyText"/>
      </w:pPr>
      <w:r>
        <w:t>In its filing, the Utility indicated that it requested to be taxed as a C Corporation. (EXH 13, BSP C5-590) EU proposed income taxes of $88,944. (EXH 13) Based on staff’s adjustments to NOI, staff recommends total income tax expense of $71,585.</w:t>
      </w:r>
    </w:p>
    <w:p w14:paraId="5C7099B9" w14:textId="77777777" w:rsidR="004F1814" w:rsidRDefault="004F1814" w:rsidP="004F1814">
      <w:pPr>
        <w:pStyle w:val="First-LevelSubheading"/>
      </w:pPr>
      <w:r>
        <w:t>Revenue Requirement</w:t>
      </w:r>
    </w:p>
    <w:p w14:paraId="66C63A7A" w14:textId="7266B259" w:rsidR="004F1814" w:rsidRDefault="004F1814" w:rsidP="004F1814">
      <w:pPr>
        <w:jc w:val="both"/>
      </w:pPr>
      <w:r>
        <w:t>In its original filing, t</w:t>
      </w:r>
      <w:r w:rsidRPr="005E75DD">
        <w:t>he Utility proposed a revenue requirement of $</w:t>
      </w:r>
      <w:r>
        <w:t>1,902,160. (EXH 13</w:t>
      </w:r>
      <w:r w:rsidRPr="005E75DD">
        <w:t>) The Utility’</w:t>
      </w:r>
      <w:r>
        <w:t>s projected revenue requirement</w:t>
      </w:r>
      <w:r w:rsidRPr="005E75DD">
        <w:t xml:space="preserve"> include</w:t>
      </w:r>
      <w:r>
        <w:t>s</w:t>
      </w:r>
      <w:r w:rsidRPr="005E75DD">
        <w:t xml:space="preserve"> O&amp;M expenses, depreciation and amortization expense, taxes other than income, income taxes, </w:t>
      </w:r>
      <w:r>
        <w:t>and</w:t>
      </w:r>
      <w:r w:rsidRPr="005E75DD">
        <w:t xml:space="preserve"> a return on investment. </w:t>
      </w:r>
      <w:r w:rsidRPr="00C37A29">
        <w:t xml:space="preserve">Staff recommends an adjusted revenue requirement of </w:t>
      </w:r>
      <w:r>
        <w:t>$1,900,154</w:t>
      </w:r>
      <w:r w:rsidRPr="00C37A29">
        <w:t>.</w:t>
      </w:r>
      <w:r>
        <w:t xml:space="preserve"> </w:t>
      </w:r>
      <w:r w:rsidRPr="005E75DD">
        <w:t xml:space="preserve">The </w:t>
      </w:r>
      <w:r>
        <w:t>recommended revenue requirement</w:t>
      </w:r>
      <w:r w:rsidRPr="005E75DD">
        <w:t xml:space="preserve"> will allow the Utility the opportunity to recover its expenses and earn a</w:t>
      </w:r>
      <w:r>
        <w:t>n</w:t>
      </w:r>
      <w:r w:rsidRPr="005E75DD">
        <w:t xml:space="preserve"> </w:t>
      </w:r>
      <w:r>
        <w:t>8.63</w:t>
      </w:r>
      <w:r w:rsidRPr="005E75DD">
        <w:t xml:space="preserve"> percent return on its investment in rate base, as shown on Schedule No. 3-A. Staff adjustments are shown on Schedule No. 3-B</w:t>
      </w:r>
      <w:r>
        <w:t>.</w:t>
      </w:r>
    </w:p>
    <w:p w14:paraId="68D4E495" w14:textId="26324502" w:rsidR="00240846" w:rsidRDefault="00240846" w:rsidP="004F1814">
      <w:pPr>
        <w:jc w:val="both"/>
      </w:pPr>
    </w:p>
    <w:p w14:paraId="0CB8F4CE" w14:textId="2810A345" w:rsidR="00735927" w:rsidRPr="002C0491" w:rsidRDefault="00240846" w:rsidP="002C0491">
      <w:pPr>
        <w:pStyle w:val="BodyText"/>
        <w:spacing w:after="0"/>
        <w:rPr>
          <w:rFonts w:ascii="Arial" w:hAnsi="Arial" w:cs="Arial"/>
          <w:b/>
        </w:rPr>
      </w:pPr>
      <w:r>
        <w:rPr>
          <w:rFonts w:ascii="Arial" w:hAnsi="Arial" w:cs="Arial"/>
          <w:b/>
        </w:rPr>
        <w:t xml:space="preserve">Projected </w:t>
      </w:r>
      <w:r w:rsidRPr="006E6711">
        <w:rPr>
          <w:rFonts w:ascii="Arial" w:hAnsi="Arial" w:cs="Arial"/>
          <w:b/>
        </w:rPr>
        <w:t>Rates and Rate Structure</w:t>
      </w:r>
    </w:p>
    <w:p w14:paraId="6749B676" w14:textId="556E2327" w:rsidR="00240846" w:rsidRDefault="00735927" w:rsidP="00735927">
      <w:pPr>
        <w:jc w:val="both"/>
      </w:pPr>
      <w:r w:rsidRPr="005E6E8A">
        <w:t>The</w:t>
      </w:r>
      <w:r w:rsidR="00240846" w:rsidRPr="005E6E8A">
        <w:t xml:space="preserve"> Utility</w:t>
      </w:r>
      <w:r w:rsidR="00240846">
        <w:t xml:space="preserve">’s </w:t>
      </w:r>
      <w:r w:rsidR="00240846" w:rsidRPr="005E6E8A">
        <w:t>proposed wastewater rates</w:t>
      </w:r>
      <w:r w:rsidR="00240846">
        <w:t xml:space="preserve"> are</w:t>
      </w:r>
      <w:r w:rsidR="00240846" w:rsidRPr="005E6E8A">
        <w:t xml:space="preserve"> in accordance with Rule </w:t>
      </w:r>
      <w:bookmarkStart w:id="21" w:name="_Hlk191821087"/>
      <w:r w:rsidR="00240846" w:rsidRPr="005E6E8A">
        <w:t xml:space="preserve">25-30.033(2), F.A.C., </w:t>
      </w:r>
      <w:bookmarkEnd w:id="21"/>
      <w:r w:rsidR="00240846" w:rsidRPr="005E6E8A">
        <w:t>which requires that a base facility and usage rate structure, as defined in Rule 25-30.437</w:t>
      </w:r>
      <w:r w:rsidR="00240846" w:rsidRPr="001C5050">
        <w:t>(</w:t>
      </w:r>
      <w:r w:rsidR="00240846">
        <w:t>5</w:t>
      </w:r>
      <w:r w:rsidR="00240846" w:rsidRPr="005E6E8A">
        <w:t xml:space="preserve">), F.A.C., be used for metered service. </w:t>
      </w:r>
      <w:r w:rsidR="00240846">
        <w:t xml:space="preserve">In its brief, EU asserted that the financial expert provided required financial schedules in accordance with the Commission requirements to establish rates and charges. </w:t>
      </w:r>
      <w:r w:rsidR="003E0027">
        <w:t xml:space="preserve">(EU BR 16) </w:t>
      </w:r>
      <w:r w:rsidR="00240846" w:rsidRPr="005E6E8A">
        <w:t>EU’s proposed rates were designed to generate the Utility’s requested revenue requirement</w:t>
      </w:r>
      <w:r w:rsidR="00DE43FD">
        <w:t>, as updated in witness Swain’s rebuttal testimony,</w:t>
      </w:r>
      <w:r w:rsidR="00240846" w:rsidRPr="005E6E8A">
        <w:t xml:space="preserve"> of $</w:t>
      </w:r>
      <w:r w:rsidR="00240846">
        <w:t xml:space="preserve">1,864,929 </w:t>
      </w:r>
      <w:r w:rsidR="00240846" w:rsidRPr="005E6E8A">
        <w:t>for its wastewater system.</w:t>
      </w:r>
      <w:r w:rsidR="00240846">
        <w:t xml:space="preserve"> (EXH 39, BSP 1073)</w:t>
      </w:r>
    </w:p>
    <w:p w14:paraId="11E9B971" w14:textId="77777777" w:rsidR="00240846" w:rsidRDefault="00240846" w:rsidP="00240846">
      <w:pPr>
        <w:jc w:val="both"/>
      </w:pPr>
    </w:p>
    <w:p w14:paraId="4E7BDF18" w14:textId="6D3751CF" w:rsidR="00240846" w:rsidRDefault="00240846" w:rsidP="00240846">
      <w:pPr>
        <w:jc w:val="both"/>
      </w:pPr>
      <w:r>
        <w:t xml:space="preserve">Staff’s recommended rates shown on Schedule No. 4 reflect generate revenues of $1,899,644 which is staff’s recommended revenue requirement of </w:t>
      </w:r>
      <w:r w:rsidRPr="00C92F03">
        <w:t>$1,900,154</w:t>
      </w:r>
      <w:r>
        <w:t xml:space="preserve"> less miscellaneous revenues of $510. EU proposed a </w:t>
      </w:r>
      <w:r w:rsidRPr="005E6E8A">
        <w:t xml:space="preserve">rate structure </w:t>
      </w:r>
      <w:r>
        <w:t xml:space="preserve">which </w:t>
      </w:r>
      <w:r w:rsidRPr="005E6E8A">
        <w:t xml:space="preserve">consists of a base facility charge (BFC) and gallonage charge for its residential and general service customers. In addition, </w:t>
      </w:r>
      <w:r>
        <w:t>EU</w:t>
      </w:r>
      <w:r w:rsidRPr="005E6E8A">
        <w:t xml:space="preserve"> proposed a 10,000 gallon cap for residential usage.</w:t>
      </w:r>
      <w:r>
        <w:t xml:space="preserve"> (EXH 39, BSP 1064) In EU witness Swain’s rebuttal testimony, the </w:t>
      </w:r>
      <w:r w:rsidRPr="005E6E8A">
        <w:t>Utility’s prop</w:t>
      </w:r>
      <w:r>
        <w:t>osed wastewater rates recover 70</w:t>
      </w:r>
      <w:r w:rsidRPr="005E6E8A">
        <w:t xml:space="preserve"> percent of wastewater revenues through the BFC. (</w:t>
      </w:r>
      <w:r>
        <w:t>EXH 39,</w:t>
      </w:r>
      <w:r w:rsidRPr="009F2217">
        <w:t xml:space="preserve"> BSP </w:t>
      </w:r>
      <w:r>
        <w:t>1073)</w:t>
      </w:r>
      <w:r w:rsidRPr="005E6E8A">
        <w:t xml:space="preserve"> It is Commission practice to recover 50 percent, or greater, of the revenue through the BFC for the purpose of recognizing the capital intensive nature of wastewater plants.</w:t>
      </w:r>
      <w:r w:rsidRPr="005E6E8A">
        <w:rPr>
          <w:vertAlign w:val="superscript"/>
        </w:rPr>
        <w:footnoteReference w:id="21"/>
      </w:r>
      <w:r w:rsidRPr="005E6E8A">
        <w:t xml:space="preserve"> </w:t>
      </w:r>
      <w:r>
        <w:t xml:space="preserve">In response to staff’s interrogatories, witness Swain indicated that the customer base is seasonal and will remain seasonal. </w:t>
      </w:r>
      <w:r w:rsidR="00F04155">
        <w:t>(EXH 42, BSP 1191 and 1194)</w:t>
      </w:r>
      <w:r>
        <w:t xml:space="preserve"> </w:t>
      </w:r>
      <w:r w:rsidRPr="005E6E8A">
        <w:t>Therefore, staff believe</w:t>
      </w:r>
      <w:r>
        <w:t>s</w:t>
      </w:r>
      <w:r w:rsidRPr="005E6E8A">
        <w:t xml:space="preserve"> the Utility’s proposed allocation is reasonable</w:t>
      </w:r>
      <w:r>
        <w:t xml:space="preserve"> in this case</w:t>
      </w:r>
      <w:r w:rsidRPr="005E6E8A">
        <w:t>.</w:t>
      </w:r>
    </w:p>
    <w:p w14:paraId="012A7AA8" w14:textId="77777777" w:rsidR="00240846" w:rsidRDefault="00240846" w:rsidP="00240846">
      <w:pPr>
        <w:jc w:val="both"/>
      </w:pPr>
    </w:p>
    <w:p w14:paraId="55B037D3" w14:textId="53B8219B" w:rsidR="00240846" w:rsidRDefault="00240846" w:rsidP="00240846">
      <w:pPr>
        <w:jc w:val="both"/>
      </w:pPr>
      <w:r>
        <w:t xml:space="preserve">Since </w:t>
      </w:r>
      <w:r w:rsidRPr="005E6E8A">
        <w:t>EU is a wastewater</w:t>
      </w:r>
      <w:r>
        <w:t>-</w:t>
      </w:r>
      <w:r w:rsidRPr="005E6E8A">
        <w:t xml:space="preserve">only </w:t>
      </w:r>
      <w:r w:rsidR="005624CF">
        <w:t>u</w:t>
      </w:r>
      <w:r>
        <w:t>tility,</w:t>
      </w:r>
      <w:r w:rsidRPr="005E6E8A">
        <w:t xml:space="preserve"> </w:t>
      </w:r>
      <w:r>
        <w:t>t</w:t>
      </w:r>
      <w:r w:rsidRPr="005E6E8A">
        <w:t xml:space="preserve">he water providers to the potential customers of EU are </w:t>
      </w:r>
      <w:proofErr w:type="spellStart"/>
      <w:r w:rsidRPr="005E6E8A">
        <w:t>Bocilla</w:t>
      </w:r>
      <w:proofErr w:type="spellEnd"/>
      <w:r w:rsidRPr="005E6E8A">
        <w:t xml:space="preserve"> Utilities and Little Gasparilla </w:t>
      </w:r>
      <w:r w:rsidR="005624CF">
        <w:t>Water U</w:t>
      </w:r>
      <w:r w:rsidRPr="005E6E8A">
        <w:t xml:space="preserve">tility. </w:t>
      </w:r>
      <w:r>
        <w:t>(EXH 42, BSP 1192) In her testimony, witness Swain defines an ERC as 90 GPD</w:t>
      </w:r>
      <w:r w:rsidR="001410C7">
        <w:t>. (EXH 44, BSP 1224) The 90 GPD is the average water consumption for the customers</w:t>
      </w:r>
      <w:r w:rsidR="001410C7" w:rsidRPr="005E6E8A">
        <w:t>.</w:t>
      </w:r>
      <w:r w:rsidR="001410C7">
        <w:t xml:space="preserve"> (TR 110)</w:t>
      </w:r>
      <w:r w:rsidR="001410C7" w:rsidRPr="005E6E8A">
        <w:t xml:space="preserve"> The anticipated number of ERCs</w:t>
      </w:r>
      <w:r w:rsidR="001410C7">
        <w:t xml:space="preserve"> </w:t>
      </w:r>
      <w:r w:rsidR="001410C7" w:rsidRPr="005E6E8A">
        <w:t xml:space="preserve">at design capacity for the Utility is 1,248. </w:t>
      </w:r>
      <w:r w:rsidR="001410C7">
        <w:t xml:space="preserve">(EXH 13, BSP 573) </w:t>
      </w:r>
      <w:r w:rsidRPr="005E6E8A">
        <w:t>Rates in this proceeding are based on 80 percent of the design capacity of the system, which is 998</w:t>
      </w:r>
      <w:r>
        <w:t>.4 ERCs</w:t>
      </w:r>
      <w:r w:rsidRPr="005E6E8A">
        <w:t>. Witness Swain estimated billable gallons by multiplying 998</w:t>
      </w:r>
      <w:r>
        <w:t>.4</w:t>
      </w:r>
      <w:r w:rsidRPr="005E6E8A">
        <w:t xml:space="preserve"> x 90 x 365, which results in</w:t>
      </w:r>
      <w:r>
        <w:t xml:space="preserve"> 32,797,440. </w:t>
      </w:r>
      <w:r w:rsidRPr="00A54A38">
        <w:t>(EXH 42</w:t>
      </w:r>
      <w:r>
        <w:t>,</w:t>
      </w:r>
      <w:r w:rsidRPr="00A54A38">
        <w:t xml:space="preserve"> </w:t>
      </w:r>
      <w:r>
        <w:t>BSP 1196</w:t>
      </w:r>
      <w:r w:rsidRPr="005E6E8A">
        <w:t>). Staff agree</w:t>
      </w:r>
      <w:r>
        <w:t>s</w:t>
      </w:r>
      <w:r w:rsidRPr="005E6E8A">
        <w:t xml:space="preserve"> with witness Swain’s calculation of proposed billable gallons.</w:t>
      </w:r>
    </w:p>
    <w:p w14:paraId="645A8DB7" w14:textId="77777777" w:rsidR="00240846" w:rsidRDefault="00240846" w:rsidP="00240846">
      <w:pPr>
        <w:jc w:val="both"/>
      </w:pPr>
    </w:p>
    <w:p w14:paraId="00FB98A6" w14:textId="43D0B2B5" w:rsidR="00240846" w:rsidRDefault="00240846" w:rsidP="00240846">
      <w:pPr>
        <w:jc w:val="both"/>
      </w:pPr>
      <w:r>
        <w:t>Furthermore, w</w:t>
      </w:r>
      <w:r w:rsidRPr="005E6E8A">
        <w:t>itness Swain also proposed a 10 percent repression adjustment to reduce the proposed billable gallons</w:t>
      </w:r>
      <w:r>
        <w:t>.</w:t>
      </w:r>
      <w:r w:rsidRPr="005E6E8A">
        <w:t xml:space="preserve"> (</w:t>
      </w:r>
      <w:r w:rsidRPr="00B1357E">
        <w:t>EXH 13</w:t>
      </w:r>
      <w:r>
        <w:t xml:space="preserve">, </w:t>
      </w:r>
      <w:r w:rsidRPr="00B1357E">
        <w:t>BSP 589; EXH 39</w:t>
      </w:r>
      <w:r>
        <w:t>,</w:t>
      </w:r>
      <w:r w:rsidRPr="00B1357E">
        <w:t xml:space="preserve"> BSP 1073; EXH 42</w:t>
      </w:r>
      <w:r>
        <w:t>,</w:t>
      </w:r>
      <w:r w:rsidRPr="00B1357E">
        <w:t xml:space="preserve"> BSP </w:t>
      </w:r>
      <w:r>
        <w:t>1196</w:t>
      </w:r>
      <w:r w:rsidRPr="005E6E8A">
        <w:t xml:space="preserve">) Witness Swain </w:t>
      </w:r>
      <w:r>
        <w:t>asserted</w:t>
      </w:r>
      <w:r w:rsidRPr="005E6E8A">
        <w:t xml:space="preserve"> that </w:t>
      </w:r>
      <w:r>
        <w:t xml:space="preserve">the Commission does not typically do </w:t>
      </w:r>
      <w:r w:rsidRPr="005E6E8A">
        <w:t>a repression adjustme</w:t>
      </w:r>
      <w:r>
        <w:t xml:space="preserve">nt for a wastewater-only Utility and does not agree with the Commission’s practice. (TR 110) As </w:t>
      </w:r>
      <w:r w:rsidR="005624CF">
        <w:t xml:space="preserve">is the </w:t>
      </w:r>
      <w:r>
        <w:t>Commission’s practice, witness Swain indicated that w</w:t>
      </w:r>
      <w:r w:rsidRPr="005E6E8A">
        <w:t xml:space="preserve">astewater </w:t>
      </w:r>
      <w:r w:rsidR="005624CF">
        <w:t>billable gallons</w:t>
      </w:r>
      <w:r>
        <w:t xml:space="preserve"> are </w:t>
      </w:r>
      <w:r w:rsidRPr="005E6E8A">
        <w:t xml:space="preserve">based on water usage. </w:t>
      </w:r>
      <w:r>
        <w:t>(TR 114, TR 358) Witness Swain also indicated that the average consumption for this customer base is low coupled with a very high seasonality; however, EU believes a repression adjustment is appropriate in this case. Witness Swain explained that when the seasonal customers are in residence, there may be higher levels of discretionary usage. (TR 112-113)</w:t>
      </w:r>
    </w:p>
    <w:p w14:paraId="4F1BD2C0" w14:textId="77777777" w:rsidR="00240846" w:rsidRDefault="00240846" w:rsidP="00240846">
      <w:pPr>
        <w:jc w:val="both"/>
      </w:pPr>
    </w:p>
    <w:p w14:paraId="7970DD4C" w14:textId="3ED4D48F" w:rsidR="00240846" w:rsidRPr="005E6E8A" w:rsidRDefault="00240846" w:rsidP="00240846">
      <w:pPr>
        <w:jc w:val="both"/>
      </w:pPr>
      <w:r>
        <w:t>Witness Swain also believes that customers will reduce their water consumption based on the Utility’s pro</w:t>
      </w:r>
      <w:r w:rsidR="00D6777E">
        <w:t>posed wastewater bill. (TR 114)</w:t>
      </w:r>
      <w:r>
        <w:t xml:space="preserve"> T</w:t>
      </w:r>
      <w:r w:rsidRPr="005E6E8A">
        <w:t xml:space="preserve">he Commission, as a result of an increase in the price of water, has applied a corresponding wastewater repression adjustment when the water and wastewater provider are the same </w:t>
      </w:r>
      <w:r w:rsidR="00BA1B96">
        <w:t>u</w:t>
      </w:r>
      <w:r>
        <w:t>tility</w:t>
      </w:r>
      <w:r w:rsidRPr="005E6E8A">
        <w:t>.</w:t>
      </w:r>
      <w:r w:rsidRPr="005E6E8A">
        <w:rPr>
          <w:vertAlign w:val="superscript"/>
        </w:rPr>
        <w:footnoteReference w:id="22"/>
      </w:r>
      <w:r w:rsidR="00E013F3">
        <w:t xml:space="preserve"> Even in </w:t>
      </w:r>
      <w:r w:rsidRPr="005E6E8A">
        <w:t xml:space="preserve">cases with a </w:t>
      </w:r>
      <w:r w:rsidR="00912E26">
        <w:t xml:space="preserve">single </w:t>
      </w:r>
      <w:r w:rsidRPr="005E6E8A">
        <w:t xml:space="preserve">water and wastewater </w:t>
      </w:r>
      <w:r w:rsidR="00912E26">
        <w:t>u</w:t>
      </w:r>
      <w:r>
        <w:t>tility</w:t>
      </w:r>
      <w:r w:rsidRPr="005E6E8A">
        <w:t xml:space="preserve"> provider, there still has been no recognition of an adjustment due to an increase in </w:t>
      </w:r>
      <w:r>
        <w:t xml:space="preserve">the </w:t>
      </w:r>
      <w:r w:rsidRPr="005E6E8A">
        <w:t xml:space="preserve">price of wastewater, but only the recognition of the effect of an increase in </w:t>
      </w:r>
      <w:r>
        <w:t xml:space="preserve">the </w:t>
      </w:r>
      <w:r w:rsidRPr="005E6E8A">
        <w:t>price of water on customer demand. It is Commission practice that an increase in the price of water is the catalyst for whether or not there is a repression adjustment which would ultimately flow through to wastewater.</w:t>
      </w:r>
    </w:p>
    <w:p w14:paraId="79E6B833" w14:textId="77777777" w:rsidR="00240846" w:rsidRPr="005E6E8A" w:rsidRDefault="00240846" w:rsidP="00240846">
      <w:pPr>
        <w:jc w:val="both"/>
      </w:pPr>
    </w:p>
    <w:p w14:paraId="233565A7" w14:textId="0EFD3CF5" w:rsidR="00240846" w:rsidRPr="005E6E8A" w:rsidRDefault="00240846" w:rsidP="00240846">
      <w:pPr>
        <w:jc w:val="both"/>
      </w:pPr>
      <w:r w:rsidRPr="005E6E8A">
        <w:t xml:space="preserve">As mentioned previously, EU is not the water provider to its potential customers. The potential customers are served by two separate water utilities, which are </w:t>
      </w:r>
      <w:proofErr w:type="spellStart"/>
      <w:r w:rsidRPr="005E6E8A">
        <w:t>Bocilla</w:t>
      </w:r>
      <w:proofErr w:type="spellEnd"/>
      <w:r w:rsidRPr="005E6E8A">
        <w:t xml:space="preserve"> and Little Gasparilla.</w:t>
      </w:r>
      <w:r>
        <w:t xml:space="preserve"> In its brief, EU asserted that witness Swain believes that although the customers rece</w:t>
      </w:r>
      <w:r w:rsidR="00D07847">
        <w:t>ive water service from another u</w:t>
      </w:r>
      <w:r>
        <w:t>tility consumption will be reduced when water customers begin paying for wastewater service based upon their water usage. (EU BR 16)</w:t>
      </w:r>
      <w:r w:rsidRPr="005E6E8A">
        <w:t xml:space="preserve"> </w:t>
      </w:r>
      <w:r w:rsidR="00BC5236">
        <w:t>Consistent with existing Commission practice, t</w:t>
      </w:r>
      <w:r w:rsidRPr="005E6E8A">
        <w:t xml:space="preserve">here would have to be an increase in the price of water provided by those two entities to determine whether there should be a repression adjustment to the billable gallons for wastewater. There is nothing in the record to </w:t>
      </w:r>
      <w:r w:rsidR="00D75077">
        <w:t xml:space="preserve">demonstrate or </w:t>
      </w:r>
      <w:r w:rsidRPr="005E6E8A">
        <w:t>evaluate price increases in water for</w:t>
      </w:r>
      <w:r w:rsidR="00B63518">
        <w:t xml:space="preserve"> </w:t>
      </w:r>
      <w:proofErr w:type="spellStart"/>
      <w:r w:rsidR="00B63518">
        <w:t>Bocilla</w:t>
      </w:r>
      <w:proofErr w:type="spellEnd"/>
      <w:r w:rsidR="00B63518">
        <w:t xml:space="preserve"> and Little Gasparilla.</w:t>
      </w:r>
    </w:p>
    <w:p w14:paraId="52898B83" w14:textId="77777777" w:rsidR="00240846" w:rsidRPr="005E6E8A" w:rsidRDefault="00240846" w:rsidP="00240846">
      <w:pPr>
        <w:jc w:val="both"/>
      </w:pPr>
    </w:p>
    <w:p w14:paraId="01BA0440" w14:textId="3F764AA2" w:rsidR="00240846" w:rsidRDefault="00240846" w:rsidP="00240846">
      <w:pPr>
        <w:jc w:val="both"/>
      </w:pPr>
      <w:r w:rsidRPr="005E6E8A">
        <w:t xml:space="preserve">In addition to a </w:t>
      </w:r>
      <w:r>
        <w:t xml:space="preserve">lack of precedent for a </w:t>
      </w:r>
      <w:r w:rsidRPr="005E6E8A">
        <w:t>w</w:t>
      </w:r>
      <w:r>
        <w:t>astewater repression adjustment</w:t>
      </w:r>
      <w:r w:rsidRPr="005E6E8A">
        <w:t>, there is no incentive to restrict usage because the demographics</w:t>
      </w:r>
      <w:r>
        <w:t xml:space="preserve"> of the area</w:t>
      </w:r>
      <w:r w:rsidRPr="005E6E8A">
        <w:t xml:space="preserve"> is 65 percent rental properties</w:t>
      </w:r>
      <w:r>
        <w:t xml:space="preserve"> or vacation rentals by owner</w:t>
      </w:r>
      <w:r w:rsidRPr="005E6E8A">
        <w:t xml:space="preserve">. </w:t>
      </w:r>
      <w:r>
        <w:t xml:space="preserve">(EXH 42, BSP 1191; TR 384) </w:t>
      </w:r>
      <w:r w:rsidRPr="005E6E8A">
        <w:t xml:space="preserve">The renters are not paying the </w:t>
      </w:r>
      <w:r w:rsidR="008859EF">
        <w:t>u</w:t>
      </w:r>
      <w:r>
        <w:t>tility</w:t>
      </w:r>
      <w:r w:rsidRPr="005E6E8A">
        <w:t xml:space="preserve"> bill</w:t>
      </w:r>
      <w:r w:rsidR="001A4D1C">
        <w:t>,</w:t>
      </w:r>
      <w:r w:rsidRPr="005E6E8A">
        <w:t xml:space="preserve"> which </w:t>
      </w:r>
      <w:r w:rsidR="001A4D1C">
        <w:t>results in</w:t>
      </w:r>
      <w:r w:rsidRPr="005E6E8A">
        <w:t xml:space="preserve"> no incentive to restrict usage based on cost. Based on the above, staff does not believe a repression adjustment is appropriate for the Utility.</w:t>
      </w:r>
    </w:p>
    <w:p w14:paraId="5841AEB1" w14:textId="77777777" w:rsidR="00240846" w:rsidRDefault="00240846" w:rsidP="00240846">
      <w:pPr>
        <w:jc w:val="both"/>
      </w:pPr>
    </w:p>
    <w:p w14:paraId="6AD792EB" w14:textId="6E329BF7" w:rsidR="00240846" w:rsidRDefault="00240846" w:rsidP="00240846">
      <w:pPr>
        <w:jc w:val="both"/>
      </w:pPr>
      <w:r w:rsidRPr="005E6E8A">
        <w:t xml:space="preserve">Lastly, the Utility proposed a residential wastewater cap of 10,000 gallons for its wastewater rates. </w:t>
      </w:r>
      <w:r w:rsidRPr="001F4167">
        <w:t>(EXH 13</w:t>
      </w:r>
      <w:r>
        <w:t>,</w:t>
      </w:r>
      <w:r w:rsidRPr="001F4167">
        <w:t xml:space="preserve"> BSP 579)</w:t>
      </w:r>
      <w:r w:rsidRPr="005E6E8A">
        <w:t xml:space="preserve"> The wastewater cap is to recognize that not all water consumption is returned to the wastewater system.</w:t>
      </w:r>
      <w:r>
        <w:rPr>
          <w:rStyle w:val="FootnoteReference"/>
        </w:rPr>
        <w:footnoteReference w:id="23"/>
      </w:r>
      <w:r w:rsidRPr="005E6E8A">
        <w:t xml:space="preserve"> Staff believe</w:t>
      </w:r>
      <w:r>
        <w:t>s</w:t>
      </w:r>
      <w:r w:rsidRPr="005E6E8A">
        <w:t xml:space="preserve"> the proposed cap of 10,000 gallons is reasonable for that recognition.</w:t>
      </w:r>
      <w:r>
        <w:t xml:space="preserve"> Witness Swain made no adjustments to the billable gallons because the requested cap does not have an impact on gallons billed. (EXH 42, BSP 1195) As a result, the appropriate gallons for </w:t>
      </w:r>
      <w:proofErr w:type="spellStart"/>
      <w:r>
        <w:t>ratesetting</w:t>
      </w:r>
      <w:proofErr w:type="spellEnd"/>
      <w:r>
        <w:t xml:space="preserve"> purposes are 32,797,440. With EU</w:t>
      </w:r>
      <w:r w:rsidR="00735927">
        <w:t>’s</w:t>
      </w:r>
      <w:r>
        <w:t xml:space="preserve"> proposed revenue requirement, rates with repression based on average consumption of 2,463 result in an average bill of approximately $156. (EU BR 16; TR 366). Based on staff’s recommended revenue requirement, rates without a repression adjustment based on an average consumption of 2,737 result in an average bill of approximately $159.</w:t>
      </w:r>
    </w:p>
    <w:p w14:paraId="5DBE4637" w14:textId="77777777" w:rsidR="00570A0E" w:rsidRPr="005E6E8A" w:rsidRDefault="00570A0E" w:rsidP="00570A0E">
      <w:pPr>
        <w:jc w:val="both"/>
      </w:pPr>
    </w:p>
    <w:p w14:paraId="67989B66" w14:textId="77777777" w:rsidR="00570A0E" w:rsidRPr="005E6E8A" w:rsidRDefault="00570A0E" w:rsidP="00570A0E">
      <w:pPr>
        <w:spacing w:after="240"/>
        <w:jc w:val="center"/>
        <w:rPr>
          <w:rFonts w:ascii="Arial" w:hAnsi="Arial" w:cs="Arial"/>
          <w:b/>
        </w:rPr>
      </w:pPr>
      <w:r w:rsidRPr="005E6E8A">
        <w:rPr>
          <w:rFonts w:ascii="Arial" w:hAnsi="Arial" w:cs="Arial"/>
          <w:b/>
        </w:rPr>
        <w:t>CONCLUSION</w:t>
      </w:r>
    </w:p>
    <w:p w14:paraId="648E75B7" w14:textId="77777777" w:rsidR="0074383B" w:rsidRDefault="00570A0E" w:rsidP="00570A0E">
      <w:pPr>
        <w:pStyle w:val="BodyText"/>
      </w:pPr>
      <w:r>
        <w:t>S</w:t>
      </w:r>
      <w:r w:rsidRPr="00353552">
        <w:t xml:space="preserve">taff’s recommended wastewater rates, shown on Schedule No. 4, should be approved. </w:t>
      </w:r>
      <w:r>
        <w:t xml:space="preserve">The Utility’s proposal to include a repression adjustment should be denied; therefore, the staff-recommended rates shown on Schedule No. 4 do not include a repression adjustment. </w:t>
      </w:r>
      <w:r w:rsidRPr="00353552">
        <w:t xml:space="preserve">The rates should be effective for services rendered or connections made on or after the stamped approval date on the tariff sheets, pursuant to Rule 25-30.475, F.A.C. </w:t>
      </w:r>
      <w:r>
        <w:t xml:space="preserve">The </w:t>
      </w:r>
      <w:r w:rsidRPr="00353552">
        <w:t>Utility should be required to charge the approved rates until authorized to change them by the Commission in a subsequent proceeding</w:t>
      </w:r>
      <w:r>
        <w:t>.</w:t>
      </w:r>
    </w:p>
    <w:p w14:paraId="4846C944" w14:textId="77777777" w:rsidR="0048338D" w:rsidRDefault="0048338D">
      <w:pPr>
        <w:pStyle w:val="IssueHeading"/>
        <w:rPr>
          <w:vanish/>
          <w:specVanish/>
        </w:rPr>
      </w:pPr>
      <w:r w:rsidRPr="004C3641">
        <w:rPr>
          <w:b w:val="0"/>
          <w:i w:val="0"/>
        </w:rPr>
        <w:br w:type="page"/>
      </w:r>
      <w:r w:rsidRPr="004C3641">
        <w:t xml:space="preserve">Issue </w:t>
      </w:r>
      <w:fldSimple w:instr=" SEQ Issue \* MERGEFORMAT ">
        <w:r>
          <w:rPr>
            <w:noProof/>
          </w:rPr>
          <w:t>12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12</w:instrText>
      </w:r>
      <w:r>
        <w:fldChar w:fldCharType="end"/>
      </w:r>
      <w:r>
        <w:tab/>
        <w:instrText xml:space="preserve">" \l 1 </w:instrText>
      </w:r>
      <w:r>
        <w:fldChar w:fldCharType="end"/>
      </w:r>
      <w:r>
        <w:t> </w:t>
      </w:r>
    </w:p>
    <w:p w14:paraId="5EA42319" w14:textId="77777777" w:rsidR="0048338D" w:rsidRDefault="0048338D">
      <w:pPr>
        <w:pStyle w:val="BodyText"/>
      </w:pPr>
      <w:r>
        <w:t> What are the appropriate initial customer deposits for Environmental Utilities, LLC?</w:t>
      </w:r>
    </w:p>
    <w:p w14:paraId="59E3576A" w14:textId="77777777" w:rsidR="0048338D" w:rsidRPr="004C3641" w:rsidRDefault="0048338D">
      <w:pPr>
        <w:pStyle w:val="IssueSubsectionHeading"/>
        <w:rPr>
          <w:vanish/>
          <w:specVanish/>
        </w:rPr>
      </w:pPr>
      <w:r w:rsidRPr="004C3641">
        <w:t>Recommendation: </w:t>
      </w:r>
    </w:p>
    <w:p w14:paraId="019D557A" w14:textId="10B4ABFC" w:rsidR="0048338D" w:rsidRDefault="0048338D">
      <w:pPr>
        <w:pStyle w:val="BodyText"/>
      </w:pPr>
      <w:r>
        <w:t> </w:t>
      </w:r>
      <w:r w:rsidR="00DF7FAA" w:rsidRPr="008A07A6">
        <w:rPr>
          <w:rFonts w:eastAsiaTheme="minorHAnsi"/>
          <w:szCs w:val="22"/>
        </w:rPr>
        <w:t>The appropriate initial customer deposit is $</w:t>
      </w:r>
      <w:r w:rsidR="00C92F03">
        <w:rPr>
          <w:rFonts w:eastAsiaTheme="minorHAnsi"/>
          <w:szCs w:val="22"/>
        </w:rPr>
        <w:t>318</w:t>
      </w:r>
      <w:r w:rsidR="00DF7FAA" w:rsidRPr="008A07A6">
        <w:rPr>
          <w:rFonts w:eastAsiaTheme="minorHAnsi"/>
          <w:szCs w:val="22"/>
        </w:rPr>
        <w:t xml:space="preserve"> for wastewater for the residential 5/8 inch x 3/4 inch meter size. The initial customer deposits for all other residential meter sizes and all general service meter sizes should be two times the average estimated bill. The approved customer deposits should be effective for connections made on or after the stamped approval date on the tariff sheets pursuant to Rule 25-30.475, F.A.C. The Utility should be required to collect the approved initial customer deposits until authorized to change them by the Commission in a subsequent proceeding. (Sibley</w:t>
      </w:r>
      <w:r w:rsidR="00DF7FAA">
        <w:rPr>
          <w:rFonts w:eastAsiaTheme="minorHAnsi"/>
          <w:szCs w:val="22"/>
        </w:rPr>
        <w:t>)</w:t>
      </w:r>
    </w:p>
    <w:p w14:paraId="0BE4E63E" w14:textId="77777777" w:rsidR="00B91104" w:rsidRDefault="00B91104" w:rsidP="00B91104">
      <w:pPr>
        <w:pStyle w:val="BodyText"/>
        <w:rPr>
          <w:rFonts w:ascii="Arial" w:hAnsi="Arial" w:cs="Arial"/>
          <w:b/>
          <w:i/>
        </w:rPr>
      </w:pPr>
      <w:r>
        <w:rPr>
          <w:rFonts w:ascii="Arial" w:hAnsi="Arial" w:cs="Arial"/>
          <w:b/>
          <w:i/>
        </w:rPr>
        <w:t>Position of the Parties:</w:t>
      </w:r>
    </w:p>
    <w:p w14:paraId="67617F7C" w14:textId="77777777" w:rsidR="00FE30E7" w:rsidRPr="00B91104" w:rsidRDefault="00FE30E7" w:rsidP="00FE30E7">
      <w:pPr>
        <w:pStyle w:val="BodyText"/>
        <w:tabs>
          <w:tab w:val="left" w:pos="1080"/>
        </w:tabs>
      </w:pPr>
      <w:r>
        <w:rPr>
          <w:rFonts w:ascii="Arial" w:hAnsi="Arial" w:cs="Arial"/>
          <w:b/>
          <w:i/>
        </w:rPr>
        <w:t>LC:</w:t>
      </w:r>
      <w:r w:rsidRPr="00B91104">
        <w:rPr>
          <w:rFonts w:ascii="Arial" w:hAnsi="Arial" w:cs="Arial"/>
        </w:rPr>
        <w:tab/>
      </w:r>
      <w:r>
        <w:t>Not Applicable.</w:t>
      </w:r>
    </w:p>
    <w:p w14:paraId="2264AEC6" w14:textId="7156B8F0" w:rsidR="00FE30E7" w:rsidRPr="00B91104" w:rsidRDefault="00FE30E7" w:rsidP="00FE30E7">
      <w:pPr>
        <w:pStyle w:val="BodyText"/>
        <w:tabs>
          <w:tab w:val="left" w:pos="1080"/>
        </w:tabs>
      </w:pPr>
      <w:r>
        <w:rPr>
          <w:rFonts w:ascii="Arial" w:hAnsi="Arial" w:cs="Arial"/>
          <w:b/>
          <w:i/>
        </w:rPr>
        <w:t>LGIPA:</w:t>
      </w:r>
      <w:r w:rsidRPr="00B91104">
        <w:rPr>
          <w:rFonts w:ascii="Arial" w:hAnsi="Arial" w:cs="Arial"/>
        </w:rPr>
        <w:tab/>
      </w:r>
      <w:r w:rsidR="00B143D8">
        <w:t>LGIPA adopts the position of PIE and LC</w:t>
      </w:r>
      <w:r w:rsidR="00F84161" w:rsidRPr="00F84161">
        <w:t>.</w:t>
      </w:r>
    </w:p>
    <w:p w14:paraId="0B91A153" w14:textId="1957D47F" w:rsidR="00FE30E7" w:rsidRPr="00B91104" w:rsidRDefault="00FE30E7" w:rsidP="00FE30E7">
      <w:pPr>
        <w:pStyle w:val="BodyText"/>
        <w:tabs>
          <w:tab w:val="left" w:pos="1080"/>
        </w:tabs>
      </w:pPr>
      <w:r>
        <w:rPr>
          <w:rFonts w:ascii="Arial" w:hAnsi="Arial" w:cs="Arial"/>
          <w:b/>
          <w:i/>
        </w:rPr>
        <w:t>PIE:</w:t>
      </w:r>
      <w:r w:rsidRPr="00B91104">
        <w:rPr>
          <w:rFonts w:ascii="Arial" w:hAnsi="Arial" w:cs="Arial"/>
        </w:rPr>
        <w:tab/>
      </w:r>
      <w:r>
        <w:t xml:space="preserve">PIE specifically adopts the position taken by </w:t>
      </w:r>
      <w:r w:rsidR="00913EC8">
        <w:t>LGIPA</w:t>
      </w:r>
      <w:r>
        <w:t xml:space="preserve"> and Linda B. </w:t>
      </w:r>
      <w:proofErr w:type="spellStart"/>
      <w:r>
        <w:t>Cotherman</w:t>
      </w:r>
      <w:proofErr w:type="spellEnd"/>
      <w:r>
        <w:t xml:space="preserve"> regarding this topic</w:t>
      </w:r>
    </w:p>
    <w:p w14:paraId="6CE693E3" w14:textId="77777777" w:rsidR="00FE30E7" w:rsidRPr="00B91104" w:rsidRDefault="00FE30E7" w:rsidP="00FE30E7">
      <w:pPr>
        <w:pStyle w:val="BodyText"/>
        <w:tabs>
          <w:tab w:val="left" w:pos="1080"/>
          <w:tab w:val="left" w:pos="2430"/>
        </w:tabs>
      </w:pPr>
      <w:r>
        <w:rPr>
          <w:rFonts w:ascii="Arial" w:hAnsi="Arial" w:cs="Arial"/>
          <w:b/>
          <w:i/>
        </w:rPr>
        <w:t>EU:</w:t>
      </w:r>
      <w:r>
        <w:rPr>
          <w:rFonts w:ascii="Arial" w:hAnsi="Arial" w:cs="Arial"/>
        </w:rPr>
        <w:tab/>
      </w:r>
      <w:r w:rsidRPr="000143BA">
        <w:t>The customer deposit should be equal to the estimated average charge for wastewater service for two months pursuant to Rule 25-30.311(7), F.A.C, based upon the approved final rates.</w:t>
      </w:r>
    </w:p>
    <w:p w14:paraId="64C46825" w14:textId="77777777" w:rsidR="0048338D" w:rsidRPr="004C3641" w:rsidRDefault="0048338D">
      <w:pPr>
        <w:pStyle w:val="IssueSubsectionHeading"/>
        <w:rPr>
          <w:vanish/>
          <w:specVanish/>
        </w:rPr>
      </w:pPr>
      <w:r w:rsidRPr="004C3641">
        <w:t>Staff Analysis: </w:t>
      </w:r>
    </w:p>
    <w:p w14:paraId="5DDC36DF" w14:textId="77777777" w:rsidR="00DF7FAA" w:rsidRDefault="0048338D" w:rsidP="00DF7FAA">
      <w:pPr>
        <w:jc w:val="both"/>
      </w:pPr>
      <w:r>
        <w:t> </w:t>
      </w:r>
    </w:p>
    <w:p w14:paraId="6431E446" w14:textId="77777777" w:rsidR="00570A0E" w:rsidRPr="003640D1" w:rsidRDefault="00570A0E" w:rsidP="00570A0E">
      <w:pPr>
        <w:spacing w:after="200" w:line="276" w:lineRule="auto"/>
        <w:jc w:val="center"/>
        <w:rPr>
          <w:rFonts w:ascii="Arial" w:eastAsiaTheme="minorHAnsi" w:hAnsi="Arial" w:cs="Arial"/>
          <w:b/>
          <w:szCs w:val="22"/>
        </w:rPr>
      </w:pPr>
      <w:r w:rsidRPr="003640D1">
        <w:rPr>
          <w:rFonts w:ascii="Arial" w:eastAsiaTheme="minorHAnsi" w:hAnsi="Arial" w:cs="Arial"/>
          <w:b/>
          <w:szCs w:val="22"/>
        </w:rPr>
        <w:t>ANALYSIS</w:t>
      </w:r>
    </w:p>
    <w:p w14:paraId="1D5664B9" w14:textId="394B7D3B" w:rsidR="00DE106C" w:rsidRDefault="00570A0E" w:rsidP="00570A0E">
      <w:pPr>
        <w:jc w:val="both"/>
        <w:rPr>
          <w:rFonts w:eastAsiaTheme="minorHAnsi"/>
          <w:szCs w:val="22"/>
        </w:rPr>
      </w:pPr>
      <w:r w:rsidRPr="003640D1">
        <w:rPr>
          <w:rFonts w:eastAsiaTheme="minorHAnsi"/>
          <w:szCs w:val="22"/>
        </w:rPr>
        <w:t xml:space="preserve">EU requested </w:t>
      </w:r>
      <w:r w:rsidR="00D457CD">
        <w:rPr>
          <w:rFonts w:eastAsiaTheme="minorHAnsi"/>
          <w:szCs w:val="22"/>
        </w:rPr>
        <w:t>an initial customer deposit</w:t>
      </w:r>
      <w:r w:rsidRPr="003640D1">
        <w:rPr>
          <w:rFonts w:eastAsiaTheme="minorHAnsi"/>
          <w:szCs w:val="22"/>
        </w:rPr>
        <w:t xml:space="preserve"> of $</w:t>
      </w:r>
      <w:r w:rsidR="00DE106C">
        <w:rPr>
          <w:rFonts w:eastAsiaTheme="minorHAnsi"/>
          <w:szCs w:val="22"/>
        </w:rPr>
        <w:t>320, pursuant to Rule 25-30.311(7), F.A.C., based on its average customer bill of $155.65</w:t>
      </w:r>
      <w:r w:rsidRPr="003640D1">
        <w:rPr>
          <w:rFonts w:eastAsiaTheme="minorHAnsi"/>
          <w:szCs w:val="22"/>
        </w:rPr>
        <w:t xml:space="preserve"> for its wastewater system.</w:t>
      </w:r>
      <w:r w:rsidR="00DE106C">
        <w:rPr>
          <w:rFonts w:eastAsiaTheme="minorHAnsi"/>
          <w:szCs w:val="22"/>
        </w:rPr>
        <w:t xml:space="preserve"> (EXH 39, BSP 1074; EU BR 16)</w:t>
      </w:r>
      <w:r w:rsidR="00DE106C" w:rsidRPr="00DE106C">
        <w:t xml:space="preserve"> </w:t>
      </w:r>
      <w:r w:rsidR="00DE106C" w:rsidRPr="00DE106C">
        <w:rPr>
          <w:rFonts w:eastAsiaTheme="minorHAnsi"/>
          <w:szCs w:val="22"/>
        </w:rPr>
        <w:t>No argument was provided in the post-hearing briefs for LGIPA or PIE on this issue.  LC argues that the initial customer deposits cannot be accurately calculated due to unsubstantiated construction and ins</w:t>
      </w:r>
      <w:r w:rsidR="00913EC8">
        <w:rPr>
          <w:rFonts w:eastAsiaTheme="minorHAnsi"/>
          <w:szCs w:val="22"/>
        </w:rPr>
        <w:t>tallation costs. (LC BR 23-24).</w:t>
      </w:r>
      <w:r w:rsidR="00DE106C" w:rsidRPr="00DE106C">
        <w:rPr>
          <w:rFonts w:eastAsiaTheme="minorHAnsi"/>
          <w:szCs w:val="22"/>
        </w:rPr>
        <w:t xml:space="preserve"> </w:t>
      </w:r>
      <w:r w:rsidR="00DE106C" w:rsidRPr="003267E4">
        <w:rPr>
          <w:rFonts w:eastAsiaTheme="minorHAnsi"/>
          <w:szCs w:val="22"/>
        </w:rPr>
        <w:t xml:space="preserve">All costs at this juncture are projections, but the projected costs are reasonable as discussed in Issue </w:t>
      </w:r>
      <w:r w:rsidR="003267E4" w:rsidRPr="003267E4">
        <w:rPr>
          <w:rFonts w:eastAsiaTheme="minorHAnsi"/>
          <w:szCs w:val="22"/>
        </w:rPr>
        <w:t>11</w:t>
      </w:r>
      <w:r w:rsidR="00DE106C" w:rsidRPr="003267E4">
        <w:rPr>
          <w:rFonts w:eastAsiaTheme="minorHAnsi"/>
          <w:szCs w:val="22"/>
        </w:rPr>
        <w:t>.</w:t>
      </w:r>
    </w:p>
    <w:p w14:paraId="1E0473F7" w14:textId="77777777" w:rsidR="00DE106C" w:rsidRDefault="00DE106C" w:rsidP="00570A0E">
      <w:pPr>
        <w:jc w:val="both"/>
        <w:rPr>
          <w:rFonts w:eastAsiaTheme="minorHAnsi"/>
          <w:szCs w:val="22"/>
        </w:rPr>
      </w:pPr>
    </w:p>
    <w:p w14:paraId="690F3468" w14:textId="7F662FFF" w:rsidR="00570A0E" w:rsidRPr="003640D1" w:rsidRDefault="00570A0E" w:rsidP="00570A0E">
      <w:pPr>
        <w:jc w:val="both"/>
        <w:rPr>
          <w:rFonts w:eastAsiaTheme="minorHAnsi"/>
          <w:szCs w:val="22"/>
        </w:rPr>
      </w:pPr>
      <w:r w:rsidRPr="003640D1">
        <w:rPr>
          <w:rFonts w:eastAsiaTheme="minorHAnsi"/>
          <w:szCs w:val="22"/>
        </w:rPr>
        <w:t xml:space="preserve">Rule 25-30.311, F.A.C., contains criteria for collecting, administering, and refunding customer deposits. Rule 25-30.311(1), F.A.C., requires that each company’s tariff contains its specific criteria for determining the amount of initial deposits. Customer deposits are designed to minimize the exposure of bad debt expense for </w:t>
      </w:r>
      <w:r w:rsidR="00DE106C">
        <w:rPr>
          <w:rFonts w:eastAsiaTheme="minorHAnsi"/>
          <w:szCs w:val="22"/>
        </w:rPr>
        <w:t>a u</w:t>
      </w:r>
      <w:r w:rsidRPr="003640D1">
        <w:rPr>
          <w:rFonts w:eastAsiaTheme="minorHAnsi"/>
          <w:szCs w:val="22"/>
        </w:rPr>
        <w:t>tility and, ultimately, the general body of ratepayers. In addition, collection of customer deposits is consistent with one of the</w:t>
      </w:r>
      <w:r>
        <w:rPr>
          <w:rFonts w:eastAsiaTheme="minorHAnsi"/>
          <w:szCs w:val="22"/>
        </w:rPr>
        <w:t xml:space="preserve"> fundamental principles of rate</w:t>
      </w:r>
      <w:r w:rsidRPr="003640D1">
        <w:rPr>
          <w:rFonts w:eastAsiaTheme="minorHAnsi"/>
          <w:szCs w:val="22"/>
        </w:rPr>
        <w:t>making, ensuring that the cost of providing service is recovered from the cost-causer.</w:t>
      </w:r>
    </w:p>
    <w:p w14:paraId="075A77F7" w14:textId="77777777" w:rsidR="00570A0E" w:rsidRPr="003640D1" w:rsidRDefault="00570A0E" w:rsidP="00570A0E">
      <w:pPr>
        <w:jc w:val="both"/>
        <w:rPr>
          <w:rFonts w:eastAsiaTheme="minorHAnsi"/>
          <w:szCs w:val="22"/>
        </w:rPr>
      </w:pPr>
    </w:p>
    <w:p w14:paraId="34B8EDB6" w14:textId="31EA9017" w:rsidR="00570A0E" w:rsidRPr="003640D1" w:rsidRDefault="00570A0E" w:rsidP="00570A0E">
      <w:pPr>
        <w:jc w:val="both"/>
        <w:rPr>
          <w:rFonts w:eastAsiaTheme="minorHAnsi"/>
          <w:szCs w:val="22"/>
        </w:rPr>
      </w:pPr>
      <w:r w:rsidRPr="003640D1">
        <w:rPr>
          <w:rFonts w:eastAsiaTheme="minorHAnsi"/>
          <w:szCs w:val="22"/>
        </w:rPr>
        <w:t xml:space="preserve">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w:t>
      </w:r>
      <w:r w:rsidR="00DE106C">
        <w:rPr>
          <w:rFonts w:eastAsiaTheme="minorHAnsi"/>
          <w:szCs w:val="22"/>
        </w:rPr>
        <w:t>a u</w:t>
      </w:r>
      <w:r w:rsidRPr="003640D1">
        <w:rPr>
          <w:rFonts w:eastAsiaTheme="minorHAnsi"/>
          <w:szCs w:val="22"/>
        </w:rPr>
        <w:t>tility’s collection of the revenues associated with that usage. It is Commission practice to set initial customer deposits equal to two months bills based on the average consumption for a 12-month period for each class of customers.</w:t>
      </w:r>
      <w:r w:rsidRPr="003640D1">
        <w:rPr>
          <w:rFonts w:eastAsiaTheme="minorHAnsi"/>
          <w:szCs w:val="22"/>
          <w:vertAlign w:val="superscript"/>
        </w:rPr>
        <w:footnoteReference w:id="24"/>
      </w:r>
      <w:r w:rsidRPr="003640D1">
        <w:rPr>
          <w:rFonts w:eastAsiaTheme="minorHAnsi"/>
          <w:szCs w:val="22"/>
        </w:rPr>
        <w:t xml:space="preserve"> </w:t>
      </w:r>
      <w:r>
        <w:rPr>
          <w:rFonts w:eastAsiaTheme="minorHAnsi"/>
          <w:szCs w:val="22"/>
        </w:rPr>
        <w:t xml:space="preserve">In its brief, EU </w:t>
      </w:r>
      <w:r w:rsidRPr="003640D1">
        <w:rPr>
          <w:rFonts w:eastAsiaTheme="minorHAnsi"/>
          <w:szCs w:val="22"/>
        </w:rPr>
        <w:t xml:space="preserve">agrees that it is Commission precedent that customer deposits are equal to two months average bills. </w:t>
      </w:r>
      <w:r>
        <w:rPr>
          <w:rFonts w:eastAsiaTheme="minorHAnsi"/>
          <w:szCs w:val="22"/>
        </w:rPr>
        <w:t xml:space="preserve">(EU BR 16) </w:t>
      </w:r>
      <w:r w:rsidRPr="003640D1">
        <w:rPr>
          <w:rFonts w:eastAsiaTheme="minorHAnsi"/>
          <w:szCs w:val="22"/>
        </w:rPr>
        <w:t xml:space="preserve">Staff has reviewed the financial information provided. </w:t>
      </w:r>
      <w:r w:rsidRPr="003640D1">
        <w:rPr>
          <w:rFonts w:eastAsiaTheme="minorHAnsi" w:cstheme="minorBidi"/>
          <w:color w:val="000000"/>
          <w:szCs w:val="22"/>
        </w:rPr>
        <w:t xml:space="preserve">Based on the staff recommended wastewater rates and average residential demand of </w:t>
      </w:r>
      <w:r w:rsidR="00E6023C">
        <w:rPr>
          <w:rFonts w:eastAsiaTheme="minorHAnsi" w:cstheme="minorBidi"/>
          <w:color w:val="000000"/>
          <w:szCs w:val="22"/>
        </w:rPr>
        <w:t>2,737</w:t>
      </w:r>
      <w:r w:rsidRPr="003640D1">
        <w:rPr>
          <w:rFonts w:eastAsiaTheme="minorHAnsi" w:cstheme="minorBidi"/>
          <w:color w:val="000000"/>
          <w:szCs w:val="22"/>
        </w:rPr>
        <w:t xml:space="preserve"> gallons,</w:t>
      </w:r>
      <w:r w:rsidRPr="003640D1">
        <w:rPr>
          <w:rFonts w:eastAsiaTheme="minorHAnsi"/>
          <w:szCs w:val="22"/>
        </w:rPr>
        <w:t xml:space="preserve"> the average</w:t>
      </w:r>
      <w:r>
        <w:rPr>
          <w:rFonts w:eastAsiaTheme="minorHAnsi"/>
          <w:szCs w:val="22"/>
        </w:rPr>
        <w:t xml:space="preserve"> monthly</w:t>
      </w:r>
      <w:r w:rsidRPr="003640D1">
        <w:rPr>
          <w:rFonts w:eastAsiaTheme="minorHAnsi"/>
          <w:szCs w:val="22"/>
        </w:rPr>
        <w:t xml:space="preserve"> residential bill is $</w:t>
      </w:r>
      <w:r w:rsidR="00E6023C">
        <w:rPr>
          <w:rFonts w:eastAsiaTheme="minorHAnsi"/>
          <w:szCs w:val="22"/>
        </w:rPr>
        <w:t>159</w:t>
      </w:r>
      <w:r w:rsidRPr="003640D1">
        <w:rPr>
          <w:rFonts w:eastAsiaTheme="minorHAnsi"/>
          <w:szCs w:val="22"/>
        </w:rPr>
        <w:t xml:space="preserve"> with a resulting initial customer deposit of $</w:t>
      </w:r>
      <w:r w:rsidR="00E6023C">
        <w:rPr>
          <w:rFonts w:eastAsiaTheme="minorHAnsi"/>
          <w:szCs w:val="22"/>
        </w:rPr>
        <w:t>318</w:t>
      </w:r>
      <w:r w:rsidRPr="003640D1">
        <w:rPr>
          <w:rFonts w:eastAsiaTheme="minorHAnsi"/>
          <w:szCs w:val="22"/>
        </w:rPr>
        <w:t xml:space="preserve"> based on the </w:t>
      </w:r>
      <w:r>
        <w:rPr>
          <w:rFonts w:eastAsiaTheme="minorHAnsi"/>
          <w:szCs w:val="22"/>
        </w:rPr>
        <w:t>2</w:t>
      </w:r>
      <w:r w:rsidR="00913EC8">
        <w:rPr>
          <w:rFonts w:eastAsiaTheme="minorHAnsi"/>
          <w:szCs w:val="22"/>
        </w:rPr>
        <w:t>-month period.</w:t>
      </w:r>
    </w:p>
    <w:p w14:paraId="358434B0" w14:textId="77777777" w:rsidR="00570A0E" w:rsidRPr="003640D1" w:rsidRDefault="00570A0E" w:rsidP="00570A0E">
      <w:pPr>
        <w:jc w:val="both"/>
        <w:rPr>
          <w:rFonts w:eastAsiaTheme="minorHAnsi"/>
          <w:szCs w:val="22"/>
        </w:rPr>
      </w:pPr>
    </w:p>
    <w:p w14:paraId="2BE6080D" w14:textId="77777777" w:rsidR="00570A0E" w:rsidRDefault="00570A0E" w:rsidP="00570A0E">
      <w:pPr>
        <w:spacing w:after="200"/>
        <w:jc w:val="center"/>
        <w:rPr>
          <w:rFonts w:ascii="Arial" w:eastAsiaTheme="minorHAnsi" w:hAnsi="Arial" w:cs="Arial"/>
          <w:b/>
          <w:szCs w:val="22"/>
        </w:rPr>
      </w:pPr>
      <w:r w:rsidRPr="003640D1">
        <w:rPr>
          <w:rFonts w:ascii="Arial" w:eastAsiaTheme="minorHAnsi" w:hAnsi="Arial" w:cs="Arial"/>
          <w:b/>
          <w:szCs w:val="22"/>
        </w:rPr>
        <w:t>CONCLUSION</w:t>
      </w:r>
    </w:p>
    <w:p w14:paraId="32CF9278" w14:textId="75EE640C" w:rsidR="00DF7FAA" w:rsidRDefault="00570A0E" w:rsidP="00570A0E">
      <w:pPr>
        <w:pStyle w:val="BodyText"/>
      </w:pPr>
      <w:r w:rsidRPr="00B03A30">
        <w:rPr>
          <w:rFonts w:eastAsiaTheme="minorHAnsi"/>
          <w:szCs w:val="22"/>
        </w:rPr>
        <w:t>The appropriat</w:t>
      </w:r>
      <w:r>
        <w:rPr>
          <w:rFonts w:eastAsiaTheme="minorHAnsi"/>
          <w:szCs w:val="22"/>
        </w:rPr>
        <w:t xml:space="preserve">e initial customer deposit is </w:t>
      </w:r>
      <w:r w:rsidRPr="00E6023C">
        <w:rPr>
          <w:rFonts w:eastAsiaTheme="minorHAnsi"/>
          <w:szCs w:val="22"/>
        </w:rPr>
        <w:t>$</w:t>
      </w:r>
      <w:r w:rsidR="00E6023C" w:rsidRPr="00E6023C">
        <w:rPr>
          <w:rFonts w:eastAsiaTheme="minorHAnsi"/>
          <w:szCs w:val="22"/>
        </w:rPr>
        <w:t>318</w:t>
      </w:r>
      <w:r w:rsidRPr="00B03A30">
        <w:rPr>
          <w:rFonts w:eastAsiaTheme="minorHAnsi"/>
          <w:szCs w:val="22"/>
        </w:rPr>
        <w:t xml:space="preserve"> for wastewater for the residential 5/8 inch x 3/4 inch meter size. The initial customer deposit for all other residential meter sizes and all general service meter sizes should be two times the average estimated bill. The approved customer deposits should be effective for connections made on or after the stamped approval date on the tariff sheets pursuant to Rule 25-30.475, F.A.C. The Utility should be required to collect the approved initial customer deposits until authorized to change them by the Commission in a subsequent proceeding</w:t>
      </w:r>
      <w:r w:rsidR="00977B0C">
        <w:rPr>
          <w:rFonts w:eastAsiaTheme="minorHAnsi"/>
          <w:szCs w:val="22"/>
        </w:rPr>
        <w:t>.</w:t>
      </w:r>
    </w:p>
    <w:p w14:paraId="6032E4D3" w14:textId="77777777" w:rsidR="0048338D" w:rsidRDefault="0048338D">
      <w:pPr>
        <w:pStyle w:val="IssueHeading"/>
        <w:rPr>
          <w:vanish/>
          <w:specVanish/>
        </w:rPr>
      </w:pPr>
      <w:r w:rsidRPr="004C3641">
        <w:rPr>
          <w:b w:val="0"/>
          <w:i w:val="0"/>
        </w:rPr>
        <w:br w:type="page"/>
      </w:r>
      <w:r w:rsidRPr="004C3641">
        <w:t xml:space="preserve">Issue </w:t>
      </w:r>
      <w:fldSimple w:instr=" SEQ Issue \* MERGEFORMAT ">
        <w:r>
          <w:rPr>
            <w:noProof/>
          </w:rPr>
          <w:t>13</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13</w:instrText>
      </w:r>
      <w:r>
        <w:fldChar w:fldCharType="end"/>
      </w:r>
      <w:r>
        <w:tab/>
        <w:instrText xml:space="preserve">" \l 1 </w:instrText>
      </w:r>
      <w:r>
        <w:fldChar w:fldCharType="end"/>
      </w:r>
      <w:r>
        <w:t> </w:t>
      </w:r>
    </w:p>
    <w:p w14:paraId="1B816DB0" w14:textId="77777777" w:rsidR="0048338D" w:rsidRDefault="0048338D">
      <w:pPr>
        <w:pStyle w:val="BodyText"/>
      </w:pPr>
      <w:r>
        <w:t> What are the appropriate miscellaneous service charges for Environmental Utilities, LLC?</w:t>
      </w:r>
    </w:p>
    <w:p w14:paraId="4F59B627" w14:textId="77777777" w:rsidR="0048338D" w:rsidRPr="004C3641" w:rsidRDefault="0048338D">
      <w:pPr>
        <w:pStyle w:val="IssueSubsectionHeading"/>
        <w:rPr>
          <w:vanish/>
          <w:specVanish/>
        </w:rPr>
      </w:pPr>
      <w:r w:rsidRPr="004C3641">
        <w:t>Recommendation: </w:t>
      </w:r>
    </w:p>
    <w:p w14:paraId="3FADDF5E" w14:textId="77777777" w:rsidR="0048338D" w:rsidRDefault="0048338D">
      <w:pPr>
        <w:pStyle w:val="BodyText"/>
      </w:pPr>
      <w:r>
        <w:t> </w:t>
      </w:r>
      <w:r w:rsidR="00DF7FAA" w:rsidRPr="00601442">
        <w:rPr>
          <w:rFonts w:eastAsiaTheme="minorHAnsi"/>
          <w:szCs w:val="22"/>
        </w:rPr>
        <w:t>The appropriate miscellaneous service charges are shown on Schedule No. 5 and should be approved. The Utility should file revised tariff sheets and a proposed customer notice to reflect the Commission-approved charges. The approved charges should be effective for services rendered on or after the stamped approval date on the tariff sheet provided customers have received notice pursuant to Rule 25-30.475(1), F.A.C. The Utility should provide proof of noticing within 10 days of rendering the approved notice. (Sibley</w:t>
      </w:r>
      <w:r w:rsidR="00DF7FAA">
        <w:rPr>
          <w:rFonts w:eastAsiaTheme="minorHAnsi"/>
          <w:szCs w:val="22"/>
        </w:rPr>
        <w:t>)</w:t>
      </w:r>
    </w:p>
    <w:p w14:paraId="0C5EF3E4" w14:textId="77777777" w:rsidR="00B91104" w:rsidRDefault="00B91104" w:rsidP="00B91104">
      <w:pPr>
        <w:pStyle w:val="BodyText"/>
        <w:rPr>
          <w:rFonts w:ascii="Arial" w:hAnsi="Arial" w:cs="Arial"/>
          <w:b/>
          <w:i/>
        </w:rPr>
      </w:pPr>
      <w:r>
        <w:rPr>
          <w:rFonts w:ascii="Arial" w:hAnsi="Arial" w:cs="Arial"/>
          <w:b/>
          <w:i/>
        </w:rPr>
        <w:t>Position of the Parties:</w:t>
      </w:r>
    </w:p>
    <w:p w14:paraId="31BF2408" w14:textId="77777777" w:rsidR="00FE30E7" w:rsidRPr="00B91104" w:rsidRDefault="00FE30E7" w:rsidP="00FE30E7">
      <w:pPr>
        <w:pStyle w:val="BodyText"/>
        <w:tabs>
          <w:tab w:val="left" w:pos="1080"/>
        </w:tabs>
      </w:pPr>
      <w:r>
        <w:rPr>
          <w:rFonts w:ascii="Arial" w:hAnsi="Arial" w:cs="Arial"/>
          <w:b/>
          <w:i/>
        </w:rPr>
        <w:t>LC:</w:t>
      </w:r>
      <w:r w:rsidRPr="00B91104">
        <w:rPr>
          <w:rFonts w:ascii="Arial" w:hAnsi="Arial" w:cs="Arial"/>
        </w:rPr>
        <w:tab/>
      </w:r>
      <w:r w:rsidRPr="00F73613">
        <w:t>Not Applicable.</w:t>
      </w:r>
    </w:p>
    <w:p w14:paraId="0CD61536" w14:textId="1298ACC6" w:rsidR="00FE30E7" w:rsidRPr="00B91104" w:rsidRDefault="00FE30E7" w:rsidP="00FE30E7">
      <w:pPr>
        <w:pStyle w:val="BodyText"/>
        <w:tabs>
          <w:tab w:val="left" w:pos="1080"/>
        </w:tabs>
      </w:pPr>
      <w:r>
        <w:rPr>
          <w:rFonts w:ascii="Arial" w:hAnsi="Arial" w:cs="Arial"/>
          <w:b/>
          <w:i/>
        </w:rPr>
        <w:t>LGIPA:</w:t>
      </w:r>
      <w:r w:rsidRPr="00B91104">
        <w:rPr>
          <w:rFonts w:ascii="Arial" w:hAnsi="Arial" w:cs="Arial"/>
        </w:rPr>
        <w:tab/>
      </w:r>
      <w:r w:rsidR="00B143D8">
        <w:t>LGIPA adopts the position of PIE and LC</w:t>
      </w:r>
      <w:r w:rsidR="00097613" w:rsidRPr="00097613">
        <w:t>.</w:t>
      </w:r>
    </w:p>
    <w:p w14:paraId="0BF864FA" w14:textId="18A6D084" w:rsidR="00FE30E7" w:rsidRPr="00B91104" w:rsidRDefault="00FE30E7" w:rsidP="00FE30E7">
      <w:pPr>
        <w:pStyle w:val="BodyText"/>
        <w:tabs>
          <w:tab w:val="left" w:pos="1080"/>
        </w:tabs>
      </w:pPr>
      <w:r>
        <w:rPr>
          <w:rFonts w:ascii="Arial" w:hAnsi="Arial" w:cs="Arial"/>
          <w:b/>
          <w:i/>
        </w:rPr>
        <w:t>PIE:</w:t>
      </w:r>
      <w:r w:rsidRPr="00B91104">
        <w:rPr>
          <w:rFonts w:ascii="Arial" w:hAnsi="Arial" w:cs="Arial"/>
        </w:rPr>
        <w:tab/>
      </w:r>
      <w:r>
        <w:t xml:space="preserve">PIE specifically adopts the position taken by </w:t>
      </w:r>
      <w:r w:rsidR="00913EC8">
        <w:t>LGIPA</w:t>
      </w:r>
      <w:r>
        <w:t xml:space="preserve"> and Linda B. </w:t>
      </w:r>
      <w:proofErr w:type="spellStart"/>
      <w:r>
        <w:t>Cotherman</w:t>
      </w:r>
      <w:proofErr w:type="spellEnd"/>
      <w:r>
        <w:t xml:space="preserve"> regarding this topic</w:t>
      </w:r>
    </w:p>
    <w:p w14:paraId="534692AD" w14:textId="77777777" w:rsidR="00FE30E7" w:rsidRPr="00A04277" w:rsidRDefault="00FE30E7" w:rsidP="00FE30E7">
      <w:pPr>
        <w:tabs>
          <w:tab w:val="left" w:pos="1080"/>
        </w:tabs>
        <w:spacing w:line="276" w:lineRule="auto"/>
        <w:contextualSpacing/>
        <w:jc w:val="both"/>
        <w:outlineLvl w:val="2"/>
      </w:pPr>
      <w:r>
        <w:rPr>
          <w:rFonts w:ascii="Arial" w:hAnsi="Arial" w:cs="Arial"/>
          <w:b/>
          <w:i/>
        </w:rPr>
        <w:t>EU:</w:t>
      </w:r>
      <w:r>
        <w:rPr>
          <w:rFonts w:ascii="Arial" w:hAnsi="Arial" w:cs="Arial"/>
        </w:rPr>
        <w:tab/>
      </w:r>
      <w:r>
        <w:t>Premises Visit</w:t>
      </w:r>
      <w:r w:rsidRPr="00A04277">
        <w:t xml:space="preserve"> ……………</w:t>
      </w:r>
      <w:r>
        <w:t>………….</w:t>
      </w:r>
      <w:r w:rsidRPr="00A04277">
        <w:t xml:space="preserve"> $30.00</w:t>
      </w:r>
    </w:p>
    <w:p w14:paraId="5575D81B" w14:textId="77777777" w:rsidR="00FE30E7" w:rsidRPr="00A04277" w:rsidRDefault="00FE30E7" w:rsidP="00FE30E7">
      <w:pPr>
        <w:tabs>
          <w:tab w:val="left" w:pos="1080"/>
        </w:tabs>
        <w:spacing w:line="276" w:lineRule="auto"/>
        <w:ind w:left="1080"/>
        <w:contextualSpacing/>
        <w:jc w:val="both"/>
        <w:outlineLvl w:val="2"/>
      </w:pPr>
      <w:r w:rsidRPr="00A04277">
        <w:t xml:space="preserve">Violation Reconnection Charge ………. Actual Cost </w:t>
      </w:r>
    </w:p>
    <w:p w14:paraId="24F054CF" w14:textId="77777777" w:rsidR="00FE30E7" w:rsidRPr="00A04277" w:rsidRDefault="00FE30E7" w:rsidP="00FE30E7">
      <w:pPr>
        <w:tabs>
          <w:tab w:val="left" w:pos="1080"/>
        </w:tabs>
        <w:spacing w:line="276" w:lineRule="auto"/>
        <w:ind w:left="1080"/>
        <w:contextualSpacing/>
        <w:jc w:val="both"/>
        <w:outlineLvl w:val="2"/>
      </w:pPr>
      <w:r w:rsidRPr="00A04277">
        <w:t>Late Payment Fee ………………………</w:t>
      </w:r>
      <w:proofErr w:type="gramStart"/>
      <w:r w:rsidRPr="00A04277">
        <w:t>.$</w:t>
      </w:r>
      <w:proofErr w:type="gramEnd"/>
      <w:r w:rsidRPr="00A04277">
        <w:t xml:space="preserve">  7.50</w:t>
      </w:r>
    </w:p>
    <w:p w14:paraId="32F24A3D" w14:textId="77777777" w:rsidR="00FE30E7" w:rsidRDefault="00FE30E7" w:rsidP="00FE30E7">
      <w:pPr>
        <w:pStyle w:val="BodyText"/>
        <w:tabs>
          <w:tab w:val="left" w:pos="1080"/>
          <w:tab w:val="left" w:pos="2430"/>
        </w:tabs>
        <w:ind w:left="1080"/>
      </w:pPr>
      <w:r w:rsidRPr="00A04277">
        <w:t>Bad Check Charge ………………………Pursuant to §68.065(2), Fla. Statutes</w:t>
      </w:r>
    </w:p>
    <w:p w14:paraId="1416D31D" w14:textId="77777777" w:rsidR="0048338D" w:rsidRPr="004C3641" w:rsidRDefault="0048338D" w:rsidP="00E87D28">
      <w:pPr>
        <w:pStyle w:val="IssueSubsectionHeading"/>
        <w:rPr>
          <w:vanish/>
          <w:specVanish/>
        </w:rPr>
      </w:pPr>
      <w:r w:rsidRPr="004C3641">
        <w:t>Staff Analysis: </w:t>
      </w:r>
    </w:p>
    <w:p w14:paraId="4AADC7EA" w14:textId="77777777" w:rsidR="00570A0E" w:rsidRDefault="0048338D" w:rsidP="00570A0E">
      <w:pPr>
        <w:jc w:val="both"/>
      </w:pPr>
      <w:r>
        <w:t> </w:t>
      </w:r>
    </w:p>
    <w:p w14:paraId="07DB47AF" w14:textId="77777777" w:rsidR="00570A0E" w:rsidRPr="003640D1" w:rsidRDefault="00570A0E" w:rsidP="00570A0E">
      <w:pPr>
        <w:spacing w:after="200" w:line="276" w:lineRule="auto"/>
        <w:jc w:val="center"/>
        <w:rPr>
          <w:rFonts w:ascii="Arial" w:eastAsiaTheme="minorHAnsi" w:hAnsi="Arial" w:cs="Arial"/>
          <w:b/>
          <w:szCs w:val="22"/>
        </w:rPr>
      </w:pPr>
      <w:r w:rsidRPr="003640D1">
        <w:rPr>
          <w:rFonts w:ascii="Arial" w:eastAsiaTheme="minorHAnsi" w:hAnsi="Arial" w:cs="Arial"/>
          <w:b/>
          <w:szCs w:val="22"/>
        </w:rPr>
        <w:t>ANALYSIS</w:t>
      </w:r>
    </w:p>
    <w:p w14:paraId="0259B8BA" w14:textId="72A0AE02" w:rsidR="00DF7FAA" w:rsidRPr="003640D1" w:rsidRDefault="00DF7FAA" w:rsidP="00DF7FAA">
      <w:pPr>
        <w:jc w:val="both"/>
        <w:rPr>
          <w:rFonts w:eastAsiaTheme="minorHAnsi"/>
          <w:szCs w:val="22"/>
        </w:rPr>
      </w:pPr>
      <w:r w:rsidRPr="003640D1">
        <w:rPr>
          <w:rFonts w:eastAsiaTheme="minorHAnsi"/>
          <w:szCs w:val="22"/>
        </w:rPr>
        <w:t xml:space="preserve">In witness Swain’s testimony, the Utility proposed miscellaneous </w:t>
      </w:r>
      <w:r>
        <w:rPr>
          <w:rFonts w:eastAsiaTheme="minorHAnsi"/>
          <w:szCs w:val="22"/>
        </w:rPr>
        <w:t xml:space="preserve">service </w:t>
      </w:r>
      <w:r w:rsidRPr="003640D1">
        <w:rPr>
          <w:rFonts w:eastAsiaTheme="minorHAnsi"/>
          <w:szCs w:val="22"/>
        </w:rPr>
        <w:t>charges consisting of initial connection, normal reconnection, and premises visit charges of $30 during normal business hours</w:t>
      </w:r>
      <w:r>
        <w:rPr>
          <w:rFonts w:eastAsiaTheme="minorHAnsi"/>
          <w:szCs w:val="22"/>
        </w:rPr>
        <w:t xml:space="preserve">. </w:t>
      </w:r>
      <w:r w:rsidRPr="003640D1">
        <w:rPr>
          <w:rFonts w:eastAsiaTheme="minorHAnsi"/>
          <w:szCs w:val="22"/>
        </w:rPr>
        <w:t xml:space="preserve">EU </w:t>
      </w:r>
      <w:r>
        <w:rPr>
          <w:rFonts w:eastAsiaTheme="minorHAnsi"/>
          <w:szCs w:val="22"/>
        </w:rPr>
        <w:t>also propose</w:t>
      </w:r>
      <w:r w:rsidRPr="003640D1">
        <w:rPr>
          <w:rFonts w:eastAsiaTheme="minorHAnsi"/>
          <w:szCs w:val="22"/>
        </w:rPr>
        <w:t xml:space="preserve">d that its violation reconnection charge be actual cost. The Utility proposed a late payment charge of $7.50 and </w:t>
      </w:r>
      <w:r>
        <w:rPr>
          <w:rFonts w:eastAsiaTheme="minorHAnsi"/>
          <w:szCs w:val="22"/>
        </w:rPr>
        <w:t>n</w:t>
      </w:r>
      <w:r w:rsidRPr="003640D1">
        <w:rPr>
          <w:rFonts w:eastAsiaTheme="minorHAnsi"/>
          <w:szCs w:val="22"/>
        </w:rPr>
        <w:t>on-</w:t>
      </w:r>
      <w:r>
        <w:rPr>
          <w:rFonts w:eastAsiaTheme="minorHAnsi"/>
          <w:szCs w:val="22"/>
        </w:rPr>
        <w:t>s</w:t>
      </w:r>
      <w:r w:rsidRPr="003640D1">
        <w:rPr>
          <w:rFonts w:eastAsiaTheme="minorHAnsi"/>
          <w:szCs w:val="22"/>
        </w:rPr>
        <w:t xml:space="preserve">ufficient </w:t>
      </w:r>
      <w:r>
        <w:rPr>
          <w:rFonts w:eastAsiaTheme="minorHAnsi"/>
          <w:szCs w:val="22"/>
        </w:rPr>
        <w:t>f</w:t>
      </w:r>
      <w:r w:rsidRPr="003640D1">
        <w:rPr>
          <w:rFonts w:eastAsiaTheme="minorHAnsi"/>
          <w:szCs w:val="22"/>
        </w:rPr>
        <w:t>unds (NSF) charge</w:t>
      </w:r>
      <w:r w:rsidR="00097613">
        <w:rPr>
          <w:rFonts w:eastAsiaTheme="minorHAnsi"/>
          <w:szCs w:val="22"/>
        </w:rPr>
        <w:t>s pursuant to statute</w:t>
      </w:r>
      <w:r w:rsidRPr="003640D1">
        <w:rPr>
          <w:rFonts w:eastAsiaTheme="minorHAnsi"/>
          <w:szCs w:val="22"/>
        </w:rPr>
        <w:t>. (</w:t>
      </w:r>
      <w:r w:rsidRPr="00AC29C0">
        <w:rPr>
          <w:rFonts w:eastAsiaTheme="minorHAnsi"/>
          <w:szCs w:val="22"/>
        </w:rPr>
        <w:t>EXH 13 BSP 578</w:t>
      </w:r>
      <w:r>
        <w:rPr>
          <w:rFonts w:eastAsiaTheme="minorHAnsi"/>
          <w:szCs w:val="22"/>
        </w:rPr>
        <w:t>; EXH 39, BSP 1063</w:t>
      </w:r>
      <w:r w:rsidRPr="003640D1">
        <w:rPr>
          <w:rFonts w:eastAsiaTheme="minorHAnsi"/>
          <w:szCs w:val="22"/>
        </w:rPr>
        <w:t>) EU’s proposed miscellaneous charges were accompanied by a cost justification as required by Section 367.091(6), F.S.</w:t>
      </w:r>
      <w:r>
        <w:rPr>
          <w:rFonts w:eastAsiaTheme="minorHAnsi"/>
          <w:szCs w:val="22"/>
        </w:rPr>
        <w:t xml:space="preserve"> </w:t>
      </w:r>
      <w:r w:rsidR="00536F0C" w:rsidRPr="00536F0C">
        <w:rPr>
          <w:rFonts w:eastAsiaTheme="minorHAnsi"/>
          <w:szCs w:val="22"/>
        </w:rPr>
        <w:t>No argument was provided in the post-hearing briefs for LGIPA or PIE on this issue. L</w:t>
      </w:r>
      <w:r w:rsidR="00B143D8">
        <w:rPr>
          <w:rFonts w:eastAsiaTheme="minorHAnsi"/>
          <w:szCs w:val="22"/>
        </w:rPr>
        <w:t>C</w:t>
      </w:r>
      <w:r w:rsidR="00536F0C" w:rsidRPr="00536F0C">
        <w:rPr>
          <w:rFonts w:eastAsiaTheme="minorHAnsi"/>
          <w:szCs w:val="22"/>
        </w:rPr>
        <w:t xml:space="preserve"> argues that the miscellaneous service charges cannot be accurately calculated due to unsubstantiated construction and installation costs. (LC</w:t>
      </w:r>
      <w:r w:rsidR="002C0491">
        <w:rPr>
          <w:rFonts w:eastAsiaTheme="minorHAnsi"/>
          <w:szCs w:val="22"/>
        </w:rPr>
        <w:t xml:space="preserve"> </w:t>
      </w:r>
      <w:r w:rsidR="00536F0C" w:rsidRPr="00536F0C">
        <w:rPr>
          <w:rFonts w:eastAsiaTheme="minorHAnsi"/>
          <w:szCs w:val="22"/>
        </w:rPr>
        <w:t>BR 24) EU contends its proposed miscellaneous service charges are supported by its cost justification, and are in line with miscellaneous service charges the Commission has approved for other utilities. (EU BR 16)</w:t>
      </w:r>
    </w:p>
    <w:p w14:paraId="47107B3B" w14:textId="77777777" w:rsidR="00DF7FAA" w:rsidRPr="003640D1" w:rsidRDefault="00DF7FAA" w:rsidP="00DF7FAA">
      <w:pPr>
        <w:jc w:val="both"/>
        <w:rPr>
          <w:rFonts w:eastAsiaTheme="minorHAnsi"/>
          <w:szCs w:val="22"/>
        </w:rPr>
      </w:pPr>
    </w:p>
    <w:p w14:paraId="5E546119" w14:textId="77777777" w:rsidR="00DF7FAA" w:rsidRPr="003640D1" w:rsidRDefault="00DF7FAA" w:rsidP="00DF7FAA">
      <w:pPr>
        <w:jc w:val="both"/>
      </w:pPr>
      <w:r w:rsidRPr="003640D1">
        <w:t xml:space="preserve">The purpose of these charges is to place the burden for requesting or causing these services on the cost-causer rather than the general body of ratepayers. The Utility requested the recovery of $26.60 of field and supervisorial labor associated with processing miscellaneous services based on an hourly salary of $20 and the time it takes to perform all job functions, which is estimated to be 1.33 </w:t>
      </w:r>
      <w:r>
        <w:t>hours. Additionally, EU</w:t>
      </w:r>
      <w:r w:rsidRPr="003640D1">
        <w:t xml:space="preserve"> requested recovery of vehicle mileage of $3.48 based on a mileage rate of $0.58 per mile for </w:t>
      </w:r>
      <w:r>
        <w:t>six</w:t>
      </w:r>
      <w:r w:rsidRPr="003640D1">
        <w:t xml:space="preserve"> miles. (</w:t>
      </w:r>
      <w:r w:rsidRPr="00AC29C0">
        <w:t>EXH 13</w:t>
      </w:r>
      <w:r>
        <w:t>,</w:t>
      </w:r>
      <w:r w:rsidRPr="00AC29C0">
        <w:t xml:space="preserve"> BSP 578</w:t>
      </w:r>
      <w:r>
        <w:t>; EXH 39, BSP 1063</w:t>
      </w:r>
      <w:r w:rsidRPr="003640D1">
        <w:t>) The Utility’s cost justification for its requested miscellan</w:t>
      </w:r>
      <w:r>
        <w:t>eous service charges is shown below on</w:t>
      </w:r>
      <w:r w:rsidRPr="003640D1">
        <w:t xml:space="preserve"> Table </w:t>
      </w:r>
      <w:r w:rsidR="00B72E42">
        <w:t>13-1</w:t>
      </w:r>
      <w:r w:rsidRPr="003640D1">
        <w:t>.</w:t>
      </w:r>
    </w:p>
    <w:p w14:paraId="661DE4AE" w14:textId="77777777" w:rsidR="00DF7FAA" w:rsidRPr="003640D1" w:rsidRDefault="00DF7FAA" w:rsidP="00DF7FAA">
      <w:pPr>
        <w:jc w:val="both"/>
      </w:pPr>
    </w:p>
    <w:p w14:paraId="23DAD6EE" w14:textId="77777777" w:rsidR="00DF7FAA" w:rsidRPr="003640D1" w:rsidRDefault="00DF7FAA" w:rsidP="00DF7FAA">
      <w:pPr>
        <w:keepNext/>
        <w:jc w:val="center"/>
        <w:rPr>
          <w:rFonts w:ascii="Arial" w:hAnsi="Arial"/>
          <w:b/>
        </w:rPr>
      </w:pPr>
      <w:r w:rsidRPr="003640D1">
        <w:rPr>
          <w:rFonts w:ascii="Arial" w:hAnsi="Arial"/>
          <w:b/>
        </w:rPr>
        <w:t xml:space="preserve">Table </w:t>
      </w:r>
      <w:r w:rsidR="00B72E42">
        <w:rPr>
          <w:rFonts w:ascii="Arial" w:hAnsi="Arial"/>
          <w:b/>
        </w:rPr>
        <w:t>13-1</w:t>
      </w:r>
    </w:p>
    <w:p w14:paraId="1D743BA2" w14:textId="77777777" w:rsidR="00DF7FAA" w:rsidRPr="003640D1" w:rsidRDefault="00DF7FAA" w:rsidP="00DF7FAA">
      <w:pPr>
        <w:keepNext/>
        <w:jc w:val="center"/>
        <w:rPr>
          <w:rFonts w:ascii="Arial" w:hAnsi="Arial"/>
          <w:b/>
        </w:rPr>
      </w:pPr>
      <w:r w:rsidRPr="003640D1">
        <w:rPr>
          <w:rFonts w:ascii="Arial" w:hAnsi="Arial"/>
          <w:b/>
        </w:rPr>
        <w:t>Miscellaneous Service Charges Cost Justification</w:t>
      </w:r>
    </w:p>
    <w:tbl>
      <w:tblPr>
        <w:tblStyle w:val="TableGrid11"/>
        <w:tblW w:w="0" w:type="auto"/>
        <w:jc w:val="center"/>
        <w:tblLook w:val="04A0" w:firstRow="1" w:lastRow="0" w:firstColumn="1" w:lastColumn="0" w:noHBand="0" w:noVBand="1"/>
      </w:tblPr>
      <w:tblGrid>
        <w:gridCol w:w="3888"/>
        <w:gridCol w:w="3456"/>
      </w:tblGrid>
      <w:tr w:rsidR="00DF7FAA" w:rsidRPr="003640D1" w14:paraId="592DCD0E" w14:textId="77777777" w:rsidTr="00DF7FAA">
        <w:trPr>
          <w:jc w:val="center"/>
        </w:trPr>
        <w:tc>
          <w:tcPr>
            <w:tcW w:w="3888" w:type="dxa"/>
          </w:tcPr>
          <w:p w14:paraId="0F208128" w14:textId="77777777" w:rsidR="00DF7FAA" w:rsidRPr="003640D1" w:rsidRDefault="00DF7FAA" w:rsidP="00DF7FAA">
            <w:r w:rsidRPr="003640D1">
              <w:t>Labor ($20 x 1.33)</w:t>
            </w:r>
          </w:p>
        </w:tc>
        <w:tc>
          <w:tcPr>
            <w:tcW w:w="3456" w:type="dxa"/>
          </w:tcPr>
          <w:p w14:paraId="6D07A40F" w14:textId="77777777" w:rsidR="00DF7FAA" w:rsidRPr="003640D1" w:rsidRDefault="00DF7FAA" w:rsidP="00DF7FAA">
            <w:pPr>
              <w:jc w:val="right"/>
            </w:pPr>
            <w:r w:rsidRPr="003640D1">
              <w:t>$26.60</w:t>
            </w:r>
          </w:p>
        </w:tc>
      </w:tr>
      <w:tr w:rsidR="00DF7FAA" w:rsidRPr="003640D1" w14:paraId="741CADE8" w14:textId="77777777" w:rsidTr="00DF7FAA">
        <w:trPr>
          <w:jc w:val="center"/>
        </w:trPr>
        <w:tc>
          <w:tcPr>
            <w:tcW w:w="3888" w:type="dxa"/>
          </w:tcPr>
          <w:p w14:paraId="4D208ACC" w14:textId="77777777" w:rsidR="00DF7FAA" w:rsidRPr="003640D1" w:rsidRDefault="00DF7FAA" w:rsidP="00DF7FAA">
            <w:r w:rsidRPr="003640D1">
              <w:t>Vehicle ($0.58 x 6)</w:t>
            </w:r>
          </w:p>
        </w:tc>
        <w:tc>
          <w:tcPr>
            <w:tcW w:w="3456" w:type="dxa"/>
          </w:tcPr>
          <w:p w14:paraId="74797F7C" w14:textId="77777777" w:rsidR="00DF7FAA" w:rsidRPr="003640D1" w:rsidRDefault="00DF7FAA" w:rsidP="00DF7FAA">
            <w:pPr>
              <w:jc w:val="right"/>
            </w:pPr>
            <w:r w:rsidRPr="003640D1">
              <w:t>$3.48</w:t>
            </w:r>
          </w:p>
        </w:tc>
      </w:tr>
      <w:tr w:rsidR="00DF7FAA" w:rsidRPr="003640D1" w14:paraId="0E94E2A2" w14:textId="77777777" w:rsidTr="00DF7FAA">
        <w:trPr>
          <w:jc w:val="center"/>
        </w:trPr>
        <w:tc>
          <w:tcPr>
            <w:tcW w:w="3888" w:type="dxa"/>
          </w:tcPr>
          <w:p w14:paraId="0B4892D9" w14:textId="77777777" w:rsidR="00DF7FAA" w:rsidRPr="003640D1" w:rsidRDefault="00DF7FAA" w:rsidP="00DF7FAA">
            <w:r w:rsidRPr="003640D1">
              <w:t>Total</w:t>
            </w:r>
          </w:p>
        </w:tc>
        <w:tc>
          <w:tcPr>
            <w:tcW w:w="3456" w:type="dxa"/>
          </w:tcPr>
          <w:p w14:paraId="7A364228" w14:textId="77777777" w:rsidR="00DF7FAA" w:rsidRPr="003640D1" w:rsidRDefault="00DF7FAA" w:rsidP="00DF7FAA">
            <w:pPr>
              <w:jc w:val="right"/>
            </w:pPr>
            <w:r w:rsidRPr="003640D1">
              <w:t>$30.08</w:t>
            </w:r>
          </w:p>
        </w:tc>
      </w:tr>
    </w:tbl>
    <w:p w14:paraId="00C71C20" w14:textId="51064A14" w:rsidR="00DF7FAA" w:rsidRPr="003640D1" w:rsidRDefault="00DF7FAA" w:rsidP="00DF7FAA">
      <w:pPr>
        <w:ind w:left="720"/>
        <w:jc w:val="both"/>
        <w:rPr>
          <w:sz w:val="20"/>
          <w:szCs w:val="20"/>
        </w:rPr>
      </w:pPr>
      <w:r w:rsidRPr="003640D1">
        <w:rPr>
          <w:sz w:val="20"/>
          <w:szCs w:val="20"/>
        </w:rPr>
        <w:t xml:space="preserve">      </w:t>
      </w:r>
      <w:r>
        <w:rPr>
          <w:sz w:val="20"/>
          <w:szCs w:val="20"/>
        </w:rPr>
        <w:t xml:space="preserve">  </w:t>
      </w:r>
      <w:r w:rsidRPr="003640D1">
        <w:rPr>
          <w:sz w:val="20"/>
          <w:szCs w:val="20"/>
        </w:rPr>
        <w:t>Source: Utility’s Cost Justification</w:t>
      </w:r>
      <w:r w:rsidR="00A42419">
        <w:rPr>
          <w:sz w:val="20"/>
          <w:szCs w:val="20"/>
        </w:rPr>
        <w:t xml:space="preserve"> </w:t>
      </w:r>
      <w:r w:rsidR="00A42419">
        <w:rPr>
          <w:rFonts w:eastAsiaTheme="minorHAnsi"/>
          <w:sz w:val="20"/>
          <w:szCs w:val="22"/>
        </w:rPr>
        <w:t>(EXH 13</w:t>
      </w:r>
      <w:r w:rsidR="00A42419" w:rsidRPr="00A42419">
        <w:rPr>
          <w:rFonts w:eastAsiaTheme="minorHAnsi"/>
          <w:sz w:val="20"/>
          <w:szCs w:val="22"/>
        </w:rPr>
        <w:t xml:space="preserve">, BSP </w:t>
      </w:r>
      <w:r w:rsidR="00A42419">
        <w:rPr>
          <w:rFonts w:eastAsiaTheme="minorHAnsi"/>
          <w:sz w:val="20"/>
          <w:szCs w:val="22"/>
        </w:rPr>
        <w:t>578</w:t>
      </w:r>
      <w:r w:rsidR="00A42419" w:rsidRPr="00A42419">
        <w:rPr>
          <w:rFonts w:eastAsiaTheme="minorHAnsi"/>
          <w:sz w:val="20"/>
          <w:szCs w:val="22"/>
        </w:rPr>
        <w:t>)</w:t>
      </w:r>
    </w:p>
    <w:p w14:paraId="718E9EBC" w14:textId="77777777" w:rsidR="00DF7FAA" w:rsidRDefault="00DF7FAA" w:rsidP="00DF7FAA">
      <w:pPr>
        <w:jc w:val="both"/>
        <w:rPr>
          <w:rFonts w:eastAsiaTheme="minorHAnsi"/>
          <w:szCs w:val="22"/>
        </w:rPr>
      </w:pPr>
    </w:p>
    <w:p w14:paraId="076C8B76" w14:textId="40458917" w:rsidR="00DF7FAA" w:rsidRPr="00014C24" w:rsidRDefault="00DF7FAA" w:rsidP="00DF7FAA">
      <w:pPr>
        <w:jc w:val="both"/>
      </w:pPr>
      <w:r w:rsidRPr="003640D1">
        <w:rPr>
          <w:rFonts w:eastAsiaTheme="minorHAnsi"/>
          <w:szCs w:val="22"/>
        </w:rPr>
        <w:t xml:space="preserve">Rule 25-30.460, F.A.C., </w:t>
      </w:r>
      <w:r>
        <w:rPr>
          <w:rFonts w:eastAsiaTheme="minorHAnsi"/>
          <w:szCs w:val="22"/>
        </w:rPr>
        <w:t xml:space="preserve">does not allow for </w:t>
      </w:r>
      <w:r w:rsidRPr="003640D1">
        <w:rPr>
          <w:rFonts w:eastAsiaTheme="minorHAnsi"/>
          <w:szCs w:val="22"/>
        </w:rPr>
        <w:t xml:space="preserve">initial connection and normal reconnection charges. Pursuant to Rule 25-30.460, F.A.C., the definitions for initial connection charges and normal reconnection charges were incorporated in the definition of the premises visit charge. </w:t>
      </w:r>
      <w:r w:rsidRPr="003640D1">
        <w:t xml:space="preserve">EU’s </w:t>
      </w:r>
      <w:r>
        <w:t>proposed charges</w:t>
      </w:r>
      <w:r w:rsidRPr="003640D1">
        <w:t xml:space="preserve"> for initial connection and normal reconnection charges </w:t>
      </w:r>
      <w:r>
        <w:t>are obsolete and</w:t>
      </w:r>
      <w:r w:rsidRPr="003640D1">
        <w:t xml:space="preserve"> </w:t>
      </w:r>
      <w:r>
        <w:t>inconsistent with the</w:t>
      </w:r>
      <w:r w:rsidRPr="003640D1">
        <w:t xml:space="preserve"> rule. </w:t>
      </w:r>
      <w:r w:rsidR="00EA3484" w:rsidRPr="00EA3484">
        <w:t xml:space="preserve">However, in its briefs, EU proposed its miscellaneous service charges consistent with </w:t>
      </w:r>
      <w:r w:rsidR="00EA3484">
        <w:t xml:space="preserve">the </w:t>
      </w:r>
      <w:r w:rsidR="00EA3484" w:rsidRPr="00EA3484">
        <w:t>rule by removing the initial connection and normal reconnection charges. (EU BR 16)</w:t>
      </w:r>
      <w:r w:rsidR="00014C24">
        <w:t xml:space="preserve"> </w:t>
      </w:r>
      <w:r>
        <w:rPr>
          <w:rFonts w:eastAsiaTheme="minorHAnsi"/>
          <w:szCs w:val="22"/>
        </w:rPr>
        <w:t>Therefore</w:t>
      </w:r>
      <w:r w:rsidRPr="003640D1">
        <w:rPr>
          <w:rFonts w:eastAsiaTheme="minorHAnsi"/>
          <w:szCs w:val="22"/>
        </w:rPr>
        <w:t xml:space="preserve">, </w:t>
      </w:r>
      <w:r w:rsidR="00014C24">
        <w:rPr>
          <w:rFonts w:eastAsiaTheme="minorHAnsi"/>
          <w:szCs w:val="22"/>
        </w:rPr>
        <w:t>t</w:t>
      </w:r>
      <w:r>
        <w:rPr>
          <w:rFonts w:eastAsiaTheme="minorHAnsi"/>
          <w:szCs w:val="22"/>
        </w:rPr>
        <w:t>he Utility’s proposed</w:t>
      </w:r>
      <w:r w:rsidRPr="003640D1">
        <w:rPr>
          <w:rFonts w:eastAsiaTheme="minorHAnsi"/>
          <w:szCs w:val="22"/>
        </w:rPr>
        <w:t xml:space="preserve"> premises visit charge of $30 and violation reconnection charge at actual cost should be approved pursuant to Rule 25-30.460, F.A.C.</w:t>
      </w:r>
    </w:p>
    <w:p w14:paraId="6A2EE1F1" w14:textId="77777777" w:rsidR="00DF7FAA" w:rsidRDefault="00DF7FAA" w:rsidP="00DF7FAA">
      <w:pPr>
        <w:jc w:val="both"/>
        <w:rPr>
          <w:rFonts w:eastAsiaTheme="minorHAnsi"/>
          <w:szCs w:val="22"/>
        </w:rPr>
      </w:pPr>
    </w:p>
    <w:p w14:paraId="239EBD9C" w14:textId="77777777" w:rsidR="00DF7FAA" w:rsidRPr="00293D82" w:rsidRDefault="00DF7FAA" w:rsidP="00DF7FAA">
      <w:pPr>
        <w:pStyle w:val="BodyText"/>
        <w:spacing w:after="0"/>
        <w:rPr>
          <w:rFonts w:ascii="Arial" w:hAnsi="Arial" w:cs="Arial"/>
          <w:b/>
        </w:rPr>
      </w:pPr>
      <w:r>
        <w:rPr>
          <w:rFonts w:ascii="Arial" w:hAnsi="Arial" w:cs="Arial"/>
          <w:b/>
        </w:rPr>
        <w:t>Late Payment Charge</w:t>
      </w:r>
    </w:p>
    <w:p w14:paraId="1BDCC218" w14:textId="348E74CC" w:rsidR="00DF7FAA" w:rsidRPr="003640D1" w:rsidRDefault="00DF7FAA" w:rsidP="00DF7FAA">
      <w:pPr>
        <w:jc w:val="both"/>
      </w:pPr>
      <w:r w:rsidRPr="003640D1">
        <w:rPr>
          <w:rFonts w:eastAsiaTheme="minorHAnsi"/>
          <w:szCs w:val="22"/>
        </w:rPr>
        <w:t>The Utility’s requested late payment charge of $7.50 is to recover the cost of supplies and labor associated with processing late payment notices. Within its cost justification, EU included $5.00 for clerical labor associated with processing late payments based on the clerical employee who is paid $20 per hour and the amount of time it takes the employee to process a single late paym</w:t>
      </w:r>
      <w:r>
        <w:rPr>
          <w:rFonts w:eastAsiaTheme="minorHAnsi"/>
          <w:szCs w:val="22"/>
        </w:rPr>
        <w:t>ent charge of 15 minutes. (EXH 13 BSP 578; EXH 39, 1063</w:t>
      </w:r>
      <w:r w:rsidRPr="003640D1">
        <w:rPr>
          <w:rFonts w:eastAsiaTheme="minorHAnsi"/>
          <w:szCs w:val="22"/>
        </w:rPr>
        <w:t>) This is consistent with Commission practice, in which the Commission has found that 10 to 15 minutes is an appropriate amount of time for a billing employee to process a single late payment.</w:t>
      </w:r>
      <w:r w:rsidRPr="003640D1">
        <w:rPr>
          <w:rFonts w:eastAsiaTheme="minorHAnsi"/>
          <w:szCs w:val="22"/>
          <w:vertAlign w:val="superscript"/>
        </w:rPr>
        <w:footnoteReference w:id="25"/>
      </w:r>
      <w:r w:rsidRPr="003640D1">
        <w:rPr>
          <w:rFonts w:eastAsiaTheme="minorHAnsi"/>
          <w:szCs w:val="22"/>
        </w:rPr>
        <w:t xml:space="preserve"> Furthermore, EU requested to recover supervisorial labor of $2.00 based on the supervisor’s hourly salary of $25 per hour and the time it takes the supervisor to review a late payment charge of eight minutes, which is c</w:t>
      </w:r>
      <w:r>
        <w:rPr>
          <w:rFonts w:eastAsiaTheme="minorHAnsi"/>
          <w:szCs w:val="22"/>
        </w:rPr>
        <w:t xml:space="preserve">onsistent with prior Commission </w:t>
      </w:r>
      <w:r w:rsidRPr="003640D1">
        <w:rPr>
          <w:rFonts w:eastAsiaTheme="minorHAnsi"/>
          <w:szCs w:val="22"/>
        </w:rPr>
        <w:t>cases</w:t>
      </w:r>
      <w:r w:rsidRPr="00E6023C">
        <w:rPr>
          <w:rFonts w:eastAsiaTheme="minorHAnsi"/>
          <w:szCs w:val="22"/>
        </w:rPr>
        <w:t>.</w:t>
      </w:r>
      <w:r w:rsidRPr="00E6023C">
        <w:rPr>
          <w:rStyle w:val="FootnoteReference"/>
          <w:rFonts w:eastAsiaTheme="minorHAnsi"/>
          <w:szCs w:val="22"/>
        </w:rPr>
        <w:footnoteReference w:id="26"/>
      </w:r>
      <w:r w:rsidRPr="003640D1">
        <w:rPr>
          <w:rFonts w:eastAsiaTheme="minorHAnsi"/>
          <w:szCs w:val="22"/>
        </w:rPr>
        <w:t xml:space="preserve"> The Utility is also requesting a recovery of $0.10 for supplies and $0.50 for postage. (</w:t>
      </w:r>
      <w:r w:rsidRPr="00AC29C0">
        <w:rPr>
          <w:rFonts w:eastAsiaTheme="minorHAnsi"/>
          <w:szCs w:val="22"/>
        </w:rPr>
        <w:t>EXH 13 BSP 578</w:t>
      </w:r>
      <w:r>
        <w:rPr>
          <w:rFonts w:eastAsiaTheme="minorHAnsi"/>
          <w:szCs w:val="22"/>
        </w:rPr>
        <w:t>;</w:t>
      </w:r>
      <w:r w:rsidRPr="007A2C93">
        <w:rPr>
          <w:rFonts w:eastAsiaTheme="minorHAnsi"/>
          <w:szCs w:val="22"/>
        </w:rPr>
        <w:t xml:space="preserve"> </w:t>
      </w:r>
      <w:r>
        <w:rPr>
          <w:rFonts w:eastAsiaTheme="minorHAnsi"/>
          <w:szCs w:val="22"/>
        </w:rPr>
        <w:t>EXH 39, 1063</w:t>
      </w:r>
      <w:r w:rsidRPr="003640D1">
        <w:rPr>
          <w:rFonts w:eastAsiaTheme="minorHAnsi"/>
          <w:szCs w:val="22"/>
        </w:rPr>
        <w:t xml:space="preserve">) EU’s cost justification totals $7.60. The Utility rounded down its requested late payment charge to $7.50. </w:t>
      </w:r>
      <w:r w:rsidR="009A3E0E">
        <w:rPr>
          <w:rFonts w:eastAsiaTheme="minorHAnsi"/>
          <w:szCs w:val="22"/>
        </w:rPr>
        <w:t>Staff notes</w:t>
      </w:r>
      <w:r w:rsidRPr="00E6023C">
        <w:rPr>
          <w:rFonts w:eastAsiaTheme="minorHAnsi"/>
          <w:szCs w:val="22"/>
        </w:rPr>
        <w:t xml:space="preserve"> the Commission </w:t>
      </w:r>
      <w:r w:rsidR="009A3E0E">
        <w:rPr>
          <w:rFonts w:eastAsiaTheme="minorHAnsi"/>
          <w:szCs w:val="22"/>
        </w:rPr>
        <w:t xml:space="preserve">has previously </w:t>
      </w:r>
      <w:r w:rsidRPr="00E6023C">
        <w:rPr>
          <w:rFonts w:eastAsiaTheme="minorHAnsi"/>
          <w:szCs w:val="22"/>
        </w:rPr>
        <w:t>approved a late payment charge of $7.50.</w:t>
      </w:r>
      <w:r w:rsidRPr="00E6023C">
        <w:rPr>
          <w:rFonts w:eastAsiaTheme="minorHAnsi"/>
          <w:szCs w:val="22"/>
          <w:vertAlign w:val="superscript"/>
        </w:rPr>
        <w:footnoteReference w:id="27"/>
      </w:r>
      <w:r w:rsidRPr="003640D1">
        <w:rPr>
          <w:rFonts w:eastAsiaTheme="minorHAnsi"/>
          <w:szCs w:val="22"/>
        </w:rPr>
        <w:t xml:space="preserve"> Staff believe</w:t>
      </w:r>
      <w:r>
        <w:rPr>
          <w:rFonts w:eastAsiaTheme="minorHAnsi"/>
          <w:szCs w:val="22"/>
        </w:rPr>
        <w:t>s</w:t>
      </w:r>
      <w:r w:rsidRPr="003640D1">
        <w:rPr>
          <w:rFonts w:eastAsiaTheme="minorHAnsi"/>
          <w:szCs w:val="22"/>
        </w:rPr>
        <w:t xml:space="preserve"> the Utility’s requested late payment charge is reasonable and should be approved. </w:t>
      </w:r>
      <w:r w:rsidRPr="003640D1">
        <w:t xml:space="preserve">The Utility’s cost justification for its requested miscellaneous service charges is shown </w:t>
      </w:r>
      <w:r>
        <w:t>o</w:t>
      </w:r>
      <w:r w:rsidRPr="003640D1">
        <w:t xml:space="preserve">n Table </w:t>
      </w:r>
      <w:r w:rsidR="00B72E42">
        <w:t>13-2</w:t>
      </w:r>
      <w:r w:rsidRPr="003640D1">
        <w:t>.</w:t>
      </w:r>
    </w:p>
    <w:p w14:paraId="7F0EE3F0" w14:textId="628BA08D" w:rsidR="00DF7FAA" w:rsidRDefault="00DF7FAA" w:rsidP="00DF7FAA">
      <w:pPr>
        <w:jc w:val="both"/>
        <w:rPr>
          <w:rFonts w:eastAsiaTheme="minorHAnsi"/>
          <w:szCs w:val="22"/>
        </w:rPr>
      </w:pPr>
    </w:p>
    <w:p w14:paraId="219B264E" w14:textId="3348721E" w:rsidR="00691F06" w:rsidRDefault="00691F06" w:rsidP="00DF7FAA">
      <w:pPr>
        <w:jc w:val="both"/>
        <w:rPr>
          <w:rFonts w:eastAsiaTheme="minorHAnsi"/>
          <w:szCs w:val="22"/>
        </w:rPr>
      </w:pPr>
    </w:p>
    <w:p w14:paraId="7D4EC5A8" w14:textId="77777777" w:rsidR="00691F06" w:rsidRPr="003640D1" w:rsidRDefault="00691F06" w:rsidP="00DF7FAA">
      <w:pPr>
        <w:jc w:val="both"/>
        <w:rPr>
          <w:rFonts w:eastAsiaTheme="minorHAnsi"/>
          <w:szCs w:val="22"/>
        </w:rPr>
      </w:pPr>
    </w:p>
    <w:p w14:paraId="794B6A7E" w14:textId="77777777" w:rsidR="00DF7FAA" w:rsidRPr="003640D1" w:rsidRDefault="00DF7FAA" w:rsidP="00DF7FAA">
      <w:pPr>
        <w:keepNext/>
        <w:jc w:val="center"/>
        <w:rPr>
          <w:rFonts w:ascii="Arial" w:hAnsi="Arial"/>
          <w:b/>
        </w:rPr>
      </w:pPr>
      <w:r w:rsidRPr="003640D1">
        <w:rPr>
          <w:rFonts w:ascii="Arial" w:hAnsi="Arial"/>
          <w:b/>
        </w:rPr>
        <w:t xml:space="preserve">Table </w:t>
      </w:r>
      <w:r w:rsidR="00B72E42">
        <w:rPr>
          <w:rFonts w:ascii="Arial" w:hAnsi="Arial"/>
          <w:b/>
        </w:rPr>
        <w:t>13-2</w:t>
      </w:r>
    </w:p>
    <w:p w14:paraId="5D414ACC" w14:textId="77777777" w:rsidR="00DF7FAA" w:rsidRPr="003640D1" w:rsidRDefault="00DF7FAA" w:rsidP="00DF7FAA">
      <w:pPr>
        <w:keepNext/>
        <w:jc w:val="center"/>
        <w:rPr>
          <w:rFonts w:ascii="Arial" w:hAnsi="Arial"/>
          <w:b/>
        </w:rPr>
      </w:pPr>
      <w:r w:rsidRPr="003640D1">
        <w:rPr>
          <w:rFonts w:ascii="Arial" w:hAnsi="Arial"/>
          <w:b/>
        </w:rPr>
        <w:t>Late Payment Charge Cost Justification</w:t>
      </w:r>
    </w:p>
    <w:tbl>
      <w:tblPr>
        <w:tblStyle w:val="TableGrid11"/>
        <w:tblW w:w="0" w:type="auto"/>
        <w:jc w:val="center"/>
        <w:tblLook w:val="04A0" w:firstRow="1" w:lastRow="0" w:firstColumn="1" w:lastColumn="0" w:noHBand="0" w:noVBand="1"/>
      </w:tblPr>
      <w:tblGrid>
        <w:gridCol w:w="3888"/>
        <w:gridCol w:w="3456"/>
      </w:tblGrid>
      <w:tr w:rsidR="00DF7FAA" w:rsidRPr="003640D1" w14:paraId="77BAA53E" w14:textId="77777777" w:rsidTr="00DF7FAA">
        <w:trPr>
          <w:jc w:val="center"/>
        </w:trPr>
        <w:tc>
          <w:tcPr>
            <w:tcW w:w="3888" w:type="dxa"/>
          </w:tcPr>
          <w:p w14:paraId="2CDF6B06" w14:textId="77777777" w:rsidR="00DF7FAA" w:rsidRPr="003640D1" w:rsidRDefault="00DF7FAA" w:rsidP="00DF7FAA">
            <w:r w:rsidRPr="003640D1">
              <w:t>Clerical Labor ($20 x 0.25)</w:t>
            </w:r>
          </w:p>
        </w:tc>
        <w:tc>
          <w:tcPr>
            <w:tcW w:w="3456" w:type="dxa"/>
          </w:tcPr>
          <w:p w14:paraId="121982C6" w14:textId="77777777" w:rsidR="00DF7FAA" w:rsidRPr="003640D1" w:rsidRDefault="00DF7FAA" w:rsidP="00DF7FAA">
            <w:pPr>
              <w:jc w:val="right"/>
            </w:pPr>
            <w:r w:rsidRPr="003640D1">
              <w:t>$5.00</w:t>
            </w:r>
          </w:p>
        </w:tc>
      </w:tr>
      <w:tr w:rsidR="00DF7FAA" w:rsidRPr="003640D1" w14:paraId="4E7CFAAB" w14:textId="77777777" w:rsidTr="00DF7FAA">
        <w:trPr>
          <w:jc w:val="center"/>
        </w:trPr>
        <w:tc>
          <w:tcPr>
            <w:tcW w:w="3888" w:type="dxa"/>
          </w:tcPr>
          <w:p w14:paraId="4E622805" w14:textId="77777777" w:rsidR="00DF7FAA" w:rsidRPr="003640D1" w:rsidRDefault="00DF7FAA" w:rsidP="00DF7FAA">
            <w:r w:rsidRPr="003640D1">
              <w:t>Supervisor Labor ($25 x 0.08)</w:t>
            </w:r>
          </w:p>
        </w:tc>
        <w:tc>
          <w:tcPr>
            <w:tcW w:w="3456" w:type="dxa"/>
          </w:tcPr>
          <w:p w14:paraId="26A62242" w14:textId="77777777" w:rsidR="00DF7FAA" w:rsidRPr="003640D1" w:rsidRDefault="00DF7FAA" w:rsidP="00DF7FAA">
            <w:pPr>
              <w:jc w:val="right"/>
            </w:pPr>
            <w:r w:rsidRPr="003640D1">
              <w:t>$2.00</w:t>
            </w:r>
          </w:p>
        </w:tc>
      </w:tr>
      <w:tr w:rsidR="00DF7FAA" w:rsidRPr="003640D1" w14:paraId="03871BCF" w14:textId="77777777" w:rsidTr="00DF7FAA">
        <w:trPr>
          <w:jc w:val="center"/>
        </w:trPr>
        <w:tc>
          <w:tcPr>
            <w:tcW w:w="3888" w:type="dxa"/>
          </w:tcPr>
          <w:p w14:paraId="2BA950E8" w14:textId="77777777" w:rsidR="00DF7FAA" w:rsidRPr="003640D1" w:rsidRDefault="00DF7FAA" w:rsidP="00DF7FAA">
            <w:r w:rsidRPr="003640D1">
              <w:t>Printing Supplies and Postage</w:t>
            </w:r>
          </w:p>
        </w:tc>
        <w:tc>
          <w:tcPr>
            <w:tcW w:w="3456" w:type="dxa"/>
          </w:tcPr>
          <w:p w14:paraId="1991A582" w14:textId="77777777" w:rsidR="00DF7FAA" w:rsidRPr="003640D1" w:rsidRDefault="00DF7FAA" w:rsidP="00DF7FAA">
            <w:pPr>
              <w:jc w:val="right"/>
            </w:pPr>
            <w:r w:rsidRPr="003640D1">
              <w:t>$0.60</w:t>
            </w:r>
          </w:p>
        </w:tc>
      </w:tr>
      <w:tr w:rsidR="00DF7FAA" w:rsidRPr="003640D1" w14:paraId="5E712FA5" w14:textId="77777777" w:rsidTr="00DF7FAA">
        <w:trPr>
          <w:jc w:val="center"/>
        </w:trPr>
        <w:tc>
          <w:tcPr>
            <w:tcW w:w="3888" w:type="dxa"/>
          </w:tcPr>
          <w:p w14:paraId="714294C9" w14:textId="77777777" w:rsidR="00DF7FAA" w:rsidRPr="003640D1" w:rsidRDefault="00DF7FAA" w:rsidP="00DF7FAA">
            <w:r w:rsidRPr="003640D1">
              <w:t>Total</w:t>
            </w:r>
          </w:p>
        </w:tc>
        <w:tc>
          <w:tcPr>
            <w:tcW w:w="3456" w:type="dxa"/>
          </w:tcPr>
          <w:p w14:paraId="2252D2E4" w14:textId="77777777" w:rsidR="00DF7FAA" w:rsidRPr="003640D1" w:rsidRDefault="00DF7FAA" w:rsidP="00DF7FAA">
            <w:pPr>
              <w:jc w:val="right"/>
            </w:pPr>
            <w:r w:rsidRPr="003640D1">
              <w:t>$7.60</w:t>
            </w:r>
          </w:p>
        </w:tc>
      </w:tr>
    </w:tbl>
    <w:p w14:paraId="373DBD56" w14:textId="5880F033" w:rsidR="00DF7FAA" w:rsidRPr="003640D1" w:rsidRDefault="00DF7FAA" w:rsidP="00DF7FAA">
      <w:pPr>
        <w:ind w:left="720"/>
        <w:jc w:val="both"/>
        <w:rPr>
          <w:sz w:val="20"/>
          <w:szCs w:val="20"/>
        </w:rPr>
      </w:pPr>
      <w:r w:rsidRPr="003640D1">
        <w:rPr>
          <w:sz w:val="20"/>
          <w:szCs w:val="20"/>
        </w:rPr>
        <w:t xml:space="preserve">      </w:t>
      </w:r>
      <w:r>
        <w:rPr>
          <w:sz w:val="20"/>
          <w:szCs w:val="20"/>
        </w:rPr>
        <w:t xml:space="preserve">  </w:t>
      </w:r>
      <w:r w:rsidRPr="003640D1">
        <w:rPr>
          <w:sz w:val="20"/>
          <w:szCs w:val="20"/>
        </w:rPr>
        <w:t>Source: Utility’s Cost Justification</w:t>
      </w:r>
      <w:r w:rsidR="007A3A53">
        <w:rPr>
          <w:sz w:val="20"/>
          <w:szCs w:val="20"/>
        </w:rPr>
        <w:t xml:space="preserve"> </w:t>
      </w:r>
      <w:r w:rsidR="007A3A53">
        <w:rPr>
          <w:rFonts w:eastAsiaTheme="minorHAnsi"/>
          <w:sz w:val="20"/>
          <w:szCs w:val="22"/>
        </w:rPr>
        <w:t>(EXH 13</w:t>
      </w:r>
      <w:r w:rsidR="007A3A53" w:rsidRPr="00A42419">
        <w:rPr>
          <w:rFonts w:eastAsiaTheme="minorHAnsi"/>
          <w:sz w:val="20"/>
          <w:szCs w:val="22"/>
        </w:rPr>
        <w:t xml:space="preserve">, BSP </w:t>
      </w:r>
      <w:r w:rsidR="007A3A53">
        <w:rPr>
          <w:rFonts w:eastAsiaTheme="minorHAnsi"/>
          <w:sz w:val="20"/>
          <w:szCs w:val="22"/>
        </w:rPr>
        <w:t>578</w:t>
      </w:r>
      <w:r w:rsidR="007A3A53" w:rsidRPr="00A42419">
        <w:rPr>
          <w:rFonts w:eastAsiaTheme="minorHAnsi"/>
          <w:sz w:val="20"/>
          <w:szCs w:val="22"/>
        </w:rPr>
        <w:t>)</w:t>
      </w:r>
    </w:p>
    <w:p w14:paraId="56955166" w14:textId="77777777" w:rsidR="00DF7FAA" w:rsidRDefault="00DF7FAA" w:rsidP="00DF7FAA">
      <w:pPr>
        <w:jc w:val="both"/>
        <w:rPr>
          <w:rFonts w:eastAsiaTheme="minorHAnsi"/>
          <w:szCs w:val="22"/>
        </w:rPr>
      </w:pPr>
    </w:p>
    <w:p w14:paraId="3960A8FF" w14:textId="77777777" w:rsidR="00DF7FAA" w:rsidRDefault="00DF7FAA" w:rsidP="007A1D00">
      <w:pPr>
        <w:jc w:val="both"/>
        <w:rPr>
          <w:rFonts w:eastAsiaTheme="minorHAnsi"/>
          <w:szCs w:val="22"/>
        </w:rPr>
      </w:pPr>
      <w:r w:rsidRPr="003640D1">
        <w:rPr>
          <w:rFonts w:eastAsiaTheme="minorHAnsi"/>
          <w:szCs w:val="22"/>
        </w:rPr>
        <w:t xml:space="preserve">Staff </w:t>
      </w:r>
      <w:r>
        <w:rPr>
          <w:rFonts w:eastAsiaTheme="minorHAnsi"/>
          <w:szCs w:val="22"/>
        </w:rPr>
        <w:t xml:space="preserve">recommends </w:t>
      </w:r>
      <w:r w:rsidRPr="003640D1">
        <w:rPr>
          <w:rFonts w:eastAsiaTheme="minorHAnsi"/>
          <w:szCs w:val="22"/>
        </w:rPr>
        <w:t>that EU should be authorized to collect NSF charges consistent with Section 68.065, F.S., which allows for the assessment of charges for the collection of worthless checks, drafts, or orders of payment. As currently set forth in Section 68.065(2), F.S., the following NSF charges may be assessed:</w:t>
      </w:r>
    </w:p>
    <w:p w14:paraId="4C400A8A" w14:textId="77777777" w:rsidR="00DF7FAA" w:rsidRPr="003640D1" w:rsidRDefault="00DF7FAA" w:rsidP="00DF7FAA">
      <w:pPr>
        <w:jc w:val="both"/>
        <w:rPr>
          <w:rFonts w:eastAsiaTheme="minorHAnsi"/>
          <w:szCs w:val="22"/>
        </w:rPr>
      </w:pPr>
    </w:p>
    <w:p w14:paraId="4FE12A0C" w14:textId="77777777" w:rsidR="00DF7FAA" w:rsidRPr="003640D1" w:rsidRDefault="00DF7FAA" w:rsidP="00DF7FAA">
      <w:pPr>
        <w:numPr>
          <w:ilvl w:val="0"/>
          <w:numId w:val="11"/>
        </w:numPr>
        <w:spacing w:after="200" w:line="276" w:lineRule="auto"/>
        <w:contextualSpacing/>
        <w:jc w:val="both"/>
        <w:rPr>
          <w:rFonts w:eastAsiaTheme="minorHAnsi"/>
          <w:szCs w:val="22"/>
        </w:rPr>
      </w:pPr>
      <w:r w:rsidRPr="003640D1">
        <w:rPr>
          <w:rFonts w:eastAsiaTheme="minorHAnsi"/>
          <w:szCs w:val="22"/>
        </w:rPr>
        <w:t>$25, if the face value does not exceed $50,</w:t>
      </w:r>
    </w:p>
    <w:p w14:paraId="0C16E701" w14:textId="77777777" w:rsidR="00DF7FAA" w:rsidRPr="003640D1" w:rsidRDefault="00DF7FAA" w:rsidP="00DF7FAA">
      <w:pPr>
        <w:numPr>
          <w:ilvl w:val="0"/>
          <w:numId w:val="11"/>
        </w:numPr>
        <w:spacing w:after="200" w:line="276" w:lineRule="auto"/>
        <w:contextualSpacing/>
        <w:jc w:val="both"/>
        <w:rPr>
          <w:rFonts w:eastAsiaTheme="minorHAnsi"/>
          <w:szCs w:val="22"/>
        </w:rPr>
      </w:pPr>
      <w:r w:rsidRPr="003640D1">
        <w:rPr>
          <w:rFonts w:eastAsiaTheme="minorHAnsi"/>
          <w:szCs w:val="22"/>
        </w:rPr>
        <w:t>$30, if the face value exceeds $50 but does not exceed $300</w:t>
      </w:r>
      <w:r>
        <w:rPr>
          <w:rFonts w:eastAsiaTheme="minorHAnsi"/>
          <w:szCs w:val="22"/>
        </w:rPr>
        <w:t>,</w:t>
      </w:r>
    </w:p>
    <w:p w14:paraId="65A8C044" w14:textId="77777777" w:rsidR="00DF7FAA" w:rsidRDefault="00DF7FAA" w:rsidP="00DF7FAA">
      <w:pPr>
        <w:numPr>
          <w:ilvl w:val="0"/>
          <w:numId w:val="11"/>
        </w:numPr>
        <w:spacing w:after="200" w:line="276" w:lineRule="auto"/>
        <w:contextualSpacing/>
        <w:jc w:val="both"/>
        <w:rPr>
          <w:rFonts w:eastAsiaTheme="minorHAnsi"/>
          <w:szCs w:val="22"/>
        </w:rPr>
      </w:pPr>
      <w:r w:rsidRPr="003640D1">
        <w:rPr>
          <w:rFonts w:eastAsiaTheme="minorHAnsi"/>
          <w:szCs w:val="22"/>
        </w:rPr>
        <w:t>$40, if the face value exceeds $300,</w:t>
      </w:r>
    </w:p>
    <w:p w14:paraId="15E4E5AB" w14:textId="77777777" w:rsidR="0048338D" w:rsidRDefault="00DF7FAA" w:rsidP="00DF7FAA">
      <w:pPr>
        <w:numPr>
          <w:ilvl w:val="0"/>
          <w:numId w:val="11"/>
        </w:numPr>
        <w:spacing w:after="200" w:line="276" w:lineRule="auto"/>
        <w:contextualSpacing/>
        <w:jc w:val="both"/>
        <w:rPr>
          <w:rFonts w:eastAsiaTheme="minorHAnsi"/>
          <w:szCs w:val="22"/>
        </w:rPr>
      </w:pPr>
      <w:proofErr w:type="gramStart"/>
      <w:r w:rsidRPr="00DF7FAA">
        <w:rPr>
          <w:rFonts w:eastAsiaTheme="minorHAnsi"/>
          <w:szCs w:val="22"/>
        </w:rPr>
        <w:t>or</w:t>
      </w:r>
      <w:proofErr w:type="gramEnd"/>
      <w:r w:rsidRPr="00DF7FAA">
        <w:rPr>
          <w:rFonts w:eastAsiaTheme="minorHAnsi"/>
          <w:szCs w:val="22"/>
        </w:rPr>
        <w:t xml:space="preserve"> 5 percent of the face amount of the check, whichever is greater.</w:t>
      </w:r>
    </w:p>
    <w:p w14:paraId="094B995B" w14:textId="77777777" w:rsidR="00DF7FAA" w:rsidRDefault="00DF7FAA" w:rsidP="00DF7FAA">
      <w:pPr>
        <w:spacing w:after="200" w:line="276" w:lineRule="auto"/>
        <w:contextualSpacing/>
        <w:jc w:val="both"/>
        <w:rPr>
          <w:rFonts w:eastAsiaTheme="minorHAnsi"/>
          <w:szCs w:val="22"/>
        </w:rPr>
      </w:pPr>
    </w:p>
    <w:p w14:paraId="3446EF6F" w14:textId="77777777" w:rsidR="007A1D00" w:rsidRPr="003640D1" w:rsidRDefault="007A1D00" w:rsidP="007A1D00">
      <w:pPr>
        <w:spacing w:after="200" w:line="276" w:lineRule="auto"/>
        <w:jc w:val="center"/>
        <w:rPr>
          <w:rFonts w:ascii="Arial" w:eastAsiaTheme="minorHAnsi" w:hAnsi="Arial" w:cs="Arial"/>
          <w:bCs/>
          <w:iCs/>
          <w:szCs w:val="22"/>
        </w:rPr>
      </w:pPr>
      <w:r>
        <w:rPr>
          <w:rFonts w:ascii="Arial" w:eastAsiaTheme="minorHAnsi" w:hAnsi="Arial" w:cs="Arial"/>
          <w:b/>
          <w:iCs/>
          <w:szCs w:val="22"/>
        </w:rPr>
        <w:t>CONCLUSION</w:t>
      </w:r>
    </w:p>
    <w:p w14:paraId="205C31B8" w14:textId="667E0B6E" w:rsidR="00DF7FAA" w:rsidRPr="00DF7FAA" w:rsidRDefault="00E420CD" w:rsidP="007A1D00">
      <w:pPr>
        <w:spacing w:after="200"/>
        <w:contextualSpacing/>
        <w:jc w:val="both"/>
        <w:rPr>
          <w:rFonts w:eastAsiaTheme="minorHAnsi"/>
          <w:szCs w:val="22"/>
        </w:rPr>
      </w:pPr>
      <w:r w:rsidRPr="00E420CD">
        <w:rPr>
          <w:rFonts w:eastAsiaTheme="minorHAnsi"/>
          <w:szCs w:val="22"/>
        </w:rPr>
        <w:t xml:space="preserve">Staff believes that EU has provided adequate cost justification in the record to support staff’s recommended miscellaneous service charges. </w:t>
      </w:r>
      <w:r w:rsidR="00DF7FAA">
        <w:rPr>
          <w:rFonts w:eastAsiaTheme="minorHAnsi"/>
          <w:szCs w:val="22"/>
        </w:rPr>
        <w:t>T</w:t>
      </w:r>
      <w:r w:rsidR="00DF7FAA" w:rsidRPr="003640D1">
        <w:rPr>
          <w:rFonts w:eastAsiaTheme="minorHAnsi"/>
          <w:szCs w:val="22"/>
        </w:rPr>
        <w:t xml:space="preserve">he appropriate miscellaneous service charges are shown on Schedule No. 5 and should be approved. </w:t>
      </w:r>
      <w:r w:rsidR="00DF7FAA" w:rsidRPr="003640D1">
        <w:rPr>
          <w:rFonts w:eastAsiaTheme="minorHAnsi" w:cstheme="minorBidi"/>
          <w:szCs w:val="22"/>
        </w:rPr>
        <w:t>The Utility should file revised tariff sheets and a proposed customer notice to reflect the Commission-approved charges. The approved charges should be effective for services rendered on or after the stamped approval date on the tariff sheet provided customers have received notice pursuant to Rule 25-30.475(1), F.A.C. The Utility should provide proof of noticing within 10 days of rendering the approved notice</w:t>
      </w:r>
      <w:r w:rsidR="00DF7FAA">
        <w:rPr>
          <w:rFonts w:eastAsiaTheme="minorHAnsi" w:cstheme="minorBidi"/>
          <w:szCs w:val="22"/>
        </w:rPr>
        <w:t>.</w:t>
      </w:r>
    </w:p>
    <w:p w14:paraId="0BEC22C2" w14:textId="77777777" w:rsidR="0048338D" w:rsidRDefault="0048338D">
      <w:pPr>
        <w:pStyle w:val="IssueHeading"/>
        <w:rPr>
          <w:vanish/>
          <w:specVanish/>
        </w:rPr>
      </w:pPr>
      <w:r w:rsidRPr="004C3641">
        <w:rPr>
          <w:b w:val="0"/>
          <w:i w:val="0"/>
        </w:rPr>
        <w:br w:type="page"/>
      </w:r>
      <w:r w:rsidRPr="004C3641">
        <w:t xml:space="preserve">Issue </w:t>
      </w:r>
      <w:fldSimple w:instr=" SEQ Issue \* MERGEFORMAT ">
        <w:r>
          <w:rPr>
            <w:noProof/>
          </w:rPr>
          <w:t>14</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14</w:instrText>
      </w:r>
      <w:r>
        <w:fldChar w:fldCharType="end"/>
      </w:r>
      <w:r>
        <w:tab/>
        <w:instrText xml:space="preserve">" \l 1 </w:instrText>
      </w:r>
      <w:r>
        <w:fldChar w:fldCharType="end"/>
      </w:r>
      <w:r>
        <w:t> </w:t>
      </w:r>
    </w:p>
    <w:p w14:paraId="7CFE27D1" w14:textId="77777777" w:rsidR="0048338D" w:rsidRDefault="0048338D">
      <w:pPr>
        <w:pStyle w:val="BodyText"/>
      </w:pPr>
      <w:r>
        <w:t> What are the appropriate service availability charges for Environmental Utilities, LLC?</w:t>
      </w:r>
    </w:p>
    <w:p w14:paraId="3D4A77BC" w14:textId="77777777" w:rsidR="0048338D" w:rsidRPr="004C3641" w:rsidRDefault="0048338D">
      <w:pPr>
        <w:pStyle w:val="IssueSubsectionHeading"/>
        <w:rPr>
          <w:vanish/>
          <w:specVanish/>
        </w:rPr>
      </w:pPr>
      <w:r w:rsidRPr="004C3641">
        <w:t>Recommendation: </w:t>
      </w:r>
    </w:p>
    <w:p w14:paraId="6CE0360B" w14:textId="463E4685" w:rsidR="0048338D" w:rsidRDefault="0048338D">
      <w:pPr>
        <w:pStyle w:val="BodyText"/>
      </w:pPr>
      <w:r>
        <w:t> </w:t>
      </w:r>
      <w:bookmarkStart w:id="22" w:name="_Hlk191841722"/>
      <w:r w:rsidR="00DF7FAA" w:rsidRPr="00753AD5">
        <w:rPr>
          <w:rFonts w:eastAsiaTheme="minorHAnsi"/>
          <w:szCs w:val="22"/>
        </w:rPr>
        <w:t>The appropriate service availability charges are shown on Schedule No. 5 and should be approved. In addition, the Utility’s proposed service availability policy should be approved. The approved charges and policy should be effective for connections made on or after the stamped approval date on the tariff sheets pursuant to Rule 25-30.475, F.A.C. EU should be required to collect its approved service availability charges until authorized to change them by the Commission in a subsequent proceeding.</w:t>
      </w:r>
      <w:r w:rsidR="00DF7FAA" w:rsidRPr="003640D1">
        <w:rPr>
          <w:rFonts w:eastAsiaTheme="minorHAnsi"/>
          <w:szCs w:val="22"/>
        </w:rPr>
        <w:t xml:space="preserve"> </w:t>
      </w:r>
      <w:bookmarkEnd w:id="22"/>
      <w:r w:rsidR="00DF7FAA" w:rsidRPr="00193B1E">
        <w:rPr>
          <w:rFonts w:eastAsiaTheme="minorHAnsi"/>
          <w:szCs w:val="22"/>
        </w:rPr>
        <w:t>(Sibley</w:t>
      </w:r>
      <w:r w:rsidR="00DF7FAA">
        <w:rPr>
          <w:rFonts w:eastAsiaTheme="minorHAnsi"/>
          <w:szCs w:val="22"/>
        </w:rPr>
        <w:t>)</w:t>
      </w:r>
    </w:p>
    <w:p w14:paraId="70864086" w14:textId="77777777" w:rsidR="00B91104" w:rsidRDefault="00B91104" w:rsidP="00B91104">
      <w:pPr>
        <w:pStyle w:val="BodyText"/>
        <w:rPr>
          <w:rFonts w:ascii="Arial" w:hAnsi="Arial" w:cs="Arial"/>
          <w:b/>
          <w:i/>
        </w:rPr>
      </w:pPr>
      <w:r>
        <w:rPr>
          <w:rFonts w:ascii="Arial" w:hAnsi="Arial" w:cs="Arial"/>
          <w:b/>
          <w:i/>
        </w:rPr>
        <w:t>Position of the Parties:</w:t>
      </w:r>
    </w:p>
    <w:p w14:paraId="696650AF" w14:textId="77777777" w:rsidR="00FE30E7" w:rsidRPr="00B91104" w:rsidRDefault="00FE30E7" w:rsidP="00FE30E7">
      <w:pPr>
        <w:pStyle w:val="BodyText"/>
        <w:tabs>
          <w:tab w:val="left" w:pos="1080"/>
        </w:tabs>
      </w:pPr>
      <w:r>
        <w:rPr>
          <w:rFonts w:ascii="Arial" w:hAnsi="Arial" w:cs="Arial"/>
          <w:b/>
          <w:i/>
        </w:rPr>
        <w:t>LC:</w:t>
      </w:r>
      <w:r w:rsidRPr="00B91104">
        <w:rPr>
          <w:rFonts w:ascii="Arial" w:hAnsi="Arial" w:cs="Arial"/>
        </w:rPr>
        <w:tab/>
      </w:r>
      <w:r w:rsidRPr="00F73613">
        <w:t>Not Applicable.</w:t>
      </w:r>
    </w:p>
    <w:p w14:paraId="15323B18" w14:textId="11CA0F8F" w:rsidR="00FE30E7" w:rsidRPr="00B91104" w:rsidRDefault="00FE30E7" w:rsidP="00FE30E7">
      <w:pPr>
        <w:pStyle w:val="BodyText"/>
        <w:tabs>
          <w:tab w:val="left" w:pos="1080"/>
        </w:tabs>
      </w:pPr>
      <w:r>
        <w:rPr>
          <w:rFonts w:ascii="Arial" w:hAnsi="Arial" w:cs="Arial"/>
          <w:b/>
          <w:i/>
        </w:rPr>
        <w:t>LGIPA:</w:t>
      </w:r>
      <w:r w:rsidRPr="00B91104">
        <w:rPr>
          <w:rFonts w:ascii="Arial" w:hAnsi="Arial" w:cs="Arial"/>
        </w:rPr>
        <w:tab/>
      </w:r>
      <w:r w:rsidR="00B143D8">
        <w:t>LGIPA adopts the position of PIE and LC</w:t>
      </w:r>
      <w:r w:rsidR="00C75F91" w:rsidRPr="00C75F91">
        <w:t>.</w:t>
      </w:r>
    </w:p>
    <w:p w14:paraId="4311C250" w14:textId="7B564563" w:rsidR="00FE30E7" w:rsidRPr="00B91104" w:rsidRDefault="00FE30E7" w:rsidP="00FE30E7">
      <w:pPr>
        <w:pStyle w:val="BodyText"/>
        <w:tabs>
          <w:tab w:val="left" w:pos="1080"/>
        </w:tabs>
      </w:pPr>
      <w:r>
        <w:rPr>
          <w:rFonts w:ascii="Arial" w:hAnsi="Arial" w:cs="Arial"/>
          <w:b/>
          <w:i/>
        </w:rPr>
        <w:t>PIE:</w:t>
      </w:r>
      <w:r w:rsidRPr="00B91104">
        <w:rPr>
          <w:rFonts w:ascii="Arial" w:hAnsi="Arial" w:cs="Arial"/>
        </w:rPr>
        <w:tab/>
      </w:r>
      <w:r>
        <w:t xml:space="preserve">PIE specifically adopts the position taken by </w:t>
      </w:r>
      <w:r w:rsidR="00913EC8">
        <w:t>LGIPA</w:t>
      </w:r>
      <w:r>
        <w:t xml:space="preserve"> and Linda B. </w:t>
      </w:r>
      <w:proofErr w:type="spellStart"/>
      <w:r>
        <w:t>Cotherman</w:t>
      </w:r>
      <w:proofErr w:type="spellEnd"/>
      <w:r>
        <w:t xml:space="preserve"> regarding this topic</w:t>
      </w:r>
    </w:p>
    <w:p w14:paraId="1B58528D" w14:textId="77777777" w:rsidR="00FE30E7" w:rsidRPr="00A04277" w:rsidRDefault="00FE30E7" w:rsidP="00FE30E7">
      <w:pPr>
        <w:tabs>
          <w:tab w:val="left" w:pos="1170"/>
        </w:tabs>
        <w:spacing w:line="276" w:lineRule="auto"/>
        <w:contextualSpacing/>
        <w:jc w:val="both"/>
        <w:outlineLvl w:val="2"/>
      </w:pPr>
      <w:r>
        <w:rPr>
          <w:rFonts w:ascii="Arial" w:hAnsi="Arial" w:cs="Arial"/>
          <w:b/>
          <w:i/>
        </w:rPr>
        <w:t>EU:</w:t>
      </w:r>
      <w:r>
        <w:rPr>
          <w:rFonts w:ascii="Arial" w:hAnsi="Arial" w:cs="Arial"/>
        </w:rPr>
        <w:tab/>
      </w:r>
      <w:r w:rsidRPr="00A04277">
        <w:rPr>
          <w:u w:val="single"/>
        </w:rPr>
        <w:t>Ma</w:t>
      </w:r>
      <w:r w:rsidRPr="00A04277">
        <w:rPr>
          <w:spacing w:val="1"/>
          <w:u w:val="single"/>
        </w:rPr>
        <w:t>i</w:t>
      </w:r>
      <w:r w:rsidRPr="00A04277">
        <w:rPr>
          <w:u w:val="single"/>
        </w:rPr>
        <w:t>n</w:t>
      </w:r>
      <w:r w:rsidRPr="00A04277">
        <w:rPr>
          <w:spacing w:val="-5"/>
          <w:u w:val="single"/>
        </w:rPr>
        <w:t xml:space="preserve"> </w:t>
      </w:r>
      <w:r w:rsidRPr="00A04277">
        <w:rPr>
          <w:spacing w:val="-1"/>
          <w:u w:val="single"/>
        </w:rPr>
        <w:t>Capacity</w:t>
      </w:r>
      <w:r w:rsidRPr="00A04277">
        <w:rPr>
          <w:spacing w:val="-10"/>
          <w:u w:val="single"/>
        </w:rPr>
        <w:t xml:space="preserve"> </w:t>
      </w:r>
      <w:r w:rsidRPr="00A04277">
        <w:rPr>
          <w:u w:val="single"/>
        </w:rPr>
        <w:t>C</w:t>
      </w:r>
      <w:r w:rsidRPr="00A04277">
        <w:rPr>
          <w:spacing w:val="2"/>
          <w:u w:val="single"/>
        </w:rPr>
        <w:t>h</w:t>
      </w:r>
      <w:r w:rsidRPr="00A04277">
        <w:rPr>
          <w:u w:val="single"/>
        </w:rPr>
        <w:t>a</w:t>
      </w:r>
      <w:r w:rsidRPr="00A04277">
        <w:rPr>
          <w:spacing w:val="1"/>
          <w:u w:val="single"/>
        </w:rPr>
        <w:t>r</w:t>
      </w:r>
      <w:r w:rsidRPr="00A04277">
        <w:rPr>
          <w:u w:val="single"/>
        </w:rPr>
        <w:t>ge</w:t>
      </w:r>
    </w:p>
    <w:p w14:paraId="2663BCBF" w14:textId="77777777" w:rsidR="00FE30E7" w:rsidRPr="00A04277" w:rsidRDefault="00FE30E7" w:rsidP="00FE30E7">
      <w:pPr>
        <w:tabs>
          <w:tab w:val="left" w:pos="-180"/>
          <w:tab w:val="left" w:pos="8280"/>
        </w:tabs>
        <w:ind w:left="-270"/>
        <w:jc w:val="both"/>
      </w:pPr>
      <w:r w:rsidRPr="00A04277">
        <w:t xml:space="preserve">                        Re</w:t>
      </w:r>
      <w:r w:rsidRPr="00A04277">
        <w:rPr>
          <w:spacing w:val="1"/>
        </w:rPr>
        <w:t>s</w:t>
      </w:r>
      <w:r w:rsidRPr="00A04277">
        <w:rPr>
          <w:spacing w:val="-1"/>
        </w:rPr>
        <w:t>i</w:t>
      </w:r>
      <w:r w:rsidRPr="00A04277">
        <w:t>d</w:t>
      </w:r>
      <w:r w:rsidRPr="00A04277">
        <w:rPr>
          <w:spacing w:val="2"/>
        </w:rPr>
        <w:t>e</w:t>
      </w:r>
      <w:r w:rsidRPr="00A04277">
        <w:t>nt</w:t>
      </w:r>
      <w:r w:rsidRPr="00A04277">
        <w:rPr>
          <w:spacing w:val="1"/>
        </w:rPr>
        <w:t>i</w:t>
      </w:r>
      <w:r w:rsidRPr="00A04277">
        <w:t>al</w:t>
      </w:r>
      <w:r w:rsidRPr="00A04277">
        <w:rPr>
          <w:spacing w:val="-9"/>
        </w:rPr>
        <w:t xml:space="preserve"> </w:t>
      </w:r>
      <w:r w:rsidRPr="00A04277">
        <w:t xml:space="preserve">per </w:t>
      </w:r>
      <w:r w:rsidRPr="00A04277">
        <w:rPr>
          <w:spacing w:val="-1"/>
        </w:rPr>
        <w:t>E</w:t>
      </w:r>
      <w:r w:rsidRPr="00A04277">
        <w:t>RC ..</w:t>
      </w:r>
      <w:r w:rsidRPr="00A04277">
        <w:rPr>
          <w:spacing w:val="2"/>
        </w:rPr>
        <w:t>.</w:t>
      </w:r>
      <w:r w:rsidRPr="00A04277">
        <w:t>.....</w:t>
      </w:r>
      <w:r w:rsidRPr="00A04277">
        <w:rPr>
          <w:spacing w:val="2"/>
        </w:rPr>
        <w:t>.</w:t>
      </w:r>
      <w:r w:rsidRPr="00A04277">
        <w:t>.</w:t>
      </w:r>
      <w:r w:rsidRPr="00A04277">
        <w:rPr>
          <w:spacing w:val="2"/>
        </w:rPr>
        <w:t>.</w:t>
      </w:r>
      <w:r w:rsidRPr="00A04277">
        <w:t>........</w:t>
      </w:r>
      <w:r w:rsidRPr="00A04277">
        <w:rPr>
          <w:spacing w:val="2"/>
        </w:rPr>
        <w:t>.</w:t>
      </w:r>
      <w:r w:rsidRPr="00A04277">
        <w:t>......</w:t>
      </w:r>
      <w:r w:rsidRPr="00A04277">
        <w:rPr>
          <w:spacing w:val="2"/>
        </w:rPr>
        <w:t>.</w:t>
      </w:r>
      <w:r w:rsidRPr="00A04277">
        <w:t>.....</w:t>
      </w:r>
      <w:r w:rsidRPr="00A04277">
        <w:rPr>
          <w:spacing w:val="2"/>
        </w:rPr>
        <w:t>.</w:t>
      </w:r>
      <w:r w:rsidRPr="00A04277">
        <w:t>......</w:t>
      </w:r>
      <w:r w:rsidRPr="00A04277">
        <w:rPr>
          <w:spacing w:val="2"/>
        </w:rPr>
        <w:t>.</w:t>
      </w:r>
      <w:r w:rsidRPr="00A04277">
        <w:t>.....</w:t>
      </w:r>
      <w:r w:rsidRPr="00A04277">
        <w:rPr>
          <w:spacing w:val="2"/>
        </w:rPr>
        <w:t>.</w:t>
      </w:r>
      <w:r w:rsidRPr="00A04277">
        <w:t>......</w:t>
      </w:r>
      <w:r w:rsidRPr="00A04277">
        <w:rPr>
          <w:spacing w:val="2"/>
        </w:rPr>
        <w:t>.</w:t>
      </w:r>
      <w:r w:rsidRPr="00A04277">
        <w:t>.</w:t>
      </w:r>
      <w:r w:rsidRPr="00A04277">
        <w:rPr>
          <w:spacing w:val="2"/>
        </w:rPr>
        <w:t>.</w:t>
      </w:r>
      <w:r w:rsidRPr="00A04277">
        <w:t xml:space="preserve">..... $ </w:t>
      </w:r>
      <w:r>
        <w:t>15,587</w:t>
      </w:r>
      <w:r w:rsidRPr="00A04277">
        <w:rPr>
          <w:spacing w:val="2"/>
        </w:rPr>
        <w:t>.</w:t>
      </w:r>
      <w:r w:rsidRPr="00A04277">
        <w:t>00</w:t>
      </w:r>
    </w:p>
    <w:p w14:paraId="5B4CB6D7" w14:textId="77777777" w:rsidR="00FE30E7" w:rsidRPr="00A04277" w:rsidRDefault="00FE30E7" w:rsidP="00FE30E7">
      <w:pPr>
        <w:tabs>
          <w:tab w:val="left" w:pos="-180"/>
          <w:tab w:val="left" w:pos="8280"/>
        </w:tabs>
        <w:ind w:left="-270"/>
        <w:jc w:val="both"/>
      </w:pPr>
      <w:r w:rsidRPr="00A04277">
        <w:rPr>
          <w:spacing w:val="-1"/>
        </w:rPr>
        <w:t xml:space="preserve">                        A</w:t>
      </w:r>
      <w:r w:rsidRPr="00A04277">
        <w:rPr>
          <w:spacing w:val="1"/>
        </w:rPr>
        <w:t>l</w:t>
      </w:r>
      <w:r w:rsidRPr="00A04277">
        <w:t>l</w:t>
      </w:r>
      <w:r w:rsidRPr="00A04277">
        <w:rPr>
          <w:spacing w:val="-3"/>
        </w:rPr>
        <w:t xml:space="preserve"> </w:t>
      </w:r>
      <w:r w:rsidRPr="00A04277">
        <w:t>o</w:t>
      </w:r>
      <w:r w:rsidRPr="00A04277">
        <w:rPr>
          <w:spacing w:val="2"/>
        </w:rPr>
        <w:t>t</w:t>
      </w:r>
      <w:r w:rsidRPr="00A04277">
        <w:t>hers</w:t>
      </w:r>
      <w:r w:rsidRPr="00A04277">
        <w:rPr>
          <w:spacing w:val="-5"/>
        </w:rPr>
        <w:t xml:space="preserve"> </w:t>
      </w:r>
      <w:r w:rsidRPr="00A04277">
        <w:rPr>
          <w:spacing w:val="2"/>
        </w:rPr>
        <w:t>p</w:t>
      </w:r>
      <w:r w:rsidRPr="00A04277">
        <w:t>er</w:t>
      </w:r>
      <w:r w:rsidRPr="00A04277">
        <w:rPr>
          <w:spacing w:val="-3"/>
        </w:rPr>
        <w:t xml:space="preserve"> </w:t>
      </w:r>
      <w:r w:rsidRPr="00A04277">
        <w:t>g</w:t>
      </w:r>
      <w:r w:rsidRPr="00A04277">
        <w:rPr>
          <w:spacing w:val="2"/>
        </w:rPr>
        <w:t>a</w:t>
      </w:r>
      <w:r w:rsidRPr="00A04277">
        <w:rPr>
          <w:spacing w:val="-1"/>
        </w:rPr>
        <w:t>l</w:t>
      </w:r>
      <w:r w:rsidRPr="00A04277">
        <w:rPr>
          <w:spacing w:val="1"/>
        </w:rPr>
        <w:t>l</w:t>
      </w:r>
      <w:r w:rsidRPr="00A04277">
        <w:t>on ..</w:t>
      </w:r>
      <w:r w:rsidRPr="00A04277">
        <w:rPr>
          <w:spacing w:val="2"/>
        </w:rPr>
        <w:t>.</w:t>
      </w:r>
      <w:r w:rsidRPr="00A04277">
        <w:t>......</w:t>
      </w:r>
      <w:r w:rsidRPr="00A04277">
        <w:rPr>
          <w:spacing w:val="2"/>
        </w:rPr>
        <w:t>.</w:t>
      </w:r>
      <w:r w:rsidRPr="00A04277">
        <w:t>...</w:t>
      </w:r>
      <w:r w:rsidRPr="00A04277">
        <w:rPr>
          <w:spacing w:val="2"/>
        </w:rPr>
        <w:t>.</w:t>
      </w:r>
      <w:r w:rsidRPr="00A04277">
        <w:t>........</w:t>
      </w:r>
      <w:r w:rsidRPr="00A04277">
        <w:rPr>
          <w:spacing w:val="2"/>
        </w:rPr>
        <w:t>.</w:t>
      </w:r>
      <w:r w:rsidRPr="00A04277">
        <w:t>......</w:t>
      </w:r>
      <w:r w:rsidRPr="00A04277">
        <w:rPr>
          <w:spacing w:val="2"/>
        </w:rPr>
        <w:t>.</w:t>
      </w:r>
      <w:r w:rsidRPr="00A04277">
        <w:t>.....</w:t>
      </w:r>
      <w:r w:rsidRPr="00A04277">
        <w:rPr>
          <w:spacing w:val="2"/>
        </w:rPr>
        <w:t>.</w:t>
      </w:r>
      <w:r w:rsidRPr="00A04277">
        <w:t>......</w:t>
      </w:r>
      <w:r w:rsidRPr="00A04277">
        <w:rPr>
          <w:spacing w:val="2"/>
        </w:rPr>
        <w:t>.</w:t>
      </w:r>
      <w:r w:rsidRPr="00A04277">
        <w:t>.....</w:t>
      </w:r>
      <w:r w:rsidRPr="00A04277">
        <w:rPr>
          <w:spacing w:val="2"/>
        </w:rPr>
        <w:t>.</w:t>
      </w:r>
      <w:r w:rsidRPr="00A04277">
        <w:t>......</w:t>
      </w:r>
      <w:r w:rsidRPr="00A04277">
        <w:rPr>
          <w:spacing w:val="2"/>
        </w:rPr>
        <w:t>.</w:t>
      </w:r>
      <w:r w:rsidRPr="00A04277">
        <w:t>.</w:t>
      </w:r>
      <w:r w:rsidRPr="00A04277">
        <w:rPr>
          <w:spacing w:val="2"/>
        </w:rPr>
        <w:t>.</w:t>
      </w:r>
      <w:r w:rsidRPr="00A04277">
        <w:t xml:space="preserve">.. $        </w:t>
      </w:r>
      <w:r>
        <w:t>72.16</w:t>
      </w:r>
    </w:p>
    <w:p w14:paraId="290F2C93" w14:textId="77777777" w:rsidR="00FE30E7" w:rsidRPr="00B91104" w:rsidRDefault="00FE30E7" w:rsidP="00FE30E7">
      <w:pPr>
        <w:pStyle w:val="BodyText"/>
        <w:tabs>
          <w:tab w:val="left" w:pos="1080"/>
          <w:tab w:val="left" w:pos="2430"/>
        </w:tabs>
        <w:ind w:left="-270"/>
      </w:pPr>
      <w:r w:rsidRPr="00A04277">
        <w:t xml:space="preserve">                        </w:t>
      </w:r>
      <w:r w:rsidRPr="00A04277">
        <w:rPr>
          <w:u w:val="single"/>
        </w:rPr>
        <w:t>Sewer Lateral Installation Fee</w:t>
      </w:r>
      <w:r w:rsidRPr="00A04277">
        <w:t xml:space="preserve"> ………………………….     $   1,</w:t>
      </w:r>
      <w:r>
        <w:t>414.25</w:t>
      </w:r>
    </w:p>
    <w:p w14:paraId="462DCE68" w14:textId="77777777" w:rsidR="007A1D00" w:rsidRPr="004C3641" w:rsidRDefault="007A1D00" w:rsidP="007A1D00">
      <w:pPr>
        <w:pStyle w:val="IssueSubsectionHeading"/>
        <w:rPr>
          <w:vanish/>
          <w:specVanish/>
        </w:rPr>
      </w:pPr>
      <w:r w:rsidRPr="004C3641">
        <w:t>Staff Analysis: </w:t>
      </w:r>
    </w:p>
    <w:p w14:paraId="66543ECD" w14:textId="77777777" w:rsidR="007A1D00" w:rsidRDefault="007A1D00" w:rsidP="007A1D00">
      <w:pPr>
        <w:jc w:val="both"/>
      </w:pPr>
      <w:r>
        <w:t> </w:t>
      </w:r>
    </w:p>
    <w:p w14:paraId="48FA2234" w14:textId="77777777" w:rsidR="007A1D00" w:rsidRPr="003640D1" w:rsidRDefault="007A1D00" w:rsidP="007A1D00">
      <w:pPr>
        <w:spacing w:after="200" w:line="276" w:lineRule="auto"/>
        <w:jc w:val="center"/>
        <w:rPr>
          <w:rFonts w:ascii="Arial" w:eastAsiaTheme="minorHAnsi" w:hAnsi="Arial" w:cs="Arial"/>
          <w:b/>
          <w:szCs w:val="22"/>
        </w:rPr>
      </w:pPr>
      <w:r w:rsidRPr="003640D1">
        <w:rPr>
          <w:rFonts w:ascii="Arial" w:eastAsiaTheme="minorHAnsi" w:hAnsi="Arial" w:cs="Arial"/>
          <w:b/>
          <w:szCs w:val="22"/>
        </w:rPr>
        <w:t>ANALYSIS</w:t>
      </w:r>
    </w:p>
    <w:p w14:paraId="3EFEF5AA" w14:textId="61B01749" w:rsidR="00DF7FAA" w:rsidRDefault="00DF7FAA" w:rsidP="00DF7FAA">
      <w:pPr>
        <w:jc w:val="both"/>
        <w:rPr>
          <w:rFonts w:eastAsiaTheme="minorHAnsi"/>
          <w:szCs w:val="22"/>
        </w:rPr>
      </w:pPr>
      <w:r w:rsidRPr="003640D1">
        <w:rPr>
          <w:rFonts w:eastAsiaTheme="minorHAnsi"/>
          <w:szCs w:val="22"/>
        </w:rPr>
        <w:t>EU proposed a main capacity (main extension) charge of $1</w:t>
      </w:r>
      <w:r>
        <w:rPr>
          <w:rFonts w:eastAsiaTheme="minorHAnsi"/>
          <w:szCs w:val="22"/>
        </w:rPr>
        <w:t>5,587</w:t>
      </w:r>
      <w:r w:rsidRPr="003640D1">
        <w:rPr>
          <w:rFonts w:eastAsiaTheme="minorHAnsi"/>
          <w:szCs w:val="22"/>
        </w:rPr>
        <w:t xml:space="preserve"> to recover a portion of the cost of the Utility’s collection system from future customers. (</w:t>
      </w:r>
      <w:r w:rsidR="00622195">
        <w:rPr>
          <w:rFonts w:eastAsiaTheme="minorHAnsi"/>
          <w:szCs w:val="22"/>
        </w:rPr>
        <w:t xml:space="preserve">EU BR 17; </w:t>
      </w:r>
      <w:r w:rsidRPr="001F4167">
        <w:rPr>
          <w:rFonts w:eastAsiaTheme="minorHAnsi"/>
          <w:szCs w:val="22"/>
        </w:rPr>
        <w:t xml:space="preserve">EXH 39 BSP </w:t>
      </w:r>
      <w:r>
        <w:rPr>
          <w:rFonts w:eastAsiaTheme="minorHAnsi"/>
          <w:szCs w:val="22"/>
        </w:rPr>
        <w:t>1061</w:t>
      </w:r>
      <w:r w:rsidRPr="003640D1">
        <w:rPr>
          <w:rFonts w:eastAsiaTheme="minorHAnsi"/>
          <w:szCs w:val="22"/>
        </w:rPr>
        <w:t>) In addition, the Utility proposed a sewer lateral installation charge to recover the cost of piping used to connect customers to mains.</w:t>
      </w:r>
      <w:r>
        <w:rPr>
          <w:rFonts w:eastAsiaTheme="minorHAnsi"/>
          <w:szCs w:val="22"/>
        </w:rPr>
        <w:t xml:space="preserve"> In her rebuttal testimony, wit</w:t>
      </w:r>
      <w:r w:rsidRPr="003640D1">
        <w:rPr>
          <w:rFonts w:eastAsiaTheme="minorHAnsi"/>
          <w:szCs w:val="22"/>
        </w:rPr>
        <w:t xml:space="preserve">ness Swain </w:t>
      </w:r>
      <w:r>
        <w:rPr>
          <w:rFonts w:eastAsiaTheme="minorHAnsi"/>
          <w:szCs w:val="22"/>
        </w:rPr>
        <w:t xml:space="preserve">provided a revised </w:t>
      </w:r>
      <w:r w:rsidRPr="003640D1">
        <w:rPr>
          <w:rFonts w:eastAsiaTheme="minorHAnsi"/>
          <w:szCs w:val="22"/>
        </w:rPr>
        <w:t xml:space="preserve">sewer lateral charge </w:t>
      </w:r>
      <w:r>
        <w:rPr>
          <w:rFonts w:eastAsiaTheme="minorHAnsi"/>
          <w:szCs w:val="22"/>
        </w:rPr>
        <w:t>in the amount of</w:t>
      </w:r>
      <w:r w:rsidRPr="003640D1">
        <w:rPr>
          <w:rFonts w:eastAsiaTheme="minorHAnsi"/>
          <w:szCs w:val="22"/>
        </w:rPr>
        <w:t xml:space="preserve"> $1,</w:t>
      </w:r>
      <w:r>
        <w:rPr>
          <w:rFonts w:eastAsiaTheme="minorHAnsi"/>
          <w:szCs w:val="22"/>
        </w:rPr>
        <w:t>414.25 due to the increase in cost for the force main construction</w:t>
      </w:r>
      <w:r w:rsidRPr="001F4167">
        <w:rPr>
          <w:rFonts w:eastAsiaTheme="minorHAnsi"/>
          <w:szCs w:val="22"/>
        </w:rPr>
        <w:t>.</w:t>
      </w:r>
      <w:r w:rsidRPr="003640D1">
        <w:rPr>
          <w:rFonts w:eastAsiaTheme="minorHAnsi"/>
          <w:szCs w:val="22"/>
        </w:rPr>
        <w:t xml:space="preserve"> </w:t>
      </w:r>
      <w:r w:rsidRPr="00E6023C">
        <w:rPr>
          <w:rFonts w:eastAsiaTheme="minorHAnsi"/>
          <w:szCs w:val="22"/>
        </w:rPr>
        <w:t>(EXH 39, BSP 1062</w:t>
      </w:r>
      <w:r w:rsidR="00E6023C">
        <w:rPr>
          <w:rFonts w:eastAsiaTheme="minorHAnsi"/>
          <w:szCs w:val="22"/>
        </w:rPr>
        <w:t>; TR 362-363</w:t>
      </w:r>
      <w:r w:rsidRPr="00E6023C">
        <w:rPr>
          <w:rFonts w:eastAsiaTheme="minorHAnsi"/>
          <w:szCs w:val="22"/>
        </w:rPr>
        <w:t>)</w:t>
      </w:r>
      <w:r w:rsidRPr="003640D1">
        <w:rPr>
          <w:rFonts w:eastAsiaTheme="minorHAnsi"/>
          <w:szCs w:val="22"/>
        </w:rPr>
        <w:t xml:space="preserve"> The Utility states that its proposed service availability charges result in a contribution level of </w:t>
      </w:r>
      <w:r w:rsidRPr="001F4167">
        <w:rPr>
          <w:rFonts w:eastAsiaTheme="minorHAnsi"/>
          <w:szCs w:val="22"/>
        </w:rPr>
        <w:t>83.37</w:t>
      </w:r>
      <w:r w:rsidRPr="003640D1">
        <w:rPr>
          <w:rFonts w:eastAsiaTheme="minorHAnsi"/>
          <w:szCs w:val="22"/>
        </w:rPr>
        <w:t xml:space="preserve"> percent at design capacity. (</w:t>
      </w:r>
      <w:r w:rsidRPr="001F4167">
        <w:rPr>
          <w:rFonts w:eastAsiaTheme="minorHAnsi"/>
          <w:szCs w:val="22"/>
        </w:rPr>
        <w:t>EXH 39</w:t>
      </w:r>
      <w:r>
        <w:rPr>
          <w:rFonts w:eastAsiaTheme="minorHAnsi"/>
          <w:szCs w:val="22"/>
        </w:rPr>
        <w:t>,</w:t>
      </w:r>
      <w:r w:rsidRPr="001F4167">
        <w:rPr>
          <w:rFonts w:eastAsiaTheme="minorHAnsi"/>
          <w:szCs w:val="22"/>
        </w:rPr>
        <w:t xml:space="preserve"> BSP</w:t>
      </w:r>
      <w:r>
        <w:rPr>
          <w:rFonts w:eastAsiaTheme="minorHAnsi"/>
          <w:szCs w:val="22"/>
        </w:rPr>
        <w:t xml:space="preserve"> 1061) </w:t>
      </w:r>
      <w:r w:rsidR="00DC08D6">
        <w:rPr>
          <w:rFonts w:eastAsiaTheme="minorHAnsi"/>
          <w:szCs w:val="22"/>
        </w:rPr>
        <w:t>LC</w:t>
      </w:r>
      <w:r w:rsidR="005810C0">
        <w:rPr>
          <w:rFonts w:eastAsiaTheme="minorHAnsi"/>
          <w:szCs w:val="22"/>
        </w:rPr>
        <w:t xml:space="preserve"> </w:t>
      </w:r>
      <w:r>
        <w:rPr>
          <w:rFonts w:eastAsiaTheme="minorHAnsi"/>
          <w:szCs w:val="22"/>
        </w:rPr>
        <w:t xml:space="preserve">does not believe the estimates used in preparation of </w:t>
      </w:r>
      <w:r w:rsidR="00E6023C">
        <w:rPr>
          <w:rFonts w:eastAsiaTheme="minorHAnsi"/>
          <w:szCs w:val="22"/>
        </w:rPr>
        <w:t>s</w:t>
      </w:r>
      <w:r>
        <w:rPr>
          <w:rFonts w:eastAsiaTheme="minorHAnsi"/>
          <w:szCs w:val="22"/>
        </w:rPr>
        <w:t xml:space="preserve">ervice </w:t>
      </w:r>
      <w:r w:rsidR="00E6023C">
        <w:rPr>
          <w:rFonts w:eastAsiaTheme="minorHAnsi"/>
          <w:szCs w:val="22"/>
        </w:rPr>
        <w:t>a</w:t>
      </w:r>
      <w:r>
        <w:rPr>
          <w:rFonts w:eastAsiaTheme="minorHAnsi"/>
          <w:szCs w:val="22"/>
        </w:rPr>
        <w:t xml:space="preserve">vailability </w:t>
      </w:r>
      <w:r w:rsidR="00E6023C">
        <w:rPr>
          <w:rFonts w:eastAsiaTheme="minorHAnsi"/>
          <w:szCs w:val="22"/>
        </w:rPr>
        <w:t>c</w:t>
      </w:r>
      <w:r>
        <w:rPr>
          <w:rFonts w:eastAsiaTheme="minorHAnsi"/>
          <w:szCs w:val="22"/>
        </w:rPr>
        <w:t>harges were accurate, nor provide</w:t>
      </w:r>
      <w:r w:rsidR="00622195">
        <w:rPr>
          <w:rFonts w:eastAsiaTheme="minorHAnsi"/>
          <w:szCs w:val="22"/>
        </w:rPr>
        <w:t>d</w:t>
      </w:r>
      <w:r>
        <w:rPr>
          <w:rFonts w:eastAsiaTheme="minorHAnsi"/>
          <w:szCs w:val="22"/>
        </w:rPr>
        <w:t xml:space="preserve"> the necessary level of detail. Additionally, she </w:t>
      </w:r>
      <w:r w:rsidR="00FA0F37">
        <w:rPr>
          <w:rFonts w:eastAsiaTheme="minorHAnsi"/>
          <w:szCs w:val="22"/>
        </w:rPr>
        <w:t>argued</w:t>
      </w:r>
      <w:r>
        <w:rPr>
          <w:rFonts w:eastAsiaTheme="minorHAnsi"/>
          <w:szCs w:val="22"/>
        </w:rPr>
        <w:t xml:space="preserve"> that the service availability charges should be identical to those charged by Charlotte County Utilities. (LC BR 24</w:t>
      </w:r>
      <w:r w:rsidR="00E6023C">
        <w:rPr>
          <w:rFonts w:eastAsiaTheme="minorHAnsi"/>
          <w:szCs w:val="22"/>
        </w:rPr>
        <w:t>-</w:t>
      </w:r>
      <w:r>
        <w:rPr>
          <w:rFonts w:eastAsiaTheme="minorHAnsi"/>
          <w:szCs w:val="22"/>
        </w:rPr>
        <w:t>27)</w:t>
      </w:r>
      <w:r w:rsidR="00FA0F37" w:rsidRPr="00FA0F37">
        <w:t xml:space="preserve"> </w:t>
      </w:r>
      <w:r w:rsidR="00FA0F37" w:rsidRPr="00FA0F37">
        <w:rPr>
          <w:rFonts w:eastAsiaTheme="minorHAnsi"/>
          <w:szCs w:val="22"/>
        </w:rPr>
        <w:t>No argument was provided in the post-hearing briefs for LGIPA and PIE on this issue.</w:t>
      </w:r>
    </w:p>
    <w:p w14:paraId="56234D41" w14:textId="77777777" w:rsidR="00DF7FAA" w:rsidRDefault="00DF7FAA" w:rsidP="00DF7FAA">
      <w:pPr>
        <w:jc w:val="both"/>
        <w:rPr>
          <w:rFonts w:eastAsiaTheme="minorHAnsi"/>
          <w:szCs w:val="22"/>
        </w:rPr>
      </w:pPr>
    </w:p>
    <w:p w14:paraId="23578FEE" w14:textId="4E27C34B" w:rsidR="00DF7FAA" w:rsidRDefault="00DF7FAA" w:rsidP="00DF7FAA">
      <w:pPr>
        <w:jc w:val="both"/>
        <w:rPr>
          <w:rFonts w:eastAsiaTheme="minorHAnsi"/>
          <w:szCs w:val="22"/>
        </w:rPr>
      </w:pPr>
      <w:r w:rsidRPr="003640D1">
        <w:rPr>
          <w:rFonts w:eastAsiaTheme="minorHAnsi"/>
          <w:szCs w:val="22"/>
        </w:rPr>
        <w:t xml:space="preserve">Pursuant to Rule 25-30.580(1), F.A.C., the maximum amount of CIAC, net of amortization, should not exceed 75 percent of the total original cost, net of depreciation, of the Utility’s facilities and plant when the facilities and plant are at their designed capacity. Rule 25-30.580(2), F.A.C., provides that the minimum amount of CIAC should not be less than the percentage of such facilities and plant that is represented by water transmission and distribution and sewage collection systems. Service availability charges are one-time charges applicable to new connections, which allow customers to pay their pro rata share of </w:t>
      </w:r>
      <w:r w:rsidR="00913EC8">
        <w:rPr>
          <w:rFonts w:eastAsiaTheme="minorHAnsi"/>
          <w:szCs w:val="22"/>
        </w:rPr>
        <w:t>the facilities and plant costs.</w:t>
      </w:r>
    </w:p>
    <w:p w14:paraId="143AF043" w14:textId="7BE31185" w:rsidR="00D22D26" w:rsidRDefault="001410C7" w:rsidP="00D22D26">
      <w:pPr>
        <w:jc w:val="both"/>
        <w:rPr>
          <w:rFonts w:eastAsiaTheme="minorHAnsi"/>
          <w:szCs w:val="22"/>
        </w:rPr>
      </w:pPr>
      <w:r>
        <w:rPr>
          <w:rFonts w:eastAsiaTheme="minorHAnsi"/>
          <w:szCs w:val="22"/>
        </w:rPr>
        <w:t xml:space="preserve">EU asserted that the guidelines of </w:t>
      </w:r>
      <w:r w:rsidRPr="003640D1">
        <w:rPr>
          <w:rFonts w:eastAsiaTheme="minorHAnsi"/>
          <w:szCs w:val="22"/>
        </w:rPr>
        <w:t>Rule 25-30.580(2), F.A.C</w:t>
      </w:r>
      <w:r>
        <w:rPr>
          <w:rFonts w:eastAsiaTheme="minorHAnsi"/>
          <w:szCs w:val="22"/>
        </w:rPr>
        <w:t xml:space="preserve"> do not always apply in a case, wherein the system is designed entirely of a collection system. Following the guidelines that the minimum CIAC should not be less than the cost of the collection system, it results in a 100 percent CIAC, which is higher than the maximum guideline. (EU BR 18) </w:t>
      </w:r>
      <w:r w:rsidRPr="003640D1">
        <w:rPr>
          <w:rFonts w:eastAsiaTheme="minorHAnsi"/>
          <w:szCs w:val="22"/>
        </w:rPr>
        <w:t xml:space="preserve">In this case, EU’s wastewater system in </w:t>
      </w:r>
      <w:r>
        <w:rPr>
          <w:rFonts w:eastAsiaTheme="minorHAnsi"/>
          <w:szCs w:val="22"/>
        </w:rPr>
        <w:t xml:space="preserve">its </w:t>
      </w:r>
      <w:r w:rsidRPr="003640D1">
        <w:rPr>
          <w:rFonts w:eastAsiaTheme="minorHAnsi"/>
          <w:szCs w:val="22"/>
        </w:rPr>
        <w:t xml:space="preserve">entirety is a collection system, which represents </w:t>
      </w:r>
      <w:r>
        <w:rPr>
          <w:rFonts w:eastAsiaTheme="minorHAnsi"/>
          <w:szCs w:val="22"/>
        </w:rPr>
        <w:t>83.37</w:t>
      </w:r>
      <w:r w:rsidRPr="003640D1">
        <w:rPr>
          <w:rFonts w:eastAsiaTheme="minorHAnsi"/>
          <w:szCs w:val="22"/>
        </w:rPr>
        <w:t xml:space="preserve"> percent of total </w:t>
      </w:r>
      <w:r>
        <w:rPr>
          <w:rFonts w:eastAsiaTheme="minorHAnsi"/>
          <w:szCs w:val="22"/>
        </w:rPr>
        <w:t xml:space="preserve">UPIS. </w:t>
      </w:r>
      <w:r w:rsidRPr="00D22D26">
        <w:rPr>
          <w:rFonts w:eastAsiaTheme="minorHAnsi"/>
          <w:szCs w:val="22"/>
        </w:rPr>
        <w:t xml:space="preserve"> </w:t>
      </w:r>
      <w:r>
        <w:rPr>
          <w:rFonts w:eastAsiaTheme="minorHAnsi"/>
          <w:szCs w:val="22"/>
        </w:rPr>
        <w:t>In witness Swain rebuttal testimony, the contribution level is reflected at 71.74 percent at design capacity, which includes the depreciation of plant and amortization of CIAC over time. (EXH 39, BSP 1062) However, the contribution level does not include the s</w:t>
      </w:r>
      <w:r w:rsidR="00812283">
        <w:rPr>
          <w:rFonts w:eastAsiaTheme="minorHAnsi"/>
          <w:szCs w:val="22"/>
        </w:rPr>
        <w:t>ewer lateral installation cost.</w:t>
      </w:r>
      <w:r>
        <w:rPr>
          <w:rFonts w:eastAsiaTheme="minorHAnsi"/>
          <w:szCs w:val="22"/>
        </w:rPr>
        <w:t xml:space="preserve"> Staff added the sewer laterals cost, which results in a contribution level of 77.70 percent. Staff recommends the proposed main extension and sewer lateral installation charges are reasonable and should be approved.</w:t>
      </w:r>
    </w:p>
    <w:p w14:paraId="58437C98" w14:textId="77777777" w:rsidR="00DF7FAA" w:rsidRDefault="00DF7FAA" w:rsidP="00DF7FAA">
      <w:pPr>
        <w:jc w:val="both"/>
        <w:rPr>
          <w:rFonts w:eastAsiaTheme="minorHAnsi"/>
          <w:szCs w:val="22"/>
        </w:rPr>
      </w:pPr>
    </w:p>
    <w:p w14:paraId="7AE788FA" w14:textId="5D824596" w:rsidR="00F80B0A" w:rsidRDefault="00DF7FAA" w:rsidP="007A1D00">
      <w:pPr>
        <w:jc w:val="both"/>
        <w:rPr>
          <w:rFonts w:eastAsiaTheme="minorHAnsi"/>
          <w:szCs w:val="22"/>
        </w:rPr>
      </w:pPr>
      <w:r w:rsidRPr="003640D1">
        <w:rPr>
          <w:rFonts w:eastAsiaTheme="minorHAnsi"/>
          <w:szCs w:val="22"/>
        </w:rPr>
        <w:t xml:space="preserve">The Utility’s proposed service availability policy states that the </w:t>
      </w:r>
      <w:r w:rsidRPr="00C02E32">
        <w:rPr>
          <w:rFonts w:eastAsiaTheme="minorHAnsi"/>
          <w:szCs w:val="22"/>
        </w:rPr>
        <w:t xml:space="preserve">sewer lateral and low-pressure system tank for each residence will be installed by the </w:t>
      </w:r>
      <w:r w:rsidR="0040593B">
        <w:rPr>
          <w:rFonts w:eastAsiaTheme="minorHAnsi"/>
          <w:szCs w:val="22"/>
        </w:rPr>
        <w:t>U</w:t>
      </w:r>
      <w:r w:rsidR="00E92C8B">
        <w:rPr>
          <w:rFonts w:eastAsiaTheme="minorHAnsi"/>
          <w:szCs w:val="22"/>
        </w:rPr>
        <w:t>tility</w:t>
      </w:r>
      <w:r w:rsidRPr="003640D1">
        <w:rPr>
          <w:rFonts w:eastAsiaTheme="minorHAnsi"/>
          <w:szCs w:val="22"/>
        </w:rPr>
        <w:t xml:space="preserve">. The customer will be responsible for the plumbing and electrical to connect from the residence to the tank. </w:t>
      </w:r>
      <w:r>
        <w:rPr>
          <w:rFonts w:eastAsiaTheme="minorHAnsi"/>
          <w:szCs w:val="22"/>
        </w:rPr>
        <w:t>T</w:t>
      </w:r>
      <w:r w:rsidRPr="003640D1">
        <w:rPr>
          <w:rFonts w:eastAsiaTheme="minorHAnsi"/>
          <w:szCs w:val="22"/>
        </w:rPr>
        <w:t xml:space="preserve">he customers will be required to pay the </w:t>
      </w:r>
      <w:r w:rsidRPr="00C02E32">
        <w:rPr>
          <w:rFonts w:eastAsiaTheme="minorHAnsi"/>
          <w:szCs w:val="22"/>
        </w:rPr>
        <w:t>Commission’s recommended service availability charges as well as existing charges imposed by Charlotte County</w:t>
      </w:r>
      <w:r w:rsidRPr="003640D1">
        <w:rPr>
          <w:rFonts w:eastAsiaTheme="minorHAnsi"/>
          <w:szCs w:val="22"/>
        </w:rPr>
        <w:t xml:space="preserve">. </w:t>
      </w:r>
      <w:r>
        <w:rPr>
          <w:rFonts w:eastAsiaTheme="minorHAnsi"/>
          <w:szCs w:val="22"/>
        </w:rPr>
        <w:t xml:space="preserve">Furthermore, the service availability policy states that the existing property owners will have 365 days from the written notice that the wastewater system is available to its property within which to connect. If the property owner fails to connect to the system within the deadline, the property owner will be subject to code enforcements and will begin billing the property owner the approved BFC. </w:t>
      </w:r>
      <w:r w:rsidR="00F80B0A">
        <w:rPr>
          <w:rFonts w:eastAsiaTheme="minorHAnsi"/>
          <w:szCs w:val="22"/>
        </w:rPr>
        <w:t>(EXH 48, BSP 1375)</w:t>
      </w:r>
    </w:p>
    <w:p w14:paraId="2AA226BC" w14:textId="77777777" w:rsidR="00F80B0A" w:rsidRDefault="00F80B0A" w:rsidP="007A1D00">
      <w:pPr>
        <w:jc w:val="both"/>
        <w:rPr>
          <w:rFonts w:eastAsiaTheme="minorHAnsi"/>
          <w:szCs w:val="22"/>
        </w:rPr>
      </w:pPr>
    </w:p>
    <w:p w14:paraId="300FC590" w14:textId="6A039801" w:rsidR="007A1D00" w:rsidRDefault="00DF7FAA" w:rsidP="007A1D00">
      <w:pPr>
        <w:jc w:val="both"/>
        <w:rPr>
          <w:rFonts w:eastAsiaTheme="minorHAnsi"/>
          <w:szCs w:val="22"/>
        </w:rPr>
      </w:pPr>
      <w:r>
        <w:rPr>
          <w:rFonts w:eastAsiaTheme="minorHAnsi"/>
          <w:szCs w:val="22"/>
        </w:rPr>
        <w:t>In its briefs, EU asserted that some property owners asked why they had no option to pay over</w:t>
      </w:r>
      <w:r w:rsidR="0040593B">
        <w:rPr>
          <w:rFonts w:eastAsiaTheme="minorHAnsi"/>
          <w:szCs w:val="22"/>
        </w:rPr>
        <w:t xml:space="preserve"> </w:t>
      </w:r>
      <w:r>
        <w:rPr>
          <w:rFonts w:eastAsiaTheme="minorHAnsi"/>
          <w:szCs w:val="22"/>
        </w:rPr>
        <w:t xml:space="preserve">time. </w:t>
      </w:r>
      <w:r w:rsidR="002E7829">
        <w:rPr>
          <w:rFonts w:eastAsiaTheme="minorHAnsi"/>
          <w:szCs w:val="22"/>
        </w:rPr>
        <w:t>EU stated that pursuant to</w:t>
      </w:r>
      <w:r>
        <w:rPr>
          <w:rFonts w:eastAsiaTheme="minorHAnsi"/>
          <w:szCs w:val="22"/>
        </w:rPr>
        <w:t xml:space="preserve"> Section 381.00655(1</w:t>
      </w:r>
      <w:proofErr w:type="gramStart"/>
      <w:r>
        <w:rPr>
          <w:rFonts w:eastAsiaTheme="minorHAnsi"/>
          <w:szCs w:val="22"/>
        </w:rPr>
        <w:t>)(</w:t>
      </w:r>
      <w:proofErr w:type="gramEnd"/>
      <w:r>
        <w:rPr>
          <w:rFonts w:eastAsiaTheme="minorHAnsi"/>
          <w:szCs w:val="22"/>
        </w:rPr>
        <w:t xml:space="preserve">a), </w:t>
      </w:r>
      <w:r w:rsidR="008D44E5">
        <w:rPr>
          <w:rFonts w:eastAsiaTheme="minorHAnsi"/>
          <w:szCs w:val="22"/>
        </w:rPr>
        <w:t>F.S.,</w:t>
      </w:r>
      <w:r w:rsidR="002E7829">
        <w:rPr>
          <w:rFonts w:eastAsiaTheme="minorHAnsi"/>
          <w:szCs w:val="22"/>
        </w:rPr>
        <w:t xml:space="preserve"> customers will have</w:t>
      </w:r>
      <w:r>
        <w:rPr>
          <w:rFonts w:eastAsiaTheme="minorHAnsi"/>
          <w:szCs w:val="22"/>
        </w:rPr>
        <w:t xml:space="preserve"> the option of prepaying the amortized value or required connection charges in equal monthly installments over a period not to exceed two years from the date of the initial notification of anticipated availability. </w:t>
      </w:r>
      <w:r w:rsidR="00216352">
        <w:rPr>
          <w:rFonts w:eastAsiaTheme="minorHAnsi"/>
          <w:szCs w:val="22"/>
        </w:rPr>
        <w:t>Furthermore</w:t>
      </w:r>
      <w:r>
        <w:rPr>
          <w:rFonts w:eastAsiaTheme="minorHAnsi"/>
          <w:szCs w:val="22"/>
        </w:rPr>
        <w:t>, if EU is granted a wastewater certificate, property owners can request an option to pay the service availability charges in monthly installments as required by the statute.</w:t>
      </w:r>
      <w:r w:rsidR="007A1D00" w:rsidRPr="007A1D00">
        <w:rPr>
          <w:rFonts w:eastAsiaTheme="minorHAnsi"/>
          <w:szCs w:val="22"/>
        </w:rPr>
        <w:t xml:space="preserve"> </w:t>
      </w:r>
      <w:r w:rsidR="00216352">
        <w:rPr>
          <w:rFonts w:eastAsiaTheme="minorHAnsi"/>
          <w:szCs w:val="22"/>
        </w:rPr>
        <w:t>(EU BR 19) Staff agrees that the installment option is available pursuant to the statute.</w:t>
      </w:r>
    </w:p>
    <w:p w14:paraId="02182950" w14:textId="041A4F7B" w:rsidR="00216352" w:rsidRDefault="00216352" w:rsidP="007A1D00">
      <w:pPr>
        <w:jc w:val="both"/>
        <w:rPr>
          <w:rFonts w:eastAsiaTheme="minorHAnsi"/>
          <w:szCs w:val="22"/>
        </w:rPr>
      </w:pPr>
    </w:p>
    <w:p w14:paraId="0067E32D" w14:textId="6E36AC4C" w:rsidR="00216352" w:rsidRPr="003640D1" w:rsidRDefault="00216352" w:rsidP="007A1D00">
      <w:pPr>
        <w:jc w:val="both"/>
        <w:rPr>
          <w:rFonts w:eastAsiaTheme="minorHAnsi"/>
          <w:szCs w:val="22"/>
        </w:rPr>
      </w:pPr>
      <w:r w:rsidRPr="00216352">
        <w:rPr>
          <w:rFonts w:eastAsiaTheme="minorHAnsi"/>
          <w:szCs w:val="22"/>
        </w:rPr>
        <w:t>In conclusion, staff believes there is sufficient information and detail in the record to calculate service availability charges. Further, it would not be appropriate to set EU’s charges to be identical to those charged by Charlotte County Utilities; each utility has its own unique operational costs, service area, and customer base, meaning a simple comparison could lead to unfair pricing for consumers depending on the situation.</w:t>
      </w:r>
    </w:p>
    <w:p w14:paraId="681ADFD4" w14:textId="77777777" w:rsidR="007A1D00" w:rsidRPr="003640D1" w:rsidRDefault="007A1D00" w:rsidP="007A1D00">
      <w:pPr>
        <w:jc w:val="both"/>
        <w:rPr>
          <w:rFonts w:eastAsiaTheme="minorHAnsi"/>
          <w:szCs w:val="22"/>
        </w:rPr>
      </w:pPr>
    </w:p>
    <w:p w14:paraId="6A09C2E5" w14:textId="77777777" w:rsidR="007A1D00" w:rsidRPr="003640D1" w:rsidRDefault="007A1D00" w:rsidP="007A1D00">
      <w:pPr>
        <w:spacing w:after="200" w:line="276" w:lineRule="auto"/>
        <w:jc w:val="center"/>
        <w:rPr>
          <w:rFonts w:ascii="Arial" w:eastAsiaTheme="minorHAnsi" w:hAnsi="Arial" w:cs="Arial"/>
          <w:b/>
          <w:szCs w:val="22"/>
        </w:rPr>
      </w:pPr>
      <w:r>
        <w:rPr>
          <w:rFonts w:ascii="Arial" w:eastAsiaTheme="minorHAnsi" w:hAnsi="Arial" w:cs="Arial"/>
          <w:b/>
          <w:szCs w:val="22"/>
        </w:rPr>
        <w:t>CONCLUSION</w:t>
      </w:r>
    </w:p>
    <w:p w14:paraId="1386C733" w14:textId="77777777" w:rsidR="00DF7FAA" w:rsidRDefault="00DF7FAA" w:rsidP="007A1D00">
      <w:pPr>
        <w:pStyle w:val="BodyText"/>
      </w:pPr>
      <w:r w:rsidRPr="00C345F9">
        <w:rPr>
          <w:rFonts w:eastAsiaTheme="minorHAnsi"/>
          <w:szCs w:val="22"/>
        </w:rPr>
        <w:t>The appropriate service availability charges are shown on Schedule No. 5 and should be approved. In addition, the Utility’s proposed service availability policy should be approved. The approved charges and policy should be effective for connections made on or after the stamped approval date on the tariff sheets pursuant to Rule 25-30.475, F.A.C. EU should be required to collect its approved service availability charges until authorized to change them by the Commission in a subsequent proceeding</w:t>
      </w:r>
      <w:r>
        <w:rPr>
          <w:rFonts w:eastAsiaTheme="minorHAnsi" w:cstheme="minorBidi"/>
          <w:szCs w:val="22"/>
        </w:rPr>
        <w:t>.</w:t>
      </w:r>
    </w:p>
    <w:p w14:paraId="3494BA9B" w14:textId="77777777" w:rsidR="0048338D" w:rsidRDefault="0048338D">
      <w:pPr>
        <w:pStyle w:val="IssueHeading"/>
        <w:rPr>
          <w:vanish/>
          <w:specVanish/>
        </w:rPr>
      </w:pPr>
      <w:r w:rsidRPr="004C3641">
        <w:rPr>
          <w:b w:val="0"/>
          <w:i w:val="0"/>
        </w:rPr>
        <w:br w:type="page"/>
      </w:r>
      <w:r w:rsidRPr="004C3641">
        <w:t xml:space="preserve">Issue </w:t>
      </w:r>
      <w:fldSimple w:instr=" SEQ Issue \* MERGEFORMAT ">
        <w:r>
          <w:rPr>
            <w:noProof/>
          </w:rPr>
          <w:t>15</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15</w:instrText>
      </w:r>
      <w:r>
        <w:fldChar w:fldCharType="end"/>
      </w:r>
      <w:r>
        <w:tab/>
        <w:instrText xml:space="preserve">" \l 1 </w:instrText>
      </w:r>
      <w:r>
        <w:fldChar w:fldCharType="end"/>
      </w:r>
      <w:r>
        <w:t> </w:t>
      </w:r>
    </w:p>
    <w:p w14:paraId="48C7A64C" w14:textId="77777777" w:rsidR="0048338D" w:rsidRDefault="0048338D">
      <w:pPr>
        <w:pStyle w:val="BodyText"/>
      </w:pPr>
      <w:r>
        <w:t> Should this docket be closed?</w:t>
      </w:r>
    </w:p>
    <w:p w14:paraId="2E439138" w14:textId="77777777" w:rsidR="0048338D" w:rsidRPr="004C3641" w:rsidRDefault="0048338D">
      <w:pPr>
        <w:pStyle w:val="IssueSubsectionHeading"/>
        <w:rPr>
          <w:vanish/>
          <w:specVanish/>
        </w:rPr>
      </w:pPr>
      <w:r w:rsidRPr="004C3641">
        <w:t>Recommendation: </w:t>
      </w:r>
    </w:p>
    <w:p w14:paraId="7126E27D" w14:textId="77777777" w:rsidR="0048338D" w:rsidRDefault="0048338D">
      <w:pPr>
        <w:pStyle w:val="BodyText"/>
      </w:pPr>
      <w:r>
        <w:t> </w:t>
      </w:r>
      <w:r w:rsidR="008F6E98" w:rsidRPr="00B07D59">
        <w:t>This docket should be closed. (</w:t>
      </w:r>
      <w:r w:rsidR="008F6E98">
        <w:t>Thompson, Dose</w:t>
      </w:r>
      <w:r w:rsidR="008F6E98" w:rsidRPr="00B07D59">
        <w:t>)</w:t>
      </w:r>
      <w:r>
        <w:t xml:space="preserve"> </w:t>
      </w:r>
    </w:p>
    <w:p w14:paraId="7BCBCABF" w14:textId="77777777" w:rsidR="00DC5A0F" w:rsidRDefault="00DC5A0F" w:rsidP="00DC5A0F">
      <w:pPr>
        <w:pStyle w:val="BodyText"/>
        <w:rPr>
          <w:rFonts w:ascii="Arial" w:hAnsi="Arial" w:cs="Arial"/>
          <w:b/>
          <w:i/>
        </w:rPr>
      </w:pPr>
      <w:r>
        <w:rPr>
          <w:rFonts w:ascii="Arial" w:hAnsi="Arial" w:cs="Arial"/>
          <w:b/>
          <w:i/>
        </w:rPr>
        <w:t>Position of the Parties:</w:t>
      </w:r>
    </w:p>
    <w:p w14:paraId="542DEC9C" w14:textId="77777777" w:rsidR="008F6E98" w:rsidRPr="00B91104" w:rsidRDefault="008F6E98" w:rsidP="008F6E98">
      <w:pPr>
        <w:pStyle w:val="BodyText"/>
        <w:tabs>
          <w:tab w:val="left" w:pos="1080"/>
        </w:tabs>
      </w:pPr>
      <w:r>
        <w:rPr>
          <w:rFonts w:ascii="Arial" w:hAnsi="Arial" w:cs="Arial"/>
          <w:b/>
          <w:i/>
        </w:rPr>
        <w:t>LC:</w:t>
      </w:r>
      <w:r w:rsidRPr="00B91104">
        <w:rPr>
          <w:rFonts w:ascii="Arial" w:hAnsi="Arial" w:cs="Arial"/>
        </w:rPr>
        <w:tab/>
      </w:r>
      <w:r w:rsidRPr="00F73613">
        <w:t>Yes.</w:t>
      </w:r>
    </w:p>
    <w:p w14:paraId="00DAF3D1" w14:textId="77777777" w:rsidR="008F6E98" w:rsidRPr="00B91104" w:rsidRDefault="008F6E98" w:rsidP="008F6E98">
      <w:pPr>
        <w:pStyle w:val="BodyText"/>
        <w:tabs>
          <w:tab w:val="left" w:pos="1080"/>
        </w:tabs>
      </w:pPr>
      <w:r>
        <w:rPr>
          <w:rFonts w:ascii="Arial" w:hAnsi="Arial" w:cs="Arial"/>
          <w:b/>
          <w:i/>
        </w:rPr>
        <w:t>LGIPA:</w:t>
      </w:r>
      <w:r w:rsidRPr="00B91104">
        <w:rPr>
          <w:rFonts w:ascii="Arial" w:hAnsi="Arial" w:cs="Arial"/>
        </w:rPr>
        <w:tab/>
      </w:r>
      <w:r>
        <w:t>Yes, EU’s</w:t>
      </w:r>
      <w:r w:rsidRPr="003E2A7B">
        <w:t xml:space="preserve"> application should be denied and the docket should be closed.</w:t>
      </w:r>
    </w:p>
    <w:p w14:paraId="6AC855EA" w14:textId="77777777" w:rsidR="008F6E98" w:rsidRPr="00B91104" w:rsidRDefault="008F6E98" w:rsidP="008F6E98">
      <w:pPr>
        <w:pStyle w:val="BodyText"/>
        <w:tabs>
          <w:tab w:val="left" w:pos="1080"/>
        </w:tabs>
      </w:pPr>
      <w:r>
        <w:rPr>
          <w:rFonts w:ascii="Arial" w:hAnsi="Arial" w:cs="Arial"/>
          <w:b/>
          <w:i/>
        </w:rPr>
        <w:t>PIE:</w:t>
      </w:r>
      <w:r w:rsidRPr="00B91104">
        <w:rPr>
          <w:rFonts w:ascii="Arial" w:hAnsi="Arial" w:cs="Arial"/>
        </w:rPr>
        <w:tab/>
      </w:r>
      <w:r>
        <w:t>Yes, the docket should be closed.</w:t>
      </w:r>
    </w:p>
    <w:p w14:paraId="2294ECAB" w14:textId="77777777" w:rsidR="008F6E98" w:rsidRPr="00B91104" w:rsidRDefault="008F6E98" w:rsidP="008F6E98">
      <w:pPr>
        <w:pStyle w:val="BodyText"/>
        <w:tabs>
          <w:tab w:val="left" w:pos="1080"/>
          <w:tab w:val="left" w:pos="2430"/>
        </w:tabs>
      </w:pPr>
      <w:r>
        <w:rPr>
          <w:rFonts w:ascii="Arial" w:hAnsi="Arial" w:cs="Arial"/>
          <w:b/>
          <w:i/>
        </w:rPr>
        <w:t>EU:</w:t>
      </w:r>
      <w:r>
        <w:rPr>
          <w:rFonts w:ascii="Arial" w:hAnsi="Arial" w:cs="Arial"/>
        </w:rPr>
        <w:tab/>
      </w:r>
      <w:r w:rsidRPr="006615F2">
        <w:t>Yes</w:t>
      </w:r>
    </w:p>
    <w:p w14:paraId="46482879" w14:textId="77777777" w:rsidR="0048338D" w:rsidRPr="004C3641" w:rsidRDefault="0048338D">
      <w:pPr>
        <w:pStyle w:val="IssueSubsectionHeading"/>
        <w:rPr>
          <w:vanish/>
          <w:specVanish/>
        </w:rPr>
      </w:pPr>
      <w:r w:rsidRPr="004C3641">
        <w:t>Staff Analysis: </w:t>
      </w:r>
    </w:p>
    <w:p w14:paraId="59458751" w14:textId="77777777" w:rsidR="008F6E98" w:rsidRDefault="0048338D" w:rsidP="008F6E98">
      <w:pPr>
        <w:spacing w:after="240"/>
        <w:jc w:val="center"/>
      </w:pPr>
      <w:r>
        <w:t> </w:t>
      </w:r>
    </w:p>
    <w:p w14:paraId="5B6514B4" w14:textId="77777777" w:rsidR="008F6E98" w:rsidRPr="00B07D59" w:rsidRDefault="008F6E98" w:rsidP="008F6E98">
      <w:pPr>
        <w:spacing w:after="240"/>
        <w:jc w:val="center"/>
        <w:rPr>
          <w:rFonts w:ascii="Arial" w:hAnsi="Arial" w:cs="Arial"/>
          <w:b/>
        </w:rPr>
      </w:pPr>
      <w:r w:rsidRPr="00B07D59">
        <w:rPr>
          <w:rFonts w:ascii="Arial" w:hAnsi="Arial" w:cs="Arial"/>
          <w:b/>
        </w:rPr>
        <w:t>ANALYSIS</w:t>
      </w:r>
    </w:p>
    <w:p w14:paraId="5093367D" w14:textId="77777777" w:rsidR="004D2575" w:rsidRDefault="004D2575" w:rsidP="004D2575">
      <w:pPr>
        <w:jc w:val="both"/>
      </w:pPr>
      <w:r>
        <w:t>The parties all agree that the docket should be closed, although for different reasons: LC, LGIPA, and PIE contend that the application should be denied and the docket closed. (LC BR 27-28; LGIPA BR 28; PIE BR 17) EU argues that upon issuance of a wastewater certificate to EU, no further action is required in the docket and it should be closed. (EU BR 19)</w:t>
      </w:r>
    </w:p>
    <w:p w14:paraId="3A9E4C0D" w14:textId="77777777" w:rsidR="004D2575" w:rsidRDefault="004D2575" w:rsidP="004D2575">
      <w:pPr>
        <w:jc w:val="both"/>
      </w:pPr>
    </w:p>
    <w:p w14:paraId="4FD814E8" w14:textId="65D8651D" w:rsidR="005810C0" w:rsidRDefault="004D2575" w:rsidP="004D2575">
      <w:pPr>
        <w:jc w:val="both"/>
      </w:pPr>
      <w:r>
        <w:t>If the Commission approves staff’s recommendation, a final order should be issued granting EU a wastewater certificate and establishing initial rates and charges. Upon issuance of the final order, t</w:t>
      </w:r>
      <w:r w:rsidRPr="00B07D59">
        <w:t>his</w:t>
      </w:r>
      <w:r w:rsidR="008F6E98" w:rsidRPr="00B07D59">
        <w:t xml:space="preserve"> docket should be closed.</w:t>
      </w:r>
    </w:p>
    <w:p w14:paraId="3AEF1178" w14:textId="77777777" w:rsidR="009054ED" w:rsidRDefault="009054ED" w:rsidP="00E275D8">
      <w:pPr>
        <w:pStyle w:val="BodyText"/>
        <w:sectPr w:rsidR="009054ED"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14:paraId="007DEE6E" w14:textId="77777777" w:rsidR="009054ED" w:rsidRPr="00412C8C" w:rsidRDefault="009054ED" w:rsidP="009054ED">
      <w:pPr>
        <w:jc w:val="center"/>
        <w:rPr>
          <w:b/>
        </w:rPr>
      </w:pPr>
      <w:r w:rsidRPr="00412C8C">
        <w:rPr>
          <w:b/>
        </w:rPr>
        <w:t>TERRITORY DESCRIPTION</w:t>
      </w:r>
    </w:p>
    <w:p w14:paraId="7A30B086" w14:textId="77777777" w:rsidR="009054ED" w:rsidRPr="00412C8C" w:rsidRDefault="009054ED" w:rsidP="009054ED">
      <w:pPr>
        <w:jc w:val="center"/>
        <w:rPr>
          <w:b/>
        </w:rPr>
      </w:pPr>
      <w:r>
        <w:rPr>
          <w:b/>
        </w:rPr>
        <w:t>Environmental Utilities, LLC</w:t>
      </w:r>
    </w:p>
    <w:p w14:paraId="38F0F839" w14:textId="77777777" w:rsidR="009054ED" w:rsidRPr="00412C8C" w:rsidRDefault="009054ED" w:rsidP="009054ED">
      <w:pPr>
        <w:jc w:val="center"/>
        <w:rPr>
          <w:b/>
        </w:rPr>
      </w:pPr>
      <w:r>
        <w:rPr>
          <w:b/>
        </w:rPr>
        <w:t>Charlotte County</w:t>
      </w:r>
    </w:p>
    <w:p w14:paraId="0F6F652C" w14:textId="77777777" w:rsidR="009054ED" w:rsidRPr="00412C8C" w:rsidRDefault="009054ED" w:rsidP="009054ED">
      <w:pPr>
        <w:jc w:val="center"/>
      </w:pPr>
      <w:r w:rsidRPr="00412C8C">
        <w:rPr>
          <w:b/>
        </w:rPr>
        <w:t>Wastewater Service</w:t>
      </w:r>
    </w:p>
    <w:p w14:paraId="3F8900E2" w14:textId="77777777" w:rsidR="009054ED" w:rsidRPr="00412C8C" w:rsidRDefault="009054ED" w:rsidP="009054ED"/>
    <w:p w14:paraId="05F3A4EA" w14:textId="77777777" w:rsidR="009054ED" w:rsidRDefault="009054ED" w:rsidP="009054ED">
      <w:pPr>
        <w:jc w:val="center"/>
      </w:pPr>
      <w:r>
        <w:t>ISLANDS</w:t>
      </w:r>
    </w:p>
    <w:p w14:paraId="6F0A4B12" w14:textId="77777777" w:rsidR="009054ED" w:rsidRDefault="009054ED" w:rsidP="009054ED">
      <w:pPr>
        <w:jc w:val="center"/>
      </w:pPr>
    </w:p>
    <w:p w14:paraId="78EED5DD" w14:textId="77777777" w:rsidR="009054ED" w:rsidRDefault="009054ED" w:rsidP="009054ED">
      <w:pPr>
        <w:jc w:val="both"/>
      </w:pPr>
      <w:r w:rsidRPr="0069144E">
        <w:t>AN INDIVIDUAL SERVICE AREA OVER A PORTION OF THE FOLLOWING DESCRIBED LANDS, LYING IN THE</w:t>
      </w:r>
      <w:r>
        <w:t xml:space="preserve"> </w:t>
      </w:r>
      <w:r w:rsidRPr="0069144E">
        <w:t>FOLLOWING DESCRIBED FRACTIONAL SECTIONS OF LAND:</w:t>
      </w:r>
      <w:r>
        <w:t xml:space="preserve"> </w:t>
      </w:r>
      <w:r w:rsidRPr="0069144E">
        <w:t>SECTION 28, TOWNSHIP 41 SOUTH, RANGE 20 EAST</w:t>
      </w:r>
      <w:r>
        <w:t>;</w:t>
      </w:r>
      <w:r w:rsidRPr="0069144E">
        <w:t xml:space="preserve"> SECTION 29, TOWNSHIP 41 SOUTH, RANGE 20 EAST</w:t>
      </w:r>
      <w:r>
        <w:t xml:space="preserve">; </w:t>
      </w:r>
      <w:r w:rsidRPr="0069144E">
        <w:t>SECTION 32, TOWNSHIP 41 SOUTH, RANGE 20 EAST</w:t>
      </w:r>
      <w:r>
        <w:t>;</w:t>
      </w:r>
      <w:r w:rsidRPr="0069144E">
        <w:t xml:space="preserve"> SECTION 33, TOWNSHIP 41 SOUTH, RANGE 20 EAST</w:t>
      </w:r>
      <w:r>
        <w:t xml:space="preserve">; </w:t>
      </w:r>
      <w:r w:rsidRPr="0069144E">
        <w:t>SECTION 3, TOWNSHIP 42 SOUTH, RANGE 20 EAST</w:t>
      </w:r>
      <w:r>
        <w:t>;</w:t>
      </w:r>
      <w:r w:rsidRPr="0069144E">
        <w:t xml:space="preserve"> SECTION 4, TOWNSHIP 42 SOUTH, RANGE 20 EAST</w:t>
      </w:r>
      <w:r>
        <w:t>;</w:t>
      </w:r>
      <w:r w:rsidRPr="0069144E">
        <w:t xml:space="preserve"> SECTION</w:t>
      </w:r>
      <w:r>
        <w:t xml:space="preserve"> </w:t>
      </w:r>
      <w:r w:rsidRPr="0069144E">
        <w:t>10, TOWNSHIP 42 SOUTH, RANGE 20 EAST</w:t>
      </w:r>
      <w:r>
        <w:t>;</w:t>
      </w:r>
      <w:r w:rsidRPr="0069144E">
        <w:t xml:space="preserve"> SECTION 15, TOWNSHIP 42 SOUTH, RANGE 20 EAST</w:t>
      </w:r>
      <w:r>
        <w:t>;</w:t>
      </w:r>
      <w:r w:rsidRPr="0069144E">
        <w:t xml:space="preserve"> SECTION 16,</w:t>
      </w:r>
      <w:r>
        <w:t xml:space="preserve"> </w:t>
      </w:r>
      <w:r w:rsidRPr="0069144E">
        <w:t>TOWNSHIP 42 SOUTH, RANGE 20 EAST</w:t>
      </w:r>
      <w:r>
        <w:t>;</w:t>
      </w:r>
      <w:r w:rsidRPr="0069144E">
        <w:t xml:space="preserve"> SECTION 21, TOWNSHIP 42 SOUTH, RANGE 20 EAST</w:t>
      </w:r>
      <w:r>
        <w:t>;</w:t>
      </w:r>
      <w:r w:rsidRPr="0069144E">
        <w:t xml:space="preserve"> SECTION 22,</w:t>
      </w:r>
      <w:r>
        <w:t xml:space="preserve"> </w:t>
      </w:r>
      <w:r w:rsidRPr="0069144E">
        <w:t>TOWNSHIP 42 SOUTH, RANGE 20 EAST</w:t>
      </w:r>
      <w:r>
        <w:t>;</w:t>
      </w:r>
      <w:r w:rsidRPr="0069144E">
        <w:t xml:space="preserve"> SECTION 27, TOWNSHIP 42 SOUTH, RANGED 20 EAST</w:t>
      </w:r>
      <w:r>
        <w:t>;</w:t>
      </w:r>
      <w:r w:rsidRPr="0069144E">
        <w:t xml:space="preserve"> CHARLOTTE</w:t>
      </w:r>
      <w:r>
        <w:t xml:space="preserve"> </w:t>
      </w:r>
      <w:r w:rsidRPr="0069144E">
        <w:t>COUNTY, FLORIDA, SAID LANDS BEING BOUNDED ON THE WEST BY THE GULF OF MEXICO, BOUNDED ON THE EAST</w:t>
      </w:r>
      <w:r>
        <w:t xml:space="preserve"> </w:t>
      </w:r>
      <w:r w:rsidRPr="0069144E">
        <w:t>BY LEMON BAY AND GASPARILLA SOUND, BOUNDED OF THE SOUTH BY LITTLE GASPARILLA PASS AND BOUNDED ON</w:t>
      </w:r>
      <w:r>
        <w:t xml:space="preserve"> </w:t>
      </w:r>
      <w:r w:rsidRPr="0069144E">
        <w:t>THE NORTH BY THE FOLLOWING DESCRIBED LINE:</w:t>
      </w:r>
    </w:p>
    <w:p w14:paraId="7D8F87E0" w14:textId="77777777" w:rsidR="009054ED" w:rsidRPr="0069144E" w:rsidRDefault="009054ED" w:rsidP="009054ED">
      <w:pPr>
        <w:jc w:val="both"/>
      </w:pPr>
    </w:p>
    <w:p w14:paraId="065CA1AD" w14:textId="77777777" w:rsidR="009054ED" w:rsidRDefault="009054ED" w:rsidP="009054ED">
      <w:pPr>
        <w:jc w:val="both"/>
      </w:pPr>
      <w:r w:rsidRPr="0069144E">
        <w:t>COMMENCE AT THE SOUTHEAST CORNER OF SAID SECTION 29</w:t>
      </w:r>
      <w:r>
        <w:t>;</w:t>
      </w:r>
      <w:r w:rsidRPr="0069144E">
        <w:t xml:space="preserve"> THENCE NORTH 00</w:t>
      </w:r>
      <w:r>
        <w:t>°</w:t>
      </w:r>
      <w:r w:rsidRPr="0069144E">
        <w:t>00</w:t>
      </w:r>
      <w:r>
        <w:t>′</w:t>
      </w:r>
      <w:r w:rsidRPr="0069144E">
        <w:t>00</w:t>
      </w:r>
      <w:r>
        <w:t xml:space="preserve">″ </w:t>
      </w:r>
      <w:r w:rsidRPr="0069144E">
        <w:t>EAST A DISTANCE OF 2</w:t>
      </w:r>
      <w:r>
        <w:t>,</w:t>
      </w:r>
      <w:r w:rsidRPr="0069144E">
        <w:t>717.15 FEET TO THE INTERSECTION WITH THE SOUTH LINE OF THE NORTH HALF OF SAID</w:t>
      </w:r>
      <w:r>
        <w:t xml:space="preserve"> </w:t>
      </w:r>
      <w:r w:rsidRPr="0069144E">
        <w:t>SECTION 29; THENCE SOUTH 89</w:t>
      </w:r>
      <w:r>
        <w:t>°</w:t>
      </w:r>
      <w:r w:rsidRPr="0069144E">
        <w:t>58</w:t>
      </w:r>
      <w:r>
        <w:t>′</w:t>
      </w:r>
      <w:r w:rsidRPr="0069144E">
        <w:t>58</w:t>
      </w:r>
      <w:r>
        <w:t>″</w:t>
      </w:r>
      <w:r w:rsidRPr="0069144E">
        <w:t xml:space="preserve"> WEST ALONG SAID SOUTH LINE OF THE NORTH</w:t>
      </w:r>
      <w:r>
        <w:t xml:space="preserve"> </w:t>
      </w:r>
      <w:r w:rsidRPr="0069144E">
        <w:t>HALF OF SAID SECTION 29 A DISTANCE OF 60 FEET MORE OR LESS TO THE INTERSECTION WITH WESTERLY MEAN</w:t>
      </w:r>
      <w:r>
        <w:t xml:space="preserve"> </w:t>
      </w:r>
      <w:r w:rsidRPr="0069144E">
        <w:t>HIGH WATER LINE OF LEMON BAY AND THE POINT OF BEGINNING; THENCE CONTINUE SOUTH 89</w:t>
      </w:r>
      <w:r>
        <w:t>°</w:t>
      </w:r>
      <w:r w:rsidRPr="0069144E">
        <w:t>58</w:t>
      </w:r>
      <w:r>
        <w:t>′</w:t>
      </w:r>
      <w:r w:rsidRPr="0069144E">
        <w:t>58</w:t>
      </w:r>
      <w:r>
        <w:t>″</w:t>
      </w:r>
      <w:r w:rsidRPr="0069144E">
        <w:t xml:space="preserve"> WEST ALONG SAID SOUTH LINE OF THE NORTH HALF OF SAID SECTION 29, TOWNSHIP 41</w:t>
      </w:r>
      <w:r>
        <w:t xml:space="preserve"> </w:t>
      </w:r>
      <w:r w:rsidRPr="0069144E">
        <w:t>SOUTH, RANGE 20 EAST, A DISTANCE OF 1</w:t>
      </w:r>
      <w:r>
        <w:t>,</w:t>
      </w:r>
      <w:r w:rsidRPr="0069144E">
        <w:t>730.0 FEET MORE OR LESS TO THE INTERSECTION WITH THE</w:t>
      </w:r>
      <w:r>
        <w:t xml:space="preserve"> </w:t>
      </w:r>
      <w:r w:rsidRPr="0069144E">
        <w:t>EASTERLY RIGHT-OF-WAY LINE OF NORTH GULF BOULEVARD (66 FOOT RIGHT-OF-WAY) AS SHOWN O</w:t>
      </w:r>
      <w:r>
        <w:t>N</w:t>
      </w:r>
      <w:r w:rsidRPr="0069144E">
        <w:t xml:space="preserve"> THE PLAT OF</w:t>
      </w:r>
      <w:r>
        <w:t xml:space="preserve"> </w:t>
      </w:r>
      <w:r w:rsidRPr="0069144E">
        <w:t>PALM ISLAND VILLAGE, A CONDOMINIUM, ACCORDING TO THE PLAT THEREOF, AS RECORDED IN CONDOMINIUM</w:t>
      </w:r>
      <w:r>
        <w:t xml:space="preserve"> </w:t>
      </w:r>
      <w:r w:rsidRPr="0069144E">
        <w:t>BOOK 4, PAGES 24-A THROUGH 24-E, OF THE PUBLIC RECORDS OF CHARLOTTE COUNTY, FLORIDA; THENCE SOUTH</w:t>
      </w:r>
      <w:r>
        <w:t xml:space="preserve"> </w:t>
      </w:r>
      <w:r w:rsidRPr="0069144E">
        <w:t>60</w:t>
      </w:r>
      <w:r>
        <w:t>°</w:t>
      </w:r>
      <w:r w:rsidRPr="0069144E">
        <w:t>34</w:t>
      </w:r>
      <w:r>
        <w:t>′</w:t>
      </w:r>
      <w:r w:rsidRPr="0069144E">
        <w:t>11</w:t>
      </w:r>
      <w:r>
        <w:t>″</w:t>
      </w:r>
      <w:r w:rsidRPr="0069144E">
        <w:t xml:space="preserve"> WEST, A DISTANCE OF 66.0 FEET TO THE WESTERLY RIGHT-OF-WAY LINE</w:t>
      </w:r>
      <w:r>
        <w:t xml:space="preserve"> </w:t>
      </w:r>
      <w:r w:rsidRPr="0069144E">
        <w:t>OF SAID NORTH GULF BOULEVARD; THEN SOUTH 29</w:t>
      </w:r>
      <w:r>
        <w:t>°</w:t>
      </w:r>
      <w:r w:rsidRPr="0069144E">
        <w:t>25</w:t>
      </w:r>
      <w:r>
        <w:t>′</w:t>
      </w:r>
      <w:r w:rsidRPr="0069144E">
        <w:t>45</w:t>
      </w:r>
      <w:r>
        <w:t>″</w:t>
      </w:r>
      <w:r w:rsidRPr="0069144E">
        <w:t xml:space="preserve"> EAST, ALONG SAID</w:t>
      </w:r>
      <w:r>
        <w:t xml:space="preserve"> </w:t>
      </w:r>
      <w:r w:rsidRPr="0069144E">
        <w:t>WESTERLY RIGHT-OF-WAY LINE OF NORTH GULF BOULEVARD, A DISTANCE OF 105.0 FEET TO THE POINT OF</w:t>
      </w:r>
      <w:r>
        <w:t xml:space="preserve"> </w:t>
      </w:r>
      <w:r w:rsidRPr="0069144E">
        <w:t>CURVATURE OF A CIRCULAR CURVE TO THE LEFT; THENCE ALONG THE ARC OF SAID CURVE IN A NORTHWEST</w:t>
      </w:r>
      <w:r>
        <w:t xml:space="preserve"> </w:t>
      </w:r>
      <w:r w:rsidRPr="0069144E">
        <w:t>DIRECTION; HAVING A RADIUS DISTANCE OF 100.0 FEET, A CENTRAL ANGLE OF 90</w:t>
      </w:r>
      <w:r>
        <w:t>°</w:t>
      </w:r>
      <w:r w:rsidRPr="0069144E">
        <w:t>00</w:t>
      </w:r>
      <w:r>
        <w:t>′</w:t>
      </w:r>
      <w:r w:rsidRPr="0069144E">
        <w:t>00</w:t>
      </w:r>
      <w:r>
        <w:t>″</w:t>
      </w:r>
      <w:r w:rsidRPr="0069144E">
        <w:t>, WHOSE RADIUS POINT BEARS SOUTH 60</w:t>
      </w:r>
      <w:r>
        <w:t>°</w:t>
      </w:r>
      <w:r w:rsidRPr="0069144E">
        <w:t>34</w:t>
      </w:r>
      <w:r>
        <w:t>′</w:t>
      </w:r>
      <w:r w:rsidRPr="0069144E">
        <w:t>15</w:t>
      </w:r>
      <w:r>
        <w:t>″</w:t>
      </w:r>
      <w:r w:rsidRPr="0069144E">
        <w:t xml:space="preserve"> WEST, A</w:t>
      </w:r>
      <w:r>
        <w:t>N</w:t>
      </w:r>
      <w:r w:rsidRPr="0069144E">
        <w:t xml:space="preserve"> ARC DISTANCE OF</w:t>
      </w:r>
      <w:r>
        <w:t xml:space="preserve"> </w:t>
      </w:r>
      <w:r w:rsidRPr="0069144E">
        <w:t>157.08 F</w:t>
      </w:r>
      <w:r>
        <w:t>EE</w:t>
      </w:r>
      <w:r w:rsidRPr="0069144E">
        <w:t>T TO THE POINT OF TANGENT OF SAID CURVE; THENCE NORTH 29</w:t>
      </w:r>
      <w:r>
        <w:t>°</w:t>
      </w:r>
      <w:r w:rsidRPr="0069144E">
        <w:t>25</w:t>
      </w:r>
      <w:r>
        <w:t>′</w:t>
      </w:r>
      <w:r w:rsidRPr="0069144E">
        <w:t>45</w:t>
      </w:r>
      <w:r>
        <w:t xml:space="preserve">″ </w:t>
      </w:r>
      <w:r w:rsidRPr="0069144E">
        <w:t>WEST, A DIST</w:t>
      </w:r>
      <w:r>
        <w:t>ANCE OF 5.0 FT; THENCE SOUTH 60°</w:t>
      </w:r>
      <w:r w:rsidRPr="0069144E">
        <w:t>34</w:t>
      </w:r>
      <w:r>
        <w:t>′</w:t>
      </w:r>
      <w:r w:rsidRPr="0069144E">
        <w:t>11</w:t>
      </w:r>
      <w:r>
        <w:t>″</w:t>
      </w:r>
      <w:r w:rsidRPr="0069144E">
        <w:t xml:space="preserve"> WEST, A DISTANCE OF</w:t>
      </w:r>
      <w:r>
        <w:t xml:space="preserve"> </w:t>
      </w:r>
      <w:r w:rsidRPr="0069144E">
        <w:t>342.0 FEET MORE OR LESS TO THE MEAN HIGH WATER LINE OF THE GULF OF MEXICO AND THE POINT OF</w:t>
      </w:r>
      <w:r>
        <w:t xml:space="preserve"> </w:t>
      </w:r>
      <w:r w:rsidRPr="0069144E">
        <w:t>TERMINUS OF SAID LINE.</w:t>
      </w:r>
    </w:p>
    <w:p w14:paraId="2AB322B8" w14:textId="77777777" w:rsidR="009054ED" w:rsidRDefault="009054ED" w:rsidP="009054ED">
      <w:pPr>
        <w:jc w:val="both"/>
      </w:pPr>
    </w:p>
    <w:p w14:paraId="3547C184" w14:textId="77777777" w:rsidR="009054ED" w:rsidRDefault="009054ED" w:rsidP="009054ED">
      <w:pPr>
        <w:jc w:val="both"/>
      </w:pPr>
      <w:r>
        <w:t>LESS AND EXCEPT:</w:t>
      </w:r>
    </w:p>
    <w:p w14:paraId="1CD7A22C" w14:textId="77777777" w:rsidR="009054ED" w:rsidRDefault="009054ED" w:rsidP="009054ED">
      <w:pPr>
        <w:jc w:val="both"/>
      </w:pPr>
    </w:p>
    <w:p w14:paraId="177534D3" w14:textId="77777777" w:rsidR="009054ED" w:rsidRDefault="009054ED" w:rsidP="009054ED">
      <w:pPr>
        <w:jc w:val="both"/>
      </w:pPr>
      <w:r w:rsidRPr="0069144E">
        <w:t xml:space="preserve">A PARCEL OR TRACT OF LAND KNOWN AS PARCEL </w:t>
      </w:r>
      <w:proofErr w:type="gramStart"/>
      <w:r w:rsidRPr="0069144E">
        <w:t>I</w:t>
      </w:r>
      <w:proofErr w:type="gramEnd"/>
      <w:r w:rsidRPr="0069144E">
        <w:t>, HIDEAWAY BAY BEACH CLUB, A CONDOMINIUM, AS RECORDED</w:t>
      </w:r>
      <w:r>
        <w:t xml:space="preserve"> </w:t>
      </w:r>
      <w:r w:rsidRPr="0069144E">
        <w:t>IN CONDOMINIUM PLAT BOOK 7, PAGES 82-A THROUGH 82-1, OF THE PUBLIC RECORDS OF CHARLOTTE COUNTY,</w:t>
      </w:r>
      <w:r>
        <w:t xml:space="preserve"> </w:t>
      </w:r>
      <w:r w:rsidRPr="0069144E">
        <w:t>FLORIDA.</w:t>
      </w:r>
    </w:p>
    <w:p w14:paraId="06783708" w14:textId="77777777" w:rsidR="009054ED" w:rsidRPr="0069144E" w:rsidRDefault="009054ED" w:rsidP="009054ED">
      <w:pPr>
        <w:jc w:val="both"/>
      </w:pPr>
    </w:p>
    <w:p w14:paraId="4CE3E01C" w14:textId="77777777" w:rsidR="009054ED" w:rsidRDefault="009054ED" w:rsidP="009054ED">
      <w:pPr>
        <w:jc w:val="both"/>
      </w:pPr>
      <w:r w:rsidRPr="0069144E">
        <w:t>SAID PARCEL I BEING MORE PARTICULARLY DESCRIBED AS FOLLOWS:</w:t>
      </w:r>
    </w:p>
    <w:p w14:paraId="5D196078" w14:textId="77777777" w:rsidR="009054ED" w:rsidRPr="0069144E" w:rsidRDefault="009054ED" w:rsidP="009054ED">
      <w:pPr>
        <w:jc w:val="both"/>
      </w:pPr>
    </w:p>
    <w:p w14:paraId="3196D4AE" w14:textId="77777777" w:rsidR="009054ED" w:rsidRDefault="009054ED" w:rsidP="009054ED">
      <w:pPr>
        <w:pStyle w:val="BodyText"/>
        <w:sectPr w:rsidR="009054ED" w:rsidSect="0068481F">
          <w:headerReference w:type="default" r:id="rId14"/>
          <w:pgSz w:w="12240" w:h="15840" w:code="1"/>
          <w:pgMar w:top="1584" w:right="1440" w:bottom="1440" w:left="1440" w:header="720" w:footer="720" w:gutter="0"/>
          <w:cols w:space="720"/>
          <w:formProt w:val="0"/>
          <w:docGrid w:linePitch="360"/>
        </w:sectPr>
      </w:pPr>
      <w:r w:rsidRPr="0069144E">
        <w:t>COMMENCE AT THE NORTHEAST CORNER OF SECTION 11, TOWNSHIP 42 SOUTH, RANGE 20 EAST; THENCE SOUTH 00</w:t>
      </w:r>
      <w:r>
        <w:t>°</w:t>
      </w:r>
      <w:r w:rsidRPr="0069144E">
        <w:t>11</w:t>
      </w:r>
      <w:r>
        <w:t>′</w:t>
      </w:r>
      <w:r w:rsidRPr="0069144E">
        <w:t>00</w:t>
      </w:r>
      <w:r>
        <w:t>″</w:t>
      </w:r>
      <w:r w:rsidRPr="0069144E">
        <w:t xml:space="preserve"> WEST ALONG THE EAST LINE OF SAID SECTION 11, A DISTANCE OF 1</w:t>
      </w:r>
      <w:r>
        <w:t>,</w:t>
      </w:r>
      <w:r w:rsidRPr="0069144E">
        <w:t>421.76' TO A POINT ON THE SOUTHEASTERLY BOUNDARY LINE OF PORTOFINO SUBDIVISION UNIT NO. 1, AS RECORDED IN PLAT BOOK 10, PAGES 2-A AND 2-8  OF THE PUBLIC RECORDS OF CHARLOTTE COUNTY, FLORIDA; THENCE SOUTH 41</w:t>
      </w:r>
      <w:r>
        <w:t>°</w:t>
      </w:r>
      <w:r w:rsidRPr="0069144E">
        <w:t>57</w:t>
      </w:r>
      <w:r>
        <w:t>′</w:t>
      </w:r>
      <w:r w:rsidRPr="0069144E">
        <w:t>00</w:t>
      </w:r>
      <w:r>
        <w:t>″</w:t>
      </w:r>
      <w:r w:rsidRPr="0069144E">
        <w:t xml:space="preserve"> WEST ALONG SAID SOUTHEASTERLY BOUNDARY A DISTANCE OF 386.28 FEET TO INTERSECT WITH THE NORTHEASTERLY RIGHT-OF-WAY LINE OF COUNTY ROAD 776 (100 FOOT RIGHT-OF-WAY); THENCE NORTH 48</w:t>
      </w:r>
      <w:r>
        <w:t>°</w:t>
      </w:r>
      <w:r w:rsidRPr="0069144E">
        <w:t>03</w:t>
      </w:r>
      <w:r>
        <w:t>′</w:t>
      </w:r>
      <w:r w:rsidRPr="0069144E">
        <w:t>00</w:t>
      </w:r>
      <w:r>
        <w:t>″</w:t>
      </w:r>
      <w:r w:rsidRPr="0069144E">
        <w:t xml:space="preserve"> WEST ALONG SAID NORTHEASTERLY RIGHT-OF-WAY, A DISTANCE OF 165.72 FEET; THENCE SOUTH 41</w:t>
      </w:r>
      <w:r>
        <w:t>°</w:t>
      </w:r>
      <w:r w:rsidRPr="0069144E">
        <w:t>57</w:t>
      </w:r>
      <w:r>
        <w:t>′</w:t>
      </w:r>
      <w:r w:rsidRPr="0069144E">
        <w:t>00</w:t>
      </w:r>
      <w:r>
        <w:t>″</w:t>
      </w:r>
      <w:r w:rsidRPr="0069144E">
        <w:t xml:space="preserve"> WEST, A DISTANCE OF 100.00 FEET TO INTERSECT WITH THE SOUTHWESTERLY RIGHT-OF-WAY LINE OF SAID COUNTY ROAD 776; THENCE NORTH 48</w:t>
      </w:r>
      <w:r>
        <w:t>°</w:t>
      </w:r>
      <w:r w:rsidRPr="0069144E">
        <w:t>03</w:t>
      </w:r>
      <w:r>
        <w:t>′</w:t>
      </w:r>
      <w:r w:rsidRPr="0069144E">
        <w:t>00</w:t>
      </w:r>
      <w:r>
        <w:t>″</w:t>
      </w:r>
      <w:r w:rsidRPr="0069144E">
        <w:t xml:space="preserve"> WEST ALONG SAID SOUTHWESTERLY RIGHT-OF-WAY LINE, A DISTANCE OF 100.00 FEET TO THE NORTHWESTERLY BOUNDARY LINE OF PARCEL I</w:t>
      </w:r>
      <w:r>
        <w:t>II</w:t>
      </w:r>
      <w:r w:rsidRPr="0069144E">
        <w:t xml:space="preserve"> PER SAID HIDEAWAY BAY BEACH CLUB; THENCE SOUTH</w:t>
      </w:r>
      <w:r>
        <w:t xml:space="preserve"> </w:t>
      </w:r>
      <w:r w:rsidRPr="0069144E">
        <w:t>41</w:t>
      </w:r>
      <w:r>
        <w:t>°</w:t>
      </w:r>
      <w:r w:rsidRPr="0069144E">
        <w:t>57</w:t>
      </w:r>
      <w:r>
        <w:t>′</w:t>
      </w:r>
      <w:r w:rsidRPr="0069144E">
        <w:t>00</w:t>
      </w:r>
      <w:r>
        <w:t>″</w:t>
      </w:r>
      <w:r w:rsidRPr="0069144E">
        <w:t xml:space="preserve"> WEST ALONG SAID NORTHWESTERLY BOUNDARY LINE A DISTANCE 533.97 FEET TO THE NORTHWESTERLY CORNER OF SAID PARCEL I</w:t>
      </w:r>
      <w:r>
        <w:t>II</w:t>
      </w:r>
      <w:r w:rsidRPr="0069144E">
        <w:t>; THENCE SOUTH 41</w:t>
      </w:r>
      <w:r>
        <w:t>°</w:t>
      </w:r>
      <w:r w:rsidRPr="0069144E">
        <w:t>09</w:t>
      </w:r>
      <w:r>
        <w:t>′</w:t>
      </w:r>
      <w:r w:rsidRPr="0069144E">
        <w:t>25</w:t>
      </w:r>
      <w:r>
        <w:t>″</w:t>
      </w:r>
      <w:r w:rsidRPr="0069144E">
        <w:t xml:space="preserve"> WEST ALONG A SURVEY TIE LINE, A DISTANCE OF 4996.6 FEET MORE OR LESS TO INTERSECT WITH THE SOUTHWESTERLY APPROXIMATE MEAN HIGH WATER LINE OF GASPARILLA SOUND AND THE NORTHERLY BOUNDARY LINE OF SAID PARCEL I, FOR THE POINT OF BEGINNING OF THIS DESCRIPTION; THENCE SOUTH 61</w:t>
      </w:r>
      <w:r>
        <w:t>°</w:t>
      </w:r>
      <w:r w:rsidRPr="0069144E">
        <w:t>40</w:t>
      </w:r>
      <w:r>
        <w:t>′</w:t>
      </w:r>
      <w:r w:rsidRPr="0069144E">
        <w:t>25</w:t>
      </w:r>
      <w:r>
        <w:t>″</w:t>
      </w:r>
      <w:r w:rsidRPr="0069144E">
        <w:t xml:space="preserve"> WEST ALONG THE NORTHWESTERLY BOUNDARY LINE OF SAID PARCEL I, A DISTANCE OF 1</w:t>
      </w:r>
      <w:r>
        <w:t>,</w:t>
      </w:r>
      <w:r w:rsidRPr="0069144E">
        <w:t>290 FEET MORE OR LESS TO INTERSECT WITH THE APPROXIMATE MEAN HIGH WATER LINE OF THE GULF OF MEXICO; THENCE</w:t>
      </w:r>
      <w:r>
        <w:t xml:space="preserve"> </w:t>
      </w:r>
      <w:r w:rsidRPr="0069144E">
        <w:t>IN A SOUTHEASTERLY DIRECTION ALONG SAID APPROXIMATE MEAN HIGH WATER LINE, A DISTANCE OF 541 FEET MORE LESS TO INTERSECT WITH THE SOUTHEASTERLY BOUNDARY OF SAID PARCEL I</w:t>
      </w:r>
      <w:r>
        <w:t>,</w:t>
      </w:r>
      <w:r w:rsidRPr="0069144E">
        <w:t xml:space="preserve"> SAID SOUTHEASTERLY BOUNDARY ALSO BEING 540.00 FEET SOUTH OF AT RIGHT ANGLE TO THE SAID NORTHWESTERLY BOUNDARY; THENCE NORTH 61</w:t>
      </w:r>
      <w:r>
        <w:t>°</w:t>
      </w:r>
      <w:r w:rsidRPr="0069144E">
        <w:t>40</w:t>
      </w:r>
      <w:r>
        <w:t>′</w:t>
      </w:r>
      <w:r w:rsidRPr="0069144E">
        <w:t>25</w:t>
      </w:r>
      <w:r>
        <w:t>″</w:t>
      </w:r>
      <w:r w:rsidRPr="0069144E">
        <w:t xml:space="preserve"> EAST ALONG SAID SOUTHEASTERLY BOUNDARY A DISTANCE OF 1</w:t>
      </w:r>
      <w:r>
        <w:t>,</w:t>
      </w:r>
      <w:r w:rsidRPr="0069144E">
        <w:t>683 FEET MORE OR LESS TO INTERSECT WITH THE SAID SOUTHWESTERLY APPROXIMATE MEAN HIGH WATER LINE OF GASPARILLA SOUND; THENCE IN A NORTHWESTERLY DIRECTION ALONG SAID MEAN HIGH WATER LINE, A DISTANCE OF 724 FEET MORE OR LESS TO THE POINT OF BEGINNING.</w:t>
      </w:r>
    </w:p>
    <w:p w14:paraId="0269DF12" w14:textId="77777777" w:rsidR="009054ED" w:rsidRDefault="009054ED" w:rsidP="009054ED">
      <w:pPr>
        <w:spacing w:after="200" w:line="276" w:lineRule="auto"/>
        <w:jc w:val="center"/>
        <w:rPr>
          <w:b/>
        </w:rPr>
      </w:pPr>
      <w:r w:rsidRPr="00702DA8">
        <w:rPr>
          <w:b/>
        </w:rPr>
        <w:t>FLORIDA PUBLIC SERVICE COMMISSION</w:t>
      </w:r>
    </w:p>
    <w:p w14:paraId="329F706F" w14:textId="77777777" w:rsidR="009054ED" w:rsidRPr="00702DA8" w:rsidRDefault="009054ED" w:rsidP="009054ED">
      <w:pPr>
        <w:jc w:val="center"/>
        <w:rPr>
          <w:b/>
        </w:rPr>
      </w:pPr>
      <w:proofErr w:type="gramStart"/>
      <w:r w:rsidRPr="00702DA8">
        <w:rPr>
          <w:b/>
        </w:rPr>
        <w:t>authorizes</w:t>
      </w:r>
      <w:proofErr w:type="gramEnd"/>
    </w:p>
    <w:p w14:paraId="29A92353" w14:textId="77777777" w:rsidR="009054ED" w:rsidRPr="00702DA8" w:rsidRDefault="009054ED" w:rsidP="009054ED">
      <w:pPr>
        <w:jc w:val="center"/>
        <w:rPr>
          <w:b/>
        </w:rPr>
      </w:pPr>
      <w:r>
        <w:rPr>
          <w:b/>
        </w:rPr>
        <w:t>Environment</w:t>
      </w:r>
      <w:r w:rsidRPr="00702DA8">
        <w:rPr>
          <w:b/>
        </w:rPr>
        <w:t xml:space="preserve">al Utilities, </w:t>
      </w:r>
      <w:r>
        <w:rPr>
          <w:b/>
        </w:rPr>
        <w:t>LLC</w:t>
      </w:r>
    </w:p>
    <w:p w14:paraId="58BCFF31" w14:textId="77777777" w:rsidR="009054ED" w:rsidRPr="00702DA8" w:rsidRDefault="009054ED" w:rsidP="009054ED">
      <w:pPr>
        <w:jc w:val="center"/>
        <w:rPr>
          <w:b/>
        </w:rPr>
      </w:pPr>
      <w:proofErr w:type="gramStart"/>
      <w:r w:rsidRPr="00702DA8">
        <w:rPr>
          <w:b/>
        </w:rPr>
        <w:t>pursuant</w:t>
      </w:r>
      <w:proofErr w:type="gramEnd"/>
      <w:r w:rsidRPr="00702DA8">
        <w:rPr>
          <w:b/>
        </w:rPr>
        <w:t xml:space="preserve"> to </w:t>
      </w:r>
    </w:p>
    <w:p w14:paraId="6596E50C" w14:textId="77777777" w:rsidR="009054ED" w:rsidRPr="001233D6" w:rsidRDefault="009054ED" w:rsidP="009054ED">
      <w:pPr>
        <w:jc w:val="center"/>
        <w:rPr>
          <w:b/>
        </w:rPr>
      </w:pPr>
      <w:r w:rsidRPr="00702DA8">
        <w:rPr>
          <w:b/>
        </w:rPr>
        <w:t>Certificate Numbe</w:t>
      </w:r>
      <w:r w:rsidRPr="001233D6">
        <w:rPr>
          <w:b/>
        </w:rPr>
        <w:t>r 585-S</w:t>
      </w:r>
    </w:p>
    <w:p w14:paraId="68DDECED" w14:textId="77777777" w:rsidR="009054ED" w:rsidRPr="00702DA8" w:rsidRDefault="009054ED" w:rsidP="009054ED">
      <w:pPr>
        <w:jc w:val="both"/>
      </w:pPr>
    </w:p>
    <w:p w14:paraId="24D72BB2" w14:textId="39496E4B" w:rsidR="009054ED" w:rsidRPr="00702DA8" w:rsidRDefault="009054ED" w:rsidP="009054ED">
      <w:pPr>
        <w:jc w:val="both"/>
      </w:pPr>
      <w:r w:rsidRPr="00702DA8">
        <w:t xml:space="preserve">to provide </w:t>
      </w:r>
      <w:r>
        <w:t>waste</w:t>
      </w:r>
      <w:r w:rsidRPr="00702DA8">
        <w:t xml:space="preserve">water service in </w:t>
      </w:r>
      <w:r>
        <w:rPr>
          <w:u w:val="single"/>
        </w:rPr>
        <w:t>Charlotte</w:t>
      </w:r>
      <w:r w:rsidRPr="00702DA8">
        <w:rPr>
          <w:u w:val="single"/>
        </w:rPr>
        <w:t xml:space="preserve"> Count</w:t>
      </w:r>
      <w:r>
        <w:rPr>
          <w:u w:val="single"/>
        </w:rPr>
        <w:t>y</w:t>
      </w:r>
      <w:r w:rsidRPr="00702DA8">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w:t>
      </w:r>
      <w:r w:rsidR="00913EC8">
        <w:t>ed by Order of this Commission.</w:t>
      </w:r>
    </w:p>
    <w:p w14:paraId="6DB41F35" w14:textId="77777777" w:rsidR="009054ED" w:rsidRPr="00702DA8" w:rsidRDefault="009054ED" w:rsidP="009054ED"/>
    <w:p w14:paraId="321E2266" w14:textId="77777777" w:rsidR="009054ED" w:rsidRPr="00702DA8" w:rsidRDefault="009054ED" w:rsidP="009054ED">
      <w:r w:rsidRPr="00702DA8">
        <w:rPr>
          <w:u w:val="single"/>
        </w:rPr>
        <w:t>Order Number</w:t>
      </w:r>
      <w:r w:rsidRPr="00702DA8">
        <w:tab/>
      </w:r>
      <w:r w:rsidRPr="00702DA8">
        <w:tab/>
      </w:r>
      <w:r w:rsidRPr="00702DA8">
        <w:tab/>
      </w:r>
      <w:r w:rsidRPr="00702DA8">
        <w:rPr>
          <w:u w:val="single"/>
        </w:rPr>
        <w:t>Date Issued</w:t>
      </w:r>
      <w:r w:rsidRPr="00702DA8">
        <w:tab/>
      </w:r>
      <w:r w:rsidRPr="00702DA8">
        <w:rPr>
          <w:u w:val="single"/>
        </w:rPr>
        <w:t>Docket Number</w:t>
      </w:r>
      <w:r w:rsidRPr="00702DA8">
        <w:tab/>
      </w:r>
      <w:r w:rsidRPr="00702DA8">
        <w:rPr>
          <w:u w:val="single"/>
        </w:rPr>
        <w:t>Filing Type</w:t>
      </w:r>
    </w:p>
    <w:p w14:paraId="491A7D7E" w14:textId="77777777" w:rsidR="009054ED" w:rsidRPr="00702DA8" w:rsidRDefault="009054ED" w:rsidP="009054ED"/>
    <w:p w14:paraId="184D2DD5" w14:textId="77777777" w:rsidR="009054ED" w:rsidRPr="00702DA8" w:rsidRDefault="009054ED" w:rsidP="009054ED">
      <w:pPr>
        <w:spacing w:before="60"/>
      </w:pPr>
      <w:r w:rsidRPr="00702DA8">
        <w:t>*</w:t>
      </w:r>
      <w:r w:rsidRPr="00702DA8">
        <w:tab/>
      </w:r>
      <w:r w:rsidRPr="00702DA8">
        <w:tab/>
      </w:r>
      <w:r w:rsidRPr="00702DA8">
        <w:tab/>
      </w:r>
      <w:r w:rsidRPr="00702DA8">
        <w:tab/>
        <w:t>*</w:t>
      </w:r>
      <w:r w:rsidRPr="00702DA8">
        <w:tab/>
      </w:r>
      <w:r w:rsidRPr="00702DA8">
        <w:tab/>
        <w:t>20</w:t>
      </w:r>
      <w:r>
        <w:t>24</w:t>
      </w:r>
      <w:r w:rsidRPr="00702DA8">
        <w:t>0</w:t>
      </w:r>
      <w:r>
        <w:t>032</w:t>
      </w:r>
      <w:r w:rsidRPr="00702DA8">
        <w:t>-</w:t>
      </w:r>
      <w:r>
        <w:t>SU</w:t>
      </w:r>
      <w:r w:rsidRPr="00702DA8">
        <w:tab/>
      </w:r>
      <w:r w:rsidRPr="00702DA8">
        <w:tab/>
        <w:t>Original Certificate</w:t>
      </w:r>
    </w:p>
    <w:p w14:paraId="63E3FCCC" w14:textId="77777777" w:rsidR="009054ED" w:rsidRPr="00702DA8" w:rsidRDefault="009054ED" w:rsidP="009054ED">
      <w:pPr>
        <w:rPr>
          <w:b/>
        </w:rPr>
      </w:pPr>
    </w:p>
    <w:p w14:paraId="3C6615B2" w14:textId="77777777" w:rsidR="009054ED" w:rsidRPr="00702DA8" w:rsidRDefault="009054ED" w:rsidP="009054ED">
      <w:pPr>
        <w:rPr>
          <w:b/>
        </w:rPr>
      </w:pPr>
    </w:p>
    <w:p w14:paraId="335B239C" w14:textId="77777777" w:rsidR="009054ED" w:rsidRPr="00702DA8" w:rsidRDefault="009054ED" w:rsidP="009054ED">
      <w:pPr>
        <w:spacing w:after="240"/>
        <w:jc w:val="both"/>
        <w:rPr>
          <w:b/>
        </w:rPr>
      </w:pPr>
      <w:r w:rsidRPr="00702DA8">
        <w:rPr>
          <w:b/>
        </w:rPr>
        <w:t>*Order Number and date to be provided at time of issuance</w:t>
      </w:r>
    </w:p>
    <w:p w14:paraId="4A71D842" w14:textId="77777777" w:rsidR="009054ED" w:rsidRPr="00702DA8" w:rsidRDefault="009054ED" w:rsidP="009054ED">
      <w:pPr>
        <w:spacing w:after="240"/>
        <w:jc w:val="both"/>
        <w:rPr>
          <w:b/>
        </w:rPr>
      </w:pPr>
    </w:p>
    <w:p w14:paraId="0C824BD9" w14:textId="77777777" w:rsidR="009054ED" w:rsidRDefault="009054ED" w:rsidP="009054ED"/>
    <w:p w14:paraId="7DA47E93" w14:textId="77777777" w:rsidR="005D7828" w:rsidRDefault="005D7828" w:rsidP="009054ED">
      <w:pPr>
        <w:pStyle w:val="BodyText"/>
        <w:sectPr w:rsidR="005D7828">
          <w:pgSz w:w="12240" w:h="15840"/>
          <w:pgMar w:top="1440" w:right="1440" w:bottom="1440" w:left="1440" w:header="720" w:footer="720" w:gutter="0"/>
          <w:cols w:space="720"/>
          <w:docGrid w:linePitch="360"/>
        </w:sectPr>
      </w:pPr>
    </w:p>
    <w:p w14:paraId="2A98B6D4" w14:textId="77777777" w:rsidR="005D7828" w:rsidRPr="00242441" w:rsidRDefault="005D7828" w:rsidP="005D7828">
      <w:pPr>
        <w:pStyle w:val="BodyText"/>
      </w:pPr>
    </w:p>
    <w:tbl>
      <w:tblPr>
        <w:tblW w:w="9272" w:type="dxa"/>
        <w:jc w:val="center"/>
        <w:tblLook w:val="04A0" w:firstRow="1" w:lastRow="0" w:firstColumn="1" w:lastColumn="0" w:noHBand="0" w:noVBand="1"/>
      </w:tblPr>
      <w:tblGrid>
        <w:gridCol w:w="326"/>
        <w:gridCol w:w="4308"/>
        <w:gridCol w:w="1596"/>
        <w:gridCol w:w="1457"/>
        <w:gridCol w:w="1711"/>
      </w:tblGrid>
      <w:tr w:rsidR="005D7828" w14:paraId="0EFA1746" w14:textId="77777777" w:rsidTr="005D7828">
        <w:trPr>
          <w:trHeight w:val="300"/>
          <w:jc w:val="center"/>
        </w:trPr>
        <w:tc>
          <w:tcPr>
            <w:tcW w:w="4508" w:type="dxa"/>
            <w:gridSpan w:val="2"/>
            <w:tcBorders>
              <w:top w:val="single" w:sz="4" w:space="0" w:color="auto"/>
              <w:left w:val="single" w:sz="4" w:space="0" w:color="auto"/>
              <w:bottom w:val="nil"/>
              <w:right w:val="nil"/>
            </w:tcBorders>
            <w:shd w:val="clear" w:color="000000" w:fill="FFFFFF"/>
            <w:noWrap/>
            <w:vAlign w:val="bottom"/>
            <w:hideMark/>
          </w:tcPr>
          <w:p w14:paraId="3FAAAC5F" w14:textId="77777777" w:rsidR="005D7828" w:rsidRDefault="005D7828" w:rsidP="005D7828">
            <w:pPr>
              <w:rPr>
                <w:rFonts w:ascii="Arial" w:hAnsi="Arial" w:cs="Arial"/>
                <w:b/>
                <w:bCs/>
              </w:rPr>
            </w:pPr>
            <w:r>
              <w:rPr>
                <w:rFonts w:ascii="Arial" w:hAnsi="Arial" w:cs="Arial"/>
                <w:b/>
                <w:bCs/>
              </w:rPr>
              <w:t>Environmental Utilities, LLC</w:t>
            </w:r>
          </w:p>
        </w:tc>
        <w:tc>
          <w:tcPr>
            <w:tcW w:w="1596" w:type="dxa"/>
            <w:tcBorders>
              <w:top w:val="single" w:sz="4" w:space="0" w:color="auto"/>
              <w:left w:val="nil"/>
              <w:bottom w:val="nil"/>
              <w:right w:val="nil"/>
            </w:tcBorders>
            <w:shd w:val="clear" w:color="000000" w:fill="FFFFFF"/>
            <w:noWrap/>
            <w:vAlign w:val="bottom"/>
            <w:hideMark/>
          </w:tcPr>
          <w:p w14:paraId="11A38BAF" w14:textId="77777777" w:rsidR="005D7828" w:rsidRDefault="005D7828" w:rsidP="005D7828">
            <w:pPr>
              <w:rPr>
                <w:rFonts w:ascii="Arial" w:hAnsi="Arial" w:cs="Arial"/>
                <w:b/>
                <w:bCs/>
                <w:color w:val="000000"/>
              </w:rPr>
            </w:pPr>
            <w:r>
              <w:rPr>
                <w:rFonts w:ascii="Arial" w:hAnsi="Arial" w:cs="Arial"/>
                <w:b/>
                <w:bCs/>
                <w:color w:val="000000"/>
              </w:rPr>
              <w:t> </w:t>
            </w:r>
          </w:p>
        </w:tc>
        <w:tc>
          <w:tcPr>
            <w:tcW w:w="3168" w:type="dxa"/>
            <w:gridSpan w:val="2"/>
            <w:tcBorders>
              <w:top w:val="single" w:sz="4" w:space="0" w:color="auto"/>
              <w:left w:val="nil"/>
              <w:bottom w:val="nil"/>
              <w:right w:val="single" w:sz="4" w:space="0" w:color="000000"/>
            </w:tcBorders>
            <w:shd w:val="clear" w:color="000000" w:fill="FFFFFF"/>
            <w:noWrap/>
            <w:vAlign w:val="bottom"/>
            <w:hideMark/>
          </w:tcPr>
          <w:p w14:paraId="4A3283E0" w14:textId="77777777" w:rsidR="005D7828" w:rsidRDefault="005D7828" w:rsidP="005D7828">
            <w:pPr>
              <w:jc w:val="right"/>
              <w:rPr>
                <w:rFonts w:ascii="Arial" w:hAnsi="Arial" w:cs="Arial"/>
                <w:b/>
                <w:bCs/>
              </w:rPr>
            </w:pPr>
            <w:r>
              <w:rPr>
                <w:rFonts w:ascii="Arial" w:hAnsi="Arial" w:cs="Arial"/>
                <w:b/>
                <w:bCs/>
              </w:rPr>
              <w:t>Schedule No. 1-A</w:t>
            </w:r>
          </w:p>
        </w:tc>
      </w:tr>
      <w:tr w:rsidR="005D7828" w14:paraId="4240A55D" w14:textId="77777777" w:rsidTr="005D7828">
        <w:trPr>
          <w:trHeight w:val="300"/>
          <w:jc w:val="center"/>
        </w:trPr>
        <w:tc>
          <w:tcPr>
            <w:tcW w:w="4508" w:type="dxa"/>
            <w:gridSpan w:val="2"/>
            <w:tcBorders>
              <w:top w:val="nil"/>
              <w:left w:val="single" w:sz="4" w:space="0" w:color="auto"/>
              <w:bottom w:val="nil"/>
              <w:right w:val="nil"/>
            </w:tcBorders>
            <w:shd w:val="clear" w:color="000000" w:fill="FFFFFF"/>
            <w:noWrap/>
            <w:vAlign w:val="bottom"/>
            <w:hideMark/>
          </w:tcPr>
          <w:p w14:paraId="2B5B8550" w14:textId="77777777" w:rsidR="005D7828" w:rsidRDefault="005D7828" w:rsidP="005D7828">
            <w:pPr>
              <w:rPr>
                <w:rFonts w:ascii="Arial" w:hAnsi="Arial" w:cs="Arial"/>
                <w:b/>
                <w:bCs/>
              </w:rPr>
            </w:pPr>
            <w:r>
              <w:rPr>
                <w:rFonts w:ascii="Arial" w:hAnsi="Arial" w:cs="Arial"/>
                <w:b/>
                <w:bCs/>
              </w:rPr>
              <w:t>Schedule of Wastewater Rate Base</w:t>
            </w:r>
          </w:p>
        </w:tc>
        <w:tc>
          <w:tcPr>
            <w:tcW w:w="1596" w:type="dxa"/>
            <w:tcBorders>
              <w:top w:val="nil"/>
              <w:left w:val="nil"/>
              <w:bottom w:val="nil"/>
              <w:right w:val="nil"/>
            </w:tcBorders>
            <w:shd w:val="clear" w:color="000000" w:fill="FFFFFF"/>
            <w:noWrap/>
            <w:vAlign w:val="bottom"/>
            <w:hideMark/>
          </w:tcPr>
          <w:p w14:paraId="71162055" w14:textId="77777777" w:rsidR="005D7828" w:rsidRDefault="005D7828" w:rsidP="005D7828">
            <w:pPr>
              <w:rPr>
                <w:rFonts w:ascii="Arial" w:hAnsi="Arial" w:cs="Arial"/>
                <w:b/>
                <w:bCs/>
                <w:color w:val="000000"/>
              </w:rPr>
            </w:pPr>
            <w:r>
              <w:rPr>
                <w:rFonts w:ascii="Arial" w:hAnsi="Arial" w:cs="Arial"/>
                <w:b/>
                <w:bCs/>
                <w:color w:val="000000"/>
              </w:rPr>
              <w:t> </w:t>
            </w:r>
          </w:p>
        </w:tc>
        <w:tc>
          <w:tcPr>
            <w:tcW w:w="3168" w:type="dxa"/>
            <w:gridSpan w:val="2"/>
            <w:tcBorders>
              <w:top w:val="nil"/>
              <w:left w:val="nil"/>
              <w:bottom w:val="nil"/>
              <w:right w:val="single" w:sz="4" w:space="0" w:color="000000"/>
            </w:tcBorders>
            <w:shd w:val="clear" w:color="000000" w:fill="FFFFFF"/>
            <w:noWrap/>
            <w:vAlign w:val="bottom"/>
            <w:hideMark/>
          </w:tcPr>
          <w:p w14:paraId="78E347A6" w14:textId="77777777" w:rsidR="005D7828" w:rsidRDefault="005D7828" w:rsidP="005D7828">
            <w:pPr>
              <w:jc w:val="right"/>
              <w:rPr>
                <w:rFonts w:ascii="Arial" w:hAnsi="Arial" w:cs="Arial"/>
                <w:b/>
                <w:bCs/>
              </w:rPr>
            </w:pPr>
            <w:r>
              <w:rPr>
                <w:rFonts w:ascii="Arial" w:hAnsi="Arial" w:cs="Arial"/>
                <w:b/>
                <w:bCs/>
              </w:rPr>
              <w:t>20240032-SU</w:t>
            </w:r>
          </w:p>
        </w:tc>
      </w:tr>
      <w:tr w:rsidR="005D7828" w14:paraId="1B699D8D" w14:textId="77777777" w:rsidTr="005D7828">
        <w:trPr>
          <w:trHeight w:val="300"/>
          <w:jc w:val="center"/>
        </w:trPr>
        <w:tc>
          <w:tcPr>
            <w:tcW w:w="4508" w:type="dxa"/>
            <w:gridSpan w:val="2"/>
            <w:tcBorders>
              <w:top w:val="nil"/>
              <w:left w:val="single" w:sz="4" w:space="0" w:color="auto"/>
              <w:bottom w:val="single" w:sz="4" w:space="0" w:color="auto"/>
              <w:right w:val="nil"/>
            </w:tcBorders>
            <w:shd w:val="clear" w:color="000000" w:fill="FFFFFF"/>
            <w:noWrap/>
            <w:vAlign w:val="bottom"/>
            <w:hideMark/>
          </w:tcPr>
          <w:p w14:paraId="4514B694" w14:textId="77777777" w:rsidR="005D7828" w:rsidRDefault="005D7828" w:rsidP="005D7828">
            <w:pPr>
              <w:rPr>
                <w:rFonts w:ascii="Arial" w:hAnsi="Arial" w:cs="Arial"/>
                <w:b/>
                <w:bCs/>
              </w:rPr>
            </w:pPr>
            <w:r>
              <w:rPr>
                <w:rFonts w:ascii="Arial" w:hAnsi="Arial" w:cs="Arial"/>
                <w:b/>
                <w:bCs/>
              </w:rPr>
              <w:t>80% Design Capacity</w:t>
            </w:r>
          </w:p>
        </w:tc>
        <w:tc>
          <w:tcPr>
            <w:tcW w:w="1596" w:type="dxa"/>
            <w:tcBorders>
              <w:top w:val="nil"/>
              <w:left w:val="nil"/>
              <w:bottom w:val="nil"/>
              <w:right w:val="nil"/>
            </w:tcBorders>
            <w:shd w:val="clear" w:color="000000" w:fill="FFFFFF"/>
            <w:noWrap/>
            <w:vAlign w:val="bottom"/>
            <w:hideMark/>
          </w:tcPr>
          <w:p w14:paraId="46AD24C8" w14:textId="77777777" w:rsidR="005D7828" w:rsidRDefault="005D7828" w:rsidP="005D7828">
            <w:pPr>
              <w:rPr>
                <w:rFonts w:ascii="Arial" w:hAnsi="Arial" w:cs="Arial"/>
                <w:b/>
                <w:bCs/>
                <w:color w:val="000000"/>
              </w:rPr>
            </w:pPr>
            <w:r>
              <w:rPr>
                <w:rFonts w:ascii="Arial" w:hAnsi="Arial" w:cs="Arial"/>
                <w:b/>
                <w:bCs/>
                <w:color w:val="000000"/>
              </w:rPr>
              <w:t> </w:t>
            </w:r>
          </w:p>
        </w:tc>
        <w:tc>
          <w:tcPr>
            <w:tcW w:w="1457" w:type="dxa"/>
            <w:tcBorders>
              <w:top w:val="nil"/>
              <w:left w:val="nil"/>
              <w:bottom w:val="nil"/>
              <w:right w:val="nil"/>
            </w:tcBorders>
            <w:shd w:val="clear" w:color="000000" w:fill="FFFFFF"/>
            <w:noWrap/>
            <w:vAlign w:val="bottom"/>
            <w:hideMark/>
          </w:tcPr>
          <w:p w14:paraId="7B68DE66" w14:textId="77777777" w:rsidR="005D7828" w:rsidRDefault="005D7828" w:rsidP="005D7828">
            <w:pPr>
              <w:rPr>
                <w:rFonts w:ascii="Arial" w:hAnsi="Arial" w:cs="Arial"/>
                <w:b/>
                <w:bCs/>
                <w:color w:val="000000"/>
              </w:rPr>
            </w:pPr>
            <w:r>
              <w:rPr>
                <w:rFonts w:ascii="Arial" w:hAnsi="Arial" w:cs="Arial"/>
                <w:b/>
                <w:bCs/>
                <w:color w:val="000000"/>
              </w:rPr>
              <w:t> </w:t>
            </w:r>
          </w:p>
        </w:tc>
        <w:tc>
          <w:tcPr>
            <w:tcW w:w="1711" w:type="dxa"/>
            <w:tcBorders>
              <w:top w:val="nil"/>
              <w:left w:val="nil"/>
              <w:bottom w:val="nil"/>
              <w:right w:val="single" w:sz="4" w:space="0" w:color="auto"/>
            </w:tcBorders>
            <w:shd w:val="clear" w:color="000000" w:fill="FFFFFF"/>
            <w:noWrap/>
            <w:vAlign w:val="bottom"/>
            <w:hideMark/>
          </w:tcPr>
          <w:p w14:paraId="0128F5C8" w14:textId="77777777" w:rsidR="005D7828" w:rsidRDefault="005D7828" w:rsidP="005D7828">
            <w:pPr>
              <w:rPr>
                <w:rFonts w:ascii="Arial" w:hAnsi="Arial" w:cs="Arial"/>
                <w:b/>
                <w:bCs/>
              </w:rPr>
            </w:pPr>
            <w:r>
              <w:rPr>
                <w:rFonts w:ascii="Arial" w:hAnsi="Arial" w:cs="Arial"/>
                <w:b/>
                <w:bCs/>
              </w:rPr>
              <w:t> </w:t>
            </w:r>
          </w:p>
        </w:tc>
      </w:tr>
      <w:tr w:rsidR="005D7828" w14:paraId="7AB5BBAE" w14:textId="77777777" w:rsidTr="005D7828">
        <w:trPr>
          <w:trHeight w:val="300"/>
          <w:jc w:val="center"/>
        </w:trPr>
        <w:tc>
          <w:tcPr>
            <w:tcW w:w="200" w:type="dxa"/>
            <w:tcBorders>
              <w:top w:val="nil"/>
              <w:left w:val="single" w:sz="4" w:space="0" w:color="auto"/>
              <w:bottom w:val="nil"/>
              <w:right w:val="nil"/>
            </w:tcBorders>
            <w:shd w:val="clear" w:color="000000" w:fill="FFFFFF"/>
            <w:noWrap/>
            <w:vAlign w:val="bottom"/>
            <w:hideMark/>
          </w:tcPr>
          <w:p w14:paraId="3DCDDDED" w14:textId="77777777" w:rsidR="005D7828" w:rsidRDefault="005D7828" w:rsidP="005D7828">
            <w:pPr>
              <w:rPr>
                <w:sz w:val="22"/>
                <w:szCs w:val="22"/>
              </w:rPr>
            </w:pPr>
            <w:r>
              <w:rPr>
                <w:sz w:val="22"/>
                <w:szCs w:val="22"/>
              </w:rPr>
              <w:t> </w:t>
            </w:r>
          </w:p>
        </w:tc>
        <w:tc>
          <w:tcPr>
            <w:tcW w:w="4308" w:type="dxa"/>
            <w:vMerge w:val="restart"/>
            <w:tcBorders>
              <w:top w:val="nil"/>
              <w:left w:val="nil"/>
              <w:bottom w:val="single" w:sz="4" w:space="0" w:color="000000"/>
              <w:right w:val="nil"/>
            </w:tcBorders>
            <w:shd w:val="clear" w:color="000000" w:fill="FFFFFF"/>
            <w:noWrap/>
            <w:vAlign w:val="center"/>
            <w:hideMark/>
          </w:tcPr>
          <w:p w14:paraId="1DC798D1" w14:textId="77777777" w:rsidR="005D7828" w:rsidRDefault="005D7828" w:rsidP="005D7828">
            <w:pPr>
              <w:jc w:val="center"/>
              <w:rPr>
                <w:b/>
                <w:bCs/>
                <w:sz w:val="22"/>
                <w:szCs w:val="22"/>
              </w:rPr>
            </w:pPr>
            <w:r>
              <w:rPr>
                <w:b/>
                <w:bCs/>
                <w:sz w:val="22"/>
                <w:szCs w:val="22"/>
              </w:rPr>
              <w:t>Description</w:t>
            </w:r>
          </w:p>
        </w:tc>
        <w:tc>
          <w:tcPr>
            <w:tcW w:w="1596" w:type="dxa"/>
            <w:tcBorders>
              <w:top w:val="single" w:sz="4" w:space="0" w:color="auto"/>
              <w:left w:val="nil"/>
              <w:bottom w:val="nil"/>
              <w:right w:val="nil"/>
            </w:tcBorders>
            <w:shd w:val="clear" w:color="000000" w:fill="FFFFFF"/>
            <w:noWrap/>
            <w:vAlign w:val="bottom"/>
            <w:hideMark/>
          </w:tcPr>
          <w:p w14:paraId="0D3E3F47" w14:textId="77777777" w:rsidR="005D7828" w:rsidRDefault="005D7828" w:rsidP="005D7828">
            <w:pPr>
              <w:jc w:val="center"/>
              <w:rPr>
                <w:b/>
                <w:bCs/>
                <w:sz w:val="22"/>
                <w:szCs w:val="22"/>
              </w:rPr>
            </w:pPr>
            <w:r>
              <w:rPr>
                <w:b/>
                <w:bCs/>
                <w:sz w:val="22"/>
                <w:szCs w:val="22"/>
              </w:rPr>
              <w:t>Test Year</w:t>
            </w:r>
          </w:p>
        </w:tc>
        <w:tc>
          <w:tcPr>
            <w:tcW w:w="1457" w:type="dxa"/>
            <w:tcBorders>
              <w:top w:val="single" w:sz="4" w:space="0" w:color="auto"/>
              <w:left w:val="nil"/>
              <w:bottom w:val="nil"/>
              <w:right w:val="nil"/>
            </w:tcBorders>
            <w:shd w:val="clear" w:color="000000" w:fill="FFFFFF"/>
            <w:noWrap/>
            <w:vAlign w:val="bottom"/>
            <w:hideMark/>
          </w:tcPr>
          <w:p w14:paraId="280E46DC" w14:textId="77777777" w:rsidR="005D7828" w:rsidRDefault="005D7828" w:rsidP="005D7828">
            <w:pPr>
              <w:jc w:val="center"/>
              <w:rPr>
                <w:b/>
                <w:bCs/>
                <w:sz w:val="22"/>
                <w:szCs w:val="22"/>
              </w:rPr>
            </w:pPr>
            <w:r>
              <w:rPr>
                <w:b/>
                <w:bCs/>
                <w:sz w:val="22"/>
                <w:szCs w:val="22"/>
              </w:rPr>
              <w:t>Staff</w:t>
            </w:r>
          </w:p>
        </w:tc>
        <w:tc>
          <w:tcPr>
            <w:tcW w:w="1711" w:type="dxa"/>
            <w:tcBorders>
              <w:top w:val="single" w:sz="4" w:space="0" w:color="auto"/>
              <w:left w:val="nil"/>
              <w:bottom w:val="nil"/>
              <w:right w:val="single" w:sz="4" w:space="0" w:color="auto"/>
            </w:tcBorders>
            <w:shd w:val="clear" w:color="000000" w:fill="FFFFFF"/>
            <w:noWrap/>
            <w:vAlign w:val="bottom"/>
            <w:hideMark/>
          </w:tcPr>
          <w:p w14:paraId="46C12503" w14:textId="77777777" w:rsidR="005D7828" w:rsidRDefault="005D7828" w:rsidP="005D7828">
            <w:pPr>
              <w:jc w:val="center"/>
              <w:rPr>
                <w:b/>
                <w:bCs/>
                <w:sz w:val="22"/>
                <w:szCs w:val="22"/>
              </w:rPr>
            </w:pPr>
            <w:r>
              <w:rPr>
                <w:b/>
                <w:bCs/>
                <w:sz w:val="22"/>
                <w:szCs w:val="22"/>
              </w:rPr>
              <w:t>Staff</w:t>
            </w:r>
          </w:p>
        </w:tc>
      </w:tr>
      <w:tr w:rsidR="005D7828" w14:paraId="3A1B6FDB" w14:textId="77777777" w:rsidTr="005D7828">
        <w:trPr>
          <w:trHeight w:val="300"/>
          <w:jc w:val="center"/>
        </w:trPr>
        <w:tc>
          <w:tcPr>
            <w:tcW w:w="200" w:type="dxa"/>
            <w:tcBorders>
              <w:top w:val="nil"/>
              <w:left w:val="single" w:sz="4" w:space="0" w:color="auto"/>
              <w:bottom w:val="nil"/>
              <w:right w:val="nil"/>
            </w:tcBorders>
            <w:shd w:val="clear" w:color="000000" w:fill="FFFFFF"/>
            <w:noWrap/>
            <w:vAlign w:val="bottom"/>
            <w:hideMark/>
          </w:tcPr>
          <w:p w14:paraId="28EDE904" w14:textId="77777777" w:rsidR="005D7828" w:rsidRDefault="005D7828" w:rsidP="005D7828">
            <w:pPr>
              <w:rPr>
                <w:sz w:val="22"/>
                <w:szCs w:val="22"/>
              </w:rPr>
            </w:pPr>
            <w:r>
              <w:rPr>
                <w:sz w:val="22"/>
                <w:szCs w:val="22"/>
              </w:rPr>
              <w:t> </w:t>
            </w:r>
          </w:p>
        </w:tc>
        <w:tc>
          <w:tcPr>
            <w:tcW w:w="4308" w:type="dxa"/>
            <w:vMerge/>
            <w:tcBorders>
              <w:top w:val="nil"/>
              <w:left w:val="nil"/>
              <w:bottom w:val="single" w:sz="4" w:space="0" w:color="000000"/>
              <w:right w:val="nil"/>
            </w:tcBorders>
            <w:vAlign w:val="center"/>
            <w:hideMark/>
          </w:tcPr>
          <w:p w14:paraId="4A10FA05" w14:textId="77777777" w:rsidR="005D7828" w:rsidRDefault="005D7828" w:rsidP="005D7828">
            <w:pPr>
              <w:rPr>
                <w:b/>
                <w:bCs/>
                <w:sz w:val="22"/>
                <w:szCs w:val="22"/>
              </w:rPr>
            </w:pPr>
          </w:p>
        </w:tc>
        <w:tc>
          <w:tcPr>
            <w:tcW w:w="1596" w:type="dxa"/>
            <w:tcBorders>
              <w:top w:val="nil"/>
              <w:left w:val="nil"/>
              <w:bottom w:val="nil"/>
              <w:right w:val="nil"/>
            </w:tcBorders>
            <w:shd w:val="clear" w:color="000000" w:fill="FFFFFF"/>
            <w:noWrap/>
            <w:vAlign w:val="bottom"/>
            <w:hideMark/>
          </w:tcPr>
          <w:p w14:paraId="08547B2B" w14:textId="77777777" w:rsidR="005D7828" w:rsidRDefault="005D7828" w:rsidP="005D7828">
            <w:pPr>
              <w:jc w:val="center"/>
              <w:rPr>
                <w:b/>
                <w:bCs/>
                <w:sz w:val="22"/>
                <w:szCs w:val="22"/>
              </w:rPr>
            </w:pPr>
            <w:r>
              <w:rPr>
                <w:b/>
                <w:bCs/>
                <w:sz w:val="22"/>
                <w:szCs w:val="22"/>
              </w:rPr>
              <w:t>Per</w:t>
            </w:r>
          </w:p>
        </w:tc>
        <w:tc>
          <w:tcPr>
            <w:tcW w:w="1457" w:type="dxa"/>
            <w:tcBorders>
              <w:top w:val="nil"/>
              <w:left w:val="nil"/>
              <w:bottom w:val="nil"/>
              <w:right w:val="nil"/>
            </w:tcBorders>
            <w:shd w:val="clear" w:color="000000" w:fill="FFFFFF"/>
            <w:noWrap/>
            <w:vAlign w:val="bottom"/>
            <w:hideMark/>
          </w:tcPr>
          <w:p w14:paraId="2C05E2EF" w14:textId="77777777" w:rsidR="005D7828" w:rsidRDefault="005D7828" w:rsidP="005D7828">
            <w:pPr>
              <w:jc w:val="center"/>
              <w:rPr>
                <w:b/>
                <w:bCs/>
                <w:sz w:val="22"/>
                <w:szCs w:val="22"/>
              </w:rPr>
            </w:pPr>
            <w:r>
              <w:rPr>
                <w:b/>
                <w:bCs/>
                <w:sz w:val="22"/>
                <w:szCs w:val="22"/>
              </w:rPr>
              <w:t>Adjust-</w:t>
            </w:r>
          </w:p>
        </w:tc>
        <w:tc>
          <w:tcPr>
            <w:tcW w:w="1711" w:type="dxa"/>
            <w:tcBorders>
              <w:top w:val="nil"/>
              <w:left w:val="nil"/>
              <w:bottom w:val="nil"/>
              <w:right w:val="single" w:sz="4" w:space="0" w:color="auto"/>
            </w:tcBorders>
            <w:shd w:val="clear" w:color="000000" w:fill="FFFFFF"/>
            <w:noWrap/>
            <w:vAlign w:val="bottom"/>
            <w:hideMark/>
          </w:tcPr>
          <w:p w14:paraId="78DFBB25" w14:textId="77777777" w:rsidR="005D7828" w:rsidRDefault="005D7828" w:rsidP="005D7828">
            <w:pPr>
              <w:jc w:val="center"/>
              <w:rPr>
                <w:b/>
                <w:bCs/>
                <w:sz w:val="22"/>
                <w:szCs w:val="22"/>
              </w:rPr>
            </w:pPr>
            <w:r>
              <w:rPr>
                <w:b/>
                <w:bCs/>
                <w:sz w:val="22"/>
                <w:szCs w:val="22"/>
              </w:rPr>
              <w:t>Adjusted</w:t>
            </w:r>
          </w:p>
        </w:tc>
      </w:tr>
      <w:tr w:rsidR="005D7828" w14:paraId="5AE1A8EA" w14:textId="77777777" w:rsidTr="005D7828">
        <w:trPr>
          <w:trHeight w:val="300"/>
          <w:jc w:val="center"/>
        </w:trPr>
        <w:tc>
          <w:tcPr>
            <w:tcW w:w="200" w:type="dxa"/>
            <w:tcBorders>
              <w:top w:val="nil"/>
              <w:left w:val="single" w:sz="4" w:space="0" w:color="auto"/>
              <w:bottom w:val="nil"/>
              <w:right w:val="nil"/>
            </w:tcBorders>
            <w:shd w:val="clear" w:color="000000" w:fill="FFFFFF"/>
            <w:noWrap/>
            <w:vAlign w:val="bottom"/>
            <w:hideMark/>
          </w:tcPr>
          <w:p w14:paraId="499EF050" w14:textId="77777777" w:rsidR="005D7828" w:rsidRDefault="005D7828" w:rsidP="005D7828">
            <w:pPr>
              <w:rPr>
                <w:sz w:val="22"/>
                <w:szCs w:val="22"/>
              </w:rPr>
            </w:pPr>
            <w:r>
              <w:rPr>
                <w:sz w:val="22"/>
                <w:szCs w:val="22"/>
              </w:rPr>
              <w:t> </w:t>
            </w:r>
          </w:p>
        </w:tc>
        <w:tc>
          <w:tcPr>
            <w:tcW w:w="4308" w:type="dxa"/>
            <w:vMerge/>
            <w:tcBorders>
              <w:top w:val="nil"/>
              <w:left w:val="nil"/>
              <w:bottom w:val="single" w:sz="4" w:space="0" w:color="000000"/>
              <w:right w:val="nil"/>
            </w:tcBorders>
            <w:vAlign w:val="center"/>
            <w:hideMark/>
          </w:tcPr>
          <w:p w14:paraId="7175F909" w14:textId="77777777" w:rsidR="005D7828" w:rsidRDefault="005D7828" w:rsidP="005D7828">
            <w:pPr>
              <w:rPr>
                <w:b/>
                <w:bCs/>
                <w:sz w:val="22"/>
                <w:szCs w:val="22"/>
              </w:rPr>
            </w:pPr>
          </w:p>
        </w:tc>
        <w:tc>
          <w:tcPr>
            <w:tcW w:w="1596" w:type="dxa"/>
            <w:tcBorders>
              <w:top w:val="nil"/>
              <w:left w:val="nil"/>
              <w:bottom w:val="nil"/>
              <w:right w:val="nil"/>
            </w:tcBorders>
            <w:shd w:val="clear" w:color="000000" w:fill="FFFFFF"/>
            <w:noWrap/>
            <w:vAlign w:val="bottom"/>
            <w:hideMark/>
          </w:tcPr>
          <w:p w14:paraId="55DFD584" w14:textId="77777777" w:rsidR="005D7828" w:rsidRDefault="005D7828" w:rsidP="005D7828">
            <w:pPr>
              <w:jc w:val="center"/>
              <w:rPr>
                <w:b/>
                <w:bCs/>
                <w:sz w:val="22"/>
                <w:szCs w:val="22"/>
              </w:rPr>
            </w:pPr>
            <w:r>
              <w:rPr>
                <w:b/>
                <w:bCs/>
                <w:sz w:val="22"/>
                <w:szCs w:val="22"/>
              </w:rPr>
              <w:t>Utility</w:t>
            </w:r>
          </w:p>
        </w:tc>
        <w:tc>
          <w:tcPr>
            <w:tcW w:w="1457" w:type="dxa"/>
            <w:tcBorders>
              <w:top w:val="nil"/>
              <w:left w:val="nil"/>
              <w:bottom w:val="nil"/>
              <w:right w:val="nil"/>
            </w:tcBorders>
            <w:shd w:val="clear" w:color="000000" w:fill="FFFFFF"/>
            <w:noWrap/>
            <w:vAlign w:val="bottom"/>
            <w:hideMark/>
          </w:tcPr>
          <w:p w14:paraId="070EFD8D" w14:textId="77777777" w:rsidR="005D7828" w:rsidRDefault="005D7828" w:rsidP="005D7828">
            <w:pPr>
              <w:jc w:val="center"/>
              <w:rPr>
                <w:b/>
                <w:bCs/>
                <w:sz w:val="22"/>
                <w:szCs w:val="22"/>
              </w:rPr>
            </w:pPr>
            <w:proofErr w:type="spellStart"/>
            <w:r>
              <w:rPr>
                <w:b/>
                <w:bCs/>
                <w:sz w:val="22"/>
                <w:szCs w:val="22"/>
              </w:rPr>
              <w:t>ments</w:t>
            </w:r>
            <w:proofErr w:type="spellEnd"/>
          </w:p>
        </w:tc>
        <w:tc>
          <w:tcPr>
            <w:tcW w:w="1711" w:type="dxa"/>
            <w:tcBorders>
              <w:top w:val="nil"/>
              <w:left w:val="nil"/>
              <w:bottom w:val="nil"/>
              <w:right w:val="single" w:sz="4" w:space="0" w:color="auto"/>
            </w:tcBorders>
            <w:shd w:val="clear" w:color="000000" w:fill="FFFFFF"/>
            <w:noWrap/>
            <w:vAlign w:val="bottom"/>
            <w:hideMark/>
          </w:tcPr>
          <w:p w14:paraId="6521C078" w14:textId="77777777" w:rsidR="005D7828" w:rsidRDefault="005D7828" w:rsidP="005D7828">
            <w:pPr>
              <w:jc w:val="center"/>
              <w:rPr>
                <w:b/>
                <w:bCs/>
                <w:sz w:val="22"/>
                <w:szCs w:val="22"/>
              </w:rPr>
            </w:pPr>
            <w:r>
              <w:rPr>
                <w:b/>
                <w:bCs/>
                <w:sz w:val="22"/>
                <w:szCs w:val="22"/>
              </w:rPr>
              <w:t>Test Year</w:t>
            </w:r>
          </w:p>
        </w:tc>
      </w:tr>
      <w:tr w:rsidR="005D7828" w14:paraId="6D02F83E" w14:textId="77777777" w:rsidTr="005D7828">
        <w:trPr>
          <w:trHeight w:val="300"/>
          <w:jc w:val="center"/>
        </w:trPr>
        <w:tc>
          <w:tcPr>
            <w:tcW w:w="200" w:type="dxa"/>
            <w:tcBorders>
              <w:top w:val="single" w:sz="4" w:space="0" w:color="000000"/>
              <w:left w:val="single" w:sz="4" w:space="0" w:color="auto"/>
              <w:bottom w:val="nil"/>
              <w:right w:val="nil"/>
            </w:tcBorders>
            <w:shd w:val="clear" w:color="000000" w:fill="FFFFFF"/>
            <w:noWrap/>
            <w:vAlign w:val="bottom"/>
            <w:hideMark/>
          </w:tcPr>
          <w:p w14:paraId="1E19F360" w14:textId="77777777" w:rsidR="005D7828" w:rsidRDefault="005D7828" w:rsidP="005D7828">
            <w:pPr>
              <w:rPr>
                <w:sz w:val="22"/>
                <w:szCs w:val="22"/>
              </w:rPr>
            </w:pPr>
            <w:r>
              <w:rPr>
                <w:sz w:val="22"/>
                <w:szCs w:val="22"/>
              </w:rPr>
              <w:t> </w:t>
            </w:r>
          </w:p>
        </w:tc>
        <w:tc>
          <w:tcPr>
            <w:tcW w:w="4308" w:type="dxa"/>
            <w:tcBorders>
              <w:top w:val="nil"/>
              <w:left w:val="nil"/>
              <w:bottom w:val="nil"/>
              <w:right w:val="nil"/>
            </w:tcBorders>
            <w:shd w:val="clear" w:color="000000" w:fill="FFFFFF"/>
            <w:noWrap/>
            <w:vAlign w:val="bottom"/>
            <w:hideMark/>
          </w:tcPr>
          <w:p w14:paraId="649A5F99" w14:textId="77777777" w:rsidR="005D7828" w:rsidRDefault="005D7828" w:rsidP="005D7828">
            <w:pPr>
              <w:rPr>
                <w:sz w:val="22"/>
                <w:szCs w:val="22"/>
              </w:rPr>
            </w:pPr>
            <w:r>
              <w:rPr>
                <w:sz w:val="22"/>
                <w:szCs w:val="22"/>
              </w:rPr>
              <w:t> </w:t>
            </w:r>
          </w:p>
        </w:tc>
        <w:tc>
          <w:tcPr>
            <w:tcW w:w="1596" w:type="dxa"/>
            <w:tcBorders>
              <w:top w:val="single" w:sz="4" w:space="0" w:color="000000"/>
              <w:left w:val="nil"/>
              <w:bottom w:val="nil"/>
              <w:right w:val="nil"/>
            </w:tcBorders>
            <w:shd w:val="clear" w:color="000000" w:fill="FFFFFF"/>
            <w:noWrap/>
            <w:vAlign w:val="bottom"/>
            <w:hideMark/>
          </w:tcPr>
          <w:p w14:paraId="1152537E" w14:textId="77777777" w:rsidR="005D7828" w:rsidRDefault="005D7828" w:rsidP="005D7828">
            <w:pPr>
              <w:rPr>
                <w:sz w:val="22"/>
                <w:szCs w:val="22"/>
              </w:rPr>
            </w:pPr>
            <w:r>
              <w:rPr>
                <w:sz w:val="22"/>
                <w:szCs w:val="22"/>
              </w:rPr>
              <w:t> </w:t>
            </w:r>
          </w:p>
        </w:tc>
        <w:tc>
          <w:tcPr>
            <w:tcW w:w="1457" w:type="dxa"/>
            <w:tcBorders>
              <w:top w:val="single" w:sz="4" w:space="0" w:color="000000"/>
              <w:left w:val="nil"/>
              <w:bottom w:val="nil"/>
              <w:right w:val="nil"/>
            </w:tcBorders>
            <w:shd w:val="clear" w:color="000000" w:fill="FFFFFF"/>
            <w:noWrap/>
            <w:vAlign w:val="bottom"/>
            <w:hideMark/>
          </w:tcPr>
          <w:p w14:paraId="1E59B343" w14:textId="77777777" w:rsidR="005D7828" w:rsidRDefault="005D7828" w:rsidP="005D7828">
            <w:pPr>
              <w:rPr>
                <w:sz w:val="22"/>
                <w:szCs w:val="22"/>
              </w:rPr>
            </w:pPr>
            <w:r>
              <w:rPr>
                <w:sz w:val="22"/>
                <w:szCs w:val="22"/>
              </w:rPr>
              <w:t> </w:t>
            </w:r>
          </w:p>
        </w:tc>
        <w:tc>
          <w:tcPr>
            <w:tcW w:w="1711" w:type="dxa"/>
            <w:tcBorders>
              <w:top w:val="single" w:sz="4" w:space="0" w:color="000000"/>
              <w:left w:val="nil"/>
              <w:bottom w:val="nil"/>
              <w:right w:val="single" w:sz="4" w:space="0" w:color="auto"/>
            </w:tcBorders>
            <w:shd w:val="clear" w:color="000000" w:fill="FFFFFF"/>
            <w:noWrap/>
            <w:vAlign w:val="bottom"/>
            <w:hideMark/>
          </w:tcPr>
          <w:p w14:paraId="723EC470" w14:textId="77777777" w:rsidR="005D7828" w:rsidRDefault="005D7828" w:rsidP="005D7828">
            <w:pPr>
              <w:rPr>
                <w:sz w:val="22"/>
                <w:szCs w:val="22"/>
              </w:rPr>
            </w:pPr>
            <w:r>
              <w:rPr>
                <w:sz w:val="22"/>
                <w:szCs w:val="22"/>
              </w:rPr>
              <w:t> </w:t>
            </w:r>
          </w:p>
        </w:tc>
      </w:tr>
      <w:tr w:rsidR="005D7828" w14:paraId="510B8B36" w14:textId="77777777" w:rsidTr="005D7828">
        <w:trPr>
          <w:trHeight w:val="300"/>
          <w:jc w:val="center"/>
        </w:trPr>
        <w:tc>
          <w:tcPr>
            <w:tcW w:w="200" w:type="dxa"/>
            <w:tcBorders>
              <w:top w:val="nil"/>
              <w:left w:val="single" w:sz="4" w:space="0" w:color="auto"/>
              <w:bottom w:val="nil"/>
              <w:right w:val="nil"/>
            </w:tcBorders>
            <w:shd w:val="clear" w:color="000000" w:fill="FFFFFF"/>
            <w:noWrap/>
            <w:vAlign w:val="bottom"/>
            <w:hideMark/>
          </w:tcPr>
          <w:p w14:paraId="25FA5098" w14:textId="77777777" w:rsidR="005D7828" w:rsidRDefault="005D7828" w:rsidP="005D7828">
            <w:pPr>
              <w:jc w:val="center"/>
              <w:rPr>
                <w:sz w:val="22"/>
                <w:szCs w:val="22"/>
              </w:rPr>
            </w:pPr>
            <w:r>
              <w:rPr>
                <w:sz w:val="22"/>
                <w:szCs w:val="22"/>
              </w:rPr>
              <w:t>1</w:t>
            </w:r>
          </w:p>
        </w:tc>
        <w:tc>
          <w:tcPr>
            <w:tcW w:w="4308" w:type="dxa"/>
            <w:tcBorders>
              <w:top w:val="nil"/>
              <w:left w:val="nil"/>
              <w:bottom w:val="nil"/>
              <w:right w:val="nil"/>
            </w:tcBorders>
            <w:shd w:val="clear" w:color="000000" w:fill="FFFFFF"/>
            <w:noWrap/>
            <w:vAlign w:val="bottom"/>
            <w:hideMark/>
          </w:tcPr>
          <w:p w14:paraId="0EF2AA9E" w14:textId="77777777" w:rsidR="005D7828" w:rsidRDefault="005D7828" w:rsidP="005D7828">
            <w:pPr>
              <w:rPr>
                <w:sz w:val="22"/>
                <w:szCs w:val="22"/>
              </w:rPr>
            </w:pPr>
            <w:r>
              <w:rPr>
                <w:sz w:val="22"/>
                <w:szCs w:val="22"/>
              </w:rPr>
              <w:t>Plant in Service</w:t>
            </w:r>
          </w:p>
        </w:tc>
        <w:tc>
          <w:tcPr>
            <w:tcW w:w="1596" w:type="dxa"/>
            <w:tcBorders>
              <w:top w:val="nil"/>
              <w:left w:val="nil"/>
              <w:bottom w:val="nil"/>
              <w:right w:val="nil"/>
            </w:tcBorders>
            <w:shd w:val="clear" w:color="000000" w:fill="FFFFFF"/>
            <w:noWrap/>
            <w:vAlign w:val="bottom"/>
            <w:hideMark/>
          </w:tcPr>
          <w:p w14:paraId="0E88293F" w14:textId="77777777" w:rsidR="005D7828" w:rsidRDefault="005D7828" w:rsidP="005D7828">
            <w:pPr>
              <w:jc w:val="right"/>
              <w:rPr>
                <w:sz w:val="22"/>
                <w:szCs w:val="22"/>
              </w:rPr>
            </w:pPr>
            <w:r>
              <w:rPr>
                <w:sz w:val="22"/>
                <w:szCs w:val="22"/>
              </w:rPr>
              <w:t xml:space="preserve">$20,900,608 </w:t>
            </w:r>
          </w:p>
        </w:tc>
        <w:tc>
          <w:tcPr>
            <w:tcW w:w="1457" w:type="dxa"/>
            <w:tcBorders>
              <w:top w:val="nil"/>
              <w:left w:val="nil"/>
              <w:bottom w:val="nil"/>
              <w:right w:val="nil"/>
            </w:tcBorders>
            <w:shd w:val="clear" w:color="000000" w:fill="FFFFFF"/>
            <w:noWrap/>
            <w:vAlign w:val="bottom"/>
            <w:hideMark/>
          </w:tcPr>
          <w:p w14:paraId="18A3120F" w14:textId="77777777" w:rsidR="005D7828" w:rsidRDefault="005D7828" w:rsidP="005D7828">
            <w:pPr>
              <w:jc w:val="right"/>
              <w:rPr>
                <w:sz w:val="22"/>
                <w:szCs w:val="22"/>
              </w:rPr>
            </w:pPr>
            <w:r>
              <w:rPr>
                <w:sz w:val="22"/>
                <w:szCs w:val="22"/>
              </w:rPr>
              <w:t>($565,362)</w:t>
            </w:r>
          </w:p>
        </w:tc>
        <w:tc>
          <w:tcPr>
            <w:tcW w:w="1711" w:type="dxa"/>
            <w:tcBorders>
              <w:top w:val="nil"/>
              <w:left w:val="nil"/>
              <w:bottom w:val="nil"/>
              <w:right w:val="single" w:sz="4" w:space="0" w:color="auto"/>
            </w:tcBorders>
            <w:shd w:val="clear" w:color="000000" w:fill="FFFFFF"/>
            <w:noWrap/>
            <w:vAlign w:val="bottom"/>
            <w:hideMark/>
          </w:tcPr>
          <w:p w14:paraId="42F87775" w14:textId="77777777" w:rsidR="005D7828" w:rsidRDefault="005D7828" w:rsidP="005D7828">
            <w:pPr>
              <w:jc w:val="right"/>
              <w:rPr>
                <w:sz w:val="22"/>
                <w:szCs w:val="22"/>
              </w:rPr>
            </w:pPr>
            <w:r>
              <w:rPr>
                <w:sz w:val="22"/>
                <w:szCs w:val="22"/>
              </w:rPr>
              <w:t xml:space="preserve">$20,335,246 </w:t>
            </w:r>
          </w:p>
        </w:tc>
      </w:tr>
      <w:tr w:rsidR="005D7828" w14:paraId="0AE74077" w14:textId="77777777" w:rsidTr="005D7828">
        <w:trPr>
          <w:trHeight w:val="300"/>
          <w:jc w:val="center"/>
        </w:trPr>
        <w:tc>
          <w:tcPr>
            <w:tcW w:w="200" w:type="dxa"/>
            <w:tcBorders>
              <w:top w:val="nil"/>
              <w:left w:val="single" w:sz="4" w:space="0" w:color="auto"/>
              <w:bottom w:val="nil"/>
              <w:right w:val="nil"/>
            </w:tcBorders>
            <w:shd w:val="clear" w:color="000000" w:fill="FFFFFF"/>
            <w:noWrap/>
            <w:vAlign w:val="bottom"/>
            <w:hideMark/>
          </w:tcPr>
          <w:p w14:paraId="42E869F0" w14:textId="77777777" w:rsidR="005D7828" w:rsidRDefault="005D7828" w:rsidP="005D7828">
            <w:pPr>
              <w:jc w:val="center"/>
              <w:rPr>
                <w:sz w:val="22"/>
                <w:szCs w:val="22"/>
              </w:rPr>
            </w:pPr>
            <w:r>
              <w:rPr>
                <w:sz w:val="22"/>
                <w:szCs w:val="22"/>
              </w:rPr>
              <w:t> </w:t>
            </w:r>
          </w:p>
        </w:tc>
        <w:tc>
          <w:tcPr>
            <w:tcW w:w="4308" w:type="dxa"/>
            <w:tcBorders>
              <w:top w:val="nil"/>
              <w:left w:val="nil"/>
              <w:bottom w:val="nil"/>
              <w:right w:val="nil"/>
            </w:tcBorders>
            <w:shd w:val="clear" w:color="000000" w:fill="FFFFFF"/>
            <w:noWrap/>
            <w:vAlign w:val="bottom"/>
            <w:hideMark/>
          </w:tcPr>
          <w:p w14:paraId="6934F56D" w14:textId="77777777" w:rsidR="005D7828" w:rsidRDefault="005D7828" w:rsidP="005D7828">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14:paraId="2FB83D40" w14:textId="77777777" w:rsidR="005D7828" w:rsidRDefault="005D7828" w:rsidP="005D7828">
            <w:pPr>
              <w:rPr>
                <w:sz w:val="22"/>
                <w:szCs w:val="22"/>
              </w:rPr>
            </w:pPr>
            <w:r>
              <w:rPr>
                <w:sz w:val="22"/>
                <w:szCs w:val="22"/>
              </w:rPr>
              <w:t> </w:t>
            </w:r>
          </w:p>
        </w:tc>
        <w:tc>
          <w:tcPr>
            <w:tcW w:w="1457" w:type="dxa"/>
            <w:tcBorders>
              <w:top w:val="nil"/>
              <w:left w:val="nil"/>
              <w:bottom w:val="nil"/>
              <w:right w:val="nil"/>
            </w:tcBorders>
            <w:shd w:val="clear" w:color="000000" w:fill="FFFFFF"/>
            <w:noWrap/>
            <w:vAlign w:val="bottom"/>
            <w:hideMark/>
          </w:tcPr>
          <w:p w14:paraId="4A12943F" w14:textId="77777777" w:rsidR="005D7828" w:rsidRDefault="005D7828" w:rsidP="005D7828">
            <w:pPr>
              <w:rPr>
                <w:sz w:val="22"/>
                <w:szCs w:val="22"/>
              </w:rPr>
            </w:pPr>
            <w:r>
              <w:rPr>
                <w:sz w:val="22"/>
                <w:szCs w:val="22"/>
              </w:rPr>
              <w:t> </w:t>
            </w:r>
          </w:p>
        </w:tc>
        <w:tc>
          <w:tcPr>
            <w:tcW w:w="1711" w:type="dxa"/>
            <w:tcBorders>
              <w:top w:val="nil"/>
              <w:left w:val="nil"/>
              <w:bottom w:val="nil"/>
              <w:right w:val="single" w:sz="4" w:space="0" w:color="auto"/>
            </w:tcBorders>
            <w:shd w:val="clear" w:color="000000" w:fill="FFFFFF"/>
            <w:noWrap/>
            <w:vAlign w:val="bottom"/>
            <w:hideMark/>
          </w:tcPr>
          <w:p w14:paraId="45CE001D" w14:textId="77777777" w:rsidR="005D7828" w:rsidRDefault="005D7828" w:rsidP="005D7828">
            <w:pPr>
              <w:rPr>
                <w:sz w:val="22"/>
                <w:szCs w:val="22"/>
              </w:rPr>
            </w:pPr>
            <w:r>
              <w:rPr>
                <w:sz w:val="22"/>
                <w:szCs w:val="22"/>
              </w:rPr>
              <w:t> </w:t>
            </w:r>
          </w:p>
        </w:tc>
      </w:tr>
      <w:tr w:rsidR="005D7828" w14:paraId="247210A9" w14:textId="77777777" w:rsidTr="005D7828">
        <w:trPr>
          <w:trHeight w:val="300"/>
          <w:jc w:val="center"/>
        </w:trPr>
        <w:tc>
          <w:tcPr>
            <w:tcW w:w="200" w:type="dxa"/>
            <w:tcBorders>
              <w:top w:val="nil"/>
              <w:left w:val="single" w:sz="4" w:space="0" w:color="auto"/>
              <w:bottom w:val="nil"/>
              <w:right w:val="nil"/>
            </w:tcBorders>
            <w:shd w:val="clear" w:color="000000" w:fill="FFFFFF"/>
            <w:noWrap/>
            <w:vAlign w:val="bottom"/>
            <w:hideMark/>
          </w:tcPr>
          <w:p w14:paraId="64A0C63B" w14:textId="77777777" w:rsidR="005D7828" w:rsidRDefault="005D7828" w:rsidP="005D7828">
            <w:pPr>
              <w:jc w:val="center"/>
              <w:rPr>
                <w:sz w:val="22"/>
                <w:szCs w:val="22"/>
              </w:rPr>
            </w:pPr>
            <w:r>
              <w:rPr>
                <w:sz w:val="22"/>
                <w:szCs w:val="22"/>
              </w:rPr>
              <w:t>2</w:t>
            </w:r>
          </w:p>
        </w:tc>
        <w:tc>
          <w:tcPr>
            <w:tcW w:w="4308" w:type="dxa"/>
            <w:tcBorders>
              <w:top w:val="nil"/>
              <w:left w:val="nil"/>
              <w:bottom w:val="nil"/>
              <w:right w:val="nil"/>
            </w:tcBorders>
            <w:shd w:val="clear" w:color="000000" w:fill="FFFFFF"/>
            <w:noWrap/>
            <w:vAlign w:val="bottom"/>
            <w:hideMark/>
          </w:tcPr>
          <w:p w14:paraId="06E1BDB3" w14:textId="77777777" w:rsidR="005D7828" w:rsidRDefault="005D7828" w:rsidP="005D7828">
            <w:pPr>
              <w:rPr>
                <w:sz w:val="22"/>
                <w:szCs w:val="22"/>
              </w:rPr>
            </w:pPr>
            <w:r>
              <w:rPr>
                <w:sz w:val="22"/>
                <w:szCs w:val="22"/>
              </w:rPr>
              <w:t>Land and Land Rights</w:t>
            </w:r>
          </w:p>
        </w:tc>
        <w:tc>
          <w:tcPr>
            <w:tcW w:w="1596" w:type="dxa"/>
            <w:tcBorders>
              <w:top w:val="nil"/>
              <w:left w:val="nil"/>
              <w:bottom w:val="nil"/>
              <w:right w:val="nil"/>
            </w:tcBorders>
            <w:shd w:val="clear" w:color="000000" w:fill="FFFFFF"/>
            <w:noWrap/>
            <w:vAlign w:val="bottom"/>
            <w:hideMark/>
          </w:tcPr>
          <w:p w14:paraId="1D371D99" w14:textId="77777777" w:rsidR="005D7828" w:rsidRDefault="005D7828" w:rsidP="005D7828">
            <w:pPr>
              <w:jc w:val="right"/>
              <w:rPr>
                <w:sz w:val="22"/>
                <w:szCs w:val="22"/>
              </w:rPr>
            </w:pPr>
            <w:r>
              <w:rPr>
                <w:sz w:val="22"/>
                <w:szCs w:val="22"/>
              </w:rPr>
              <w:t xml:space="preserve">800,000 </w:t>
            </w:r>
          </w:p>
        </w:tc>
        <w:tc>
          <w:tcPr>
            <w:tcW w:w="1457" w:type="dxa"/>
            <w:tcBorders>
              <w:top w:val="nil"/>
              <w:left w:val="nil"/>
              <w:bottom w:val="nil"/>
              <w:right w:val="nil"/>
            </w:tcBorders>
            <w:shd w:val="clear" w:color="000000" w:fill="FFFFFF"/>
            <w:noWrap/>
            <w:vAlign w:val="bottom"/>
            <w:hideMark/>
          </w:tcPr>
          <w:p w14:paraId="66773871" w14:textId="77777777" w:rsidR="005D7828" w:rsidRDefault="005D7828" w:rsidP="005D7828">
            <w:pPr>
              <w:jc w:val="right"/>
              <w:rPr>
                <w:sz w:val="22"/>
                <w:szCs w:val="22"/>
              </w:rPr>
            </w:pPr>
            <w:r>
              <w:rPr>
                <w:sz w:val="22"/>
                <w:szCs w:val="22"/>
              </w:rPr>
              <w:t xml:space="preserve">0 </w:t>
            </w:r>
          </w:p>
        </w:tc>
        <w:tc>
          <w:tcPr>
            <w:tcW w:w="1711" w:type="dxa"/>
            <w:tcBorders>
              <w:top w:val="nil"/>
              <w:left w:val="nil"/>
              <w:bottom w:val="nil"/>
              <w:right w:val="single" w:sz="4" w:space="0" w:color="auto"/>
            </w:tcBorders>
            <w:shd w:val="clear" w:color="000000" w:fill="FFFFFF"/>
            <w:noWrap/>
            <w:vAlign w:val="bottom"/>
            <w:hideMark/>
          </w:tcPr>
          <w:p w14:paraId="06BD3A4B" w14:textId="77777777" w:rsidR="005D7828" w:rsidRDefault="005D7828" w:rsidP="005D7828">
            <w:pPr>
              <w:jc w:val="right"/>
              <w:rPr>
                <w:sz w:val="22"/>
                <w:szCs w:val="22"/>
              </w:rPr>
            </w:pPr>
            <w:r>
              <w:rPr>
                <w:sz w:val="22"/>
                <w:szCs w:val="22"/>
              </w:rPr>
              <w:t xml:space="preserve">800,000 </w:t>
            </w:r>
          </w:p>
        </w:tc>
      </w:tr>
      <w:tr w:rsidR="005D7828" w14:paraId="205F18EA" w14:textId="77777777" w:rsidTr="005D7828">
        <w:trPr>
          <w:trHeight w:val="300"/>
          <w:jc w:val="center"/>
        </w:trPr>
        <w:tc>
          <w:tcPr>
            <w:tcW w:w="200" w:type="dxa"/>
            <w:tcBorders>
              <w:top w:val="nil"/>
              <w:left w:val="single" w:sz="4" w:space="0" w:color="auto"/>
              <w:bottom w:val="nil"/>
              <w:right w:val="nil"/>
            </w:tcBorders>
            <w:shd w:val="clear" w:color="000000" w:fill="FFFFFF"/>
            <w:noWrap/>
            <w:vAlign w:val="bottom"/>
            <w:hideMark/>
          </w:tcPr>
          <w:p w14:paraId="46F5ECD3" w14:textId="77777777" w:rsidR="005D7828" w:rsidRDefault="005D7828" w:rsidP="005D7828">
            <w:pPr>
              <w:jc w:val="center"/>
              <w:rPr>
                <w:sz w:val="22"/>
                <w:szCs w:val="22"/>
              </w:rPr>
            </w:pPr>
            <w:r>
              <w:rPr>
                <w:sz w:val="22"/>
                <w:szCs w:val="22"/>
              </w:rPr>
              <w:t> </w:t>
            </w:r>
          </w:p>
        </w:tc>
        <w:tc>
          <w:tcPr>
            <w:tcW w:w="4308" w:type="dxa"/>
            <w:tcBorders>
              <w:top w:val="nil"/>
              <w:left w:val="nil"/>
              <w:bottom w:val="nil"/>
              <w:right w:val="nil"/>
            </w:tcBorders>
            <w:shd w:val="clear" w:color="000000" w:fill="FFFFFF"/>
            <w:noWrap/>
            <w:vAlign w:val="bottom"/>
            <w:hideMark/>
          </w:tcPr>
          <w:p w14:paraId="638B34CA" w14:textId="77777777" w:rsidR="005D7828" w:rsidRDefault="005D7828" w:rsidP="005D7828">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14:paraId="6E7516ED" w14:textId="77777777" w:rsidR="005D7828" w:rsidRDefault="005D7828" w:rsidP="005D7828">
            <w:pPr>
              <w:rPr>
                <w:sz w:val="22"/>
                <w:szCs w:val="22"/>
              </w:rPr>
            </w:pPr>
            <w:r>
              <w:rPr>
                <w:sz w:val="22"/>
                <w:szCs w:val="22"/>
              </w:rPr>
              <w:t> </w:t>
            </w:r>
          </w:p>
        </w:tc>
        <w:tc>
          <w:tcPr>
            <w:tcW w:w="1457" w:type="dxa"/>
            <w:tcBorders>
              <w:top w:val="nil"/>
              <w:left w:val="nil"/>
              <w:bottom w:val="nil"/>
              <w:right w:val="nil"/>
            </w:tcBorders>
            <w:shd w:val="clear" w:color="000000" w:fill="FFFFFF"/>
            <w:noWrap/>
            <w:vAlign w:val="bottom"/>
            <w:hideMark/>
          </w:tcPr>
          <w:p w14:paraId="1CFD715E" w14:textId="77777777" w:rsidR="005D7828" w:rsidRDefault="005D7828" w:rsidP="005D7828">
            <w:pPr>
              <w:rPr>
                <w:sz w:val="22"/>
                <w:szCs w:val="22"/>
              </w:rPr>
            </w:pPr>
            <w:r>
              <w:rPr>
                <w:sz w:val="22"/>
                <w:szCs w:val="22"/>
              </w:rPr>
              <w:t> </w:t>
            </w:r>
          </w:p>
        </w:tc>
        <w:tc>
          <w:tcPr>
            <w:tcW w:w="1711" w:type="dxa"/>
            <w:tcBorders>
              <w:top w:val="nil"/>
              <w:left w:val="nil"/>
              <w:bottom w:val="nil"/>
              <w:right w:val="single" w:sz="4" w:space="0" w:color="auto"/>
            </w:tcBorders>
            <w:shd w:val="clear" w:color="000000" w:fill="FFFFFF"/>
            <w:noWrap/>
            <w:vAlign w:val="bottom"/>
            <w:hideMark/>
          </w:tcPr>
          <w:p w14:paraId="41F2F2F3" w14:textId="77777777" w:rsidR="005D7828" w:rsidRDefault="005D7828" w:rsidP="005D7828">
            <w:pPr>
              <w:rPr>
                <w:sz w:val="22"/>
                <w:szCs w:val="22"/>
              </w:rPr>
            </w:pPr>
            <w:r>
              <w:rPr>
                <w:sz w:val="22"/>
                <w:szCs w:val="22"/>
              </w:rPr>
              <w:t> </w:t>
            </w:r>
          </w:p>
        </w:tc>
      </w:tr>
      <w:tr w:rsidR="005D7828" w14:paraId="7ED51DDE" w14:textId="77777777" w:rsidTr="005D7828">
        <w:trPr>
          <w:trHeight w:val="300"/>
          <w:jc w:val="center"/>
        </w:trPr>
        <w:tc>
          <w:tcPr>
            <w:tcW w:w="200" w:type="dxa"/>
            <w:tcBorders>
              <w:top w:val="nil"/>
              <w:left w:val="single" w:sz="4" w:space="0" w:color="auto"/>
              <w:bottom w:val="nil"/>
              <w:right w:val="nil"/>
            </w:tcBorders>
            <w:shd w:val="clear" w:color="000000" w:fill="FFFFFF"/>
            <w:noWrap/>
            <w:vAlign w:val="bottom"/>
            <w:hideMark/>
          </w:tcPr>
          <w:p w14:paraId="7B4B8B2B" w14:textId="77777777" w:rsidR="005D7828" w:rsidRDefault="005D7828" w:rsidP="005D7828">
            <w:pPr>
              <w:jc w:val="center"/>
              <w:rPr>
                <w:sz w:val="22"/>
                <w:szCs w:val="22"/>
              </w:rPr>
            </w:pPr>
            <w:r>
              <w:rPr>
                <w:sz w:val="22"/>
                <w:szCs w:val="22"/>
              </w:rPr>
              <w:t>3</w:t>
            </w:r>
          </w:p>
        </w:tc>
        <w:tc>
          <w:tcPr>
            <w:tcW w:w="4308" w:type="dxa"/>
            <w:tcBorders>
              <w:top w:val="nil"/>
              <w:left w:val="nil"/>
              <w:bottom w:val="nil"/>
              <w:right w:val="nil"/>
            </w:tcBorders>
            <w:shd w:val="clear" w:color="000000" w:fill="FFFFFF"/>
            <w:noWrap/>
            <w:vAlign w:val="bottom"/>
            <w:hideMark/>
          </w:tcPr>
          <w:p w14:paraId="1C26D960" w14:textId="77777777" w:rsidR="005D7828" w:rsidRDefault="005D7828" w:rsidP="005D7828">
            <w:pPr>
              <w:rPr>
                <w:sz w:val="22"/>
                <w:szCs w:val="22"/>
              </w:rPr>
            </w:pPr>
            <w:r>
              <w:rPr>
                <w:sz w:val="22"/>
                <w:szCs w:val="22"/>
              </w:rPr>
              <w:t>Accumulated Depreciation</w:t>
            </w:r>
          </w:p>
        </w:tc>
        <w:tc>
          <w:tcPr>
            <w:tcW w:w="1596" w:type="dxa"/>
            <w:tcBorders>
              <w:top w:val="nil"/>
              <w:left w:val="nil"/>
              <w:bottom w:val="nil"/>
              <w:right w:val="nil"/>
            </w:tcBorders>
            <w:shd w:val="clear" w:color="000000" w:fill="FFFFFF"/>
            <w:noWrap/>
            <w:vAlign w:val="bottom"/>
            <w:hideMark/>
          </w:tcPr>
          <w:p w14:paraId="196DE8F5" w14:textId="77777777" w:rsidR="005D7828" w:rsidRDefault="005D7828" w:rsidP="005D7828">
            <w:pPr>
              <w:jc w:val="right"/>
              <w:rPr>
                <w:sz w:val="22"/>
                <w:szCs w:val="22"/>
              </w:rPr>
            </w:pPr>
            <w:r>
              <w:rPr>
                <w:sz w:val="22"/>
                <w:szCs w:val="22"/>
              </w:rPr>
              <w:t>(9,919,052)</w:t>
            </w:r>
          </w:p>
        </w:tc>
        <w:tc>
          <w:tcPr>
            <w:tcW w:w="1457" w:type="dxa"/>
            <w:tcBorders>
              <w:top w:val="nil"/>
              <w:left w:val="nil"/>
              <w:bottom w:val="nil"/>
              <w:right w:val="nil"/>
            </w:tcBorders>
            <w:shd w:val="clear" w:color="000000" w:fill="FFFFFF"/>
            <w:noWrap/>
            <w:vAlign w:val="bottom"/>
            <w:hideMark/>
          </w:tcPr>
          <w:p w14:paraId="288EB182" w14:textId="77777777" w:rsidR="005D7828" w:rsidRDefault="005D7828" w:rsidP="005D7828">
            <w:pPr>
              <w:jc w:val="right"/>
              <w:rPr>
                <w:sz w:val="22"/>
                <w:szCs w:val="22"/>
              </w:rPr>
            </w:pPr>
            <w:r>
              <w:rPr>
                <w:sz w:val="22"/>
                <w:szCs w:val="22"/>
              </w:rPr>
              <w:t xml:space="preserve">464,552 </w:t>
            </w:r>
          </w:p>
        </w:tc>
        <w:tc>
          <w:tcPr>
            <w:tcW w:w="1711" w:type="dxa"/>
            <w:tcBorders>
              <w:top w:val="nil"/>
              <w:left w:val="nil"/>
              <w:bottom w:val="nil"/>
              <w:right w:val="single" w:sz="4" w:space="0" w:color="auto"/>
            </w:tcBorders>
            <w:shd w:val="clear" w:color="000000" w:fill="FFFFFF"/>
            <w:noWrap/>
            <w:vAlign w:val="bottom"/>
            <w:hideMark/>
          </w:tcPr>
          <w:p w14:paraId="053C8C0A" w14:textId="77777777" w:rsidR="005D7828" w:rsidRDefault="005D7828" w:rsidP="005D7828">
            <w:pPr>
              <w:jc w:val="right"/>
              <w:rPr>
                <w:sz w:val="22"/>
                <w:szCs w:val="22"/>
              </w:rPr>
            </w:pPr>
            <w:r>
              <w:rPr>
                <w:sz w:val="22"/>
                <w:szCs w:val="22"/>
              </w:rPr>
              <w:t>(9,454,500)</w:t>
            </w:r>
          </w:p>
        </w:tc>
      </w:tr>
      <w:tr w:rsidR="005D7828" w14:paraId="120CF7C8" w14:textId="77777777" w:rsidTr="005D7828">
        <w:trPr>
          <w:trHeight w:val="300"/>
          <w:jc w:val="center"/>
        </w:trPr>
        <w:tc>
          <w:tcPr>
            <w:tcW w:w="200" w:type="dxa"/>
            <w:tcBorders>
              <w:top w:val="nil"/>
              <w:left w:val="single" w:sz="4" w:space="0" w:color="auto"/>
              <w:bottom w:val="nil"/>
              <w:right w:val="nil"/>
            </w:tcBorders>
            <w:shd w:val="clear" w:color="000000" w:fill="FFFFFF"/>
            <w:noWrap/>
            <w:vAlign w:val="bottom"/>
            <w:hideMark/>
          </w:tcPr>
          <w:p w14:paraId="50E7BD5E" w14:textId="77777777" w:rsidR="005D7828" w:rsidRDefault="005D7828" w:rsidP="005D7828">
            <w:pPr>
              <w:jc w:val="center"/>
              <w:rPr>
                <w:sz w:val="22"/>
                <w:szCs w:val="22"/>
              </w:rPr>
            </w:pPr>
            <w:r>
              <w:rPr>
                <w:sz w:val="22"/>
                <w:szCs w:val="22"/>
              </w:rPr>
              <w:t> </w:t>
            </w:r>
          </w:p>
        </w:tc>
        <w:tc>
          <w:tcPr>
            <w:tcW w:w="4308" w:type="dxa"/>
            <w:tcBorders>
              <w:top w:val="nil"/>
              <w:left w:val="nil"/>
              <w:bottom w:val="nil"/>
              <w:right w:val="nil"/>
            </w:tcBorders>
            <w:shd w:val="clear" w:color="000000" w:fill="FFFFFF"/>
            <w:noWrap/>
            <w:vAlign w:val="bottom"/>
            <w:hideMark/>
          </w:tcPr>
          <w:p w14:paraId="65589264" w14:textId="77777777" w:rsidR="005D7828" w:rsidRDefault="005D7828" w:rsidP="005D7828">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14:paraId="11F4FEF7" w14:textId="77777777" w:rsidR="005D7828" w:rsidRDefault="005D7828" w:rsidP="005D7828">
            <w:pPr>
              <w:rPr>
                <w:sz w:val="22"/>
                <w:szCs w:val="22"/>
              </w:rPr>
            </w:pPr>
            <w:r>
              <w:rPr>
                <w:sz w:val="22"/>
                <w:szCs w:val="22"/>
              </w:rPr>
              <w:t> </w:t>
            </w:r>
          </w:p>
        </w:tc>
        <w:tc>
          <w:tcPr>
            <w:tcW w:w="1457" w:type="dxa"/>
            <w:tcBorders>
              <w:top w:val="nil"/>
              <w:left w:val="nil"/>
              <w:bottom w:val="nil"/>
              <w:right w:val="nil"/>
            </w:tcBorders>
            <w:shd w:val="clear" w:color="000000" w:fill="FFFFFF"/>
            <w:noWrap/>
            <w:vAlign w:val="bottom"/>
            <w:hideMark/>
          </w:tcPr>
          <w:p w14:paraId="7EE60E23" w14:textId="77777777" w:rsidR="005D7828" w:rsidRDefault="005D7828" w:rsidP="005D7828">
            <w:pPr>
              <w:rPr>
                <w:sz w:val="22"/>
                <w:szCs w:val="22"/>
              </w:rPr>
            </w:pPr>
            <w:r>
              <w:rPr>
                <w:sz w:val="22"/>
                <w:szCs w:val="22"/>
              </w:rPr>
              <w:t> </w:t>
            </w:r>
          </w:p>
        </w:tc>
        <w:tc>
          <w:tcPr>
            <w:tcW w:w="1711" w:type="dxa"/>
            <w:tcBorders>
              <w:top w:val="nil"/>
              <w:left w:val="nil"/>
              <w:bottom w:val="nil"/>
              <w:right w:val="single" w:sz="4" w:space="0" w:color="auto"/>
            </w:tcBorders>
            <w:shd w:val="clear" w:color="000000" w:fill="FFFFFF"/>
            <w:noWrap/>
            <w:vAlign w:val="bottom"/>
            <w:hideMark/>
          </w:tcPr>
          <w:p w14:paraId="5AB94EB2" w14:textId="77777777" w:rsidR="005D7828" w:rsidRDefault="005D7828" w:rsidP="005D7828">
            <w:pPr>
              <w:rPr>
                <w:sz w:val="22"/>
                <w:szCs w:val="22"/>
              </w:rPr>
            </w:pPr>
            <w:r>
              <w:rPr>
                <w:sz w:val="22"/>
                <w:szCs w:val="22"/>
              </w:rPr>
              <w:t> </w:t>
            </w:r>
          </w:p>
        </w:tc>
      </w:tr>
      <w:tr w:rsidR="005D7828" w14:paraId="3EC39911" w14:textId="77777777" w:rsidTr="005D7828">
        <w:trPr>
          <w:trHeight w:val="300"/>
          <w:jc w:val="center"/>
        </w:trPr>
        <w:tc>
          <w:tcPr>
            <w:tcW w:w="200" w:type="dxa"/>
            <w:tcBorders>
              <w:top w:val="nil"/>
              <w:left w:val="single" w:sz="4" w:space="0" w:color="auto"/>
              <w:bottom w:val="nil"/>
              <w:right w:val="nil"/>
            </w:tcBorders>
            <w:shd w:val="clear" w:color="000000" w:fill="FFFFFF"/>
            <w:noWrap/>
            <w:vAlign w:val="bottom"/>
            <w:hideMark/>
          </w:tcPr>
          <w:p w14:paraId="168A6377" w14:textId="77777777" w:rsidR="005D7828" w:rsidRDefault="005D7828" w:rsidP="005D7828">
            <w:pPr>
              <w:jc w:val="center"/>
              <w:rPr>
                <w:sz w:val="22"/>
                <w:szCs w:val="22"/>
              </w:rPr>
            </w:pPr>
            <w:r>
              <w:rPr>
                <w:sz w:val="22"/>
                <w:szCs w:val="22"/>
              </w:rPr>
              <w:t>4</w:t>
            </w:r>
          </w:p>
        </w:tc>
        <w:tc>
          <w:tcPr>
            <w:tcW w:w="4308" w:type="dxa"/>
            <w:tcBorders>
              <w:top w:val="nil"/>
              <w:left w:val="nil"/>
              <w:bottom w:val="nil"/>
              <w:right w:val="nil"/>
            </w:tcBorders>
            <w:shd w:val="clear" w:color="000000" w:fill="FFFFFF"/>
            <w:noWrap/>
            <w:vAlign w:val="bottom"/>
            <w:hideMark/>
          </w:tcPr>
          <w:p w14:paraId="56167B5C" w14:textId="77777777" w:rsidR="005D7828" w:rsidRDefault="005D7828" w:rsidP="005D7828">
            <w:pPr>
              <w:rPr>
                <w:sz w:val="22"/>
                <w:szCs w:val="22"/>
              </w:rPr>
            </w:pPr>
            <w:r>
              <w:rPr>
                <w:sz w:val="22"/>
                <w:szCs w:val="22"/>
              </w:rPr>
              <w:t>CIAC</w:t>
            </w:r>
          </w:p>
        </w:tc>
        <w:tc>
          <w:tcPr>
            <w:tcW w:w="1596" w:type="dxa"/>
            <w:tcBorders>
              <w:top w:val="nil"/>
              <w:left w:val="nil"/>
              <w:bottom w:val="nil"/>
              <w:right w:val="nil"/>
            </w:tcBorders>
            <w:shd w:val="clear" w:color="000000" w:fill="FFFFFF"/>
            <w:noWrap/>
            <w:vAlign w:val="bottom"/>
            <w:hideMark/>
          </w:tcPr>
          <w:p w14:paraId="37875BED" w14:textId="77777777" w:rsidR="005D7828" w:rsidRDefault="005D7828" w:rsidP="005D7828">
            <w:pPr>
              <w:jc w:val="right"/>
              <w:rPr>
                <w:sz w:val="22"/>
                <w:szCs w:val="22"/>
              </w:rPr>
            </w:pPr>
            <w:r>
              <w:rPr>
                <w:sz w:val="22"/>
                <w:szCs w:val="22"/>
              </w:rPr>
              <w:t>(16,153,462)</w:t>
            </w:r>
          </w:p>
        </w:tc>
        <w:tc>
          <w:tcPr>
            <w:tcW w:w="1457" w:type="dxa"/>
            <w:tcBorders>
              <w:top w:val="nil"/>
              <w:left w:val="nil"/>
              <w:bottom w:val="nil"/>
              <w:right w:val="nil"/>
            </w:tcBorders>
            <w:shd w:val="clear" w:color="000000" w:fill="FFFFFF"/>
            <w:noWrap/>
            <w:vAlign w:val="bottom"/>
            <w:hideMark/>
          </w:tcPr>
          <w:p w14:paraId="5EDE7554" w14:textId="77777777" w:rsidR="005D7828" w:rsidRDefault="005D7828" w:rsidP="005D7828">
            <w:pPr>
              <w:jc w:val="right"/>
              <w:rPr>
                <w:sz w:val="22"/>
                <w:szCs w:val="22"/>
              </w:rPr>
            </w:pPr>
            <w:r>
              <w:rPr>
                <w:sz w:val="22"/>
                <w:szCs w:val="22"/>
              </w:rPr>
              <w:t>(813,931)</w:t>
            </w:r>
          </w:p>
        </w:tc>
        <w:tc>
          <w:tcPr>
            <w:tcW w:w="1711" w:type="dxa"/>
            <w:tcBorders>
              <w:top w:val="nil"/>
              <w:left w:val="nil"/>
              <w:bottom w:val="nil"/>
              <w:right w:val="single" w:sz="4" w:space="0" w:color="auto"/>
            </w:tcBorders>
            <w:shd w:val="clear" w:color="000000" w:fill="FFFFFF"/>
            <w:noWrap/>
            <w:vAlign w:val="bottom"/>
            <w:hideMark/>
          </w:tcPr>
          <w:p w14:paraId="1747F661" w14:textId="77777777" w:rsidR="005D7828" w:rsidRDefault="005D7828" w:rsidP="005D7828">
            <w:pPr>
              <w:jc w:val="right"/>
              <w:rPr>
                <w:sz w:val="22"/>
                <w:szCs w:val="22"/>
              </w:rPr>
            </w:pPr>
            <w:r>
              <w:rPr>
                <w:sz w:val="22"/>
                <w:szCs w:val="22"/>
              </w:rPr>
              <w:t>(16,967,393)</w:t>
            </w:r>
          </w:p>
        </w:tc>
      </w:tr>
      <w:tr w:rsidR="005D7828" w14:paraId="5F38A0EB" w14:textId="77777777" w:rsidTr="005D7828">
        <w:trPr>
          <w:trHeight w:val="300"/>
          <w:jc w:val="center"/>
        </w:trPr>
        <w:tc>
          <w:tcPr>
            <w:tcW w:w="200" w:type="dxa"/>
            <w:tcBorders>
              <w:top w:val="nil"/>
              <w:left w:val="single" w:sz="4" w:space="0" w:color="auto"/>
              <w:bottom w:val="nil"/>
              <w:right w:val="nil"/>
            </w:tcBorders>
            <w:shd w:val="clear" w:color="000000" w:fill="FFFFFF"/>
            <w:noWrap/>
            <w:vAlign w:val="bottom"/>
            <w:hideMark/>
          </w:tcPr>
          <w:p w14:paraId="70D3F2FF" w14:textId="77777777" w:rsidR="005D7828" w:rsidRDefault="005D7828" w:rsidP="005D7828">
            <w:pPr>
              <w:jc w:val="center"/>
              <w:rPr>
                <w:sz w:val="22"/>
                <w:szCs w:val="22"/>
              </w:rPr>
            </w:pPr>
            <w:r>
              <w:rPr>
                <w:sz w:val="22"/>
                <w:szCs w:val="22"/>
              </w:rPr>
              <w:t> </w:t>
            </w:r>
          </w:p>
        </w:tc>
        <w:tc>
          <w:tcPr>
            <w:tcW w:w="4308" w:type="dxa"/>
            <w:tcBorders>
              <w:top w:val="nil"/>
              <w:left w:val="nil"/>
              <w:bottom w:val="nil"/>
              <w:right w:val="nil"/>
            </w:tcBorders>
            <w:shd w:val="clear" w:color="000000" w:fill="FFFFFF"/>
            <w:noWrap/>
            <w:vAlign w:val="bottom"/>
            <w:hideMark/>
          </w:tcPr>
          <w:p w14:paraId="0E1E07F7" w14:textId="77777777" w:rsidR="005D7828" w:rsidRDefault="005D7828" w:rsidP="005D7828">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14:paraId="312454CA" w14:textId="77777777" w:rsidR="005D7828" w:rsidRDefault="005D7828" w:rsidP="005D7828">
            <w:pPr>
              <w:rPr>
                <w:sz w:val="22"/>
                <w:szCs w:val="22"/>
              </w:rPr>
            </w:pPr>
            <w:r>
              <w:rPr>
                <w:sz w:val="22"/>
                <w:szCs w:val="22"/>
              </w:rPr>
              <w:t> </w:t>
            </w:r>
          </w:p>
        </w:tc>
        <w:tc>
          <w:tcPr>
            <w:tcW w:w="1457" w:type="dxa"/>
            <w:tcBorders>
              <w:top w:val="nil"/>
              <w:left w:val="nil"/>
              <w:bottom w:val="nil"/>
              <w:right w:val="nil"/>
            </w:tcBorders>
            <w:shd w:val="clear" w:color="000000" w:fill="FFFFFF"/>
            <w:noWrap/>
            <w:vAlign w:val="bottom"/>
            <w:hideMark/>
          </w:tcPr>
          <w:p w14:paraId="59D59CDA" w14:textId="77777777" w:rsidR="005D7828" w:rsidRDefault="005D7828" w:rsidP="005D7828">
            <w:pPr>
              <w:rPr>
                <w:sz w:val="22"/>
                <w:szCs w:val="22"/>
              </w:rPr>
            </w:pPr>
            <w:r>
              <w:rPr>
                <w:sz w:val="22"/>
                <w:szCs w:val="22"/>
              </w:rPr>
              <w:t> </w:t>
            </w:r>
          </w:p>
        </w:tc>
        <w:tc>
          <w:tcPr>
            <w:tcW w:w="1711" w:type="dxa"/>
            <w:tcBorders>
              <w:top w:val="nil"/>
              <w:left w:val="nil"/>
              <w:bottom w:val="nil"/>
              <w:right w:val="single" w:sz="4" w:space="0" w:color="auto"/>
            </w:tcBorders>
            <w:shd w:val="clear" w:color="000000" w:fill="FFFFFF"/>
            <w:noWrap/>
            <w:vAlign w:val="bottom"/>
            <w:hideMark/>
          </w:tcPr>
          <w:p w14:paraId="72EF3E5E" w14:textId="77777777" w:rsidR="005D7828" w:rsidRDefault="005D7828" w:rsidP="005D7828">
            <w:pPr>
              <w:rPr>
                <w:sz w:val="22"/>
                <w:szCs w:val="22"/>
              </w:rPr>
            </w:pPr>
            <w:r>
              <w:rPr>
                <w:sz w:val="22"/>
                <w:szCs w:val="22"/>
              </w:rPr>
              <w:t> </w:t>
            </w:r>
          </w:p>
        </w:tc>
      </w:tr>
      <w:tr w:rsidR="005D7828" w14:paraId="3E173675" w14:textId="77777777" w:rsidTr="005D7828">
        <w:trPr>
          <w:trHeight w:val="300"/>
          <w:jc w:val="center"/>
        </w:trPr>
        <w:tc>
          <w:tcPr>
            <w:tcW w:w="200" w:type="dxa"/>
            <w:tcBorders>
              <w:top w:val="nil"/>
              <w:left w:val="single" w:sz="4" w:space="0" w:color="auto"/>
              <w:bottom w:val="nil"/>
              <w:right w:val="nil"/>
            </w:tcBorders>
            <w:shd w:val="clear" w:color="000000" w:fill="FFFFFF"/>
            <w:noWrap/>
            <w:vAlign w:val="bottom"/>
            <w:hideMark/>
          </w:tcPr>
          <w:p w14:paraId="1A82527B" w14:textId="77777777" w:rsidR="005D7828" w:rsidRDefault="005D7828" w:rsidP="005D7828">
            <w:pPr>
              <w:jc w:val="center"/>
              <w:rPr>
                <w:sz w:val="22"/>
                <w:szCs w:val="22"/>
              </w:rPr>
            </w:pPr>
            <w:r>
              <w:rPr>
                <w:sz w:val="22"/>
                <w:szCs w:val="22"/>
              </w:rPr>
              <w:t>5</w:t>
            </w:r>
          </w:p>
        </w:tc>
        <w:tc>
          <w:tcPr>
            <w:tcW w:w="4308" w:type="dxa"/>
            <w:tcBorders>
              <w:top w:val="nil"/>
              <w:left w:val="nil"/>
              <w:bottom w:val="nil"/>
              <w:right w:val="nil"/>
            </w:tcBorders>
            <w:shd w:val="clear" w:color="000000" w:fill="FFFFFF"/>
            <w:noWrap/>
            <w:vAlign w:val="bottom"/>
            <w:hideMark/>
          </w:tcPr>
          <w:p w14:paraId="14A2FCDF" w14:textId="77777777" w:rsidR="005D7828" w:rsidRDefault="005D7828" w:rsidP="005D7828">
            <w:pPr>
              <w:rPr>
                <w:sz w:val="22"/>
                <w:szCs w:val="22"/>
              </w:rPr>
            </w:pPr>
            <w:r>
              <w:rPr>
                <w:sz w:val="22"/>
                <w:szCs w:val="22"/>
              </w:rPr>
              <w:t>Amortization of CIAC</w:t>
            </w:r>
          </w:p>
        </w:tc>
        <w:tc>
          <w:tcPr>
            <w:tcW w:w="1596" w:type="dxa"/>
            <w:tcBorders>
              <w:top w:val="nil"/>
              <w:left w:val="nil"/>
              <w:bottom w:val="nil"/>
              <w:right w:val="nil"/>
            </w:tcBorders>
            <w:shd w:val="clear" w:color="000000" w:fill="FFFFFF"/>
            <w:noWrap/>
            <w:vAlign w:val="bottom"/>
            <w:hideMark/>
          </w:tcPr>
          <w:p w14:paraId="4BCBB5BA" w14:textId="77777777" w:rsidR="005D7828" w:rsidRDefault="005D7828" w:rsidP="005D7828">
            <w:pPr>
              <w:jc w:val="right"/>
              <w:rPr>
                <w:sz w:val="22"/>
                <w:szCs w:val="22"/>
              </w:rPr>
            </w:pPr>
            <w:r>
              <w:rPr>
                <w:sz w:val="22"/>
                <w:szCs w:val="22"/>
              </w:rPr>
              <w:t xml:space="preserve">7,230,578 </w:t>
            </w:r>
          </w:p>
        </w:tc>
        <w:tc>
          <w:tcPr>
            <w:tcW w:w="1457" w:type="dxa"/>
            <w:tcBorders>
              <w:top w:val="nil"/>
              <w:left w:val="nil"/>
              <w:bottom w:val="nil"/>
              <w:right w:val="nil"/>
            </w:tcBorders>
            <w:shd w:val="clear" w:color="auto" w:fill="auto"/>
            <w:noWrap/>
            <w:vAlign w:val="bottom"/>
            <w:hideMark/>
          </w:tcPr>
          <w:p w14:paraId="61077BAE" w14:textId="77777777" w:rsidR="005D7828" w:rsidRDefault="005D7828" w:rsidP="005D7828">
            <w:pPr>
              <w:jc w:val="right"/>
              <w:rPr>
                <w:sz w:val="22"/>
                <w:szCs w:val="22"/>
              </w:rPr>
            </w:pPr>
            <w:r>
              <w:rPr>
                <w:sz w:val="22"/>
                <w:szCs w:val="22"/>
              </w:rPr>
              <w:t xml:space="preserve">327,624 </w:t>
            </w:r>
          </w:p>
        </w:tc>
        <w:tc>
          <w:tcPr>
            <w:tcW w:w="1711" w:type="dxa"/>
            <w:tcBorders>
              <w:top w:val="nil"/>
              <w:left w:val="nil"/>
              <w:bottom w:val="nil"/>
              <w:right w:val="single" w:sz="4" w:space="0" w:color="auto"/>
            </w:tcBorders>
            <w:shd w:val="clear" w:color="auto" w:fill="auto"/>
            <w:noWrap/>
            <w:vAlign w:val="bottom"/>
            <w:hideMark/>
          </w:tcPr>
          <w:p w14:paraId="7720BD9D" w14:textId="77777777" w:rsidR="005D7828" w:rsidRDefault="005D7828" w:rsidP="005D7828">
            <w:pPr>
              <w:jc w:val="right"/>
              <w:rPr>
                <w:sz w:val="22"/>
                <w:szCs w:val="22"/>
              </w:rPr>
            </w:pPr>
            <w:r>
              <w:rPr>
                <w:sz w:val="22"/>
                <w:szCs w:val="22"/>
              </w:rPr>
              <w:t xml:space="preserve">7,558,202 </w:t>
            </w:r>
          </w:p>
        </w:tc>
      </w:tr>
      <w:tr w:rsidR="005D7828" w14:paraId="378020D6" w14:textId="77777777" w:rsidTr="005D7828">
        <w:trPr>
          <w:trHeight w:val="300"/>
          <w:jc w:val="center"/>
        </w:trPr>
        <w:tc>
          <w:tcPr>
            <w:tcW w:w="200" w:type="dxa"/>
            <w:tcBorders>
              <w:top w:val="nil"/>
              <w:left w:val="single" w:sz="4" w:space="0" w:color="auto"/>
              <w:bottom w:val="nil"/>
              <w:right w:val="nil"/>
            </w:tcBorders>
            <w:shd w:val="clear" w:color="000000" w:fill="FFFFFF"/>
            <w:noWrap/>
            <w:vAlign w:val="bottom"/>
            <w:hideMark/>
          </w:tcPr>
          <w:p w14:paraId="1B90FB40" w14:textId="77777777" w:rsidR="005D7828" w:rsidRDefault="005D7828" w:rsidP="005D7828">
            <w:pPr>
              <w:jc w:val="center"/>
              <w:rPr>
                <w:sz w:val="22"/>
                <w:szCs w:val="22"/>
              </w:rPr>
            </w:pPr>
            <w:r>
              <w:rPr>
                <w:sz w:val="22"/>
                <w:szCs w:val="22"/>
              </w:rPr>
              <w:t> </w:t>
            </w:r>
          </w:p>
        </w:tc>
        <w:tc>
          <w:tcPr>
            <w:tcW w:w="4308" w:type="dxa"/>
            <w:tcBorders>
              <w:top w:val="nil"/>
              <w:left w:val="nil"/>
              <w:bottom w:val="nil"/>
              <w:right w:val="nil"/>
            </w:tcBorders>
            <w:shd w:val="clear" w:color="000000" w:fill="FFFFFF"/>
            <w:noWrap/>
            <w:vAlign w:val="bottom"/>
            <w:hideMark/>
          </w:tcPr>
          <w:p w14:paraId="24038A70" w14:textId="77777777" w:rsidR="005D7828" w:rsidRDefault="005D7828" w:rsidP="005D7828">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14:paraId="36E2A967" w14:textId="77777777" w:rsidR="005D7828" w:rsidRDefault="005D7828" w:rsidP="005D7828">
            <w:pPr>
              <w:rPr>
                <w:sz w:val="22"/>
                <w:szCs w:val="22"/>
              </w:rPr>
            </w:pPr>
            <w:r>
              <w:rPr>
                <w:sz w:val="22"/>
                <w:szCs w:val="22"/>
              </w:rPr>
              <w:t> </w:t>
            </w:r>
          </w:p>
        </w:tc>
        <w:tc>
          <w:tcPr>
            <w:tcW w:w="1457" w:type="dxa"/>
            <w:tcBorders>
              <w:top w:val="nil"/>
              <w:left w:val="nil"/>
              <w:bottom w:val="nil"/>
              <w:right w:val="nil"/>
            </w:tcBorders>
            <w:shd w:val="clear" w:color="000000" w:fill="FFFFFF"/>
            <w:noWrap/>
            <w:vAlign w:val="bottom"/>
            <w:hideMark/>
          </w:tcPr>
          <w:p w14:paraId="3089AF88" w14:textId="77777777" w:rsidR="005D7828" w:rsidRDefault="005D7828" w:rsidP="005D7828">
            <w:pPr>
              <w:rPr>
                <w:sz w:val="22"/>
                <w:szCs w:val="22"/>
              </w:rPr>
            </w:pPr>
            <w:r>
              <w:rPr>
                <w:sz w:val="22"/>
                <w:szCs w:val="22"/>
              </w:rPr>
              <w:t> </w:t>
            </w:r>
          </w:p>
        </w:tc>
        <w:tc>
          <w:tcPr>
            <w:tcW w:w="1711" w:type="dxa"/>
            <w:tcBorders>
              <w:top w:val="nil"/>
              <w:left w:val="nil"/>
              <w:bottom w:val="nil"/>
              <w:right w:val="single" w:sz="4" w:space="0" w:color="auto"/>
            </w:tcBorders>
            <w:shd w:val="clear" w:color="000000" w:fill="FFFFFF"/>
            <w:noWrap/>
            <w:vAlign w:val="bottom"/>
            <w:hideMark/>
          </w:tcPr>
          <w:p w14:paraId="2D1FC974" w14:textId="77777777" w:rsidR="005D7828" w:rsidRDefault="005D7828" w:rsidP="005D7828">
            <w:pPr>
              <w:rPr>
                <w:sz w:val="22"/>
                <w:szCs w:val="22"/>
              </w:rPr>
            </w:pPr>
            <w:r>
              <w:rPr>
                <w:sz w:val="22"/>
                <w:szCs w:val="22"/>
              </w:rPr>
              <w:t> </w:t>
            </w:r>
          </w:p>
        </w:tc>
      </w:tr>
      <w:tr w:rsidR="005D7828" w14:paraId="50C64E7F" w14:textId="77777777" w:rsidTr="005D7828">
        <w:trPr>
          <w:trHeight w:val="300"/>
          <w:jc w:val="center"/>
        </w:trPr>
        <w:tc>
          <w:tcPr>
            <w:tcW w:w="200" w:type="dxa"/>
            <w:tcBorders>
              <w:top w:val="nil"/>
              <w:left w:val="single" w:sz="4" w:space="0" w:color="auto"/>
              <w:bottom w:val="nil"/>
              <w:right w:val="nil"/>
            </w:tcBorders>
            <w:shd w:val="clear" w:color="000000" w:fill="FFFFFF"/>
            <w:noWrap/>
            <w:vAlign w:val="bottom"/>
            <w:hideMark/>
          </w:tcPr>
          <w:p w14:paraId="49788656" w14:textId="77777777" w:rsidR="005D7828" w:rsidRDefault="005D7828" w:rsidP="005D7828">
            <w:pPr>
              <w:jc w:val="center"/>
              <w:rPr>
                <w:sz w:val="22"/>
                <w:szCs w:val="22"/>
              </w:rPr>
            </w:pPr>
            <w:r>
              <w:rPr>
                <w:sz w:val="22"/>
                <w:szCs w:val="22"/>
              </w:rPr>
              <w:t>6</w:t>
            </w:r>
          </w:p>
        </w:tc>
        <w:tc>
          <w:tcPr>
            <w:tcW w:w="4308" w:type="dxa"/>
            <w:tcBorders>
              <w:top w:val="nil"/>
              <w:left w:val="nil"/>
              <w:bottom w:val="nil"/>
              <w:right w:val="nil"/>
            </w:tcBorders>
            <w:shd w:val="clear" w:color="000000" w:fill="FFFFFF"/>
            <w:noWrap/>
            <w:vAlign w:val="bottom"/>
            <w:hideMark/>
          </w:tcPr>
          <w:p w14:paraId="2FC66DDB" w14:textId="77777777" w:rsidR="005D7828" w:rsidRDefault="005D7828" w:rsidP="005D7828">
            <w:pPr>
              <w:rPr>
                <w:sz w:val="22"/>
                <w:szCs w:val="22"/>
              </w:rPr>
            </w:pPr>
            <w:r>
              <w:rPr>
                <w:sz w:val="22"/>
                <w:szCs w:val="22"/>
              </w:rPr>
              <w:t>Working Capital Allowance</w:t>
            </w:r>
          </w:p>
        </w:tc>
        <w:tc>
          <w:tcPr>
            <w:tcW w:w="1596" w:type="dxa"/>
            <w:tcBorders>
              <w:top w:val="nil"/>
              <w:left w:val="nil"/>
              <w:bottom w:val="nil"/>
              <w:right w:val="nil"/>
            </w:tcBorders>
            <w:shd w:val="clear" w:color="000000" w:fill="FFFFFF"/>
            <w:noWrap/>
            <w:vAlign w:val="bottom"/>
            <w:hideMark/>
          </w:tcPr>
          <w:p w14:paraId="6A713183" w14:textId="77777777" w:rsidR="005D7828" w:rsidRDefault="005D7828" w:rsidP="005D7828">
            <w:pPr>
              <w:jc w:val="right"/>
              <w:rPr>
                <w:sz w:val="22"/>
                <w:szCs w:val="22"/>
                <w:u w:val="single"/>
              </w:rPr>
            </w:pPr>
            <w:r>
              <w:rPr>
                <w:sz w:val="22"/>
                <w:szCs w:val="22"/>
                <w:u w:val="single"/>
              </w:rPr>
              <w:t xml:space="preserve">174,443 </w:t>
            </w:r>
          </w:p>
        </w:tc>
        <w:tc>
          <w:tcPr>
            <w:tcW w:w="1457" w:type="dxa"/>
            <w:tcBorders>
              <w:top w:val="nil"/>
              <w:left w:val="nil"/>
              <w:bottom w:val="nil"/>
              <w:right w:val="nil"/>
            </w:tcBorders>
            <w:shd w:val="clear" w:color="000000" w:fill="FFFFFF"/>
            <w:noWrap/>
            <w:vAlign w:val="bottom"/>
            <w:hideMark/>
          </w:tcPr>
          <w:p w14:paraId="13856F52" w14:textId="77777777" w:rsidR="005D7828" w:rsidRDefault="005D7828" w:rsidP="005D7828">
            <w:pPr>
              <w:jc w:val="right"/>
              <w:rPr>
                <w:sz w:val="22"/>
                <w:szCs w:val="22"/>
                <w:u w:val="single"/>
              </w:rPr>
            </w:pPr>
            <w:r>
              <w:rPr>
                <w:sz w:val="22"/>
                <w:szCs w:val="22"/>
                <w:u w:val="single"/>
              </w:rPr>
              <w:t xml:space="preserve">0 </w:t>
            </w:r>
          </w:p>
        </w:tc>
        <w:tc>
          <w:tcPr>
            <w:tcW w:w="1711" w:type="dxa"/>
            <w:tcBorders>
              <w:top w:val="nil"/>
              <w:left w:val="nil"/>
              <w:bottom w:val="nil"/>
              <w:right w:val="single" w:sz="4" w:space="0" w:color="auto"/>
            </w:tcBorders>
            <w:shd w:val="clear" w:color="000000" w:fill="FFFFFF"/>
            <w:noWrap/>
            <w:vAlign w:val="bottom"/>
            <w:hideMark/>
          </w:tcPr>
          <w:p w14:paraId="010C5284" w14:textId="77777777" w:rsidR="005D7828" w:rsidRDefault="005D7828" w:rsidP="005D7828">
            <w:pPr>
              <w:jc w:val="right"/>
              <w:rPr>
                <w:sz w:val="22"/>
                <w:szCs w:val="22"/>
                <w:u w:val="single"/>
              </w:rPr>
            </w:pPr>
            <w:r>
              <w:rPr>
                <w:sz w:val="22"/>
                <w:szCs w:val="22"/>
                <w:u w:val="single"/>
              </w:rPr>
              <w:t xml:space="preserve">174,443 </w:t>
            </w:r>
          </w:p>
        </w:tc>
      </w:tr>
      <w:tr w:rsidR="005D7828" w14:paraId="04AEBA23" w14:textId="77777777" w:rsidTr="005D7828">
        <w:trPr>
          <w:trHeight w:val="300"/>
          <w:jc w:val="center"/>
        </w:trPr>
        <w:tc>
          <w:tcPr>
            <w:tcW w:w="200" w:type="dxa"/>
            <w:tcBorders>
              <w:top w:val="nil"/>
              <w:left w:val="single" w:sz="4" w:space="0" w:color="auto"/>
              <w:bottom w:val="nil"/>
              <w:right w:val="nil"/>
            </w:tcBorders>
            <w:shd w:val="clear" w:color="000000" w:fill="FFFFFF"/>
            <w:noWrap/>
            <w:vAlign w:val="bottom"/>
            <w:hideMark/>
          </w:tcPr>
          <w:p w14:paraId="62BE2EFC" w14:textId="77777777" w:rsidR="005D7828" w:rsidRDefault="005D7828" w:rsidP="005D7828">
            <w:pPr>
              <w:jc w:val="center"/>
              <w:rPr>
                <w:sz w:val="22"/>
                <w:szCs w:val="22"/>
              </w:rPr>
            </w:pPr>
            <w:r>
              <w:rPr>
                <w:sz w:val="22"/>
                <w:szCs w:val="22"/>
              </w:rPr>
              <w:t> </w:t>
            </w:r>
          </w:p>
        </w:tc>
        <w:tc>
          <w:tcPr>
            <w:tcW w:w="4308" w:type="dxa"/>
            <w:tcBorders>
              <w:top w:val="nil"/>
              <w:left w:val="nil"/>
              <w:bottom w:val="nil"/>
              <w:right w:val="nil"/>
            </w:tcBorders>
            <w:shd w:val="clear" w:color="000000" w:fill="FFFFFF"/>
            <w:noWrap/>
            <w:vAlign w:val="bottom"/>
            <w:hideMark/>
          </w:tcPr>
          <w:p w14:paraId="351D5E7A" w14:textId="77777777" w:rsidR="005D7828" w:rsidRDefault="005D7828" w:rsidP="005D7828">
            <w:pPr>
              <w:rPr>
                <w:color w:val="000000"/>
                <w:sz w:val="22"/>
                <w:szCs w:val="22"/>
              </w:rPr>
            </w:pPr>
            <w:r>
              <w:rPr>
                <w:color w:val="000000"/>
                <w:sz w:val="22"/>
                <w:szCs w:val="22"/>
              </w:rPr>
              <w:t> </w:t>
            </w:r>
          </w:p>
        </w:tc>
        <w:tc>
          <w:tcPr>
            <w:tcW w:w="1596" w:type="dxa"/>
            <w:tcBorders>
              <w:top w:val="nil"/>
              <w:left w:val="nil"/>
              <w:bottom w:val="nil"/>
              <w:right w:val="nil"/>
            </w:tcBorders>
            <w:shd w:val="clear" w:color="000000" w:fill="FFFFFF"/>
            <w:noWrap/>
            <w:vAlign w:val="bottom"/>
            <w:hideMark/>
          </w:tcPr>
          <w:p w14:paraId="42BE3B7F" w14:textId="77777777" w:rsidR="005D7828" w:rsidRDefault="005D7828" w:rsidP="005D7828">
            <w:pPr>
              <w:rPr>
                <w:color w:val="000000"/>
                <w:sz w:val="22"/>
                <w:szCs w:val="22"/>
              </w:rPr>
            </w:pPr>
            <w:r>
              <w:rPr>
                <w:color w:val="000000"/>
                <w:sz w:val="22"/>
                <w:szCs w:val="22"/>
              </w:rPr>
              <w:t> </w:t>
            </w:r>
          </w:p>
        </w:tc>
        <w:tc>
          <w:tcPr>
            <w:tcW w:w="1457" w:type="dxa"/>
            <w:tcBorders>
              <w:top w:val="nil"/>
              <w:left w:val="nil"/>
              <w:bottom w:val="nil"/>
              <w:right w:val="nil"/>
            </w:tcBorders>
            <w:shd w:val="clear" w:color="000000" w:fill="FFFFFF"/>
            <w:noWrap/>
            <w:vAlign w:val="bottom"/>
            <w:hideMark/>
          </w:tcPr>
          <w:p w14:paraId="16FD546D" w14:textId="77777777" w:rsidR="005D7828" w:rsidRDefault="005D7828" w:rsidP="005D7828">
            <w:pPr>
              <w:rPr>
                <w:color w:val="000000"/>
                <w:sz w:val="22"/>
                <w:szCs w:val="22"/>
              </w:rPr>
            </w:pPr>
            <w:r>
              <w:rPr>
                <w:color w:val="000000"/>
                <w:sz w:val="22"/>
                <w:szCs w:val="22"/>
              </w:rPr>
              <w:t> </w:t>
            </w:r>
          </w:p>
        </w:tc>
        <w:tc>
          <w:tcPr>
            <w:tcW w:w="1711" w:type="dxa"/>
            <w:tcBorders>
              <w:top w:val="nil"/>
              <w:left w:val="nil"/>
              <w:bottom w:val="nil"/>
              <w:right w:val="single" w:sz="4" w:space="0" w:color="auto"/>
            </w:tcBorders>
            <w:shd w:val="clear" w:color="000000" w:fill="FFFFFF"/>
            <w:noWrap/>
            <w:vAlign w:val="bottom"/>
            <w:hideMark/>
          </w:tcPr>
          <w:p w14:paraId="0F9C928C" w14:textId="77777777" w:rsidR="005D7828" w:rsidRDefault="005D7828" w:rsidP="005D7828">
            <w:pPr>
              <w:rPr>
                <w:sz w:val="22"/>
                <w:szCs w:val="22"/>
              </w:rPr>
            </w:pPr>
            <w:r>
              <w:rPr>
                <w:sz w:val="22"/>
                <w:szCs w:val="22"/>
              </w:rPr>
              <w:t> </w:t>
            </w:r>
          </w:p>
        </w:tc>
      </w:tr>
      <w:tr w:rsidR="005D7828" w14:paraId="6D48EC59" w14:textId="77777777" w:rsidTr="005D7828">
        <w:trPr>
          <w:trHeight w:val="300"/>
          <w:jc w:val="center"/>
        </w:trPr>
        <w:tc>
          <w:tcPr>
            <w:tcW w:w="200" w:type="dxa"/>
            <w:tcBorders>
              <w:top w:val="nil"/>
              <w:left w:val="single" w:sz="4" w:space="0" w:color="auto"/>
              <w:bottom w:val="nil"/>
              <w:right w:val="nil"/>
            </w:tcBorders>
            <w:shd w:val="clear" w:color="000000" w:fill="FFFFFF"/>
            <w:noWrap/>
            <w:vAlign w:val="bottom"/>
            <w:hideMark/>
          </w:tcPr>
          <w:p w14:paraId="3E2789D0" w14:textId="77777777" w:rsidR="005D7828" w:rsidRDefault="005D7828" w:rsidP="005D7828">
            <w:pPr>
              <w:jc w:val="center"/>
              <w:rPr>
                <w:sz w:val="22"/>
                <w:szCs w:val="22"/>
              </w:rPr>
            </w:pPr>
            <w:r>
              <w:rPr>
                <w:sz w:val="22"/>
                <w:szCs w:val="22"/>
              </w:rPr>
              <w:t>7</w:t>
            </w:r>
          </w:p>
        </w:tc>
        <w:tc>
          <w:tcPr>
            <w:tcW w:w="4308" w:type="dxa"/>
            <w:tcBorders>
              <w:top w:val="nil"/>
              <w:left w:val="nil"/>
              <w:bottom w:val="nil"/>
              <w:right w:val="nil"/>
            </w:tcBorders>
            <w:shd w:val="clear" w:color="000000" w:fill="FFFFFF"/>
            <w:noWrap/>
            <w:vAlign w:val="bottom"/>
            <w:hideMark/>
          </w:tcPr>
          <w:p w14:paraId="0DDEB3C7" w14:textId="77777777" w:rsidR="005D7828" w:rsidRDefault="005D7828" w:rsidP="005D7828">
            <w:pPr>
              <w:rPr>
                <w:b/>
                <w:bCs/>
                <w:sz w:val="22"/>
                <w:szCs w:val="22"/>
              </w:rPr>
            </w:pPr>
            <w:r>
              <w:rPr>
                <w:b/>
                <w:bCs/>
                <w:sz w:val="22"/>
                <w:szCs w:val="22"/>
              </w:rPr>
              <w:t>Rate Base</w:t>
            </w:r>
          </w:p>
        </w:tc>
        <w:tc>
          <w:tcPr>
            <w:tcW w:w="1596" w:type="dxa"/>
            <w:tcBorders>
              <w:top w:val="nil"/>
              <w:left w:val="nil"/>
              <w:bottom w:val="nil"/>
              <w:right w:val="nil"/>
            </w:tcBorders>
            <w:shd w:val="clear" w:color="000000" w:fill="FFFFFF"/>
            <w:noWrap/>
            <w:vAlign w:val="bottom"/>
            <w:hideMark/>
          </w:tcPr>
          <w:p w14:paraId="33A38A26" w14:textId="77777777" w:rsidR="005D7828" w:rsidRDefault="005D7828" w:rsidP="005D7828">
            <w:pPr>
              <w:jc w:val="right"/>
              <w:rPr>
                <w:sz w:val="22"/>
                <w:szCs w:val="22"/>
                <w:u w:val="double"/>
              </w:rPr>
            </w:pPr>
            <w:r>
              <w:rPr>
                <w:sz w:val="22"/>
                <w:szCs w:val="22"/>
                <w:u w:val="double"/>
              </w:rPr>
              <w:t xml:space="preserve">$3,033,115 </w:t>
            </w:r>
          </w:p>
        </w:tc>
        <w:tc>
          <w:tcPr>
            <w:tcW w:w="1457" w:type="dxa"/>
            <w:tcBorders>
              <w:top w:val="nil"/>
              <w:left w:val="nil"/>
              <w:bottom w:val="nil"/>
              <w:right w:val="nil"/>
            </w:tcBorders>
            <w:shd w:val="clear" w:color="000000" w:fill="FFFFFF"/>
            <w:noWrap/>
            <w:vAlign w:val="bottom"/>
            <w:hideMark/>
          </w:tcPr>
          <w:p w14:paraId="23F797C4" w14:textId="77777777" w:rsidR="005D7828" w:rsidRDefault="005D7828" w:rsidP="005D7828">
            <w:pPr>
              <w:jc w:val="right"/>
              <w:rPr>
                <w:sz w:val="22"/>
                <w:szCs w:val="22"/>
                <w:u w:val="double"/>
              </w:rPr>
            </w:pPr>
            <w:r>
              <w:rPr>
                <w:sz w:val="22"/>
                <w:szCs w:val="22"/>
                <w:u w:val="double"/>
              </w:rPr>
              <w:t xml:space="preserve">($587,117) </w:t>
            </w:r>
          </w:p>
        </w:tc>
        <w:tc>
          <w:tcPr>
            <w:tcW w:w="1711" w:type="dxa"/>
            <w:tcBorders>
              <w:top w:val="nil"/>
              <w:left w:val="nil"/>
              <w:bottom w:val="nil"/>
              <w:right w:val="single" w:sz="4" w:space="0" w:color="auto"/>
            </w:tcBorders>
            <w:shd w:val="clear" w:color="000000" w:fill="FFFFFF"/>
            <w:noWrap/>
            <w:vAlign w:val="bottom"/>
            <w:hideMark/>
          </w:tcPr>
          <w:p w14:paraId="6C860A60" w14:textId="77777777" w:rsidR="005D7828" w:rsidRDefault="005D7828" w:rsidP="005D7828">
            <w:pPr>
              <w:jc w:val="right"/>
              <w:rPr>
                <w:sz w:val="22"/>
                <w:szCs w:val="22"/>
                <w:u w:val="double"/>
              </w:rPr>
            </w:pPr>
            <w:r>
              <w:rPr>
                <w:sz w:val="22"/>
                <w:szCs w:val="22"/>
                <w:u w:val="double"/>
              </w:rPr>
              <w:t xml:space="preserve">$2,445,998 </w:t>
            </w:r>
          </w:p>
        </w:tc>
      </w:tr>
      <w:tr w:rsidR="005D7828" w14:paraId="65C02E80" w14:textId="77777777" w:rsidTr="005D7828">
        <w:trPr>
          <w:trHeight w:val="300"/>
          <w:jc w:val="center"/>
        </w:trPr>
        <w:tc>
          <w:tcPr>
            <w:tcW w:w="200" w:type="dxa"/>
            <w:tcBorders>
              <w:top w:val="nil"/>
              <w:left w:val="single" w:sz="4" w:space="0" w:color="auto"/>
              <w:bottom w:val="single" w:sz="4" w:space="0" w:color="auto"/>
              <w:right w:val="nil"/>
            </w:tcBorders>
            <w:shd w:val="clear" w:color="000000" w:fill="FFFFFF"/>
            <w:noWrap/>
            <w:vAlign w:val="bottom"/>
            <w:hideMark/>
          </w:tcPr>
          <w:p w14:paraId="21A00CB1" w14:textId="77777777" w:rsidR="005D7828" w:rsidRDefault="005D7828" w:rsidP="005D7828">
            <w:pPr>
              <w:rPr>
                <w:rFonts w:ascii="Arial" w:hAnsi="Arial" w:cs="Arial"/>
                <w:sz w:val="20"/>
                <w:szCs w:val="20"/>
                <w:u w:val="single"/>
              </w:rPr>
            </w:pPr>
          </w:p>
        </w:tc>
        <w:tc>
          <w:tcPr>
            <w:tcW w:w="4308" w:type="dxa"/>
            <w:tcBorders>
              <w:top w:val="nil"/>
              <w:left w:val="nil"/>
              <w:bottom w:val="single" w:sz="4" w:space="0" w:color="auto"/>
              <w:right w:val="nil"/>
            </w:tcBorders>
            <w:shd w:val="clear" w:color="000000" w:fill="FFFFFF"/>
            <w:noWrap/>
            <w:vAlign w:val="bottom"/>
            <w:hideMark/>
          </w:tcPr>
          <w:p w14:paraId="1413AD9B" w14:textId="77777777" w:rsidR="005D7828" w:rsidRDefault="005D7828" w:rsidP="005D7828">
            <w:pPr>
              <w:rPr>
                <w:rFonts w:ascii="Arial" w:hAnsi="Arial" w:cs="Arial"/>
                <w:sz w:val="20"/>
                <w:szCs w:val="20"/>
                <w:u w:val="single"/>
              </w:rPr>
            </w:pPr>
          </w:p>
        </w:tc>
        <w:tc>
          <w:tcPr>
            <w:tcW w:w="1596" w:type="dxa"/>
            <w:tcBorders>
              <w:top w:val="nil"/>
              <w:left w:val="nil"/>
              <w:bottom w:val="single" w:sz="4" w:space="0" w:color="auto"/>
              <w:right w:val="nil"/>
            </w:tcBorders>
            <w:shd w:val="clear" w:color="000000" w:fill="FFFFFF"/>
            <w:noWrap/>
            <w:vAlign w:val="bottom"/>
            <w:hideMark/>
          </w:tcPr>
          <w:p w14:paraId="51F7DBD7" w14:textId="77777777" w:rsidR="005D7828" w:rsidRDefault="005D7828" w:rsidP="005D7828">
            <w:pPr>
              <w:rPr>
                <w:rFonts w:ascii="Arial" w:hAnsi="Arial" w:cs="Arial"/>
                <w:sz w:val="20"/>
                <w:szCs w:val="20"/>
                <w:u w:val="single"/>
              </w:rPr>
            </w:pPr>
          </w:p>
        </w:tc>
        <w:tc>
          <w:tcPr>
            <w:tcW w:w="1457" w:type="dxa"/>
            <w:tcBorders>
              <w:top w:val="nil"/>
              <w:left w:val="nil"/>
              <w:bottom w:val="single" w:sz="4" w:space="0" w:color="auto"/>
              <w:right w:val="nil"/>
            </w:tcBorders>
            <w:shd w:val="clear" w:color="000000" w:fill="FFFFFF"/>
            <w:noWrap/>
            <w:vAlign w:val="bottom"/>
            <w:hideMark/>
          </w:tcPr>
          <w:p w14:paraId="2CB99A5A" w14:textId="77777777" w:rsidR="005D7828" w:rsidRDefault="005D7828" w:rsidP="005D7828">
            <w:pPr>
              <w:rPr>
                <w:rFonts w:ascii="Arial" w:hAnsi="Arial" w:cs="Arial"/>
                <w:sz w:val="20"/>
                <w:szCs w:val="20"/>
                <w:u w:val="single"/>
              </w:rPr>
            </w:pPr>
          </w:p>
        </w:tc>
        <w:tc>
          <w:tcPr>
            <w:tcW w:w="1711" w:type="dxa"/>
            <w:tcBorders>
              <w:top w:val="nil"/>
              <w:left w:val="nil"/>
              <w:bottom w:val="single" w:sz="4" w:space="0" w:color="auto"/>
              <w:right w:val="single" w:sz="4" w:space="0" w:color="auto"/>
            </w:tcBorders>
            <w:shd w:val="clear" w:color="000000" w:fill="FFFFFF"/>
            <w:noWrap/>
            <w:vAlign w:val="bottom"/>
            <w:hideMark/>
          </w:tcPr>
          <w:p w14:paraId="676340F7" w14:textId="77777777" w:rsidR="005D7828" w:rsidRDefault="005D7828" w:rsidP="005D7828">
            <w:pPr>
              <w:rPr>
                <w:rFonts w:ascii="Arial" w:hAnsi="Arial" w:cs="Arial"/>
                <w:sz w:val="20"/>
                <w:szCs w:val="20"/>
                <w:u w:val="single"/>
              </w:rPr>
            </w:pPr>
          </w:p>
        </w:tc>
      </w:tr>
    </w:tbl>
    <w:p w14:paraId="18C4DE7C" w14:textId="77777777" w:rsidR="005D7828" w:rsidRDefault="005D7828" w:rsidP="005D7828">
      <w:pPr>
        <w:pStyle w:val="BodyText"/>
        <w:sectPr w:rsidR="005D7828">
          <w:headerReference w:type="default" r:id="rId15"/>
          <w:pgSz w:w="12240" w:h="15840"/>
          <w:pgMar w:top="1440" w:right="1440" w:bottom="1440" w:left="1440" w:header="720" w:footer="720" w:gutter="0"/>
          <w:cols w:space="720"/>
          <w:docGrid w:linePitch="360"/>
        </w:sectPr>
      </w:pPr>
    </w:p>
    <w:p w14:paraId="539809CC" w14:textId="77777777" w:rsidR="005D7828" w:rsidRDefault="005D7828" w:rsidP="005D7828">
      <w:pPr>
        <w:pStyle w:val="BodyText"/>
      </w:pPr>
    </w:p>
    <w:tbl>
      <w:tblPr>
        <w:tblW w:w="9716" w:type="dxa"/>
        <w:tblInd w:w="113" w:type="dxa"/>
        <w:tblLook w:val="04A0" w:firstRow="1" w:lastRow="0" w:firstColumn="1" w:lastColumn="0" w:noHBand="0" w:noVBand="1"/>
      </w:tblPr>
      <w:tblGrid>
        <w:gridCol w:w="272"/>
        <w:gridCol w:w="7251"/>
        <w:gridCol w:w="1742"/>
        <w:gridCol w:w="451"/>
      </w:tblGrid>
      <w:tr w:rsidR="005D7828" w14:paraId="3B719E06" w14:textId="77777777" w:rsidTr="005D7828">
        <w:trPr>
          <w:trHeight w:val="300"/>
        </w:trPr>
        <w:tc>
          <w:tcPr>
            <w:tcW w:w="7523" w:type="dxa"/>
            <w:gridSpan w:val="2"/>
            <w:tcBorders>
              <w:top w:val="single" w:sz="4" w:space="0" w:color="auto"/>
              <w:left w:val="single" w:sz="4" w:space="0" w:color="auto"/>
              <w:bottom w:val="nil"/>
              <w:right w:val="nil"/>
            </w:tcBorders>
            <w:shd w:val="clear" w:color="000000" w:fill="FFFFFF"/>
            <w:noWrap/>
            <w:vAlign w:val="bottom"/>
            <w:hideMark/>
          </w:tcPr>
          <w:p w14:paraId="0ABCAD48" w14:textId="77777777" w:rsidR="005D7828" w:rsidRDefault="005D7828" w:rsidP="005D7828">
            <w:pPr>
              <w:rPr>
                <w:rFonts w:ascii="Arial" w:hAnsi="Arial" w:cs="Arial"/>
                <w:b/>
                <w:bCs/>
              </w:rPr>
            </w:pPr>
            <w:bookmarkStart w:id="23" w:name="RANGE!B5:E25"/>
            <w:r>
              <w:rPr>
                <w:rFonts w:ascii="Arial" w:hAnsi="Arial" w:cs="Arial"/>
                <w:b/>
                <w:bCs/>
              </w:rPr>
              <w:t>Environmental Utilities, LLC</w:t>
            </w:r>
            <w:bookmarkEnd w:id="23"/>
          </w:p>
        </w:tc>
        <w:tc>
          <w:tcPr>
            <w:tcW w:w="2193" w:type="dxa"/>
            <w:gridSpan w:val="2"/>
            <w:tcBorders>
              <w:top w:val="single" w:sz="4" w:space="0" w:color="auto"/>
              <w:left w:val="nil"/>
              <w:bottom w:val="nil"/>
              <w:right w:val="single" w:sz="4" w:space="0" w:color="auto"/>
            </w:tcBorders>
            <w:shd w:val="clear" w:color="000000" w:fill="FFFFFF"/>
            <w:noWrap/>
            <w:vAlign w:val="bottom"/>
            <w:hideMark/>
          </w:tcPr>
          <w:p w14:paraId="0350524A" w14:textId="77777777" w:rsidR="005D7828" w:rsidRDefault="005D7828" w:rsidP="005D7828">
            <w:pPr>
              <w:rPr>
                <w:rFonts w:ascii="Arial" w:hAnsi="Arial" w:cs="Arial"/>
                <w:b/>
                <w:bCs/>
              </w:rPr>
            </w:pPr>
            <w:r>
              <w:rPr>
                <w:rFonts w:ascii="Arial" w:hAnsi="Arial" w:cs="Arial"/>
                <w:b/>
                <w:bCs/>
              </w:rPr>
              <w:t>Schedule No. 1-B</w:t>
            </w:r>
          </w:p>
        </w:tc>
      </w:tr>
      <w:tr w:rsidR="005D7828" w14:paraId="0007E3DB" w14:textId="77777777" w:rsidTr="005D7828">
        <w:trPr>
          <w:trHeight w:val="300"/>
        </w:trPr>
        <w:tc>
          <w:tcPr>
            <w:tcW w:w="7523" w:type="dxa"/>
            <w:gridSpan w:val="2"/>
            <w:tcBorders>
              <w:top w:val="nil"/>
              <w:left w:val="single" w:sz="4" w:space="0" w:color="auto"/>
              <w:bottom w:val="nil"/>
              <w:right w:val="nil"/>
            </w:tcBorders>
            <w:shd w:val="clear" w:color="000000" w:fill="FFFFFF"/>
            <w:noWrap/>
            <w:vAlign w:val="bottom"/>
            <w:hideMark/>
          </w:tcPr>
          <w:p w14:paraId="10C82E6B" w14:textId="77777777" w:rsidR="005D7828" w:rsidRDefault="005D7828" w:rsidP="005D7828">
            <w:pPr>
              <w:rPr>
                <w:rFonts w:ascii="Arial" w:hAnsi="Arial" w:cs="Arial"/>
                <w:b/>
                <w:bCs/>
              </w:rPr>
            </w:pPr>
            <w:r>
              <w:rPr>
                <w:rFonts w:ascii="Arial" w:hAnsi="Arial" w:cs="Arial"/>
                <w:b/>
                <w:bCs/>
              </w:rPr>
              <w:t>Adjustments to Rate Base</w:t>
            </w:r>
          </w:p>
        </w:tc>
        <w:tc>
          <w:tcPr>
            <w:tcW w:w="2193" w:type="dxa"/>
            <w:gridSpan w:val="2"/>
            <w:tcBorders>
              <w:top w:val="nil"/>
              <w:left w:val="nil"/>
              <w:bottom w:val="nil"/>
              <w:right w:val="single" w:sz="4" w:space="0" w:color="auto"/>
            </w:tcBorders>
            <w:shd w:val="clear" w:color="000000" w:fill="FFFFFF"/>
            <w:noWrap/>
            <w:vAlign w:val="bottom"/>
            <w:hideMark/>
          </w:tcPr>
          <w:p w14:paraId="6AA96801" w14:textId="77777777" w:rsidR="005D7828" w:rsidRDefault="005D7828" w:rsidP="005D7828">
            <w:pPr>
              <w:jc w:val="right"/>
              <w:rPr>
                <w:rFonts w:ascii="Arial" w:hAnsi="Arial" w:cs="Arial"/>
                <w:b/>
                <w:bCs/>
              </w:rPr>
            </w:pPr>
            <w:r>
              <w:rPr>
                <w:rFonts w:ascii="Arial" w:hAnsi="Arial" w:cs="Arial"/>
                <w:b/>
                <w:bCs/>
              </w:rPr>
              <w:t>20240032-SU</w:t>
            </w:r>
          </w:p>
        </w:tc>
      </w:tr>
      <w:tr w:rsidR="005D7828" w14:paraId="589D44D9" w14:textId="77777777" w:rsidTr="005D7828">
        <w:trPr>
          <w:trHeight w:val="300"/>
        </w:trPr>
        <w:tc>
          <w:tcPr>
            <w:tcW w:w="7523" w:type="dxa"/>
            <w:gridSpan w:val="2"/>
            <w:tcBorders>
              <w:top w:val="nil"/>
              <w:left w:val="single" w:sz="4" w:space="0" w:color="auto"/>
              <w:bottom w:val="single" w:sz="4" w:space="0" w:color="auto"/>
              <w:right w:val="nil"/>
            </w:tcBorders>
            <w:shd w:val="clear" w:color="000000" w:fill="FFFFFF"/>
            <w:noWrap/>
            <w:vAlign w:val="bottom"/>
            <w:hideMark/>
          </w:tcPr>
          <w:p w14:paraId="49BCF4D7" w14:textId="77777777" w:rsidR="005D7828" w:rsidRDefault="005D7828" w:rsidP="005D7828">
            <w:pPr>
              <w:rPr>
                <w:rFonts w:ascii="Arial" w:hAnsi="Arial" w:cs="Arial"/>
                <w:b/>
                <w:bCs/>
              </w:rPr>
            </w:pPr>
            <w:r>
              <w:rPr>
                <w:rFonts w:ascii="Arial" w:hAnsi="Arial" w:cs="Arial"/>
                <w:b/>
                <w:bCs/>
              </w:rPr>
              <w:t>80% Design Capacity</w:t>
            </w:r>
          </w:p>
        </w:tc>
        <w:tc>
          <w:tcPr>
            <w:tcW w:w="1742" w:type="dxa"/>
            <w:tcBorders>
              <w:top w:val="nil"/>
              <w:left w:val="nil"/>
              <w:bottom w:val="nil"/>
              <w:right w:val="nil"/>
            </w:tcBorders>
            <w:shd w:val="clear" w:color="000000" w:fill="FFFFFF"/>
            <w:noWrap/>
            <w:vAlign w:val="bottom"/>
            <w:hideMark/>
          </w:tcPr>
          <w:p w14:paraId="7109C35B" w14:textId="77777777" w:rsidR="005D7828" w:rsidRDefault="005D7828" w:rsidP="005D7828">
            <w:pPr>
              <w:jc w:val="right"/>
              <w:rPr>
                <w:rFonts w:ascii="Arial" w:hAnsi="Arial" w:cs="Arial"/>
                <w:b/>
                <w:bCs/>
              </w:rPr>
            </w:pPr>
            <w:r>
              <w:rPr>
                <w:rFonts w:ascii="Arial" w:hAnsi="Arial" w:cs="Arial"/>
                <w:b/>
                <w:bCs/>
              </w:rPr>
              <w:t> </w:t>
            </w:r>
          </w:p>
        </w:tc>
        <w:tc>
          <w:tcPr>
            <w:tcW w:w="451" w:type="dxa"/>
            <w:tcBorders>
              <w:top w:val="nil"/>
              <w:left w:val="nil"/>
              <w:bottom w:val="nil"/>
              <w:right w:val="single" w:sz="4" w:space="0" w:color="auto"/>
            </w:tcBorders>
            <w:shd w:val="clear" w:color="000000" w:fill="FFFFFF"/>
            <w:noWrap/>
            <w:vAlign w:val="bottom"/>
            <w:hideMark/>
          </w:tcPr>
          <w:p w14:paraId="1E986D13" w14:textId="77777777" w:rsidR="005D7828" w:rsidRDefault="005D7828" w:rsidP="005D7828">
            <w:pPr>
              <w:rPr>
                <w:rFonts w:ascii="Arial" w:hAnsi="Arial" w:cs="Arial"/>
              </w:rPr>
            </w:pPr>
            <w:r>
              <w:rPr>
                <w:rFonts w:ascii="Arial" w:hAnsi="Arial" w:cs="Arial"/>
              </w:rPr>
              <w:t> </w:t>
            </w:r>
          </w:p>
        </w:tc>
      </w:tr>
      <w:tr w:rsidR="005D7828" w14:paraId="1EFE9083" w14:textId="77777777" w:rsidTr="005D7828">
        <w:trPr>
          <w:trHeight w:val="300"/>
        </w:trPr>
        <w:tc>
          <w:tcPr>
            <w:tcW w:w="272" w:type="dxa"/>
            <w:tcBorders>
              <w:top w:val="nil"/>
              <w:left w:val="single" w:sz="4" w:space="0" w:color="auto"/>
              <w:bottom w:val="nil"/>
              <w:right w:val="nil"/>
            </w:tcBorders>
            <w:shd w:val="clear" w:color="000000" w:fill="FFFFFF"/>
            <w:noWrap/>
            <w:vAlign w:val="bottom"/>
            <w:hideMark/>
          </w:tcPr>
          <w:p w14:paraId="24671598" w14:textId="77777777" w:rsidR="005D7828" w:rsidRDefault="005D7828" w:rsidP="005D7828">
            <w:pPr>
              <w:rPr>
                <w:rFonts w:ascii="Arial" w:hAnsi="Arial" w:cs="Arial"/>
                <w:sz w:val="20"/>
                <w:szCs w:val="20"/>
              </w:rPr>
            </w:pPr>
            <w:r>
              <w:rPr>
                <w:rFonts w:ascii="Arial" w:hAnsi="Arial" w:cs="Arial"/>
                <w:sz w:val="20"/>
                <w:szCs w:val="20"/>
              </w:rPr>
              <w:t> </w:t>
            </w:r>
          </w:p>
        </w:tc>
        <w:tc>
          <w:tcPr>
            <w:tcW w:w="7251" w:type="dxa"/>
            <w:tcBorders>
              <w:top w:val="nil"/>
              <w:left w:val="nil"/>
              <w:bottom w:val="nil"/>
              <w:right w:val="nil"/>
            </w:tcBorders>
            <w:shd w:val="clear" w:color="000000" w:fill="FFFFFF"/>
            <w:noWrap/>
            <w:vAlign w:val="bottom"/>
            <w:hideMark/>
          </w:tcPr>
          <w:p w14:paraId="21B43D1D" w14:textId="77777777" w:rsidR="005D7828" w:rsidRDefault="005D7828" w:rsidP="005D7828">
            <w:pPr>
              <w:rPr>
                <w:rFonts w:ascii="Arial" w:hAnsi="Arial" w:cs="Arial"/>
                <w:sz w:val="20"/>
                <w:szCs w:val="20"/>
              </w:rPr>
            </w:pPr>
            <w:r>
              <w:rPr>
                <w:rFonts w:ascii="Arial" w:hAnsi="Arial" w:cs="Arial"/>
                <w:sz w:val="20"/>
                <w:szCs w:val="20"/>
              </w:rPr>
              <w:t> </w:t>
            </w:r>
          </w:p>
        </w:tc>
        <w:tc>
          <w:tcPr>
            <w:tcW w:w="1742" w:type="dxa"/>
            <w:tcBorders>
              <w:top w:val="single" w:sz="4" w:space="0" w:color="000000"/>
              <w:left w:val="nil"/>
              <w:bottom w:val="nil"/>
              <w:right w:val="nil"/>
            </w:tcBorders>
            <w:shd w:val="clear" w:color="000000" w:fill="FFFFFF"/>
            <w:noWrap/>
            <w:vAlign w:val="center"/>
            <w:hideMark/>
          </w:tcPr>
          <w:p w14:paraId="1A9953A9" w14:textId="77777777" w:rsidR="005D7828" w:rsidRDefault="005D7828" w:rsidP="005D7828">
            <w:pPr>
              <w:jc w:val="center"/>
              <w:rPr>
                <w:rFonts w:ascii="Arial" w:hAnsi="Arial" w:cs="Arial"/>
                <w:sz w:val="20"/>
                <w:szCs w:val="20"/>
              </w:rPr>
            </w:pPr>
            <w:r>
              <w:rPr>
                <w:rFonts w:ascii="Arial" w:hAnsi="Arial" w:cs="Arial"/>
                <w:sz w:val="20"/>
                <w:szCs w:val="20"/>
              </w:rPr>
              <w:t> </w:t>
            </w:r>
          </w:p>
        </w:tc>
        <w:tc>
          <w:tcPr>
            <w:tcW w:w="451" w:type="dxa"/>
            <w:tcBorders>
              <w:top w:val="single" w:sz="4" w:space="0" w:color="000000"/>
              <w:left w:val="nil"/>
              <w:bottom w:val="nil"/>
              <w:right w:val="single" w:sz="4" w:space="0" w:color="auto"/>
            </w:tcBorders>
            <w:shd w:val="clear" w:color="000000" w:fill="FFFFFF"/>
            <w:noWrap/>
            <w:vAlign w:val="bottom"/>
            <w:hideMark/>
          </w:tcPr>
          <w:p w14:paraId="072B30DF" w14:textId="77777777" w:rsidR="005D7828" w:rsidRDefault="005D7828" w:rsidP="005D7828">
            <w:pPr>
              <w:rPr>
                <w:rFonts w:ascii="Arial" w:hAnsi="Arial" w:cs="Arial"/>
                <w:sz w:val="20"/>
                <w:szCs w:val="20"/>
              </w:rPr>
            </w:pPr>
            <w:r>
              <w:rPr>
                <w:rFonts w:ascii="Arial" w:hAnsi="Arial" w:cs="Arial"/>
                <w:sz w:val="20"/>
                <w:szCs w:val="20"/>
              </w:rPr>
              <w:t> </w:t>
            </w:r>
          </w:p>
        </w:tc>
      </w:tr>
      <w:tr w:rsidR="005D7828" w14:paraId="386B9926" w14:textId="77777777" w:rsidTr="005D7828">
        <w:trPr>
          <w:trHeight w:val="300"/>
        </w:trPr>
        <w:tc>
          <w:tcPr>
            <w:tcW w:w="272" w:type="dxa"/>
            <w:tcBorders>
              <w:top w:val="nil"/>
              <w:left w:val="single" w:sz="4" w:space="0" w:color="auto"/>
              <w:bottom w:val="nil"/>
              <w:right w:val="nil"/>
            </w:tcBorders>
            <w:shd w:val="clear" w:color="000000" w:fill="FFFFFF"/>
            <w:noWrap/>
            <w:vAlign w:val="bottom"/>
            <w:hideMark/>
          </w:tcPr>
          <w:p w14:paraId="26FABF98" w14:textId="77777777" w:rsidR="005D7828" w:rsidRDefault="005D7828" w:rsidP="005D7828">
            <w:pPr>
              <w:rPr>
                <w:rFonts w:ascii="Arial" w:hAnsi="Arial" w:cs="Arial"/>
                <w:sz w:val="20"/>
                <w:szCs w:val="20"/>
              </w:rPr>
            </w:pPr>
            <w:r>
              <w:rPr>
                <w:rFonts w:ascii="Arial" w:hAnsi="Arial" w:cs="Arial"/>
                <w:sz w:val="20"/>
                <w:szCs w:val="20"/>
              </w:rPr>
              <w:t> </w:t>
            </w:r>
          </w:p>
        </w:tc>
        <w:tc>
          <w:tcPr>
            <w:tcW w:w="7251" w:type="dxa"/>
            <w:tcBorders>
              <w:top w:val="nil"/>
              <w:left w:val="nil"/>
              <w:bottom w:val="nil"/>
              <w:right w:val="nil"/>
            </w:tcBorders>
            <w:shd w:val="clear" w:color="000000" w:fill="FFFFFF"/>
            <w:noWrap/>
            <w:vAlign w:val="bottom"/>
            <w:hideMark/>
          </w:tcPr>
          <w:p w14:paraId="7C94E110" w14:textId="77777777" w:rsidR="005D7828" w:rsidRDefault="005D7828" w:rsidP="005D7828">
            <w:pPr>
              <w:rPr>
                <w:b/>
                <w:bCs/>
                <w:sz w:val="22"/>
                <w:szCs w:val="22"/>
              </w:rPr>
            </w:pPr>
            <w:r>
              <w:rPr>
                <w:b/>
                <w:bCs/>
                <w:sz w:val="22"/>
                <w:szCs w:val="22"/>
              </w:rPr>
              <w:t>Explanation</w:t>
            </w:r>
          </w:p>
        </w:tc>
        <w:tc>
          <w:tcPr>
            <w:tcW w:w="1742" w:type="dxa"/>
            <w:tcBorders>
              <w:top w:val="nil"/>
              <w:left w:val="nil"/>
              <w:bottom w:val="nil"/>
              <w:right w:val="nil"/>
            </w:tcBorders>
            <w:shd w:val="clear" w:color="000000" w:fill="FFFFFF"/>
            <w:noWrap/>
            <w:vAlign w:val="center"/>
            <w:hideMark/>
          </w:tcPr>
          <w:p w14:paraId="768B2183" w14:textId="77777777" w:rsidR="005D7828" w:rsidRDefault="005D7828" w:rsidP="005D7828">
            <w:pPr>
              <w:jc w:val="center"/>
              <w:rPr>
                <w:b/>
                <w:bCs/>
                <w:sz w:val="22"/>
                <w:szCs w:val="22"/>
              </w:rPr>
            </w:pPr>
            <w:r>
              <w:rPr>
                <w:b/>
                <w:bCs/>
                <w:sz w:val="22"/>
                <w:szCs w:val="22"/>
              </w:rPr>
              <w:t>Wastewater</w:t>
            </w:r>
          </w:p>
        </w:tc>
        <w:tc>
          <w:tcPr>
            <w:tcW w:w="451" w:type="dxa"/>
            <w:tcBorders>
              <w:top w:val="nil"/>
              <w:left w:val="nil"/>
              <w:bottom w:val="nil"/>
              <w:right w:val="single" w:sz="4" w:space="0" w:color="auto"/>
            </w:tcBorders>
            <w:shd w:val="clear" w:color="000000" w:fill="FFFFFF"/>
            <w:noWrap/>
            <w:vAlign w:val="bottom"/>
            <w:hideMark/>
          </w:tcPr>
          <w:p w14:paraId="5291A4C9" w14:textId="77777777" w:rsidR="005D7828" w:rsidRDefault="005D7828" w:rsidP="005D7828">
            <w:pPr>
              <w:jc w:val="center"/>
              <w:rPr>
                <w:rFonts w:ascii="Arial" w:hAnsi="Arial" w:cs="Arial"/>
                <w:sz w:val="20"/>
                <w:szCs w:val="20"/>
              </w:rPr>
            </w:pPr>
            <w:r>
              <w:rPr>
                <w:rFonts w:ascii="Arial" w:hAnsi="Arial" w:cs="Arial"/>
                <w:sz w:val="20"/>
                <w:szCs w:val="20"/>
              </w:rPr>
              <w:t> </w:t>
            </w:r>
          </w:p>
        </w:tc>
      </w:tr>
      <w:tr w:rsidR="005D7828" w14:paraId="0F69C969" w14:textId="77777777" w:rsidTr="005D7828">
        <w:trPr>
          <w:trHeight w:val="300"/>
        </w:trPr>
        <w:tc>
          <w:tcPr>
            <w:tcW w:w="272" w:type="dxa"/>
            <w:tcBorders>
              <w:top w:val="nil"/>
              <w:left w:val="single" w:sz="4" w:space="0" w:color="auto"/>
              <w:bottom w:val="nil"/>
              <w:right w:val="nil"/>
            </w:tcBorders>
            <w:shd w:val="clear" w:color="000000" w:fill="FFFFFF"/>
            <w:noWrap/>
            <w:vAlign w:val="bottom"/>
            <w:hideMark/>
          </w:tcPr>
          <w:p w14:paraId="12DF1063" w14:textId="77777777" w:rsidR="005D7828" w:rsidRDefault="005D7828" w:rsidP="005D7828">
            <w:pPr>
              <w:rPr>
                <w:rFonts w:ascii="Arial" w:hAnsi="Arial" w:cs="Arial"/>
                <w:sz w:val="20"/>
                <w:szCs w:val="20"/>
              </w:rPr>
            </w:pPr>
            <w:r>
              <w:rPr>
                <w:rFonts w:ascii="Arial" w:hAnsi="Arial" w:cs="Arial"/>
                <w:sz w:val="20"/>
                <w:szCs w:val="20"/>
              </w:rPr>
              <w:t> </w:t>
            </w:r>
          </w:p>
        </w:tc>
        <w:tc>
          <w:tcPr>
            <w:tcW w:w="7251" w:type="dxa"/>
            <w:tcBorders>
              <w:top w:val="nil"/>
              <w:left w:val="nil"/>
              <w:bottom w:val="nil"/>
              <w:right w:val="nil"/>
            </w:tcBorders>
            <w:shd w:val="clear" w:color="000000" w:fill="FFFFFF"/>
            <w:noWrap/>
            <w:vAlign w:val="bottom"/>
            <w:hideMark/>
          </w:tcPr>
          <w:p w14:paraId="128467AE" w14:textId="77777777" w:rsidR="005D7828" w:rsidRDefault="005D7828" w:rsidP="005D7828">
            <w:pPr>
              <w:rPr>
                <w:rFonts w:ascii="Arial" w:hAnsi="Arial" w:cs="Arial"/>
                <w:sz w:val="20"/>
                <w:szCs w:val="20"/>
              </w:rPr>
            </w:pPr>
            <w:r>
              <w:rPr>
                <w:rFonts w:ascii="Arial" w:hAnsi="Arial" w:cs="Arial"/>
                <w:sz w:val="20"/>
                <w:szCs w:val="20"/>
              </w:rPr>
              <w:t> </w:t>
            </w:r>
          </w:p>
        </w:tc>
        <w:tc>
          <w:tcPr>
            <w:tcW w:w="1742" w:type="dxa"/>
            <w:tcBorders>
              <w:top w:val="nil"/>
              <w:left w:val="nil"/>
              <w:bottom w:val="nil"/>
              <w:right w:val="nil"/>
            </w:tcBorders>
            <w:shd w:val="clear" w:color="000000" w:fill="FFFFFF"/>
            <w:noWrap/>
            <w:vAlign w:val="center"/>
            <w:hideMark/>
          </w:tcPr>
          <w:p w14:paraId="7C8A3D26" w14:textId="77777777" w:rsidR="005D7828" w:rsidRDefault="005D7828" w:rsidP="005D7828">
            <w:pPr>
              <w:jc w:val="center"/>
              <w:rPr>
                <w:rFonts w:ascii="Arial" w:hAnsi="Arial" w:cs="Arial"/>
                <w:sz w:val="20"/>
                <w:szCs w:val="20"/>
              </w:rPr>
            </w:pPr>
            <w:r>
              <w:rPr>
                <w:rFonts w:ascii="Arial" w:hAnsi="Arial" w:cs="Arial"/>
                <w:sz w:val="20"/>
                <w:szCs w:val="20"/>
              </w:rPr>
              <w:t> </w:t>
            </w:r>
          </w:p>
        </w:tc>
        <w:tc>
          <w:tcPr>
            <w:tcW w:w="451" w:type="dxa"/>
            <w:tcBorders>
              <w:top w:val="nil"/>
              <w:left w:val="nil"/>
              <w:bottom w:val="nil"/>
              <w:right w:val="single" w:sz="4" w:space="0" w:color="auto"/>
            </w:tcBorders>
            <w:shd w:val="clear" w:color="000000" w:fill="FFFFFF"/>
            <w:noWrap/>
            <w:vAlign w:val="bottom"/>
            <w:hideMark/>
          </w:tcPr>
          <w:p w14:paraId="5E58CAD2" w14:textId="77777777" w:rsidR="005D7828" w:rsidRDefault="005D7828" w:rsidP="005D7828">
            <w:pPr>
              <w:rPr>
                <w:rFonts w:ascii="Arial" w:hAnsi="Arial" w:cs="Arial"/>
                <w:sz w:val="20"/>
                <w:szCs w:val="20"/>
              </w:rPr>
            </w:pPr>
            <w:r>
              <w:rPr>
                <w:rFonts w:ascii="Arial" w:hAnsi="Arial" w:cs="Arial"/>
                <w:sz w:val="20"/>
                <w:szCs w:val="20"/>
              </w:rPr>
              <w:t> </w:t>
            </w:r>
          </w:p>
        </w:tc>
      </w:tr>
      <w:tr w:rsidR="005D7828" w14:paraId="63602CFC" w14:textId="77777777" w:rsidTr="005D7828">
        <w:trPr>
          <w:trHeight w:val="300"/>
        </w:trPr>
        <w:tc>
          <w:tcPr>
            <w:tcW w:w="272" w:type="dxa"/>
            <w:tcBorders>
              <w:top w:val="single" w:sz="4" w:space="0" w:color="000000"/>
              <w:left w:val="single" w:sz="4" w:space="0" w:color="auto"/>
              <w:bottom w:val="nil"/>
              <w:right w:val="nil"/>
            </w:tcBorders>
            <w:shd w:val="clear" w:color="000000" w:fill="FFFFFF"/>
            <w:noWrap/>
            <w:vAlign w:val="bottom"/>
            <w:hideMark/>
          </w:tcPr>
          <w:p w14:paraId="686082EE" w14:textId="77777777" w:rsidR="005D7828" w:rsidRDefault="005D7828" w:rsidP="005D7828">
            <w:pPr>
              <w:jc w:val="center"/>
              <w:rPr>
                <w:sz w:val="22"/>
                <w:szCs w:val="22"/>
              </w:rPr>
            </w:pPr>
            <w:r>
              <w:rPr>
                <w:sz w:val="22"/>
                <w:szCs w:val="22"/>
              </w:rPr>
              <w:t> </w:t>
            </w:r>
          </w:p>
        </w:tc>
        <w:tc>
          <w:tcPr>
            <w:tcW w:w="7251" w:type="dxa"/>
            <w:tcBorders>
              <w:top w:val="single" w:sz="4" w:space="0" w:color="000000"/>
              <w:left w:val="nil"/>
              <w:bottom w:val="nil"/>
              <w:right w:val="nil"/>
            </w:tcBorders>
            <w:shd w:val="clear" w:color="000000" w:fill="FFFFFF"/>
            <w:noWrap/>
            <w:vAlign w:val="bottom"/>
            <w:hideMark/>
          </w:tcPr>
          <w:p w14:paraId="598BD0BB" w14:textId="77777777" w:rsidR="005D7828" w:rsidRDefault="005D7828" w:rsidP="005D7828">
            <w:pPr>
              <w:rPr>
                <w:sz w:val="22"/>
                <w:szCs w:val="22"/>
              </w:rPr>
            </w:pPr>
            <w:r>
              <w:rPr>
                <w:sz w:val="22"/>
                <w:szCs w:val="22"/>
              </w:rPr>
              <w:t> </w:t>
            </w:r>
          </w:p>
        </w:tc>
        <w:tc>
          <w:tcPr>
            <w:tcW w:w="1742" w:type="dxa"/>
            <w:tcBorders>
              <w:top w:val="single" w:sz="4" w:space="0" w:color="000000"/>
              <w:left w:val="nil"/>
              <w:bottom w:val="nil"/>
              <w:right w:val="nil"/>
            </w:tcBorders>
            <w:shd w:val="clear" w:color="000000" w:fill="FFFFFF"/>
            <w:noWrap/>
            <w:vAlign w:val="bottom"/>
            <w:hideMark/>
          </w:tcPr>
          <w:p w14:paraId="63D381D4" w14:textId="77777777" w:rsidR="005D7828" w:rsidRDefault="005D7828" w:rsidP="005D7828">
            <w:pPr>
              <w:rPr>
                <w:sz w:val="22"/>
                <w:szCs w:val="22"/>
              </w:rPr>
            </w:pPr>
            <w:r>
              <w:rPr>
                <w:sz w:val="22"/>
                <w:szCs w:val="22"/>
              </w:rPr>
              <w:t> </w:t>
            </w:r>
          </w:p>
        </w:tc>
        <w:tc>
          <w:tcPr>
            <w:tcW w:w="451" w:type="dxa"/>
            <w:tcBorders>
              <w:top w:val="single" w:sz="4" w:space="0" w:color="000000"/>
              <w:left w:val="nil"/>
              <w:bottom w:val="nil"/>
              <w:right w:val="single" w:sz="4" w:space="0" w:color="auto"/>
            </w:tcBorders>
            <w:shd w:val="clear" w:color="000000" w:fill="FFFFFF"/>
            <w:noWrap/>
            <w:vAlign w:val="bottom"/>
            <w:hideMark/>
          </w:tcPr>
          <w:p w14:paraId="4428916F" w14:textId="77777777" w:rsidR="005D7828" w:rsidRDefault="005D7828" w:rsidP="005D7828">
            <w:pPr>
              <w:rPr>
                <w:sz w:val="22"/>
                <w:szCs w:val="22"/>
              </w:rPr>
            </w:pPr>
            <w:r>
              <w:rPr>
                <w:sz w:val="22"/>
                <w:szCs w:val="22"/>
              </w:rPr>
              <w:t> </w:t>
            </w:r>
          </w:p>
        </w:tc>
      </w:tr>
      <w:tr w:rsidR="005D7828" w14:paraId="0C883D45" w14:textId="77777777" w:rsidTr="005D7828">
        <w:trPr>
          <w:trHeight w:val="300"/>
        </w:trPr>
        <w:tc>
          <w:tcPr>
            <w:tcW w:w="272" w:type="dxa"/>
            <w:tcBorders>
              <w:top w:val="nil"/>
              <w:left w:val="single" w:sz="4" w:space="0" w:color="auto"/>
              <w:bottom w:val="nil"/>
              <w:right w:val="nil"/>
            </w:tcBorders>
            <w:shd w:val="clear" w:color="000000" w:fill="FFFFFF"/>
            <w:noWrap/>
            <w:vAlign w:val="bottom"/>
            <w:hideMark/>
          </w:tcPr>
          <w:p w14:paraId="7BAA9B55" w14:textId="77777777" w:rsidR="005D7828" w:rsidRDefault="005D7828" w:rsidP="005D7828">
            <w:pPr>
              <w:jc w:val="center"/>
              <w:rPr>
                <w:sz w:val="22"/>
                <w:szCs w:val="22"/>
              </w:rPr>
            </w:pPr>
            <w:r>
              <w:rPr>
                <w:sz w:val="22"/>
                <w:szCs w:val="22"/>
              </w:rPr>
              <w:t> </w:t>
            </w:r>
          </w:p>
        </w:tc>
        <w:tc>
          <w:tcPr>
            <w:tcW w:w="7251" w:type="dxa"/>
            <w:tcBorders>
              <w:top w:val="nil"/>
              <w:left w:val="nil"/>
              <w:bottom w:val="nil"/>
              <w:right w:val="nil"/>
            </w:tcBorders>
            <w:shd w:val="clear" w:color="000000" w:fill="FFFFFF"/>
            <w:noWrap/>
            <w:vAlign w:val="bottom"/>
            <w:hideMark/>
          </w:tcPr>
          <w:p w14:paraId="5B15F946" w14:textId="77777777" w:rsidR="005D7828" w:rsidRDefault="005D7828" w:rsidP="005D7828">
            <w:pPr>
              <w:rPr>
                <w:b/>
                <w:bCs/>
                <w:sz w:val="22"/>
                <w:szCs w:val="22"/>
              </w:rPr>
            </w:pPr>
            <w:r>
              <w:rPr>
                <w:b/>
                <w:bCs/>
                <w:sz w:val="22"/>
                <w:szCs w:val="22"/>
              </w:rPr>
              <w:t>Plant In Service</w:t>
            </w:r>
          </w:p>
        </w:tc>
        <w:tc>
          <w:tcPr>
            <w:tcW w:w="1742" w:type="dxa"/>
            <w:tcBorders>
              <w:top w:val="nil"/>
              <w:left w:val="nil"/>
              <w:bottom w:val="nil"/>
              <w:right w:val="nil"/>
            </w:tcBorders>
            <w:shd w:val="clear" w:color="000000" w:fill="FFFFFF"/>
            <w:noWrap/>
            <w:vAlign w:val="bottom"/>
            <w:hideMark/>
          </w:tcPr>
          <w:p w14:paraId="7508D3C2" w14:textId="77777777" w:rsidR="005D7828" w:rsidRDefault="005D7828" w:rsidP="005D7828">
            <w:pPr>
              <w:rPr>
                <w:sz w:val="22"/>
                <w:szCs w:val="22"/>
              </w:rPr>
            </w:pPr>
            <w:r>
              <w:rPr>
                <w:sz w:val="22"/>
                <w:szCs w:val="22"/>
              </w:rPr>
              <w:t> </w:t>
            </w:r>
          </w:p>
        </w:tc>
        <w:tc>
          <w:tcPr>
            <w:tcW w:w="451" w:type="dxa"/>
            <w:tcBorders>
              <w:top w:val="nil"/>
              <w:left w:val="nil"/>
              <w:bottom w:val="nil"/>
              <w:right w:val="single" w:sz="4" w:space="0" w:color="auto"/>
            </w:tcBorders>
            <w:shd w:val="clear" w:color="000000" w:fill="FFFFFF"/>
            <w:noWrap/>
            <w:vAlign w:val="bottom"/>
            <w:hideMark/>
          </w:tcPr>
          <w:p w14:paraId="6EB0B7CE" w14:textId="77777777" w:rsidR="005D7828" w:rsidRDefault="005D7828" w:rsidP="005D7828">
            <w:pPr>
              <w:rPr>
                <w:sz w:val="22"/>
                <w:szCs w:val="22"/>
              </w:rPr>
            </w:pPr>
            <w:r>
              <w:rPr>
                <w:sz w:val="22"/>
                <w:szCs w:val="22"/>
              </w:rPr>
              <w:t> </w:t>
            </w:r>
          </w:p>
        </w:tc>
      </w:tr>
      <w:tr w:rsidR="005D7828" w14:paraId="43BF238F" w14:textId="77777777" w:rsidTr="005D7828">
        <w:trPr>
          <w:trHeight w:val="300"/>
        </w:trPr>
        <w:tc>
          <w:tcPr>
            <w:tcW w:w="272" w:type="dxa"/>
            <w:tcBorders>
              <w:top w:val="nil"/>
              <w:left w:val="single" w:sz="4" w:space="0" w:color="auto"/>
              <w:bottom w:val="nil"/>
              <w:right w:val="nil"/>
            </w:tcBorders>
            <w:shd w:val="clear" w:color="000000" w:fill="FFFFFF"/>
            <w:noWrap/>
            <w:vAlign w:val="bottom"/>
            <w:hideMark/>
          </w:tcPr>
          <w:p w14:paraId="61A3350A" w14:textId="77777777" w:rsidR="005D7828" w:rsidRDefault="005D7828" w:rsidP="005D7828">
            <w:pPr>
              <w:jc w:val="center"/>
              <w:rPr>
                <w:sz w:val="22"/>
                <w:szCs w:val="22"/>
              </w:rPr>
            </w:pPr>
            <w:r>
              <w:rPr>
                <w:sz w:val="22"/>
                <w:szCs w:val="22"/>
              </w:rPr>
              <w:t> </w:t>
            </w:r>
          </w:p>
        </w:tc>
        <w:tc>
          <w:tcPr>
            <w:tcW w:w="7251" w:type="dxa"/>
            <w:tcBorders>
              <w:top w:val="nil"/>
              <w:left w:val="nil"/>
              <w:bottom w:val="nil"/>
              <w:right w:val="nil"/>
            </w:tcBorders>
            <w:shd w:val="clear" w:color="000000" w:fill="FFFFFF"/>
            <w:noWrap/>
            <w:vAlign w:val="bottom"/>
            <w:hideMark/>
          </w:tcPr>
          <w:p w14:paraId="4D36AA95" w14:textId="77777777" w:rsidR="005D7828" w:rsidRDefault="005D7828" w:rsidP="005D7828">
            <w:pPr>
              <w:rPr>
                <w:sz w:val="22"/>
                <w:szCs w:val="22"/>
              </w:rPr>
            </w:pPr>
            <w:r>
              <w:rPr>
                <w:sz w:val="22"/>
                <w:szCs w:val="22"/>
              </w:rPr>
              <w:t>To reflect appropriate level of plant in service.</w:t>
            </w:r>
          </w:p>
        </w:tc>
        <w:tc>
          <w:tcPr>
            <w:tcW w:w="1742" w:type="dxa"/>
            <w:tcBorders>
              <w:top w:val="nil"/>
              <w:left w:val="nil"/>
              <w:bottom w:val="nil"/>
              <w:right w:val="nil"/>
            </w:tcBorders>
            <w:shd w:val="clear" w:color="000000" w:fill="FFFFFF"/>
            <w:noWrap/>
            <w:vAlign w:val="bottom"/>
            <w:hideMark/>
          </w:tcPr>
          <w:p w14:paraId="453AE9D3" w14:textId="77777777" w:rsidR="005D7828" w:rsidRPr="003C2A84" w:rsidRDefault="005D7828" w:rsidP="005D7828">
            <w:pPr>
              <w:jc w:val="right"/>
              <w:rPr>
                <w:sz w:val="22"/>
                <w:szCs w:val="22"/>
                <w:u w:val="double"/>
              </w:rPr>
            </w:pPr>
            <w:r w:rsidRPr="003C2A84">
              <w:rPr>
                <w:sz w:val="22"/>
                <w:szCs w:val="22"/>
                <w:u w:val="double"/>
              </w:rPr>
              <w:t>($5</w:t>
            </w:r>
            <w:r>
              <w:rPr>
                <w:sz w:val="22"/>
                <w:szCs w:val="22"/>
                <w:u w:val="double"/>
              </w:rPr>
              <w:t>65,362</w:t>
            </w:r>
            <w:r w:rsidRPr="003C2A84">
              <w:rPr>
                <w:sz w:val="22"/>
                <w:szCs w:val="22"/>
                <w:u w:val="double"/>
              </w:rPr>
              <w:t>)</w:t>
            </w:r>
          </w:p>
        </w:tc>
        <w:tc>
          <w:tcPr>
            <w:tcW w:w="451" w:type="dxa"/>
            <w:tcBorders>
              <w:top w:val="nil"/>
              <w:left w:val="nil"/>
              <w:bottom w:val="nil"/>
              <w:right w:val="single" w:sz="4" w:space="0" w:color="auto"/>
            </w:tcBorders>
            <w:shd w:val="clear" w:color="000000" w:fill="FFFFFF"/>
            <w:noWrap/>
            <w:vAlign w:val="bottom"/>
            <w:hideMark/>
          </w:tcPr>
          <w:p w14:paraId="00291960" w14:textId="77777777" w:rsidR="005D7828" w:rsidRDefault="005D7828" w:rsidP="005D7828">
            <w:pPr>
              <w:rPr>
                <w:sz w:val="22"/>
                <w:szCs w:val="22"/>
              </w:rPr>
            </w:pPr>
            <w:r>
              <w:rPr>
                <w:sz w:val="22"/>
                <w:szCs w:val="22"/>
              </w:rPr>
              <w:t> </w:t>
            </w:r>
          </w:p>
        </w:tc>
      </w:tr>
      <w:tr w:rsidR="005D7828" w14:paraId="5A0A27FC" w14:textId="77777777" w:rsidTr="005D7828">
        <w:trPr>
          <w:trHeight w:val="300"/>
        </w:trPr>
        <w:tc>
          <w:tcPr>
            <w:tcW w:w="272" w:type="dxa"/>
            <w:tcBorders>
              <w:top w:val="nil"/>
              <w:left w:val="single" w:sz="4" w:space="0" w:color="auto"/>
              <w:bottom w:val="nil"/>
              <w:right w:val="nil"/>
            </w:tcBorders>
            <w:shd w:val="clear" w:color="000000" w:fill="FFFFFF"/>
            <w:noWrap/>
            <w:vAlign w:val="bottom"/>
            <w:hideMark/>
          </w:tcPr>
          <w:p w14:paraId="16C3FAD2" w14:textId="77777777" w:rsidR="005D7828" w:rsidRDefault="005D7828" w:rsidP="005D7828">
            <w:pPr>
              <w:jc w:val="center"/>
              <w:rPr>
                <w:sz w:val="22"/>
                <w:szCs w:val="22"/>
              </w:rPr>
            </w:pPr>
            <w:r>
              <w:rPr>
                <w:sz w:val="22"/>
                <w:szCs w:val="22"/>
              </w:rPr>
              <w:t> </w:t>
            </w:r>
          </w:p>
        </w:tc>
        <w:tc>
          <w:tcPr>
            <w:tcW w:w="7251" w:type="dxa"/>
            <w:tcBorders>
              <w:top w:val="nil"/>
              <w:left w:val="nil"/>
              <w:bottom w:val="nil"/>
              <w:right w:val="nil"/>
            </w:tcBorders>
            <w:shd w:val="clear" w:color="000000" w:fill="FFFFFF"/>
            <w:noWrap/>
            <w:vAlign w:val="bottom"/>
            <w:hideMark/>
          </w:tcPr>
          <w:p w14:paraId="777A124B" w14:textId="77777777" w:rsidR="005D7828" w:rsidRDefault="005D7828" w:rsidP="005D7828">
            <w:pPr>
              <w:rPr>
                <w:sz w:val="22"/>
                <w:szCs w:val="22"/>
              </w:rPr>
            </w:pPr>
            <w:r>
              <w:rPr>
                <w:sz w:val="22"/>
                <w:szCs w:val="22"/>
              </w:rPr>
              <w:t> </w:t>
            </w:r>
          </w:p>
        </w:tc>
        <w:tc>
          <w:tcPr>
            <w:tcW w:w="1742" w:type="dxa"/>
            <w:tcBorders>
              <w:top w:val="nil"/>
              <w:left w:val="nil"/>
              <w:bottom w:val="nil"/>
              <w:right w:val="nil"/>
            </w:tcBorders>
            <w:shd w:val="clear" w:color="000000" w:fill="FFFFFF"/>
            <w:noWrap/>
            <w:vAlign w:val="bottom"/>
            <w:hideMark/>
          </w:tcPr>
          <w:p w14:paraId="211CB671" w14:textId="77777777" w:rsidR="005D7828" w:rsidRDefault="005D7828" w:rsidP="005D7828">
            <w:pPr>
              <w:rPr>
                <w:sz w:val="22"/>
                <w:szCs w:val="22"/>
              </w:rPr>
            </w:pPr>
            <w:r>
              <w:rPr>
                <w:sz w:val="22"/>
                <w:szCs w:val="22"/>
              </w:rPr>
              <w:t> </w:t>
            </w:r>
          </w:p>
        </w:tc>
        <w:tc>
          <w:tcPr>
            <w:tcW w:w="451" w:type="dxa"/>
            <w:tcBorders>
              <w:top w:val="nil"/>
              <w:left w:val="nil"/>
              <w:bottom w:val="nil"/>
              <w:right w:val="single" w:sz="4" w:space="0" w:color="auto"/>
            </w:tcBorders>
            <w:shd w:val="clear" w:color="000000" w:fill="FFFFFF"/>
            <w:noWrap/>
            <w:vAlign w:val="bottom"/>
            <w:hideMark/>
          </w:tcPr>
          <w:p w14:paraId="658FD5CE" w14:textId="77777777" w:rsidR="005D7828" w:rsidRDefault="005D7828" w:rsidP="005D7828">
            <w:pPr>
              <w:rPr>
                <w:sz w:val="22"/>
                <w:szCs w:val="22"/>
              </w:rPr>
            </w:pPr>
            <w:r>
              <w:rPr>
                <w:sz w:val="22"/>
                <w:szCs w:val="22"/>
              </w:rPr>
              <w:t> </w:t>
            </w:r>
          </w:p>
        </w:tc>
      </w:tr>
      <w:tr w:rsidR="005D7828" w14:paraId="0872B14C" w14:textId="77777777" w:rsidTr="005D7828">
        <w:trPr>
          <w:trHeight w:val="300"/>
        </w:trPr>
        <w:tc>
          <w:tcPr>
            <w:tcW w:w="272" w:type="dxa"/>
            <w:tcBorders>
              <w:top w:val="nil"/>
              <w:left w:val="single" w:sz="4" w:space="0" w:color="auto"/>
              <w:bottom w:val="nil"/>
              <w:right w:val="nil"/>
            </w:tcBorders>
            <w:shd w:val="clear" w:color="000000" w:fill="FFFFFF"/>
            <w:noWrap/>
            <w:vAlign w:val="bottom"/>
            <w:hideMark/>
          </w:tcPr>
          <w:p w14:paraId="52ACDAD1" w14:textId="77777777" w:rsidR="005D7828" w:rsidRDefault="005D7828" w:rsidP="005D7828">
            <w:pPr>
              <w:jc w:val="center"/>
              <w:rPr>
                <w:sz w:val="22"/>
                <w:szCs w:val="22"/>
              </w:rPr>
            </w:pPr>
            <w:r>
              <w:rPr>
                <w:sz w:val="22"/>
                <w:szCs w:val="22"/>
              </w:rPr>
              <w:t> </w:t>
            </w:r>
          </w:p>
        </w:tc>
        <w:tc>
          <w:tcPr>
            <w:tcW w:w="7251" w:type="dxa"/>
            <w:tcBorders>
              <w:top w:val="nil"/>
              <w:left w:val="nil"/>
              <w:bottom w:val="nil"/>
              <w:right w:val="nil"/>
            </w:tcBorders>
            <w:shd w:val="clear" w:color="000000" w:fill="FFFFFF"/>
            <w:noWrap/>
            <w:vAlign w:val="bottom"/>
            <w:hideMark/>
          </w:tcPr>
          <w:p w14:paraId="4C536FD2" w14:textId="77777777" w:rsidR="005D7828" w:rsidRDefault="005D7828" w:rsidP="005D7828">
            <w:pPr>
              <w:rPr>
                <w:b/>
                <w:bCs/>
                <w:sz w:val="22"/>
                <w:szCs w:val="22"/>
              </w:rPr>
            </w:pPr>
            <w:r>
              <w:rPr>
                <w:b/>
                <w:bCs/>
                <w:sz w:val="22"/>
                <w:szCs w:val="22"/>
              </w:rPr>
              <w:t>Accumulated Depreciation</w:t>
            </w:r>
          </w:p>
        </w:tc>
        <w:tc>
          <w:tcPr>
            <w:tcW w:w="1742" w:type="dxa"/>
            <w:tcBorders>
              <w:top w:val="nil"/>
              <w:left w:val="nil"/>
              <w:bottom w:val="nil"/>
              <w:right w:val="nil"/>
            </w:tcBorders>
            <w:shd w:val="clear" w:color="000000" w:fill="FFFFFF"/>
            <w:noWrap/>
            <w:vAlign w:val="bottom"/>
            <w:hideMark/>
          </w:tcPr>
          <w:p w14:paraId="37F5BAB5" w14:textId="77777777" w:rsidR="005D7828" w:rsidRDefault="005D7828" w:rsidP="005D7828">
            <w:pPr>
              <w:rPr>
                <w:sz w:val="22"/>
                <w:szCs w:val="22"/>
              </w:rPr>
            </w:pPr>
            <w:r>
              <w:rPr>
                <w:sz w:val="22"/>
                <w:szCs w:val="22"/>
              </w:rPr>
              <w:t> </w:t>
            </w:r>
          </w:p>
        </w:tc>
        <w:tc>
          <w:tcPr>
            <w:tcW w:w="451" w:type="dxa"/>
            <w:tcBorders>
              <w:top w:val="nil"/>
              <w:left w:val="nil"/>
              <w:bottom w:val="nil"/>
              <w:right w:val="single" w:sz="4" w:space="0" w:color="auto"/>
            </w:tcBorders>
            <w:shd w:val="clear" w:color="000000" w:fill="FFFFFF"/>
            <w:noWrap/>
            <w:vAlign w:val="bottom"/>
            <w:hideMark/>
          </w:tcPr>
          <w:p w14:paraId="69088F69" w14:textId="77777777" w:rsidR="005D7828" w:rsidRDefault="005D7828" w:rsidP="005D7828">
            <w:pPr>
              <w:rPr>
                <w:sz w:val="22"/>
                <w:szCs w:val="22"/>
              </w:rPr>
            </w:pPr>
            <w:r>
              <w:rPr>
                <w:sz w:val="22"/>
                <w:szCs w:val="22"/>
              </w:rPr>
              <w:t> </w:t>
            </w:r>
          </w:p>
        </w:tc>
      </w:tr>
      <w:tr w:rsidR="005D7828" w14:paraId="0A2E71F8" w14:textId="77777777" w:rsidTr="005D7828">
        <w:trPr>
          <w:trHeight w:val="300"/>
        </w:trPr>
        <w:tc>
          <w:tcPr>
            <w:tcW w:w="272" w:type="dxa"/>
            <w:tcBorders>
              <w:top w:val="nil"/>
              <w:left w:val="single" w:sz="4" w:space="0" w:color="auto"/>
              <w:bottom w:val="nil"/>
              <w:right w:val="nil"/>
            </w:tcBorders>
            <w:shd w:val="clear" w:color="000000" w:fill="FFFFFF"/>
            <w:noWrap/>
            <w:vAlign w:val="bottom"/>
            <w:hideMark/>
          </w:tcPr>
          <w:p w14:paraId="330877A4" w14:textId="77777777" w:rsidR="005D7828" w:rsidRDefault="005D7828" w:rsidP="005D7828">
            <w:pPr>
              <w:jc w:val="center"/>
              <w:rPr>
                <w:sz w:val="22"/>
                <w:szCs w:val="22"/>
              </w:rPr>
            </w:pPr>
            <w:r>
              <w:rPr>
                <w:sz w:val="22"/>
                <w:szCs w:val="22"/>
              </w:rPr>
              <w:t> </w:t>
            </w:r>
          </w:p>
        </w:tc>
        <w:tc>
          <w:tcPr>
            <w:tcW w:w="7251" w:type="dxa"/>
            <w:tcBorders>
              <w:top w:val="nil"/>
              <w:left w:val="nil"/>
              <w:bottom w:val="nil"/>
              <w:right w:val="nil"/>
            </w:tcBorders>
            <w:shd w:val="clear" w:color="000000" w:fill="FFFFFF"/>
            <w:noWrap/>
            <w:vAlign w:val="bottom"/>
            <w:hideMark/>
          </w:tcPr>
          <w:p w14:paraId="66E2AFE8" w14:textId="77777777" w:rsidR="005D7828" w:rsidRDefault="005D7828" w:rsidP="005D7828">
            <w:pPr>
              <w:rPr>
                <w:sz w:val="22"/>
                <w:szCs w:val="22"/>
              </w:rPr>
            </w:pPr>
            <w:r>
              <w:rPr>
                <w:sz w:val="22"/>
                <w:szCs w:val="22"/>
              </w:rPr>
              <w:t>To reflect appropriate level of accumulated depreciation.</w:t>
            </w:r>
          </w:p>
        </w:tc>
        <w:tc>
          <w:tcPr>
            <w:tcW w:w="1742" w:type="dxa"/>
            <w:tcBorders>
              <w:top w:val="nil"/>
              <w:left w:val="nil"/>
              <w:bottom w:val="nil"/>
              <w:right w:val="nil"/>
            </w:tcBorders>
            <w:shd w:val="clear" w:color="000000" w:fill="FFFFFF"/>
            <w:noWrap/>
            <w:vAlign w:val="bottom"/>
            <w:hideMark/>
          </w:tcPr>
          <w:p w14:paraId="2183559D" w14:textId="77777777" w:rsidR="005D7828" w:rsidRPr="003C2A84" w:rsidRDefault="005D7828" w:rsidP="005D7828">
            <w:pPr>
              <w:jc w:val="right"/>
              <w:rPr>
                <w:sz w:val="22"/>
                <w:szCs w:val="22"/>
                <w:u w:val="double"/>
              </w:rPr>
            </w:pPr>
            <w:r w:rsidRPr="003C2A84">
              <w:rPr>
                <w:sz w:val="22"/>
                <w:szCs w:val="22"/>
                <w:u w:val="double"/>
              </w:rPr>
              <w:t>$</w:t>
            </w:r>
            <w:r>
              <w:rPr>
                <w:sz w:val="22"/>
                <w:szCs w:val="22"/>
                <w:u w:val="double"/>
              </w:rPr>
              <w:t>464,552</w:t>
            </w:r>
            <w:r w:rsidRPr="003C2A84">
              <w:rPr>
                <w:sz w:val="22"/>
                <w:szCs w:val="22"/>
                <w:u w:val="double"/>
              </w:rPr>
              <w:t xml:space="preserve"> </w:t>
            </w:r>
          </w:p>
        </w:tc>
        <w:tc>
          <w:tcPr>
            <w:tcW w:w="451" w:type="dxa"/>
            <w:tcBorders>
              <w:top w:val="nil"/>
              <w:left w:val="nil"/>
              <w:bottom w:val="nil"/>
              <w:right w:val="single" w:sz="4" w:space="0" w:color="auto"/>
            </w:tcBorders>
            <w:shd w:val="clear" w:color="000000" w:fill="FFFFFF"/>
            <w:noWrap/>
            <w:vAlign w:val="bottom"/>
            <w:hideMark/>
          </w:tcPr>
          <w:p w14:paraId="467824F4" w14:textId="77777777" w:rsidR="005D7828" w:rsidRPr="003C2A84" w:rsidRDefault="005D7828" w:rsidP="005D7828">
            <w:pPr>
              <w:rPr>
                <w:sz w:val="22"/>
                <w:szCs w:val="22"/>
                <w:u w:val="double"/>
              </w:rPr>
            </w:pPr>
          </w:p>
        </w:tc>
      </w:tr>
      <w:tr w:rsidR="005D7828" w14:paraId="67309B5E" w14:textId="77777777" w:rsidTr="005D7828">
        <w:trPr>
          <w:trHeight w:val="300"/>
        </w:trPr>
        <w:tc>
          <w:tcPr>
            <w:tcW w:w="272" w:type="dxa"/>
            <w:tcBorders>
              <w:top w:val="nil"/>
              <w:left w:val="single" w:sz="4" w:space="0" w:color="auto"/>
              <w:bottom w:val="nil"/>
              <w:right w:val="nil"/>
            </w:tcBorders>
            <w:shd w:val="clear" w:color="000000" w:fill="FFFFFF"/>
            <w:noWrap/>
            <w:vAlign w:val="bottom"/>
            <w:hideMark/>
          </w:tcPr>
          <w:p w14:paraId="32D6FBF4" w14:textId="77777777" w:rsidR="005D7828" w:rsidRDefault="005D7828" w:rsidP="005D7828">
            <w:pPr>
              <w:jc w:val="center"/>
              <w:rPr>
                <w:sz w:val="22"/>
                <w:szCs w:val="22"/>
              </w:rPr>
            </w:pPr>
            <w:r>
              <w:rPr>
                <w:sz w:val="22"/>
                <w:szCs w:val="22"/>
              </w:rPr>
              <w:t> </w:t>
            </w:r>
          </w:p>
        </w:tc>
        <w:tc>
          <w:tcPr>
            <w:tcW w:w="7251" w:type="dxa"/>
            <w:tcBorders>
              <w:top w:val="nil"/>
              <w:left w:val="nil"/>
              <w:bottom w:val="nil"/>
              <w:right w:val="nil"/>
            </w:tcBorders>
            <w:shd w:val="clear" w:color="000000" w:fill="FFFFFF"/>
            <w:noWrap/>
            <w:vAlign w:val="bottom"/>
            <w:hideMark/>
          </w:tcPr>
          <w:p w14:paraId="7C8C96B4" w14:textId="77777777" w:rsidR="005D7828" w:rsidRDefault="005D7828" w:rsidP="005D7828">
            <w:pPr>
              <w:rPr>
                <w:sz w:val="22"/>
                <w:szCs w:val="22"/>
              </w:rPr>
            </w:pPr>
            <w:r>
              <w:rPr>
                <w:sz w:val="22"/>
                <w:szCs w:val="22"/>
              </w:rPr>
              <w:t> </w:t>
            </w:r>
          </w:p>
        </w:tc>
        <w:tc>
          <w:tcPr>
            <w:tcW w:w="1742" w:type="dxa"/>
            <w:tcBorders>
              <w:top w:val="nil"/>
              <w:left w:val="nil"/>
              <w:bottom w:val="nil"/>
              <w:right w:val="nil"/>
            </w:tcBorders>
            <w:shd w:val="clear" w:color="000000" w:fill="FFFFFF"/>
            <w:noWrap/>
            <w:vAlign w:val="bottom"/>
            <w:hideMark/>
          </w:tcPr>
          <w:p w14:paraId="387E7A24" w14:textId="77777777" w:rsidR="005D7828" w:rsidRDefault="005D7828" w:rsidP="005D7828">
            <w:pPr>
              <w:rPr>
                <w:sz w:val="22"/>
                <w:szCs w:val="22"/>
              </w:rPr>
            </w:pPr>
            <w:r>
              <w:rPr>
                <w:sz w:val="22"/>
                <w:szCs w:val="22"/>
              </w:rPr>
              <w:t> </w:t>
            </w:r>
          </w:p>
        </w:tc>
        <w:tc>
          <w:tcPr>
            <w:tcW w:w="451" w:type="dxa"/>
            <w:tcBorders>
              <w:top w:val="nil"/>
              <w:left w:val="nil"/>
              <w:bottom w:val="nil"/>
              <w:right w:val="single" w:sz="4" w:space="0" w:color="auto"/>
            </w:tcBorders>
            <w:shd w:val="clear" w:color="000000" w:fill="FFFFFF"/>
            <w:noWrap/>
            <w:vAlign w:val="bottom"/>
            <w:hideMark/>
          </w:tcPr>
          <w:p w14:paraId="67208F91" w14:textId="77777777" w:rsidR="005D7828" w:rsidRDefault="005D7828" w:rsidP="005D7828">
            <w:pPr>
              <w:rPr>
                <w:sz w:val="22"/>
                <w:szCs w:val="22"/>
              </w:rPr>
            </w:pPr>
            <w:r>
              <w:rPr>
                <w:sz w:val="22"/>
                <w:szCs w:val="22"/>
              </w:rPr>
              <w:t> </w:t>
            </w:r>
          </w:p>
        </w:tc>
      </w:tr>
      <w:tr w:rsidR="005D7828" w14:paraId="1A619C6B" w14:textId="77777777" w:rsidTr="005D7828">
        <w:trPr>
          <w:trHeight w:val="300"/>
        </w:trPr>
        <w:tc>
          <w:tcPr>
            <w:tcW w:w="272" w:type="dxa"/>
            <w:tcBorders>
              <w:top w:val="nil"/>
              <w:left w:val="single" w:sz="4" w:space="0" w:color="auto"/>
              <w:bottom w:val="nil"/>
              <w:right w:val="nil"/>
            </w:tcBorders>
            <w:shd w:val="clear" w:color="000000" w:fill="FFFFFF"/>
            <w:noWrap/>
            <w:vAlign w:val="bottom"/>
            <w:hideMark/>
          </w:tcPr>
          <w:p w14:paraId="4EC5625A" w14:textId="77777777" w:rsidR="005D7828" w:rsidRDefault="005D7828" w:rsidP="005D7828">
            <w:pPr>
              <w:jc w:val="center"/>
              <w:rPr>
                <w:sz w:val="22"/>
                <w:szCs w:val="22"/>
              </w:rPr>
            </w:pPr>
            <w:r>
              <w:rPr>
                <w:sz w:val="22"/>
                <w:szCs w:val="22"/>
              </w:rPr>
              <w:t> </w:t>
            </w:r>
          </w:p>
        </w:tc>
        <w:tc>
          <w:tcPr>
            <w:tcW w:w="7251" w:type="dxa"/>
            <w:tcBorders>
              <w:top w:val="nil"/>
              <w:left w:val="nil"/>
              <w:bottom w:val="nil"/>
              <w:right w:val="nil"/>
            </w:tcBorders>
            <w:shd w:val="clear" w:color="000000" w:fill="FFFFFF"/>
            <w:noWrap/>
            <w:vAlign w:val="bottom"/>
            <w:hideMark/>
          </w:tcPr>
          <w:p w14:paraId="055B048B" w14:textId="77777777" w:rsidR="005D7828" w:rsidRDefault="005D7828" w:rsidP="005D7828">
            <w:pPr>
              <w:rPr>
                <w:b/>
                <w:bCs/>
                <w:sz w:val="22"/>
                <w:szCs w:val="22"/>
              </w:rPr>
            </w:pPr>
            <w:r>
              <w:rPr>
                <w:b/>
                <w:bCs/>
                <w:sz w:val="22"/>
                <w:szCs w:val="22"/>
              </w:rPr>
              <w:t>CIAC</w:t>
            </w:r>
          </w:p>
        </w:tc>
        <w:tc>
          <w:tcPr>
            <w:tcW w:w="1742" w:type="dxa"/>
            <w:tcBorders>
              <w:top w:val="nil"/>
              <w:left w:val="nil"/>
              <w:bottom w:val="nil"/>
              <w:right w:val="nil"/>
            </w:tcBorders>
            <w:shd w:val="clear" w:color="000000" w:fill="FFFFFF"/>
            <w:noWrap/>
            <w:vAlign w:val="bottom"/>
            <w:hideMark/>
          </w:tcPr>
          <w:p w14:paraId="0FCA06EA" w14:textId="77777777" w:rsidR="005D7828" w:rsidRDefault="005D7828" w:rsidP="005D7828">
            <w:pPr>
              <w:rPr>
                <w:sz w:val="22"/>
                <w:szCs w:val="22"/>
              </w:rPr>
            </w:pPr>
            <w:r>
              <w:rPr>
                <w:sz w:val="22"/>
                <w:szCs w:val="22"/>
              </w:rPr>
              <w:t> </w:t>
            </w:r>
          </w:p>
        </w:tc>
        <w:tc>
          <w:tcPr>
            <w:tcW w:w="451" w:type="dxa"/>
            <w:tcBorders>
              <w:top w:val="nil"/>
              <w:left w:val="nil"/>
              <w:bottom w:val="nil"/>
              <w:right w:val="single" w:sz="4" w:space="0" w:color="auto"/>
            </w:tcBorders>
            <w:shd w:val="clear" w:color="000000" w:fill="FFFFFF"/>
            <w:noWrap/>
            <w:vAlign w:val="bottom"/>
            <w:hideMark/>
          </w:tcPr>
          <w:p w14:paraId="5477FE3F" w14:textId="77777777" w:rsidR="005D7828" w:rsidRDefault="005D7828" w:rsidP="005D7828">
            <w:pPr>
              <w:rPr>
                <w:sz w:val="22"/>
                <w:szCs w:val="22"/>
              </w:rPr>
            </w:pPr>
            <w:r>
              <w:rPr>
                <w:sz w:val="22"/>
                <w:szCs w:val="22"/>
              </w:rPr>
              <w:t> </w:t>
            </w:r>
          </w:p>
        </w:tc>
      </w:tr>
      <w:tr w:rsidR="005D7828" w14:paraId="26B44E9B" w14:textId="77777777" w:rsidTr="005D7828">
        <w:trPr>
          <w:trHeight w:val="300"/>
        </w:trPr>
        <w:tc>
          <w:tcPr>
            <w:tcW w:w="272" w:type="dxa"/>
            <w:tcBorders>
              <w:top w:val="nil"/>
              <w:left w:val="single" w:sz="4" w:space="0" w:color="auto"/>
              <w:bottom w:val="nil"/>
              <w:right w:val="nil"/>
            </w:tcBorders>
            <w:shd w:val="clear" w:color="000000" w:fill="FFFFFF"/>
            <w:noWrap/>
            <w:vAlign w:val="bottom"/>
            <w:hideMark/>
          </w:tcPr>
          <w:p w14:paraId="2DBA6D12" w14:textId="77777777" w:rsidR="005D7828" w:rsidRDefault="005D7828" w:rsidP="005D7828">
            <w:pPr>
              <w:jc w:val="center"/>
              <w:rPr>
                <w:sz w:val="22"/>
                <w:szCs w:val="22"/>
              </w:rPr>
            </w:pPr>
            <w:r>
              <w:rPr>
                <w:sz w:val="22"/>
                <w:szCs w:val="22"/>
              </w:rPr>
              <w:t> </w:t>
            </w:r>
          </w:p>
        </w:tc>
        <w:tc>
          <w:tcPr>
            <w:tcW w:w="7251" w:type="dxa"/>
            <w:tcBorders>
              <w:top w:val="nil"/>
              <w:left w:val="nil"/>
              <w:bottom w:val="nil"/>
              <w:right w:val="nil"/>
            </w:tcBorders>
            <w:shd w:val="clear" w:color="000000" w:fill="FFFFFF"/>
            <w:noWrap/>
            <w:vAlign w:val="bottom"/>
            <w:hideMark/>
          </w:tcPr>
          <w:p w14:paraId="63F707DB" w14:textId="77777777" w:rsidR="005D7828" w:rsidRDefault="005D7828" w:rsidP="005D7828">
            <w:pPr>
              <w:rPr>
                <w:sz w:val="22"/>
                <w:szCs w:val="22"/>
              </w:rPr>
            </w:pPr>
            <w:r>
              <w:rPr>
                <w:sz w:val="22"/>
                <w:szCs w:val="22"/>
              </w:rPr>
              <w:t>To reflect appropriate level of CIAC.</w:t>
            </w:r>
          </w:p>
        </w:tc>
        <w:tc>
          <w:tcPr>
            <w:tcW w:w="1742" w:type="dxa"/>
            <w:tcBorders>
              <w:top w:val="nil"/>
              <w:left w:val="nil"/>
              <w:bottom w:val="nil"/>
              <w:right w:val="nil"/>
            </w:tcBorders>
            <w:shd w:val="clear" w:color="000000" w:fill="FFFFFF"/>
            <w:noWrap/>
            <w:vAlign w:val="bottom"/>
            <w:hideMark/>
          </w:tcPr>
          <w:p w14:paraId="16F53EDE" w14:textId="77777777" w:rsidR="005D7828" w:rsidRPr="003C2A84" w:rsidRDefault="005D7828" w:rsidP="005D7828">
            <w:pPr>
              <w:jc w:val="right"/>
              <w:rPr>
                <w:sz w:val="22"/>
                <w:szCs w:val="22"/>
                <w:u w:val="double"/>
              </w:rPr>
            </w:pPr>
            <w:r w:rsidRPr="003C2A84">
              <w:rPr>
                <w:sz w:val="22"/>
                <w:szCs w:val="22"/>
                <w:u w:val="double"/>
              </w:rPr>
              <w:t>($813,931)</w:t>
            </w:r>
          </w:p>
        </w:tc>
        <w:tc>
          <w:tcPr>
            <w:tcW w:w="451" w:type="dxa"/>
            <w:tcBorders>
              <w:top w:val="nil"/>
              <w:left w:val="nil"/>
              <w:bottom w:val="nil"/>
              <w:right w:val="single" w:sz="4" w:space="0" w:color="auto"/>
            </w:tcBorders>
            <w:shd w:val="clear" w:color="000000" w:fill="FFFFFF"/>
            <w:noWrap/>
            <w:vAlign w:val="bottom"/>
            <w:hideMark/>
          </w:tcPr>
          <w:p w14:paraId="59798A1D" w14:textId="77777777" w:rsidR="005D7828" w:rsidRDefault="005D7828" w:rsidP="005D7828">
            <w:pPr>
              <w:rPr>
                <w:sz w:val="22"/>
                <w:szCs w:val="22"/>
              </w:rPr>
            </w:pPr>
            <w:r>
              <w:rPr>
                <w:sz w:val="22"/>
                <w:szCs w:val="22"/>
              </w:rPr>
              <w:t> </w:t>
            </w:r>
          </w:p>
        </w:tc>
      </w:tr>
      <w:tr w:rsidR="005D7828" w14:paraId="12C27216" w14:textId="77777777" w:rsidTr="005D7828">
        <w:trPr>
          <w:trHeight w:val="300"/>
        </w:trPr>
        <w:tc>
          <w:tcPr>
            <w:tcW w:w="272" w:type="dxa"/>
            <w:tcBorders>
              <w:top w:val="nil"/>
              <w:left w:val="single" w:sz="4" w:space="0" w:color="auto"/>
              <w:bottom w:val="nil"/>
              <w:right w:val="nil"/>
            </w:tcBorders>
            <w:shd w:val="clear" w:color="000000" w:fill="FFFFFF"/>
            <w:noWrap/>
            <w:vAlign w:val="bottom"/>
            <w:hideMark/>
          </w:tcPr>
          <w:p w14:paraId="6E386281" w14:textId="77777777" w:rsidR="005D7828" w:rsidRDefault="005D7828" w:rsidP="005D7828">
            <w:pPr>
              <w:jc w:val="center"/>
              <w:rPr>
                <w:sz w:val="22"/>
                <w:szCs w:val="22"/>
              </w:rPr>
            </w:pPr>
            <w:r>
              <w:rPr>
                <w:sz w:val="22"/>
                <w:szCs w:val="22"/>
              </w:rPr>
              <w:t> </w:t>
            </w:r>
          </w:p>
        </w:tc>
        <w:tc>
          <w:tcPr>
            <w:tcW w:w="7251" w:type="dxa"/>
            <w:tcBorders>
              <w:top w:val="nil"/>
              <w:left w:val="nil"/>
              <w:bottom w:val="nil"/>
              <w:right w:val="nil"/>
            </w:tcBorders>
            <w:shd w:val="clear" w:color="000000" w:fill="FFFFFF"/>
            <w:noWrap/>
            <w:vAlign w:val="bottom"/>
            <w:hideMark/>
          </w:tcPr>
          <w:p w14:paraId="0427D2AC" w14:textId="77777777" w:rsidR="005D7828" w:rsidRDefault="005D7828" w:rsidP="005D7828">
            <w:pPr>
              <w:rPr>
                <w:sz w:val="22"/>
                <w:szCs w:val="22"/>
              </w:rPr>
            </w:pPr>
            <w:r>
              <w:rPr>
                <w:sz w:val="22"/>
                <w:szCs w:val="22"/>
              </w:rPr>
              <w:t> </w:t>
            </w:r>
          </w:p>
        </w:tc>
        <w:tc>
          <w:tcPr>
            <w:tcW w:w="1742" w:type="dxa"/>
            <w:tcBorders>
              <w:top w:val="nil"/>
              <w:left w:val="nil"/>
              <w:bottom w:val="nil"/>
              <w:right w:val="nil"/>
            </w:tcBorders>
            <w:shd w:val="clear" w:color="000000" w:fill="FFFFFF"/>
            <w:noWrap/>
            <w:vAlign w:val="bottom"/>
            <w:hideMark/>
          </w:tcPr>
          <w:p w14:paraId="06C9C1DE" w14:textId="77777777" w:rsidR="005D7828" w:rsidRDefault="005D7828" w:rsidP="005D7828">
            <w:pPr>
              <w:rPr>
                <w:sz w:val="22"/>
                <w:szCs w:val="22"/>
              </w:rPr>
            </w:pPr>
            <w:r>
              <w:rPr>
                <w:sz w:val="22"/>
                <w:szCs w:val="22"/>
              </w:rPr>
              <w:t> </w:t>
            </w:r>
          </w:p>
        </w:tc>
        <w:tc>
          <w:tcPr>
            <w:tcW w:w="451" w:type="dxa"/>
            <w:tcBorders>
              <w:top w:val="nil"/>
              <w:left w:val="nil"/>
              <w:bottom w:val="nil"/>
              <w:right w:val="single" w:sz="4" w:space="0" w:color="auto"/>
            </w:tcBorders>
            <w:shd w:val="clear" w:color="000000" w:fill="FFFFFF"/>
            <w:noWrap/>
            <w:vAlign w:val="bottom"/>
            <w:hideMark/>
          </w:tcPr>
          <w:p w14:paraId="051F09AA" w14:textId="77777777" w:rsidR="005D7828" w:rsidRDefault="005D7828" w:rsidP="005D7828">
            <w:pPr>
              <w:rPr>
                <w:sz w:val="22"/>
                <w:szCs w:val="22"/>
              </w:rPr>
            </w:pPr>
            <w:r>
              <w:rPr>
                <w:sz w:val="22"/>
                <w:szCs w:val="22"/>
              </w:rPr>
              <w:t> </w:t>
            </w:r>
          </w:p>
        </w:tc>
      </w:tr>
      <w:tr w:rsidR="005D7828" w14:paraId="573F40BD" w14:textId="77777777" w:rsidTr="005D7828">
        <w:trPr>
          <w:trHeight w:val="300"/>
        </w:trPr>
        <w:tc>
          <w:tcPr>
            <w:tcW w:w="272" w:type="dxa"/>
            <w:tcBorders>
              <w:top w:val="nil"/>
              <w:left w:val="single" w:sz="4" w:space="0" w:color="auto"/>
              <w:bottom w:val="nil"/>
              <w:right w:val="nil"/>
            </w:tcBorders>
            <w:shd w:val="clear" w:color="000000" w:fill="FFFFFF"/>
            <w:noWrap/>
            <w:vAlign w:val="bottom"/>
            <w:hideMark/>
          </w:tcPr>
          <w:p w14:paraId="489F79BA" w14:textId="77777777" w:rsidR="005D7828" w:rsidRDefault="005D7828" w:rsidP="005D7828">
            <w:pPr>
              <w:jc w:val="center"/>
              <w:rPr>
                <w:sz w:val="22"/>
                <w:szCs w:val="22"/>
              </w:rPr>
            </w:pPr>
            <w:r>
              <w:rPr>
                <w:sz w:val="22"/>
                <w:szCs w:val="22"/>
              </w:rPr>
              <w:t> </w:t>
            </w:r>
          </w:p>
        </w:tc>
        <w:tc>
          <w:tcPr>
            <w:tcW w:w="7251" w:type="dxa"/>
            <w:tcBorders>
              <w:top w:val="nil"/>
              <w:left w:val="nil"/>
              <w:bottom w:val="nil"/>
              <w:right w:val="nil"/>
            </w:tcBorders>
            <w:shd w:val="clear" w:color="000000" w:fill="FFFFFF"/>
            <w:noWrap/>
            <w:vAlign w:val="bottom"/>
            <w:hideMark/>
          </w:tcPr>
          <w:p w14:paraId="290DB634" w14:textId="77777777" w:rsidR="005D7828" w:rsidRDefault="005D7828" w:rsidP="005D7828">
            <w:pPr>
              <w:rPr>
                <w:b/>
                <w:bCs/>
                <w:sz w:val="22"/>
                <w:szCs w:val="22"/>
              </w:rPr>
            </w:pPr>
            <w:r>
              <w:rPr>
                <w:b/>
                <w:bCs/>
                <w:sz w:val="22"/>
                <w:szCs w:val="22"/>
              </w:rPr>
              <w:t>Accumulated Amortization of CIAC</w:t>
            </w:r>
          </w:p>
        </w:tc>
        <w:tc>
          <w:tcPr>
            <w:tcW w:w="1742" w:type="dxa"/>
            <w:tcBorders>
              <w:top w:val="nil"/>
              <w:left w:val="nil"/>
              <w:bottom w:val="nil"/>
              <w:right w:val="nil"/>
            </w:tcBorders>
            <w:shd w:val="clear" w:color="000000" w:fill="FFFFFF"/>
            <w:noWrap/>
            <w:vAlign w:val="bottom"/>
            <w:hideMark/>
          </w:tcPr>
          <w:p w14:paraId="0E13B65F" w14:textId="77777777" w:rsidR="005D7828" w:rsidRDefault="005D7828" w:rsidP="005D7828">
            <w:pPr>
              <w:rPr>
                <w:sz w:val="22"/>
                <w:szCs w:val="22"/>
              </w:rPr>
            </w:pPr>
            <w:r>
              <w:rPr>
                <w:sz w:val="22"/>
                <w:szCs w:val="22"/>
              </w:rPr>
              <w:t> </w:t>
            </w:r>
          </w:p>
        </w:tc>
        <w:tc>
          <w:tcPr>
            <w:tcW w:w="451" w:type="dxa"/>
            <w:tcBorders>
              <w:top w:val="nil"/>
              <w:left w:val="nil"/>
              <w:bottom w:val="nil"/>
              <w:right w:val="single" w:sz="4" w:space="0" w:color="auto"/>
            </w:tcBorders>
            <w:shd w:val="clear" w:color="000000" w:fill="FFFFFF"/>
            <w:noWrap/>
            <w:vAlign w:val="bottom"/>
            <w:hideMark/>
          </w:tcPr>
          <w:p w14:paraId="254806F2" w14:textId="77777777" w:rsidR="005D7828" w:rsidRDefault="005D7828" w:rsidP="005D7828">
            <w:pPr>
              <w:rPr>
                <w:sz w:val="22"/>
                <w:szCs w:val="22"/>
              </w:rPr>
            </w:pPr>
            <w:r>
              <w:rPr>
                <w:sz w:val="22"/>
                <w:szCs w:val="22"/>
              </w:rPr>
              <w:t> </w:t>
            </w:r>
          </w:p>
        </w:tc>
      </w:tr>
      <w:tr w:rsidR="005D7828" w14:paraId="0A0C6770" w14:textId="77777777" w:rsidTr="005D7828">
        <w:trPr>
          <w:trHeight w:val="300"/>
        </w:trPr>
        <w:tc>
          <w:tcPr>
            <w:tcW w:w="272" w:type="dxa"/>
            <w:tcBorders>
              <w:top w:val="nil"/>
              <w:left w:val="single" w:sz="4" w:space="0" w:color="auto"/>
              <w:bottom w:val="nil"/>
              <w:right w:val="nil"/>
            </w:tcBorders>
            <w:shd w:val="clear" w:color="000000" w:fill="FFFFFF"/>
            <w:noWrap/>
            <w:vAlign w:val="bottom"/>
            <w:hideMark/>
          </w:tcPr>
          <w:p w14:paraId="30A36FCC" w14:textId="77777777" w:rsidR="005D7828" w:rsidRDefault="005D7828" w:rsidP="005D7828">
            <w:pPr>
              <w:jc w:val="center"/>
              <w:rPr>
                <w:sz w:val="22"/>
                <w:szCs w:val="22"/>
              </w:rPr>
            </w:pPr>
            <w:r>
              <w:rPr>
                <w:sz w:val="22"/>
                <w:szCs w:val="22"/>
              </w:rPr>
              <w:t> </w:t>
            </w:r>
          </w:p>
        </w:tc>
        <w:tc>
          <w:tcPr>
            <w:tcW w:w="7251" w:type="dxa"/>
            <w:tcBorders>
              <w:top w:val="nil"/>
              <w:left w:val="nil"/>
              <w:bottom w:val="nil"/>
              <w:right w:val="nil"/>
            </w:tcBorders>
            <w:shd w:val="clear" w:color="000000" w:fill="FFFFFF"/>
            <w:noWrap/>
            <w:vAlign w:val="bottom"/>
            <w:hideMark/>
          </w:tcPr>
          <w:p w14:paraId="0904B67C" w14:textId="77777777" w:rsidR="005D7828" w:rsidRDefault="005D7828" w:rsidP="005D7828">
            <w:pPr>
              <w:rPr>
                <w:sz w:val="22"/>
                <w:szCs w:val="22"/>
              </w:rPr>
            </w:pPr>
            <w:r>
              <w:rPr>
                <w:sz w:val="22"/>
                <w:szCs w:val="22"/>
              </w:rPr>
              <w:t>To reflect appropriate level of accumulated amortization of CIAC.</w:t>
            </w:r>
          </w:p>
        </w:tc>
        <w:tc>
          <w:tcPr>
            <w:tcW w:w="1742" w:type="dxa"/>
            <w:tcBorders>
              <w:top w:val="nil"/>
              <w:left w:val="nil"/>
              <w:bottom w:val="nil"/>
              <w:right w:val="nil"/>
            </w:tcBorders>
            <w:shd w:val="clear" w:color="000000" w:fill="FFFFFF"/>
            <w:noWrap/>
            <w:vAlign w:val="bottom"/>
            <w:hideMark/>
          </w:tcPr>
          <w:p w14:paraId="14D97091" w14:textId="77777777" w:rsidR="005D7828" w:rsidRPr="003C2A84" w:rsidRDefault="005D7828" w:rsidP="005D7828">
            <w:pPr>
              <w:jc w:val="right"/>
              <w:rPr>
                <w:sz w:val="22"/>
                <w:szCs w:val="22"/>
                <w:u w:val="double"/>
              </w:rPr>
            </w:pPr>
            <w:r w:rsidRPr="003C2A84">
              <w:rPr>
                <w:sz w:val="22"/>
                <w:szCs w:val="22"/>
                <w:u w:val="double"/>
              </w:rPr>
              <w:t xml:space="preserve">$327,624 </w:t>
            </w:r>
          </w:p>
        </w:tc>
        <w:tc>
          <w:tcPr>
            <w:tcW w:w="451" w:type="dxa"/>
            <w:tcBorders>
              <w:top w:val="nil"/>
              <w:left w:val="nil"/>
              <w:bottom w:val="nil"/>
              <w:right w:val="single" w:sz="4" w:space="0" w:color="auto"/>
            </w:tcBorders>
            <w:shd w:val="clear" w:color="000000" w:fill="FFFFFF"/>
            <w:noWrap/>
            <w:vAlign w:val="bottom"/>
            <w:hideMark/>
          </w:tcPr>
          <w:p w14:paraId="74C02305" w14:textId="77777777" w:rsidR="005D7828" w:rsidRDefault="005D7828" w:rsidP="005D7828">
            <w:pPr>
              <w:rPr>
                <w:sz w:val="22"/>
                <w:szCs w:val="22"/>
              </w:rPr>
            </w:pPr>
            <w:r>
              <w:rPr>
                <w:sz w:val="22"/>
                <w:szCs w:val="22"/>
              </w:rPr>
              <w:t> </w:t>
            </w:r>
          </w:p>
        </w:tc>
      </w:tr>
      <w:tr w:rsidR="005D7828" w14:paraId="303E4B77" w14:textId="77777777" w:rsidTr="005D7828">
        <w:trPr>
          <w:trHeight w:val="300"/>
        </w:trPr>
        <w:tc>
          <w:tcPr>
            <w:tcW w:w="272" w:type="dxa"/>
            <w:tcBorders>
              <w:top w:val="nil"/>
              <w:left w:val="single" w:sz="4" w:space="0" w:color="auto"/>
              <w:bottom w:val="single" w:sz="4" w:space="0" w:color="auto"/>
              <w:right w:val="nil"/>
            </w:tcBorders>
            <w:shd w:val="clear" w:color="000000" w:fill="FFFFFF"/>
            <w:noWrap/>
            <w:vAlign w:val="bottom"/>
            <w:hideMark/>
          </w:tcPr>
          <w:p w14:paraId="18E8E777" w14:textId="77777777" w:rsidR="005D7828" w:rsidRDefault="005D7828" w:rsidP="005D7828">
            <w:pPr>
              <w:jc w:val="center"/>
              <w:rPr>
                <w:sz w:val="22"/>
                <w:szCs w:val="22"/>
              </w:rPr>
            </w:pPr>
            <w:r>
              <w:rPr>
                <w:sz w:val="22"/>
                <w:szCs w:val="22"/>
              </w:rPr>
              <w:t> </w:t>
            </w:r>
          </w:p>
        </w:tc>
        <w:tc>
          <w:tcPr>
            <w:tcW w:w="7251" w:type="dxa"/>
            <w:tcBorders>
              <w:top w:val="nil"/>
              <w:left w:val="nil"/>
              <w:bottom w:val="single" w:sz="4" w:space="0" w:color="auto"/>
              <w:right w:val="nil"/>
            </w:tcBorders>
            <w:shd w:val="clear" w:color="000000" w:fill="FFFFFF"/>
            <w:noWrap/>
            <w:vAlign w:val="bottom"/>
            <w:hideMark/>
          </w:tcPr>
          <w:p w14:paraId="3A04876A" w14:textId="77777777" w:rsidR="005D7828" w:rsidRDefault="005D7828" w:rsidP="005D7828">
            <w:pPr>
              <w:rPr>
                <w:sz w:val="22"/>
                <w:szCs w:val="22"/>
              </w:rPr>
            </w:pPr>
            <w:r>
              <w:rPr>
                <w:sz w:val="22"/>
                <w:szCs w:val="22"/>
              </w:rPr>
              <w:t> </w:t>
            </w:r>
          </w:p>
        </w:tc>
        <w:tc>
          <w:tcPr>
            <w:tcW w:w="1742" w:type="dxa"/>
            <w:tcBorders>
              <w:top w:val="nil"/>
              <w:left w:val="nil"/>
              <w:bottom w:val="single" w:sz="4" w:space="0" w:color="auto"/>
              <w:right w:val="nil"/>
            </w:tcBorders>
            <w:shd w:val="clear" w:color="000000" w:fill="FFFFFF"/>
            <w:noWrap/>
            <w:vAlign w:val="bottom"/>
            <w:hideMark/>
          </w:tcPr>
          <w:p w14:paraId="5ACBB669" w14:textId="77777777" w:rsidR="005D7828" w:rsidRDefault="005D7828" w:rsidP="005D7828">
            <w:pPr>
              <w:rPr>
                <w:sz w:val="22"/>
                <w:szCs w:val="22"/>
              </w:rPr>
            </w:pPr>
            <w:r>
              <w:rPr>
                <w:sz w:val="22"/>
                <w:szCs w:val="22"/>
              </w:rPr>
              <w:t> </w:t>
            </w:r>
          </w:p>
        </w:tc>
        <w:tc>
          <w:tcPr>
            <w:tcW w:w="451" w:type="dxa"/>
            <w:tcBorders>
              <w:top w:val="nil"/>
              <w:left w:val="nil"/>
              <w:bottom w:val="single" w:sz="4" w:space="0" w:color="auto"/>
              <w:right w:val="single" w:sz="4" w:space="0" w:color="auto"/>
            </w:tcBorders>
            <w:shd w:val="clear" w:color="000000" w:fill="FFFFFF"/>
            <w:noWrap/>
            <w:vAlign w:val="bottom"/>
            <w:hideMark/>
          </w:tcPr>
          <w:p w14:paraId="5421D03B" w14:textId="77777777" w:rsidR="005D7828" w:rsidRDefault="005D7828" w:rsidP="005D7828">
            <w:pPr>
              <w:rPr>
                <w:sz w:val="22"/>
                <w:szCs w:val="22"/>
              </w:rPr>
            </w:pPr>
            <w:r>
              <w:rPr>
                <w:sz w:val="22"/>
                <w:szCs w:val="22"/>
              </w:rPr>
              <w:t> </w:t>
            </w:r>
          </w:p>
        </w:tc>
      </w:tr>
    </w:tbl>
    <w:p w14:paraId="60E1DA83" w14:textId="77777777" w:rsidR="005D7828" w:rsidRDefault="005D7828" w:rsidP="005D7828">
      <w:pPr>
        <w:pStyle w:val="BodyText"/>
      </w:pPr>
    </w:p>
    <w:p w14:paraId="5388BBF7" w14:textId="77777777" w:rsidR="005D7828" w:rsidRDefault="005D7828" w:rsidP="009054ED">
      <w:pPr>
        <w:pStyle w:val="BodyText"/>
        <w:sectPr w:rsidR="005D7828">
          <w:headerReference w:type="default" r:id="rId16"/>
          <w:pgSz w:w="12240" w:h="15840"/>
          <w:pgMar w:top="1440" w:right="1440" w:bottom="1440" w:left="1440" w:header="720" w:footer="720" w:gutter="0"/>
          <w:cols w:space="720"/>
          <w:docGrid w:linePitch="360"/>
        </w:sectPr>
      </w:pPr>
    </w:p>
    <w:p w14:paraId="3F9FCD8B" w14:textId="77777777" w:rsidR="005D7828" w:rsidRDefault="005D7828" w:rsidP="009054ED">
      <w:pPr>
        <w:pStyle w:val="BodyText"/>
      </w:pPr>
    </w:p>
    <w:tbl>
      <w:tblPr>
        <w:tblW w:w="12539" w:type="dxa"/>
        <w:jc w:val="center"/>
        <w:tblLook w:val="04A0" w:firstRow="1" w:lastRow="0" w:firstColumn="1" w:lastColumn="0" w:noHBand="0" w:noVBand="1"/>
      </w:tblPr>
      <w:tblGrid>
        <w:gridCol w:w="436"/>
        <w:gridCol w:w="2443"/>
        <w:gridCol w:w="3093"/>
        <w:gridCol w:w="1476"/>
        <w:gridCol w:w="1457"/>
        <w:gridCol w:w="1005"/>
        <w:gridCol w:w="1111"/>
        <w:gridCol w:w="1246"/>
        <w:gridCol w:w="272"/>
      </w:tblGrid>
      <w:tr w:rsidR="005D7828" w14:paraId="4581C9BC" w14:textId="77777777" w:rsidTr="005D7828">
        <w:trPr>
          <w:trHeight w:val="300"/>
          <w:jc w:val="center"/>
        </w:trPr>
        <w:tc>
          <w:tcPr>
            <w:tcW w:w="5972" w:type="dxa"/>
            <w:gridSpan w:val="3"/>
            <w:tcBorders>
              <w:top w:val="single" w:sz="4" w:space="0" w:color="auto"/>
              <w:left w:val="single" w:sz="4" w:space="0" w:color="auto"/>
              <w:bottom w:val="nil"/>
              <w:right w:val="nil"/>
            </w:tcBorders>
            <w:shd w:val="clear" w:color="000000" w:fill="FFFFFF"/>
            <w:noWrap/>
            <w:vAlign w:val="bottom"/>
            <w:hideMark/>
          </w:tcPr>
          <w:p w14:paraId="709D2D07" w14:textId="77777777" w:rsidR="005D7828" w:rsidRDefault="005D7828" w:rsidP="005D7828">
            <w:pPr>
              <w:rPr>
                <w:rFonts w:ascii="Arial" w:hAnsi="Arial" w:cs="Arial"/>
                <w:b/>
                <w:bCs/>
              </w:rPr>
            </w:pPr>
            <w:bookmarkStart w:id="24" w:name="RANGE!A4:J34"/>
            <w:r>
              <w:rPr>
                <w:rFonts w:ascii="Arial" w:hAnsi="Arial" w:cs="Arial"/>
                <w:b/>
                <w:bCs/>
              </w:rPr>
              <w:t>Environmental Utilities, LLC</w:t>
            </w:r>
            <w:bookmarkEnd w:id="24"/>
            <w:r>
              <w:rPr>
                <w:rFonts w:ascii="Arial" w:hAnsi="Arial" w:cs="Arial"/>
                <w:b/>
                <w:bCs/>
              </w:rPr>
              <w:t> </w:t>
            </w:r>
          </w:p>
        </w:tc>
        <w:tc>
          <w:tcPr>
            <w:tcW w:w="1476" w:type="dxa"/>
            <w:tcBorders>
              <w:top w:val="single" w:sz="4" w:space="0" w:color="auto"/>
              <w:left w:val="nil"/>
              <w:bottom w:val="nil"/>
              <w:right w:val="nil"/>
            </w:tcBorders>
            <w:shd w:val="clear" w:color="000000" w:fill="FFFFFF"/>
            <w:noWrap/>
            <w:vAlign w:val="bottom"/>
            <w:hideMark/>
          </w:tcPr>
          <w:p w14:paraId="58D55616" w14:textId="77777777" w:rsidR="005D7828" w:rsidRDefault="005D7828" w:rsidP="005D7828">
            <w:pPr>
              <w:rPr>
                <w:rFonts w:ascii="Arial" w:hAnsi="Arial" w:cs="Arial"/>
                <w:b/>
                <w:bCs/>
              </w:rPr>
            </w:pPr>
            <w:r>
              <w:rPr>
                <w:rFonts w:ascii="Arial" w:hAnsi="Arial" w:cs="Arial"/>
                <w:b/>
                <w:bCs/>
              </w:rPr>
              <w:t> </w:t>
            </w:r>
          </w:p>
        </w:tc>
        <w:tc>
          <w:tcPr>
            <w:tcW w:w="1457" w:type="dxa"/>
            <w:tcBorders>
              <w:top w:val="single" w:sz="4" w:space="0" w:color="auto"/>
              <w:left w:val="nil"/>
              <w:bottom w:val="nil"/>
              <w:right w:val="nil"/>
            </w:tcBorders>
            <w:shd w:val="clear" w:color="000000" w:fill="FFFFFF"/>
            <w:noWrap/>
            <w:vAlign w:val="bottom"/>
            <w:hideMark/>
          </w:tcPr>
          <w:p w14:paraId="0B545D3E" w14:textId="77777777" w:rsidR="005D7828" w:rsidRDefault="005D7828" w:rsidP="005D7828">
            <w:pPr>
              <w:rPr>
                <w:rFonts w:ascii="Arial" w:hAnsi="Arial" w:cs="Arial"/>
                <w:b/>
                <w:bCs/>
              </w:rPr>
            </w:pPr>
            <w:r>
              <w:rPr>
                <w:rFonts w:ascii="Arial" w:hAnsi="Arial" w:cs="Arial"/>
                <w:b/>
                <w:bCs/>
              </w:rPr>
              <w:t> </w:t>
            </w:r>
          </w:p>
        </w:tc>
        <w:tc>
          <w:tcPr>
            <w:tcW w:w="3634" w:type="dxa"/>
            <w:gridSpan w:val="4"/>
            <w:tcBorders>
              <w:top w:val="single" w:sz="4" w:space="0" w:color="auto"/>
              <w:left w:val="nil"/>
              <w:bottom w:val="nil"/>
              <w:right w:val="single" w:sz="4" w:space="0" w:color="000000"/>
            </w:tcBorders>
            <w:shd w:val="clear" w:color="000000" w:fill="FFFFFF"/>
            <w:noWrap/>
            <w:vAlign w:val="bottom"/>
            <w:hideMark/>
          </w:tcPr>
          <w:p w14:paraId="3E89BF6F" w14:textId="77777777" w:rsidR="005D7828" w:rsidRDefault="005D7828" w:rsidP="005D7828">
            <w:pPr>
              <w:jc w:val="right"/>
              <w:rPr>
                <w:rFonts w:ascii="Arial" w:hAnsi="Arial" w:cs="Arial"/>
                <w:b/>
                <w:bCs/>
              </w:rPr>
            </w:pPr>
            <w:r>
              <w:rPr>
                <w:rFonts w:ascii="Arial" w:hAnsi="Arial" w:cs="Arial"/>
                <w:b/>
                <w:bCs/>
              </w:rPr>
              <w:t>Schedule No. 2</w:t>
            </w:r>
          </w:p>
        </w:tc>
      </w:tr>
      <w:tr w:rsidR="005D7828" w14:paraId="606BCD6D" w14:textId="77777777" w:rsidTr="005D7828">
        <w:trPr>
          <w:trHeight w:val="300"/>
          <w:jc w:val="center"/>
        </w:trPr>
        <w:tc>
          <w:tcPr>
            <w:tcW w:w="9910" w:type="dxa"/>
            <w:gridSpan w:val="6"/>
            <w:tcBorders>
              <w:top w:val="nil"/>
              <w:left w:val="single" w:sz="4" w:space="0" w:color="auto"/>
              <w:bottom w:val="nil"/>
              <w:right w:val="nil"/>
            </w:tcBorders>
            <w:shd w:val="clear" w:color="000000" w:fill="FFFFFF"/>
            <w:noWrap/>
            <w:vAlign w:val="bottom"/>
            <w:hideMark/>
          </w:tcPr>
          <w:p w14:paraId="1F2504EB" w14:textId="77777777" w:rsidR="005D7828" w:rsidRDefault="005D7828" w:rsidP="005D7828">
            <w:pPr>
              <w:rPr>
                <w:rFonts w:ascii="Arial" w:hAnsi="Arial" w:cs="Arial"/>
                <w:b/>
                <w:bCs/>
              </w:rPr>
            </w:pPr>
            <w:r>
              <w:rPr>
                <w:rFonts w:ascii="Arial" w:hAnsi="Arial" w:cs="Arial"/>
                <w:b/>
                <w:bCs/>
              </w:rPr>
              <w:t>Capital Structure 13-Month Average</w:t>
            </w:r>
          </w:p>
        </w:tc>
        <w:tc>
          <w:tcPr>
            <w:tcW w:w="2629" w:type="dxa"/>
            <w:gridSpan w:val="3"/>
            <w:tcBorders>
              <w:top w:val="nil"/>
              <w:left w:val="nil"/>
              <w:bottom w:val="nil"/>
              <w:right w:val="single" w:sz="4" w:space="0" w:color="000000"/>
            </w:tcBorders>
            <w:shd w:val="clear" w:color="000000" w:fill="FFFFFF"/>
            <w:noWrap/>
            <w:vAlign w:val="bottom"/>
            <w:hideMark/>
          </w:tcPr>
          <w:p w14:paraId="6A3A7A1E" w14:textId="77777777" w:rsidR="005D7828" w:rsidRDefault="005D7828" w:rsidP="005D7828">
            <w:pPr>
              <w:jc w:val="right"/>
              <w:rPr>
                <w:rFonts w:ascii="Arial" w:hAnsi="Arial" w:cs="Arial"/>
                <w:b/>
                <w:bCs/>
              </w:rPr>
            </w:pPr>
            <w:r>
              <w:rPr>
                <w:rFonts w:ascii="Arial" w:hAnsi="Arial" w:cs="Arial"/>
                <w:b/>
                <w:bCs/>
              </w:rPr>
              <w:t> 20240032-SU</w:t>
            </w:r>
          </w:p>
        </w:tc>
      </w:tr>
      <w:tr w:rsidR="005D7828" w14:paraId="03799AF3" w14:textId="77777777" w:rsidTr="005D7828">
        <w:trPr>
          <w:trHeight w:val="300"/>
          <w:jc w:val="center"/>
        </w:trPr>
        <w:tc>
          <w:tcPr>
            <w:tcW w:w="2879" w:type="dxa"/>
            <w:gridSpan w:val="2"/>
            <w:tcBorders>
              <w:top w:val="nil"/>
              <w:left w:val="single" w:sz="4" w:space="0" w:color="auto"/>
              <w:bottom w:val="single" w:sz="4" w:space="0" w:color="auto"/>
              <w:right w:val="nil"/>
            </w:tcBorders>
            <w:shd w:val="clear" w:color="000000" w:fill="FFFFFF"/>
            <w:noWrap/>
            <w:vAlign w:val="bottom"/>
            <w:hideMark/>
          </w:tcPr>
          <w:p w14:paraId="22B4CA75" w14:textId="77777777" w:rsidR="005D7828" w:rsidRDefault="005D7828" w:rsidP="005D7828">
            <w:pPr>
              <w:rPr>
                <w:rFonts w:ascii="Arial" w:hAnsi="Arial" w:cs="Arial"/>
                <w:b/>
                <w:bCs/>
              </w:rPr>
            </w:pPr>
            <w:r>
              <w:rPr>
                <w:rFonts w:ascii="Arial" w:hAnsi="Arial" w:cs="Arial"/>
                <w:b/>
                <w:bCs/>
              </w:rPr>
              <w:t>80% Design Capacity</w:t>
            </w:r>
          </w:p>
        </w:tc>
        <w:tc>
          <w:tcPr>
            <w:tcW w:w="3093" w:type="dxa"/>
            <w:tcBorders>
              <w:top w:val="nil"/>
              <w:left w:val="nil"/>
              <w:bottom w:val="nil"/>
              <w:right w:val="nil"/>
            </w:tcBorders>
            <w:shd w:val="clear" w:color="000000" w:fill="FFFFFF"/>
            <w:noWrap/>
            <w:vAlign w:val="bottom"/>
            <w:hideMark/>
          </w:tcPr>
          <w:p w14:paraId="0CC7A7A6" w14:textId="77777777" w:rsidR="005D7828" w:rsidRDefault="005D7828" w:rsidP="005D7828">
            <w:pPr>
              <w:rPr>
                <w:rFonts w:ascii="Arial" w:hAnsi="Arial" w:cs="Arial"/>
                <w:b/>
                <w:bCs/>
              </w:rPr>
            </w:pPr>
            <w:r>
              <w:rPr>
                <w:rFonts w:ascii="Arial" w:hAnsi="Arial" w:cs="Arial"/>
                <w:b/>
                <w:bCs/>
              </w:rPr>
              <w:t> </w:t>
            </w:r>
          </w:p>
        </w:tc>
        <w:tc>
          <w:tcPr>
            <w:tcW w:w="1476" w:type="dxa"/>
            <w:tcBorders>
              <w:top w:val="nil"/>
              <w:left w:val="nil"/>
              <w:bottom w:val="nil"/>
              <w:right w:val="nil"/>
            </w:tcBorders>
            <w:shd w:val="clear" w:color="000000" w:fill="FFFFFF"/>
            <w:noWrap/>
            <w:vAlign w:val="bottom"/>
            <w:hideMark/>
          </w:tcPr>
          <w:p w14:paraId="6277472C" w14:textId="77777777" w:rsidR="005D7828" w:rsidRDefault="005D7828" w:rsidP="005D7828">
            <w:pPr>
              <w:rPr>
                <w:rFonts w:ascii="Arial" w:hAnsi="Arial" w:cs="Arial"/>
                <w:b/>
                <w:bCs/>
              </w:rPr>
            </w:pPr>
            <w:r>
              <w:rPr>
                <w:rFonts w:ascii="Arial" w:hAnsi="Arial" w:cs="Arial"/>
                <w:b/>
                <w:bCs/>
              </w:rPr>
              <w:t> </w:t>
            </w:r>
          </w:p>
        </w:tc>
        <w:tc>
          <w:tcPr>
            <w:tcW w:w="1457" w:type="dxa"/>
            <w:tcBorders>
              <w:top w:val="nil"/>
              <w:left w:val="nil"/>
              <w:bottom w:val="nil"/>
              <w:right w:val="nil"/>
            </w:tcBorders>
            <w:shd w:val="clear" w:color="000000" w:fill="FFFFFF"/>
            <w:noWrap/>
            <w:vAlign w:val="bottom"/>
            <w:hideMark/>
          </w:tcPr>
          <w:p w14:paraId="14F241D9" w14:textId="77777777" w:rsidR="005D7828" w:rsidRDefault="005D7828" w:rsidP="005D7828">
            <w:pPr>
              <w:rPr>
                <w:rFonts w:ascii="Arial" w:hAnsi="Arial" w:cs="Arial"/>
                <w:b/>
                <w:bCs/>
              </w:rPr>
            </w:pPr>
            <w:r>
              <w:rPr>
                <w:rFonts w:ascii="Arial" w:hAnsi="Arial" w:cs="Arial"/>
                <w:b/>
                <w:bCs/>
              </w:rPr>
              <w:t> </w:t>
            </w:r>
          </w:p>
        </w:tc>
        <w:tc>
          <w:tcPr>
            <w:tcW w:w="1005" w:type="dxa"/>
            <w:tcBorders>
              <w:top w:val="nil"/>
              <w:left w:val="nil"/>
              <w:bottom w:val="nil"/>
              <w:right w:val="nil"/>
            </w:tcBorders>
            <w:shd w:val="clear" w:color="000000" w:fill="FFFFFF"/>
            <w:noWrap/>
            <w:vAlign w:val="bottom"/>
            <w:hideMark/>
          </w:tcPr>
          <w:p w14:paraId="2CD4D3A9" w14:textId="77777777" w:rsidR="005D7828" w:rsidRDefault="005D7828" w:rsidP="005D7828">
            <w:pPr>
              <w:rPr>
                <w:rFonts w:ascii="Arial" w:hAnsi="Arial" w:cs="Arial"/>
                <w:b/>
                <w:bCs/>
              </w:rPr>
            </w:pPr>
            <w:r>
              <w:rPr>
                <w:rFonts w:ascii="Arial" w:hAnsi="Arial" w:cs="Arial"/>
                <w:b/>
                <w:bCs/>
              </w:rPr>
              <w:t> </w:t>
            </w:r>
          </w:p>
        </w:tc>
        <w:tc>
          <w:tcPr>
            <w:tcW w:w="1111" w:type="dxa"/>
            <w:tcBorders>
              <w:top w:val="nil"/>
              <w:left w:val="nil"/>
              <w:bottom w:val="nil"/>
              <w:right w:val="nil"/>
            </w:tcBorders>
            <w:shd w:val="clear" w:color="000000" w:fill="FFFFFF"/>
            <w:noWrap/>
            <w:vAlign w:val="bottom"/>
            <w:hideMark/>
          </w:tcPr>
          <w:p w14:paraId="7BC8CC37" w14:textId="77777777" w:rsidR="005D7828" w:rsidRDefault="005D7828" w:rsidP="005D7828">
            <w:pPr>
              <w:rPr>
                <w:rFonts w:ascii="Arial" w:hAnsi="Arial" w:cs="Arial"/>
                <w:b/>
                <w:bCs/>
              </w:rPr>
            </w:pPr>
            <w:r>
              <w:rPr>
                <w:rFonts w:ascii="Arial" w:hAnsi="Arial" w:cs="Arial"/>
                <w:b/>
                <w:bCs/>
              </w:rPr>
              <w:t> </w:t>
            </w:r>
          </w:p>
        </w:tc>
        <w:tc>
          <w:tcPr>
            <w:tcW w:w="1246" w:type="dxa"/>
            <w:tcBorders>
              <w:top w:val="nil"/>
              <w:left w:val="nil"/>
              <w:bottom w:val="nil"/>
              <w:right w:val="nil"/>
            </w:tcBorders>
            <w:shd w:val="clear" w:color="000000" w:fill="FFFFFF"/>
            <w:noWrap/>
            <w:vAlign w:val="bottom"/>
            <w:hideMark/>
          </w:tcPr>
          <w:p w14:paraId="614F414E" w14:textId="77777777" w:rsidR="005D7828" w:rsidRDefault="005D7828" w:rsidP="005D7828">
            <w:pPr>
              <w:rPr>
                <w:rFonts w:ascii="Arial" w:hAnsi="Arial" w:cs="Arial"/>
              </w:rPr>
            </w:pPr>
            <w:r>
              <w:rPr>
                <w:rFonts w:ascii="Arial" w:hAnsi="Arial" w:cs="Arial"/>
              </w:rPr>
              <w:t> </w:t>
            </w:r>
          </w:p>
        </w:tc>
        <w:tc>
          <w:tcPr>
            <w:tcW w:w="272" w:type="dxa"/>
            <w:tcBorders>
              <w:top w:val="nil"/>
              <w:left w:val="nil"/>
              <w:bottom w:val="nil"/>
              <w:right w:val="single" w:sz="4" w:space="0" w:color="auto"/>
            </w:tcBorders>
            <w:shd w:val="clear" w:color="000000" w:fill="FFFFFF"/>
            <w:noWrap/>
            <w:vAlign w:val="bottom"/>
            <w:hideMark/>
          </w:tcPr>
          <w:p w14:paraId="388939C2" w14:textId="77777777" w:rsidR="005D7828" w:rsidRDefault="005D7828" w:rsidP="005D7828">
            <w:pPr>
              <w:rPr>
                <w:rFonts w:ascii="Arial" w:hAnsi="Arial" w:cs="Arial"/>
                <w:sz w:val="20"/>
                <w:szCs w:val="20"/>
              </w:rPr>
            </w:pPr>
            <w:r>
              <w:rPr>
                <w:rFonts w:ascii="Arial" w:hAnsi="Arial" w:cs="Arial"/>
                <w:sz w:val="20"/>
                <w:szCs w:val="20"/>
              </w:rPr>
              <w:t> </w:t>
            </w:r>
          </w:p>
        </w:tc>
      </w:tr>
      <w:tr w:rsidR="005D7828" w14:paraId="68B1CA89" w14:textId="77777777" w:rsidTr="005D7828">
        <w:trPr>
          <w:trHeight w:val="300"/>
          <w:jc w:val="center"/>
        </w:trPr>
        <w:tc>
          <w:tcPr>
            <w:tcW w:w="436" w:type="dxa"/>
            <w:tcBorders>
              <w:top w:val="nil"/>
              <w:left w:val="single" w:sz="4" w:space="0" w:color="auto"/>
              <w:bottom w:val="nil"/>
              <w:right w:val="nil"/>
            </w:tcBorders>
            <w:shd w:val="clear" w:color="000000" w:fill="FFFFFF"/>
            <w:noWrap/>
            <w:vAlign w:val="center"/>
            <w:hideMark/>
          </w:tcPr>
          <w:p w14:paraId="6B3A1D17" w14:textId="77777777" w:rsidR="005D7828" w:rsidRDefault="005D7828" w:rsidP="005D7828">
            <w:pPr>
              <w:rPr>
                <w:b/>
                <w:bCs/>
                <w:sz w:val="22"/>
                <w:szCs w:val="22"/>
              </w:rPr>
            </w:pPr>
            <w:r>
              <w:rPr>
                <w:b/>
                <w:bCs/>
                <w:sz w:val="22"/>
                <w:szCs w:val="22"/>
              </w:rPr>
              <w:t> </w:t>
            </w:r>
          </w:p>
        </w:tc>
        <w:tc>
          <w:tcPr>
            <w:tcW w:w="2443" w:type="dxa"/>
            <w:vMerge w:val="restart"/>
            <w:tcBorders>
              <w:top w:val="nil"/>
              <w:left w:val="nil"/>
              <w:bottom w:val="single" w:sz="4" w:space="0" w:color="000000"/>
              <w:right w:val="nil"/>
            </w:tcBorders>
            <w:shd w:val="clear" w:color="000000" w:fill="FFFFFF"/>
            <w:noWrap/>
            <w:vAlign w:val="center"/>
            <w:hideMark/>
          </w:tcPr>
          <w:p w14:paraId="2F7AD9C4" w14:textId="77777777" w:rsidR="005D7828" w:rsidRDefault="005D7828" w:rsidP="005D7828">
            <w:pPr>
              <w:jc w:val="center"/>
              <w:rPr>
                <w:b/>
                <w:bCs/>
                <w:sz w:val="22"/>
                <w:szCs w:val="22"/>
              </w:rPr>
            </w:pPr>
            <w:r>
              <w:rPr>
                <w:b/>
                <w:bCs/>
                <w:sz w:val="22"/>
                <w:szCs w:val="22"/>
              </w:rPr>
              <w:t>Description</w:t>
            </w:r>
          </w:p>
        </w:tc>
        <w:tc>
          <w:tcPr>
            <w:tcW w:w="3093" w:type="dxa"/>
            <w:tcBorders>
              <w:top w:val="single" w:sz="4" w:space="0" w:color="auto"/>
              <w:left w:val="nil"/>
              <w:bottom w:val="nil"/>
              <w:right w:val="nil"/>
            </w:tcBorders>
            <w:shd w:val="clear" w:color="000000" w:fill="FFFFFF"/>
            <w:noWrap/>
            <w:vAlign w:val="center"/>
            <w:hideMark/>
          </w:tcPr>
          <w:p w14:paraId="170108F3" w14:textId="77777777" w:rsidR="005D7828" w:rsidRDefault="005D7828" w:rsidP="005D7828">
            <w:pPr>
              <w:jc w:val="center"/>
              <w:rPr>
                <w:b/>
                <w:bCs/>
                <w:sz w:val="22"/>
                <w:szCs w:val="22"/>
              </w:rPr>
            </w:pPr>
            <w:r>
              <w:rPr>
                <w:b/>
                <w:bCs/>
                <w:sz w:val="22"/>
                <w:szCs w:val="22"/>
              </w:rPr>
              <w:t>Subtotal</w:t>
            </w:r>
          </w:p>
        </w:tc>
        <w:tc>
          <w:tcPr>
            <w:tcW w:w="1476" w:type="dxa"/>
            <w:tcBorders>
              <w:top w:val="single" w:sz="4" w:space="0" w:color="auto"/>
              <w:left w:val="nil"/>
              <w:bottom w:val="nil"/>
              <w:right w:val="nil"/>
            </w:tcBorders>
            <w:shd w:val="clear" w:color="000000" w:fill="FFFFFF"/>
            <w:noWrap/>
            <w:vAlign w:val="center"/>
            <w:hideMark/>
          </w:tcPr>
          <w:p w14:paraId="1DC11677" w14:textId="77777777" w:rsidR="005D7828" w:rsidRDefault="005D7828" w:rsidP="005D7828">
            <w:pPr>
              <w:jc w:val="center"/>
              <w:rPr>
                <w:b/>
                <w:bCs/>
                <w:sz w:val="22"/>
                <w:szCs w:val="22"/>
              </w:rPr>
            </w:pPr>
            <w:proofErr w:type="spellStart"/>
            <w:r>
              <w:rPr>
                <w:b/>
                <w:bCs/>
                <w:sz w:val="22"/>
                <w:szCs w:val="22"/>
              </w:rPr>
              <w:t>Prorata</w:t>
            </w:r>
            <w:proofErr w:type="spellEnd"/>
          </w:p>
        </w:tc>
        <w:tc>
          <w:tcPr>
            <w:tcW w:w="1457" w:type="dxa"/>
            <w:tcBorders>
              <w:top w:val="single" w:sz="4" w:space="0" w:color="auto"/>
              <w:left w:val="nil"/>
              <w:bottom w:val="nil"/>
              <w:right w:val="nil"/>
            </w:tcBorders>
            <w:shd w:val="clear" w:color="000000" w:fill="FFFFFF"/>
            <w:noWrap/>
            <w:vAlign w:val="center"/>
            <w:hideMark/>
          </w:tcPr>
          <w:p w14:paraId="138791F3" w14:textId="77777777" w:rsidR="005D7828" w:rsidRDefault="005D7828" w:rsidP="005D7828">
            <w:pPr>
              <w:jc w:val="center"/>
              <w:rPr>
                <w:b/>
                <w:bCs/>
                <w:sz w:val="22"/>
                <w:szCs w:val="22"/>
              </w:rPr>
            </w:pPr>
            <w:r>
              <w:rPr>
                <w:b/>
                <w:bCs/>
                <w:sz w:val="22"/>
                <w:szCs w:val="22"/>
              </w:rPr>
              <w:t>Capital</w:t>
            </w:r>
          </w:p>
        </w:tc>
        <w:tc>
          <w:tcPr>
            <w:tcW w:w="1005" w:type="dxa"/>
            <w:vMerge w:val="restart"/>
            <w:tcBorders>
              <w:top w:val="single" w:sz="4" w:space="0" w:color="auto"/>
              <w:left w:val="nil"/>
              <w:bottom w:val="single" w:sz="4" w:space="0" w:color="000000"/>
              <w:right w:val="nil"/>
            </w:tcBorders>
            <w:shd w:val="clear" w:color="000000" w:fill="FFFFFF"/>
            <w:noWrap/>
            <w:vAlign w:val="center"/>
            <w:hideMark/>
          </w:tcPr>
          <w:p w14:paraId="52F6CC07" w14:textId="77777777" w:rsidR="005D7828" w:rsidRDefault="005D7828" w:rsidP="005D7828">
            <w:pPr>
              <w:jc w:val="center"/>
              <w:rPr>
                <w:b/>
                <w:bCs/>
                <w:sz w:val="22"/>
                <w:szCs w:val="22"/>
              </w:rPr>
            </w:pPr>
            <w:r>
              <w:rPr>
                <w:b/>
                <w:bCs/>
                <w:sz w:val="22"/>
                <w:szCs w:val="22"/>
              </w:rPr>
              <w:t>Ratio</w:t>
            </w:r>
          </w:p>
        </w:tc>
        <w:tc>
          <w:tcPr>
            <w:tcW w:w="1111" w:type="dxa"/>
            <w:vMerge w:val="restart"/>
            <w:tcBorders>
              <w:top w:val="single" w:sz="4" w:space="0" w:color="auto"/>
              <w:left w:val="nil"/>
              <w:bottom w:val="single" w:sz="4" w:space="0" w:color="000000"/>
              <w:right w:val="nil"/>
            </w:tcBorders>
            <w:shd w:val="clear" w:color="000000" w:fill="FFFFFF"/>
            <w:vAlign w:val="center"/>
            <w:hideMark/>
          </w:tcPr>
          <w:p w14:paraId="60FDFD96" w14:textId="77777777" w:rsidR="005D7828" w:rsidRDefault="005D7828" w:rsidP="005D7828">
            <w:pPr>
              <w:jc w:val="center"/>
              <w:rPr>
                <w:b/>
                <w:bCs/>
                <w:sz w:val="22"/>
                <w:szCs w:val="22"/>
              </w:rPr>
            </w:pPr>
            <w:r>
              <w:rPr>
                <w:b/>
                <w:bCs/>
                <w:sz w:val="22"/>
                <w:szCs w:val="22"/>
              </w:rPr>
              <w:t>Cost Rate</w:t>
            </w:r>
          </w:p>
        </w:tc>
        <w:tc>
          <w:tcPr>
            <w:tcW w:w="1246" w:type="dxa"/>
            <w:vMerge w:val="restart"/>
            <w:tcBorders>
              <w:top w:val="single" w:sz="4" w:space="0" w:color="auto"/>
              <w:left w:val="nil"/>
              <w:bottom w:val="single" w:sz="4" w:space="0" w:color="000000"/>
              <w:right w:val="nil"/>
            </w:tcBorders>
            <w:shd w:val="clear" w:color="000000" w:fill="FFFFFF"/>
            <w:vAlign w:val="center"/>
            <w:hideMark/>
          </w:tcPr>
          <w:p w14:paraId="0AF6438E" w14:textId="77777777" w:rsidR="005D7828" w:rsidRDefault="005D7828" w:rsidP="005D7828">
            <w:pPr>
              <w:jc w:val="center"/>
              <w:rPr>
                <w:b/>
                <w:bCs/>
                <w:sz w:val="22"/>
                <w:szCs w:val="22"/>
              </w:rPr>
            </w:pPr>
            <w:r>
              <w:rPr>
                <w:b/>
                <w:bCs/>
                <w:sz w:val="22"/>
                <w:szCs w:val="22"/>
              </w:rPr>
              <w:t>Weighted Cost</w:t>
            </w:r>
          </w:p>
        </w:tc>
        <w:tc>
          <w:tcPr>
            <w:tcW w:w="272" w:type="dxa"/>
            <w:tcBorders>
              <w:top w:val="single" w:sz="4" w:space="0" w:color="auto"/>
              <w:left w:val="nil"/>
              <w:bottom w:val="nil"/>
              <w:right w:val="single" w:sz="4" w:space="0" w:color="auto"/>
            </w:tcBorders>
            <w:shd w:val="clear" w:color="000000" w:fill="FFFFFF"/>
            <w:noWrap/>
            <w:vAlign w:val="center"/>
            <w:hideMark/>
          </w:tcPr>
          <w:p w14:paraId="248A4CD2" w14:textId="77777777" w:rsidR="005D7828" w:rsidRDefault="005D7828" w:rsidP="005D7828">
            <w:pPr>
              <w:rPr>
                <w:b/>
                <w:bCs/>
                <w:sz w:val="22"/>
                <w:szCs w:val="22"/>
              </w:rPr>
            </w:pPr>
            <w:r>
              <w:rPr>
                <w:b/>
                <w:bCs/>
                <w:sz w:val="22"/>
                <w:szCs w:val="22"/>
              </w:rPr>
              <w:t> </w:t>
            </w:r>
          </w:p>
        </w:tc>
      </w:tr>
      <w:tr w:rsidR="005D7828" w14:paraId="70F92387" w14:textId="77777777" w:rsidTr="005D7828">
        <w:trPr>
          <w:trHeight w:val="300"/>
          <w:jc w:val="center"/>
        </w:trPr>
        <w:tc>
          <w:tcPr>
            <w:tcW w:w="436" w:type="dxa"/>
            <w:tcBorders>
              <w:top w:val="nil"/>
              <w:left w:val="single" w:sz="4" w:space="0" w:color="auto"/>
              <w:bottom w:val="nil"/>
              <w:right w:val="nil"/>
            </w:tcBorders>
            <w:shd w:val="clear" w:color="000000" w:fill="FFFFFF"/>
            <w:noWrap/>
            <w:vAlign w:val="center"/>
            <w:hideMark/>
          </w:tcPr>
          <w:p w14:paraId="07B3D718" w14:textId="77777777" w:rsidR="005D7828" w:rsidRDefault="005D7828" w:rsidP="005D7828">
            <w:pPr>
              <w:rPr>
                <w:b/>
                <w:bCs/>
                <w:sz w:val="22"/>
                <w:szCs w:val="22"/>
              </w:rPr>
            </w:pPr>
            <w:r>
              <w:rPr>
                <w:b/>
                <w:bCs/>
                <w:sz w:val="22"/>
                <w:szCs w:val="22"/>
              </w:rPr>
              <w:t> </w:t>
            </w:r>
          </w:p>
        </w:tc>
        <w:tc>
          <w:tcPr>
            <w:tcW w:w="2443" w:type="dxa"/>
            <w:vMerge/>
            <w:tcBorders>
              <w:top w:val="nil"/>
              <w:left w:val="nil"/>
              <w:bottom w:val="single" w:sz="4" w:space="0" w:color="000000"/>
              <w:right w:val="nil"/>
            </w:tcBorders>
            <w:vAlign w:val="center"/>
            <w:hideMark/>
          </w:tcPr>
          <w:p w14:paraId="194F67B9" w14:textId="77777777" w:rsidR="005D7828" w:rsidRDefault="005D7828" w:rsidP="005D7828">
            <w:pPr>
              <w:rPr>
                <w:b/>
                <w:bCs/>
                <w:sz w:val="22"/>
                <w:szCs w:val="22"/>
              </w:rPr>
            </w:pPr>
          </w:p>
        </w:tc>
        <w:tc>
          <w:tcPr>
            <w:tcW w:w="3093" w:type="dxa"/>
            <w:tcBorders>
              <w:top w:val="nil"/>
              <w:left w:val="nil"/>
              <w:bottom w:val="nil"/>
              <w:right w:val="nil"/>
            </w:tcBorders>
            <w:shd w:val="clear" w:color="000000" w:fill="FFFFFF"/>
            <w:noWrap/>
            <w:vAlign w:val="center"/>
            <w:hideMark/>
          </w:tcPr>
          <w:p w14:paraId="164AD9EF" w14:textId="77777777" w:rsidR="005D7828" w:rsidRDefault="005D7828" w:rsidP="005D7828">
            <w:pPr>
              <w:jc w:val="center"/>
              <w:rPr>
                <w:b/>
                <w:bCs/>
                <w:sz w:val="22"/>
                <w:szCs w:val="22"/>
              </w:rPr>
            </w:pPr>
            <w:r>
              <w:rPr>
                <w:b/>
                <w:bCs/>
                <w:sz w:val="22"/>
                <w:szCs w:val="22"/>
              </w:rPr>
              <w:t>Adjusted</w:t>
            </w:r>
          </w:p>
        </w:tc>
        <w:tc>
          <w:tcPr>
            <w:tcW w:w="1476" w:type="dxa"/>
            <w:tcBorders>
              <w:top w:val="nil"/>
              <w:left w:val="nil"/>
              <w:bottom w:val="nil"/>
              <w:right w:val="nil"/>
            </w:tcBorders>
            <w:shd w:val="clear" w:color="000000" w:fill="FFFFFF"/>
            <w:noWrap/>
            <w:vAlign w:val="center"/>
            <w:hideMark/>
          </w:tcPr>
          <w:p w14:paraId="5097625E" w14:textId="77777777" w:rsidR="005D7828" w:rsidRDefault="005D7828" w:rsidP="005D7828">
            <w:pPr>
              <w:jc w:val="center"/>
              <w:rPr>
                <w:b/>
                <w:bCs/>
                <w:sz w:val="22"/>
                <w:szCs w:val="22"/>
              </w:rPr>
            </w:pPr>
            <w:r>
              <w:rPr>
                <w:b/>
                <w:bCs/>
                <w:sz w:val="22"/>
                <w:szCs w:val="22"/>
              </w:rPr>
              <w:t>Adjust-</w:t>
            </w:r>
          </w:p>
        </w:tc>
        <w:tc>
          <w:tcPr>
            <w:tcW w:w="1457" w:type="dxa"/>
            <w:tcBorders>
              <w:top w:val="nil"/>
              <w:left w:val="nil"/>
              <w:bottom w:val="nil"/>
              <w:right w:val="nil"/>
            </w:tcBorders>
            <w:shd w:val="clear" w:color="000000" w:fill="FFFFFF"/>
            <w:noWrap/>
            <w:vAlign w:val="center"/>
            <w:hideMark/>
          </w:tcPr>
          <w:p w14:paraId="5AA580FF" w14:textId="77777777" w:rsidR="005D7828" w:rsidRDefault="005D7828" w:rsidP="005D7828">
            <w:pPr>
              <w:jc w:val="center"/>
              <w:rPr>
                <w:b/>
                <w:bCs/>
                <w:sz w:val="22"/>
                <w:szCs w:val="22"/>
              </w:rPr>
            </w:pPr>
            <w:r>
              <w:rPr>
                <w:b/>
                <w:bCs/>
                <w:sz w:val="22"/>
                <w:szCs w:val="22"/>
              </w:rPr>
              <w:t>Reconciled</w:t>
            </w:r>
          </w:p>
        </w:tc>
        <w:tc>
          <w:tcPr>
            <w:tcW w:w="1005" w:type="dxa"/>
            <w:vMerge/>
            <w:tcBorders>
              <w:top w:val="single" w:sz="4" w:space="0" w:color="auto"/>
              <w:left w:val="nil"/>
              <w:bottom w:val="single" w:sz="4" w:space="0" w:color="000000"/>
              <w:right w:val="nil"/>
            </w:tcBorders>
            <w:vAlign w:val="center"/>
            <w:hideMark/>
          </w:tcPr>
          <w:p w14:paraId="1A52901B" w14:textId="77777777" w:rsidR="005D7828" w:rsidRDefault="005D7828" w:rsidP="005D7828">
            <w:pPr>
              <w:rPr>
                <w:b/>
                <w:bCs/>
                <w:sz w:val="22"/>
                <w:szCs w:val="22"/>
              </w:rPr>
            </w:pPr>
          </w:p>
        </w:tc>
        <w:tc>
          <w:tcPr>
            <w:tcW w:w="1111" w:type="dxa"/>
            <w:vMerge/>
            <w:tcBorders>
              <w:top w:val="single" w:sz="4" w:space="0" w:color="auto"/>
              <w:left w:val="nil"/>
              <w:bottom w:val="single" w:sz="4" w:space="0" w:color="000000"/>
              <w:right w:val="nil"/>
            </w:tcBorders>
            <w:vAlign w:val="center"/>
            <w:hideMark/>
          </w:tcPr>
          <w:p w14:paraId="6C6F0AA3" w14:textId="77777777" w:rsidR="005D7828" w:rsidRDefault="005D7828" w:rsidP="005D7828">
            <w:pPr>
              <w:rPr>
                <w:b/>
                <w:bCs/>
                <w:sz w:val="22"/>
                <w:szCs w:val="22"/>
              </w:rPr>
            </w:pPr>
          </w:p>
        </w:tc>
        <w:tc>
          <w:tcPr>
            <w:tcW w:w="1246" w:type="dxa"/>
            <w:vMerge/>
            <w:tcBorders>
              <w:top w:val="single" w:sz="4" w:space="0" w:color="auto"/>
              <w:left w:val="nil"/>
              <w:bottom w:val="single" w:sz="4" w:space="0" w:color="000000"/>
              <w:right w:val="nil"/>
            </w:tcBorders>
            <w:vAlign w:val="center"/>
            <w:hideMark/>
          </w:tcPr>
          <w:p w14:paraId="7AF7FD35" w14:textId="77777777" w:rsidR="005D7828" w:rsidRDefault="005D7828" w:rsidP="005D7828">
            <w:pPr>
              <w:rPr>
                <w:b/>
                <w:bCs/>
                <w:sz w:val="22"/>
                <w:szCs w:val="22"/>
              </w:rPr>
            </w:pPr>
          </w:p>
        </w:tc>
        <w:tc>
          <w:tcPr>
            <w:tcW w:w="272" w:type="dxa"/>
            <w:tcBorders>
              <w:top w:val="nil"/>
              <w:left w:val="nil"/>
              <w:bottom w:val="nil"/>
              <w:right w:val="single" w:sz="4" w:space="0" w:color="auto"/>
            </w:tcBorders>
            <w:shd w:val="clear" w:color="000000" w:fill="FFFFFF"/>
            <w:noWrap/>
            <w:vAlign w:val="center"/>
            <w:hideMark/>
          </w:tcPr>
          <w:p w14:paraId="16B9CCF9" w14:textId="77777777" w:rsidR="005D7828" w:rsidRDefault="005D7828" w:rsidP="005D7828">
            <w:pPr>
              <w:rPr>
                <w:b/>
                <w:bCs/>
                <w:sz w:val="22"/>
                <w:szCs w:val="22"/>
              </w:rPr>
            </w:pPr>
            <w:r>
              <w:rPr>
                <w:b/>
                <w:bCs/>
                <w:sz w:val="22"/>
                <w:szCs w:val="22"/>
              </w:rPr>
              <w:t> </w:t>
            </w:r>
          </w:p>
        </w:tc>
      </w:tr>
      <w:tr w:rsidR="005D7828" w14:paraId="0563BCC2" w14:textId="77777777" w:rsidTr="005D7828">
        <w:trPr>
          <w:trHeight w:val="300"/>
          <w:jc w:val="center"/>
        </w:trPr>
        <w:tc>
          <w:tcPr>
            <w:tcW w:w="436" w:type="dxa"/>
            <w:tcBorders>
              <w:top w:val="nil"/>
              <w:left w:val="single" w:sz="4" w:space="0" w:color="auto"/>
              <w:bottom w:val="single" w:sz="4" w:space="0" w:color="auto"/>
              <w:right w:val="nil"/>
            </w:tcBorders>
            <w:shd w:val="clear" w:color="000000" w:fill="FFFFFF"/>
            <w:noWrap/>
            <w:vAlign w:val="center"/>
            <w:hideMark/>
          </w:tcPr>
          <w:p w14:paraId="20D4DF4A" w14:textId="77777777" w:rsidR="005D7828" w:rsidRDefault="005D7828" w:rsidP="005D7828">
            <w:pPr>
              <w:rPr>
                <w:b/>
                <w:bCs/>
                <w:sz w:val="22"/>
                <w:szCs w:val="22"/>
              </w:rPr>
            </w:pPr>
            <w:r>
              <w:rPr>
                <w:b/>
                <w:bCs/>
                <w:sz w:val="22"/>
                <w:szCs w:val="22"/>
              </w:rPr>
              <w:t> </w:t>
            </w:r>
          </w:p>
        </w:tc>
        <w:tc>
          <w:tcPr>
            <w:tcW w:w="2443" w:type="dxa"/>
            <w:vMerge/>
            <w:tcBorders>
              <w:top w:val="nil"/>
              <w:left w:val="nil"/>
              <w:bottom w:val="single" w:sz="4" w:space="0" w:color="000000"/>
              <w:right w:val="nil"/>
            </w:tcBorders>
            <w:vAlign w:val="center"/>
            <w:hideMark/>
          </w:tcPr>
          <w:p w14:paraId="2186ED6E" w14:textId="77777777" w:rsidR="005D7828" w:rsidRDefault="005D7828" w:rsidP="005D7828">
            <w:pPr>
              <w:rPr>
                <w:b/>
                <w:bCs/>
                <w:sz w:val="22"/>
                <w:szCs w:val="22"/>
              </w:rPr>
            </w:pPr>
          </w:p>
        </w:tc>
        <w:tc>
          <w:tcPr>
            <w:tcW w:w="3093" w:type="dxa"/>
            <w:tcBorders>
              <w:top w:val="nil"/>
              <w:left w:val="nil"/>
              <w:bottom w:val="single" w:sz="4" w:space="0" w:color="auto"/>
              <w:right w:val="nil"/>
            </w:tcBorders>
            <w:shd w:val="clear" w:color="000000" w:fill="FFFFFF"/>
            <w:noWrap/>
            <w:vAlign w:val="center"/>
            <w:hideMark/>
          </w:tcPr>
          <w:p w14:paraId="504F5CBE" w14:textId="77777777" w:rsidR="005D7828" w:rsidRDefault="005D7828" w:rsidP="005D7828">
            <w:pPr>
              <w:jc w:val="center"/>
              <w:rPr>
                <w:b/>
                <w:bCs/>
                <w:sz w:val="22"/>
                <w:szCs w:val="22"/>
              </w:rPr>
            </w:pPr>
            <w:r>
              <w:rPr>
                <w:b/>
                <w:bCs/>
                <w:sz w:val="22"/>
                <w:szCs w:val="22"/>
              </w:rPr>
              <w:t>Capital</w:t>
            </w:r>
          </w:p>
        </w:tc>
        <w:tc>
          <w:tcPr>
            <w:tcW w:w="1476" w:type="dxa"/>
            <w:tcBorders>
              <w:top w:val="nil"/>
              <w:left w:val="nil"/>
              <w:bottom w:val="single" w:sz="4" w:space="0" w:color="auto"/>
              <w:right w:val="nil"/>
            </w:tcBorders>
            <w:shd w:val="clear" w:color="000000" w:fill="FFFFFF"/>
            <w:noWrap/>
            <w:vAlign w:val="center"/>
            <w:hideMark/>
          </w:tcPr>
          <w:p w14:paraId="0FA5BF51" w14:textId="77777777" w:rsidR="005D7828" w:rsidRDefault="005D7828" w:rsidP="005D7828">
            <w:pPr>
              <w:jc w:val="center"/>
              <w:rPr>
                <w:b/>
                <w:bCs/>
                <w:sz w:val="22"/>
                <w:szCs w:val="22"/>
              </w:rPr>
            </w:pPr>
            <w:proofErr w:type="spellStart"/>
            <w:r>
              <w:rPr>
                <w:b/>
                <w:bCs/>
                <w:sz w:val="22"/>
                <w:szCs w:val="22"/>
              </w:rPr>
              <w:t>ments</w:t>
            </w:r>
            <w:proofErr w:type="spellEnd"/>
          </w:p>
        </w:tc>
        <w:tc>
          <w:tcPr>
            <w:tcW w:w="1457" w:type="dxa"/>
            <w:tcBorders>
              <w:top w:val="nil"/>
              <w:left w:val="nil"/>
              <w:bottom w:val="single" w:sz="4" w:space="0" w:color="auto"/>
              <w:right w:val="nil"/>
            </w:tcBorders>
            <w:shd w:val="clear" w:color="000000" w:fill="FFFFFF"/>
            <w:noWrap/>
            <w:vAlign w:val="center"/>
            <w:hideMark/>
          </w:tcPr>
          <w:p w14:paraId="64A9352E" w14:textId="77777777" w:rsidR="005D7828" w:rsidRDefault="005D7828" w:rsidP="005D7828">
            <w:pPr>
              <w:jc w:val="center"/>
              <w:rPr>
                <w:b/>
                <w:bCs/>
                <w:sz w:val="22"/>
                <w:szCs w:val="22"/>
              </w:rPr>
            </w:pPr>
            <w:r>
              <w:rPr>
                <w:b/>
                <w:bCs/>
                <w:sz w:val="22"/>
                <w:szCs w:val="22"/>
              </w:rPr>
              <w:t>to Rate Base</w:t>
            </w:r>
          </w:p>
        </w:tc>
        <w:tc>
          <w:tcPr>
            <w:tcW w:w="1005" w:type="dxa"/>
            <w:vMerge/>
            <w:tcBorders>
              <w:top w:val="single" w:sz="4" w:space="0" w:color="auto"/>
              <w:left w:val="nil"/>
              <w:bottom w:val="single" w:sz="4" w:space="0" w:color="000000"/>
              <w:right w:val="nil"/>
            </w:tcBorders>
            <w:vAlign w:val="center"/>
            <w:hideMark/>
          </w:tcPr>
          <w:p w14:paraId="4A6A0CBD" w14:textId="77777777" w:rsidR="005D7828" w:rsidRDefault="005D7828" w:rsidP="005D7828">
            <w:pPr>
              <w:rPr>
                <w:b/>
                <w:bCs/>
                <w:sz w:val="22"/>
                <w:szCs w:val="22"/>
              </w:rPr>
            </w:pPr>
          </w:p>
        </w:tc>
        <w:tc>
          <w:tcPr>
            <w:tcW w:w="1111" w:type="dxa"/>
            <w:vMerge/>
            <w:tcBorders>
              <w:top w:val="single" w:sz="4" w:space="0" w:color="auto"/>
              <w:left w:val="nil"/>
              <w:bottom w:val="single" w:sz="4" w:space="0" w:color="000000"/>
              <w:right w:val="nil"/>
            </w:tcBorders>
            <w:vAlign w:val="center"/>
            <w:hideMark/>
          </w:tcPr>
          <w:p w14:paraId="61777F22" w14:textId="77777777" w:rsidR="005D7828" w:rsidRDefault="005D7828" w:rsidP="005D7828">
            <w:pPr>
              <w:rPr>
                <w:b/>
                <w:bCs/>
                <w:sz w:val="22"/>
                <w:szCs w:val="22"/>
              </w:rPr>
            </w:pPr>
          </w:p>
        </w:tc>
        <w:tc>
          <w:tcPr>
            <w:tcW w:w="1246" w:type="dxa"/>
            <w:vMerge/>
            <w:tcBorders>
              <w:top w:val="single" w:sz="4" w:space="0" w:color="auto"/>
              <w:left w:val="nil"/>
              <w:bottom w:val="single" w:sz="4" w:space="0" w:color="000000"/>
              <w:right w:val="nil"/>
            </w:tcBorders>
            <w:vAlign w:val="center"/>
            <w:hideMark/>
          </w:tcPr>
          <w:p w14:paraId="40551856" w14:textId="77777777" w:rsidR="005D7828" w:rsidRDefault="005D7828" w:rsidP="005D7828">
            <w:pPr>
              <w:rPr>
                <w:b/>
                <w:bCs/>
                <w:sz w:val="22"/>
                <w:szCs w:val="22"/>
              </w:rPr>
            </w:pPr>
          </w:p>
        </w:tc>
        <w:tc>
          <w:tcPr>
            <w:tcW w:w="272" w:type="dxa"/>
            <w:tcBorders>
              <w:top w:val="nil"/>
              <w:left w:val="nil"/>
              <w:bottom w:val="single" w:sz="4" w:space="0" w:color="auto"/>
              <w:right w:val="single" w:sz="4" w:space="0" w:color="auto"/>
            </w:tcBorders>
            <w:shd w:val="clear" w:color="000000" w:fill="FFFFFF"/>
            <w:noWrap/>
            <w:vAlign w:val="center"/>
            <w:hideMark/>
          </w:tcPr>
          <w:p w14:paraId="1B93850B" w14:textId="77777777" w:rsidR="005D7828" w:rsidRDefault="005D7828" w:rsidP="005D7828">
            <w:pPr>
              <w:jc w:val="center"/>
              <w:rPr>
                <w:b/>
                <w:bCs/>
                <w:sz w:val="22"/>
                <w:szCs w:val="22"/>
              </w:rPr>
            </w:pPr>
            <w:r>
              <w:rPr>
                <w:b/>
                <w:bCs/>
                <w:sz w:val="22"/>
                <w:szCs w:val="22"/>
              </w:rPr>
              <w:t> </w:t>
            </w:r>
          </w:p>
        </w:tc>
      </w:tr>
      <w:tr w:rsidR="005D7828" w14:paraId="411DE6F7"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5E4D1612" w14:textId="77777777" w:rsidR="005D7828" w:rsidRDefault="005D7828" w:rsidP="005D7828">
            <w:pPr>
              <w:jc w:val="center"/>
              <w:rPr>
                <w:sz w:val="22"/>
                <w:szCs w:val="22"/>
              </w:rPr>
            </w:pPr>
            <w:r>
              <w:rPr>
                <w:sz w:val="22"/>
                <w:szCs w:val="22"/>
              </w:rPr>
              <w:t>1</w:t>
            </w:r>
          </w:p>
        </w:tc>
        <w:tc>
          <w:tcPr>
            <w:tcW w:w="2443" w:type="dxa"/>
            <w:tcBorders>
              <w:top w:val="nil"/>
              <w:left w:val="nil"/>
              <w:bottom w:val="nil"/>
              <w:right w:val="nil"/>
            </w:tcBorders>
            <w:shd w:val="clear" w:color="000000" w:fill="FFFFFF"/>
            <w:noWrap/>
            <w:vAlign w:val="bottom"/>
            <w:hideMark/>
          </w:tcPr>
          <w:p w14:paraId="4E54A833" w14:textId="77777777" w:rsidR="005D7828" w:rsidRDefault="005D7828" w:rsidP="005D7828">
            <w:pPr>
              <w:rPr>
                <w:sz w:val="22"/>
                <w:szCs w:val="22"/>
              </w:rPr>
            </w:pPr>
            <w:r>
              <w:rPr>
                <w:sz w:val="22"/>
                <w:szCs w:val="22"/>
              </w:rPr>
              <w:t>Long-term Debt</w:t>
            </w:r>
          </w:p>
        </w:tc>
        <w:tc>
          <w:tcPr>
            <w:tcW w:w="3093" w:type="dxa"/>
            <w:tcBorders>
              <w:top w:val="nil"/>
              <w:left w:val="nil"/>
              <w:bottom w:val="nil"/>
              <w:right w:val="nil"/>
            </w:tcBorders>
            <w:shd w:val="clear" w:color="000000" w:fill="FFFFFF"/>
            <w:noWrap/>
            <w:vAlign w:val="bottom"/>
            <w:hideMark/>
          </w:tcPr>
          <w:p w14:paraId="20C58971" w14:textId="77777777" w:rsidR="005D7828" w:rsidRDefault="005D7828" w:rsidP="005D7828">
            <w:pPr>
              <w:jc w:val="right"/>
              <w:rPr>
                <w:sz w:val="22"/>
                <w:szCs w:val="22"/>
              </w:rPr>
            </w:pPr>
            <w:r>
              <w:rPr>
                <w:sz w:val="22"/>
                <w:szCs w:val="22"/>
              </w:rPr>
              <w:t xml:space="preserve">$0 </w:t>
            </w:r>
          </w:p>
        </w:tc>
        <w:tc>
          <w:tcPr>
            <w:tcW w:w="1476" w:type="dxa"/>
            <w:tcBorders>
              <w:top w:val="nil"/>
              <w:left w:val="nil"/>
              <w:bottom w:val="nil"/>
              <w:right w:val="nil"/>
            </w:tcBorders>
            <w:shd w:val="clear" w:color="000000" w:fill="FFFFFF"/>
            <w:noWrap/>
            <w:vAlign w:val="bottom"/>
            <w:hideMark/>
          </w:tcPr>
          <w:p w14:paraId="55367084" w14:textId="77777777" w:rsidR="005D7828" w:rsidRDefault="005D7828" w:rsidP="005D7828">
            <w:pPr>
              <w:jc w:val="right"/>
              <w:rPr>
                <w:sz w:val="22"/>
                <w:szCs w:val="22"/>
              </w:rPr>
            </w:pPr>
            <w:r>
              <w:rPr>
                <w:sz w:val="22"/>
                <w:szCs w:val="22"/>
              </w:rPr>
              <w:t xml:space="preserve">$0 </w:t>
            </w:r>
          </w:p>
        </w:tc>
        <w:tc>
          <w:tcPr>
            <w:tcW w:w="1457" w:type="dxa"/>
            <w:tcBorders>
              <w:top w:val="nil"/>
              <w:left w:val="nil"/>
              <w:bottom w:val="nil"/>
              <w:right w:val="nil"/>
            </w:tcBorders>
            <w:shd w:val="clear" w:color="000000" w:fill="FFFFFF"/>
            <w:noWrap/>
            <w:vAlign w:val="bottom"/>
            <w:hideMark/>
          </w:tcPr>
          <w:p w14:paraId="24876833" w14:textId="77777777" w:rsidR="005D7828" w:rsidRDefault="005D7828" w:rsidP="005D7828">
            <w:pPr>
              <w:jc w:val="right"/>
              <w:rPr>
                <w:sz w:val="22"/>
                <w:szCs w:val="22"/>
              </w:rPr>
            </w:pPr>
            <w:r>
              <w:rPr>
                <w:sz w:val="22"/>
                <w:szCs w:val="22"/>
              </w:rPr>
              <w:t xml:space="preserve">$0 </w:t>
            </w:r>
          </w:p>
        </w:tc>
        <w:tc>
          <w:tcPr>
            <w:tcW w:w="1005" w:type="dxa"/>
            <w:tcBorders>
              <w:top w:val="nil"/>
              <w:left w:val="nil"/>
              <w:bottom w:val="nil"/>
              <w:right w:val="nil"/>
            </w:tcBorders>
            <w:shd w:val="clear" w:color="000000" w:fill="FFFFFF"/>
            <w:noWrap/>
            <w:vAlign w:val="bottom"/>
            <w:hideMark/>
          </w:tcPr>
          <w:p w14:paraId="79B523BF" w14:textId="77777777" w:rsidR="005D7828" w:rsidRDefault="005D7828" w:rsidP="005D7828">
            <w:pPr>
              <w:jc w:val="right"/>
              <w:rPr>
                <w:sz w:val="22"/>
                <w:szCs w:val="22"/>
              </w:rPr>
            </w:pPr>
            <w:r>
              <w:rPr>
                <w:sz w:val="22"/>
                <w:szCs w:val="22"/>
              </w:rPr>
              <w:t>0.00%</w:t>
            </w:r>
          </w:p>
        </w:tc>
        <w:tc>
          <w:tcPr>
            <w:tcW w:w="1111" w:type="dxa"/>
            <w:tcBorders>
              <w:top w:val="nil"/>
              <w:left w:val="nil"/>
              <w:bottom w:val="nil"/>
              <w:right w:val="nil"/>
            </w:tcBorders>
            <w:shd w:val="clear" w:color="000000" w:fill="FFFFFF"/>
            <w:noWrap/>
            <w:vAlign w:val="bottom"/>
            <w:hideMark/>
          </w:tcPr>
          <w:p w14:paraId="35295192" w14:textId="77777777" w:rsidR="005D7828" w:rsidRDefault="005D7828" w:rsidP="005D7828">
            <w:pPr>
              <w:jc w:val="right"/>
              <w:rPr>
                <w:sz w:val="22"/>
                <w:szCs w:val="22"/>
              </w:rPr>
            </w:pPr>
            <w:r>
              <w:rPr>
                <w:sz w:val="22"/>
                <w:szCs w:val="22"/>
              </w:rPr>
              <w:t>0.00%</w:t>
            </w:r>
          </w:p>
        </w:tc>
        <w:tc>
          <w:tcPr>
            <w:tcW w:w="1246" w:type="dxa"/>
            <w:tcBorders>
              <w:top w:val="nil"/>
              <w:left w:val="nil"/>
              <w:bottom w:val="nil"/>
              <w:right w:val="nil"/>
            </w:tcBorders>
            <w:shd w:val="clear" w:color="000000" w:fill="FFFFFF"/>
            <w:noWrap/>
            <w:vAlign w:val="bottom"/>
            <w:hideMark/>
          </w:tcPr>
          <w:p w14:paraId="0D2B1932" w14:textId="77777777" w:rsidR="005D7828" w:rsidRDefault="005D7828" w:rsidP="005D7828">
            <w:pPr>
              <w:jc w:val="right"/>
              <w:rPr>
                <w:sz w:val="22"/>
                <w:szCs w:val="22"/>
              </w:rPr>
            </w:pPr>
            <w:r>
              <w:rPr>
                <w:sz w:val="22"/>
                <w:szCs w:val="22"/>
              </w:rPr>
              <w:t>0.00%</w:t>
            </w:r>
          </w:p>
        </w:tc>
        <w:tc>
          <w:tcPr>
            <w:tcW w:w="272" w:type="dxa"/>
            <w:tcBorders>
              <w:top w:val="nil"/>
              <w:left w:val="nil"/>
              <w:bottom w:val="nil"/>
              <w:right w:val="single" w:sz="4" w:space="0" w:color="auto"/>
            </w:tcBorders>
            <w:shd w:val="clear" w:color="000000" w:fill="FFFFFF"/>
            <w:noWrap/>
            <w:vAlign w:val="bottom"/>
            <w:hideMark/>
          </w:tcPr>
          <w:p w14:paraId="49724DC2" w14:textId="77777777" w:rsidR="005D7828" w:rsidRDefault="005D7828" w:rsidP="005D7828">
            <w:pPr>
              <w:rPr>
                <w:sz w:val="22"/>
                <w:szCs w:val="22"/>
              </w:rPr>
            </w:pPr>
            <w:r>
              <w:rPr>
                <w:sz w:val="22"/>
                <w:szCs w:val="22"/>
              </w:rPr>
              <w:t> </w:t>
            </w:r>
          </w:p>
        </w:tc>
      </w:tr>
      <w:tr w:rsidR="005D7828" w14:paraId="6013EFFB"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33326341" w14:textId="77777777" w:rsidR="005D7828" w:rsidRDefault="005D7828" w:rsidP="005D7828">
            <w:pPr>
              <w:jc w:val="center"/>
              <w:rPr>
                <w:sz w:val="22"/>
                <w:szCs w:val="22"/>
              </w:rPr>
            </w:pPr>
            <w:r>
              <w:rPr>
                <w:sz w:val="22"/>
                <w:szCs w:val="22"/>
              </w:rPr>
              <w:t>2</w:t>
            </w:r>
          </w:p>
        </w:tc>
        <w:tc>
          <w:tcPr>
            <w:tcW w:w="2443" w:type="dxa"/>
            <w:tcBorders>
              <w:top w:val="nil"/>
              <w:left w:val="nil"/>
              <w:bottom w:val="nil"/>
              <w:right w:val="nil"/>
            </w:tcBorders>
            <w:shd w:val="clear" w:color="000000" w:fill="FFFFFF"/>
            <w:noWrap/>
            <w:vAlign w:val="bottom"/>
            <w:hideMark/>
          </w:tcPr>
          <w:p w14:paraId="2F168011" w14:textId="77777777" w:rsidR="005D7828" w:rsidRDefault="005D7828" w:rsidP="005D7828">
            <w:pPr>
              <w:rPr>
                <w:sz w:val="22"/>
                <w:szCs w:val="22"/>
              </w:rPr>
            </w:pPr>
            <w:r>
              <w:rPr>
                <w:sz w:val="22"/>
                <w:szCs w:val="22"/>
              </w:rPr>
              <w:t>Short-term Debt</w:t>
            </w:r>
          </w:p>
        </w:tc>
        <w:tc>
          <w:tcPr>
            <w:tcW w:w="3093" w:type="dxa"/>
            <w:tcBorders>
              <w:top w:val="nil"/>
              <w:left w:val="nil"/>
              <w:bottom w:val="nil"/>
              <w:right w:val="nil"/>
            </w:tcBorders>
            <w:shd w:val="clear" w:color="000000" w:fill="FFFFFF"/>
            <w:noWrap/>
            <w:vAlign w:val="bottom"/>
            <w:hideMark/>
          </w:tcPr>
          <w:p w14:paraId="0D3BE2A5" w14:textId="77777777" w:rsidR="005D7828" w:rsidRDefault="005D7828" w:rsidP="005D7828">
            <w:pPr>
              <w:jc w:val="right"/>
              <w:rPr>
                <w:sz w:val="22"/>
                <w:szCs w:val="22"/>
              </w:rPr>
            </w:pPr>
            <w:r>
              <w:rPr>
                <w:sz w:val="22"/>
                <w:szCs w:val="22"/>
              </w:rPr>
              <w:t xml:space="preserve">0 </w:t>
            </w:r>
          </w:p>
        </w:tc>
        <w:tc>
          <w:tcPr>
            <w:tcW w:w="1476" w:type="dxa"/>
            <w:tcBorders>
              <w:top w:val="nil"/>
              <w:left w:val="nil"/>
              <w:bottom w:val="nil"/>
              <w:right w:val="nil"/>
            </w:tcBorders>
            <w:shd w:val="clear" w:color="000000" w:fill="FFFFFF"/>
            <w:noWrap/>
            <w:vAlign w:val="bottom"/>
            <w:hideMark/>
          </w:tcPr>
          <w:p w14:paraId="4D729EF2" w14:textId="77777777" w:rsidR="005D7828" w:rsidRDefault="005D7828" w:rsidP="005D7828">
            <w:pPr>
              <w:jc w:val="right"/>
              <w:rPr>
                <w:sz w:val="22"/>
                <w:szCs w:val="22"/>
              </w:rPr>
            </w:pPr>
            <w:r>
              <w:rPr>
                <w:sz w:val="22"/>
                <w:szCs w:val="22"/>
              </w:rPr>
              <w:t xml:space="preserve">0 </w:t>
            </w:r>
          </w:p>
        </w:tc>
        <w:tc>
          <w:tcPr>
            <w:tcW w:w="1457" w:type="dxa"/>
            <w:tcBorders>
              <w:top w:val="nil"/>
              <w:left w:val="nil"/>
              <w:bottom w:val="nil"/>
              <w:right w:val="nil"/>
            </w:tcBorders>
            <w:shd w:val="clear" w:color="000000" w:fill="FFFFFF"/>
            <w:noWrap/>
            <w:vAlign w:val="bottom"/>
            <w:hideMark/>
          </w:tcPr>
          <w:p w14:paraId="41487CEF" w14:textId="77777777" w:rsidR="005D7828" w:rsidRDefault="005D7828" w:rsidP="005D7828">
            <w:pPr>
              <w:jc w:val="right"/>
              <w:rPr>
                <w:sz w:val="22"/>
                <w:szCs w:val="22"/>
              </w:rPr>
            </w:pPr>
            <w:r>
              <w:rPr>
                <w:sz w:val="22"/>
                <w:szCs w:val="22"/>
              </w:rPr>
              <w:t xml:space="preserve">0 </w:t>
            </w:r>
          </w:p>
        </w:tc>
        <w:tc>
          <w:tcPr>
            <w:tcW w:w="1005" w:type="dxa"/>
            <w:tcBorders>
              <w:top w:val="nil"/>
              <w:left w:val="nil"/>
              <w:bottom w:val="nil"/>
              <w:right w:val="nil"/>
            </w:tcBorders>
            <w:shd w:val="clear" w:color="000000" w:fill="FFFFFF"/>
            <w:noWrap/>
            <w:vAlign w:val="bottom"/>
            <w:hideMark/>
          </w:tcPr>
          <w:p w14:paraId="14EDC08F" w14:textId="77777777" w:rsidR="005D7828" w:rsidRDefault="005D7828" w:rsidP="005D7828">
            <w:pPr>
              <w:jc w:val="right"/>
              <w:rPr>
                <w:sz w:val="22"/>
                <w:szCs w:val="22"/>
              </w:rPr>
            </w:pPr>
            <w:r>
              <w:rPr>
                <w:sz w:val="22"/>
                <w:szCs w:val="22"/>
              </w:rPr>
              <w:t>0.00%</w:t>
            </w:r>
          </w:p>
        </w:tc>
        <w:tc>
          <w:tcPr>
            <w:tcW w:w="1111" w:type="dxa"/>
            <w:tcBorders>
              <w:top w:val="nil"/>
              <w:left w:val="nil"/>
              <w:bottom w:val="nil"/>
              <w:right w:val="nil"/>
            </w:tcBorders>
            <w:shd w:val="clear" w:color="000000" w:fill="FFFFFF"/>
            <w:noWrap/>
            <w:vAlign w:val="bottom"/>
            <w:hideMark/>
          </w:tcPr>
          <w:p w14:paraId="0000D85D" w14:textId="77777777" w:rsidR="005D7828" w:rsidRDefault="005D7828" w:rsidP="005D7828">
            <w:pPr>
              <w:jc w:val="right"/>
              <w:rPr>
                <w:sz w:val="22"/>
                <w:szCs w:val="22"/>
              </w:rPr>
            </w:pPr>
            <w:r>
              <w:rPr>
                <w:sz w:val="22"/>
                <w:szCs w:val="22"/>
              </w:rPr>
              <w:t>0.00%</w:t>
            </w:r>
          </w:p>
        </w:tc>
        <w:tc>
          <w:tcPr>
            <w:tcW w:w="1246" w:type="dxa"/>
            <w:tcBorders>
              <w:top w:val="nil"/>
              <w:left w:val="nil"/>
              <w:bottom w:val="nil"/>
              <w:right w:val="nil"/>
            </w:tcBorders>
            <w:shd w:val="clear" w:color="000000" w:fill="FFFFFF"/>
            <w:noWrap/>
            <w:vAlign w:val="bottom"/>
            <w:hideMark/>
          </w:tcPr>
          <w:p w14:paraId="3B7913EB" w14:textId="77777777" w:rsidR="005D7828" w:rsidRDefault="005D7828" w:rsidP="005D7828">
            <w:pPr>
              <w:jc w:val="right"/>
              <w:rPr>
                <w:sz w:val="22"/>
                <w:szCs w:val="22"/>
              </w:rPr>
            </w:pPr>
            <w:r>
              <w:rPr>
                <w:sz w:val="22"/>
                <w:szCs w:val="22"/>
              </w:rPr>
              <w:t>0.00%</w:t>
            </w:r>
          </w:p>
        </w:tc>
        <w:tc>
          <w:tcPr>
            <w:tcW w:w="272" w:type="dxa"/>
            <w:tcBorders>
              <w:top w:val="nil"/>
              <w:left w:val="nil"/>
              <w:bottom w:val="nil"/>
              <w:right w:val="single" w:sz="4" w:space="0" w:color="auto"/>
            </w:tcBorders>
            <w:shd w:val="clear" w:color="000000" w:fill="FFFFFF"/>
            <w:noWrap/>
            <w:vAlign w:val="bottom"/>
            <w:hideMark/>
          </w:tcPr>
          <w:p w14:paraId="2EFDF7B0" w14:textId="77777777" w:rsidR="005D7828" w:rsidRDefault="005D7828" w:rsidP="005D7828">
            <w:pPr>
              <w:rPr>
                <w:sz w:val="22"/>
                <w:szCs w:val="22"/>
              </w:rPr>
            </w:pPr>
            <w:r>
              <w:rPr>
                <w:sz w:val="22"/>
                <w:szCs w:val="22"/>
              </w:rPr>
              <w:t> </w:t>
            </w:r>
          </w:p>
        </w:tc>
      </w:tr>
      <w:tr w:rsidR="005D7828" w14:paraId="46A4A203"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77EA503D" w14:textId="77777777" w:rsidR="005D7828" w:rsidRDefault="005D7828" w:rsidP="005D7828">
            <w:pPr>
              <w:jc w:val="center"/>
              <w:rPr>
                <w:sz w:val="22"/>
                <w:szCs w:val="22"/>
              </w:rPr>
            </w:pPr>
            <w:r>
              <w:rPr>
                <w:sz w:val="22"/>
                <w:szCs w:val="22"/>
              </w:rPr>
              <w:t>3</w:t>
            </w:r>
          </w:p>
        </w:tc>
        <w:tc>
          <w:tcPr>
            <w:tcW w:w="2443" w:type="dxa"/>
            <w:tcBorders>
              <w:top w:val="nil"/>
              <w:left w:val="nil"/>
              <w:bottom w:val="nil"/>
              <w:right w:val="nil"/>
            </w:tcBorders>
            <w:shd w:val="clear" w:color="000000" w:fill="FFFFFF"/>
            <w:noWrap/>
            <w:vAlign w:val="bottom"/>
            <w:hideMark/>
          </w:tcPr>
          <w:p w14:paraId="73152F1D" w14:textId="77777777" w:rsidR="005D7828" w:rsidRDefault="005D7828" w:rsidP="005D7828">
            <w:pPr>
              <w:rPr>
                <w:sz w:val="22"/>
                <w:szCs w:val="22"/>
              </w:rPr>
            </w:pPr>
            <w:r>
              <w:rPr>
                <w:sz w:val="22"/>
                <w:szCs w:val="22"/>
              </w:rPr>
              <w:t>Preferred Stock</w:t>
            </w:r>
          </w:p>
        </w:tc>
        <w:tc>
          <w:tcPr>
            <w:tcW w:w="3093" w:type="dxa"/>
            <w:tcBorders>
              <w:top w:val="nil"/>
              <w:left w:val="nil"/>
              <w:bottom w:val="nil"/>
              <w:right w:val="nil"/>
            </w:tcBorders>
            <w:shd w:val="clear" w:color="000000" w:fill="FFFFFF"/>
            <w:noWrap/>
            <w:vAlign w:val="bottom"/>
            <w:hideMark/>
          </w:tcPr>
          <w:p w14:paraId="0EBD6E97" w14:textId="77777777" w:rsidR="005D7828" w:rsidRDefault="005D7828" w:rsidP="005D7828">
            <w:pPr>
              <w:jc w:val="right"/>
              <w:rPr>
                <w:sz w:val="22"/>
                <w:szCs w:val="22"/>
              </w:rPr>
            </w:pPr>
            <w:r>
              <w:rPr>
                <w:sz w:val="22"/>
                <w:szCs w:val="22"/>
              </w:rPr>
              <w:t xml:space="preserve">0 </w:t>
            </w:r>
          </w:p>
        </w:tc>
        <w:tc>
          <w:tcPr>
            <w:tcW w:w="1476" w:type="dxa"/>
            <w:tcBorders>
              <w:top w:val="nil"/>
              <w:left w:val="nil"/>
              <w:bottom w:val="nil"/>
              <w:right w:val="nil"/>
            </w:tcBorders>
            <w:shd w:val="clear" w:color="000000" w:fill="FFFFFF"/>
            <w:noWrap/>
            <w:vAlign w:val="bottom"/>
            <w:hideMark/>
          </w:tcPr>
          <w:p w14:paraId="14483E7F" w14:textId="77777777" w:rsidR="005D7828" w:rsidRDefault="005D7828" w:rsidP="005D7828">
            <w:pPr>
              <w:jc w:val="right"/>
              <w:rPr>
                <w:sz w:val="22"/>
                <w:szCs w:val="22"/>
              </w:rPr>
            </w:pPr>
            <w:r>
              <w:rPr>
                <w:sz w:val="22"/>
                <w:szCs w:val="22"/>
              </w:rPr>
              <w:t xml:space="preserve">0 </w:t>
            </w:r>
          </w:p>
        </w:tc>
        <w:tc>
          <w:tcPr>
            <w:tcW w:w="1457" w:type="dxa"/>
            <w:tcBorders>
              <w:top w:val="nil"/>
              <w:left w:val="nil"/>
              <w:bottom w:val="nil"/>
              <w:right w:val="nil"/>
            </w:tcBorders>
            <w:shd w:val="clear" w:color="000000" w:fill="FFFFFF"/>
            <w:noWrap/>
            <w:vAlign w:val="bottom"/>
            <w:hideMark/>
          </w:tcPr>
          <w:p w14:paraId="329244FC" w14:textId="77777777" w:rsidR="005D7828" w:rsidRDefault="005D7828" w:rsidP="005D7828">
            <w:pPr>
              <w:jc w:val="right"/>
              <w:rPr>
                <w:sz w:val="22"/>
                <w:szCs w:val="22"/>
              </w:rPr>
            </w:pPr>
            <w:r>
              <w:rPr>
                <w:sz w:val="22"/>
                <w:szCs w:val="22"/>
              </w:rPr>
              <w:t xml:space="preserve">0 </w:t>
            </w:r>
          </w:p>
        </w:tc>
        <w:tc>
          <w:tcPr>
            <w:tcW w:w="1005" w:type="dxa"/>
            <w:tcBorders>
              <w:top w:val="nil"/>
              <w:left w:val="nil"/>
              <w:bottom w:val="nil"/>
              <w:right w:val="nil"/>
            </w:tcBorders>
            <w:shd w:val="clear" w:color="000000" w:fill="FFFFFF"/>
            <w:noWrap/>
            <w:vAlign w:val="bottom"/>
            <w:hideMark/>
          </w:tcPr>
          <w:p w14:paraId="306D4FE3" w14:textId="77777777" w:rsidR="005D7828" w:rsidRDefault="005D7828" w:rsidP="005D7828">
            <w:pPr>
              <w:jc w:val="right"/>
              <w:rPr>
                <w:sz w:val="22"/>
                <w:szCs w:val="22"/>
              </w:rPr>
            </w:pPr>
            <w:r>
              <w:rPr>
                <w:sz w:val="22"/>
                <w:szCs w:val="22"/>
              </w:rPr>
              <w:t>0.00%</w:t>
            </w:r>
          </w:p>
        </w:tc>
        <w:tc>
          <w:tcPr>
            <w:tcW w:w="1111" w:type="dxa"/>
            <w:tcBorders>
              <w:top w:val="nil"/>
              <w:left w:val="nil"/>
              <w:bottom w:val="nil"/>
              <w:right w:val="nil"/>
            </w:tcBorders>
            <w:shd w:val="clear" w:color="000000" w:fill="FFFFFF"/>
            <w:noWrap/>
            <w:vAlign w:val="bottom"/>
            <w:hideMark/>
          </w:tcPr>
          <w:p w14:paraId="6C9E9739" w14:textId="77777777" w:rsidR="005D7828" w:rsidRDefault="005D7828" w:rsidP="005D7828">
            <w:pPr>
              <w:jc w:val="right"/>
              <w:rPr>
                <w:sz w:val="22"/>
                <w:szCs w:val="22"/>
              </w:rPr>
            </w:pPr>
            <w:r>
              <w:rPr>
                <w:sz w:val="22"/>
                <w:szCs w:val="22"/>
              </w:rPr>
              <w:t>0.00%</w:t>
            </w:r>
          </w:p>
        </w:tc>
        <w:tc>
          <w:tcPr>
            <w:tcW w:w="1246" w:type="dxa"/>
            <w:tcBorders>
              <w:top w:val="nil"/>
              <w:left w:val="nil"/>
              <w:bottom w:val="nil"/>
              <w:right w:val="nil"/>
            </w:tcBorders>
            <w:shd w:val="clear" w:color="000000" w:fill="FFFFFF"/>
            <w:noWrap/>
            <w:vAlign w:val="bottom"/>
            <w:hideMark/>
          </w:tcPr>
          <w:p w14:paraId="1B1C44CB" w14:textId="77777777" w:rsidR="005D7828" w:rsidRDefault="005D7828" w:rsidP="005D7828">
            <w:pPr>
              <w:jc w:val="right"/>
              <w:rPr>
                <w:sz w:val="22"/>
                <w:szCs w:val="22"/>
              </w:rPr>
            </w:pPr>
            <w:r>
              <w:rPr>
                <w:sz w:val="22"/>
                <w:szCs w:val="22"/>
              </w:rPr>
              <w:t>0.00%</w:t>
            </w:r>
          </w:p>
        </w:tc>
        <w:tc>
          <w:tcPr>
            <w:tcW w:w="272" w:type="dxa"/>
            <w:tcBorders>
              <w:top w:val="nil"/>
              <w:left w:val="nil"/>
              <w:bottom w:val="nil"/>
              <w:right w:val="single" w:sz="4" w:space="0" w:color="auto"/>
            </w:tcBorders>
            <w:shd w:val="clear" w:color="000000" w:fill="FFFFFF"/>
            <w:noWrap/>
            <w:vAlign w:val="bottom"/>
            <w:hideMark/>
          </w:tcPr>
          <w:p w14:paraId="2687E68E" w14:textId="77777777" w:rsidR="005D7828" w:rsidRDefault="005D7828" w:rsidP="005D7828">
            <w:pPr>
              <w:rPr>
                <w:sz w:val="22"/>
                <w:szCs w:val="22"/>
              </w:rPr>
            </w:pPr>
            <w:r>
              <w:rPr>
                <w:sz w:val="22"/>
                <w:szCs w:val="22"/>
              </w:rPr>
              <w:t> </w:t>
            </w:r>
          </w:p>
        </w:tc>
      </w:tr>
      <w:tr w:rsidR="005D7828" w14:paraId="5A1D19EC"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34E8316B" w14:textId="77777777" w:rsidR="005D7828" w:rsidRDefault="005D7828" w:rsidP="005D7828">
            <w:pPr>
              <w:jc w:val="center"/>
              <w:rPr>
                <w:sz w:val="22"/>
                <w:szCs w:val="22"/>
              </w:rPr>
            </w:pPr>
            <w:r>
              <w:rPr>
                <w:sz w:val="22"/>
                <w:szCs w:val="22"/>
              </w:rPr>
              <w:t>4</w:t>
            </w:r>
          </w:p>
        </w:tc>
        <w:tc>
          <w:tcPr>
            <w:tcW w:w="2443" w:type="dxa"/>
            <w:tcBorders>
              <w:top w:val="nil"/>
              <w:left w:val="nil"/>
              <w:bottom w:val="nil"/>
              <w:right w:val="nil"/>
            </w:tcBorders>
            <w:shd w:val="clear" w:color="000000" w:fill="FFFFFF"/>
            <w:noWrap/>
            <w:vAlign w:val="bottom"/>
            <w:hideMark/>
          </w:tcPr>
          <w:p w14:paraId="4ABCB807" w14:textId="77777777" w:rsidR="005D7828" w:rsidRDefault="005D7828" w:rsidP="005D7828">
            <w:pPr>
              <w:rPr>
                <w:sz w:val="22"/>
                <w:szCs w:val="22"/>
              </w:rPr>
            </w:pPr>
            <w:r>
              <w:rPr>
                <w:sz w:val="22"/>
                <w:szCs w:val="22"/>
              </w:rPr>
              <w:t>Common Equity</w:t>
            </w:r>
          </w:p>
        </w:tc>
        <w:tc>
          <w:tcPr>
            <w:tcW w:w="3093" w:type="dxa"/>
            <w:tcBorders>
              <w:top w:val="nil"/>
              <w:left w:val="nil"/>
              <w:bottom w:val="nil"/>
              <w:right w:val="nil"/>
            </w:tcBorders>
            <w:shd w:val="clear" w:color="000000" w:fill="FFFFFF"/>
            <w:noWrap/>
            <w:vAlign w:val="bottom"/>
            <w:hideMark/>
          </w:tcPr>
          <w:p w14:paraId="44ECBC6F" w14:textId="77777777" w:rsidR="005D7828" w:rsidRDefault="005D7828" w:rsidP="005D7828">
            <w:pPr>
              <w:jc w:val="right"/>
              <w:rPr>
                <w:sz w:val="22"/>
                <w:szCs w:val="22"/>
              </w:rPr>
            </w:pPr>
            <w:r>
              <w:rPr>
                <w:sz w:val="22"/>
                <w:szCs w:val="22"/>
              </w:rPr>
              <w:t xml:space="preserve">3,022,234 </w:t>
            </w:r>
          </w:p>
        </w:tc>
        <w:tc>
          <w:tcPr>
            <w:tcW w:w="1476" w:type="dxa"/>
            <w:tcBorders>
              <w:top w:val="nil"/>
              <w:left w:val="nil"/>
              <w:bottom w:val="nil"/>
              <w:right w:val="nil"/>
            </w:tcBorders>
            <w:shd w:val="clear" w:color="000000" w:fill="FFFFFF"/>
            <w:noWrap/>
            <w:vAlign w:val="bottom"/>
            <w:hideMark/>
          </w:tcPr>
          <w:p w14:paraId="4905CAA3" w14:textId="77777777" w:rsidR="005D7828" w:rsidRDefault="005D7828" w:rsidP="005D7828">
            <w:pPr>
              <w:jc w:val="right"/>
              <w:rPr>
                <w:sz w:val="22"/>
                <w:szCs w:val="22"/>
              </w:rPr>
            </w:pPr>
            <w:r>
              <w:rPr>
                <w:sz w:val="22"/>
                <w:szCs w:val="22"/>
              </w:rPr>
              <w:t xml:space="preserve">(587,116) </w:t>
            </w:r>
          </w:p>
        </w:tc>
        <w:tc>
          <w:tcPr>
            <w:tcW w:w="1457" w:type="dxa"/>
            <w:tcBorders>
              <w:top w:val="nil"/>
              <w:left w:val="nil"/>
              <w:bottom w:val="nil"/>
              <w:right w:val="nil"/>
            </w:tcBorders>
            <w:shd w:val="clear" w:color="000000" w:fill="FFFFFF"/>
            <w:noWrap/>
            <w:vAlign w:val="bottom"/>
            <w:hideMark/>
          </w:tcPr>
          <w:p w14:paraId="7E3BA0A9" w14:textId="77777777" w:rsidR="005D7828" w:rsidRDefault="005D7828" w:rsidP="005D7828">
            <w:pPr>
              <w:jc w:val="right"/>
              <w:rPr>
                <w:sz w:val="22"/>
                <w:szCs w:val="22"/>
              </w:rPr>
            </w:pPr>
            <w:r>
              <w:rPr>
                <w:sz w:val="22"/>
                <w:szCs w:val="22"/>
              </w:rPr>
              <w:t xml:space="preserve">2,435,118 </w:t>
            </w:r>
          </w:p>
        </w:tc>
        <w:tc>
          <w:tcPr>
            <w:tcW w:w="1005" w:type="dxa"/>
            <w:tcBorders>
              <w:top w:val="nil"/>
              <w:left w:val="nil"/>
              <w:bottom w:val="nil"/>
              <w:right w:val="nil"/>
            </w:tcBorders>
            <w:shd w:val="clear" w:color="000000" w:fill="FFFFFF"/>
            <w:noWrap/>
            <w:vAlign w:val="bottom"/>
            <w:hideMark/>
          </w:tcPr>
          <w:p w14:paraId="508F5E3E" w14:textId="77777777" w:rsidR="005D7828" w:rsidRDefault="005D7828" w:rsidP="005D7828">
            <w:pPr>
              <w:jc w:val="right"/>
              <w:rPr>
                <w:sz w:val="22"/>
                <w:szCs w:val="22"/>
              </w:rPr>
            </w:pPr>
            <w:r>
              <w:rPr>
                <w:sz w:val="22"/>
                <w:szCs w:val="22"/>
              </w:rPr>
              <w:t>99.56%</w:t>
            </w:r>
          </w:p>
        </w:tc>
        <w:tc>
          <w:tcPr>
            <w:tcW w:w="1111" w:type="dxa"/>
            <w:tcBorders>
              <w:top w:val="nil"/>
              <w:left w:val="nil"/>
              <w:bottom w:val="nil"/>
              <w:right w:val="nil"/>
            </w:tcBorders>
            <w:shd w:val="clear" w:color="000000" w:fill="FFFFFF"/>
            <w:noWrap/>
            <w:vAlign w:val="bottom"/>
            <w:hideMark/>
          </w:tcPr>
          <w:p w14:paraId="271F4B43" w14:textId="77777777" w:rsidR="005D7828" w:rsidRDefault="005D7828" w:rsidP="005D7828">
            <w:pPr>
              <w:jc w:val="right"/>
              <w:rPr>
                <w:sz w:val="22"/>
                <w:szCs w:val="22"/>
              </w:rPr>
            </w:pPr>
            <w:r>
              <w:rPr>
                <w:sz w:val="22"/>
                <w:szCs w:val="22"/>
              </w:rPr>
              <w:t>8.66%</w:t>
            </w:r>
          </w:p>
        </w:tc>
        <w:tc>
          <w:tcPr>
            <w:tcW w:w="1246" w:type="dxa"/>
            <w:tcBorders>
              <w:top w:val="nil"/>
              <w:left w:val="nil"/>
              <w:bottom w:val="nil"/>
              <w:right w:val="nil"/>
            </w:tcBorders>
            <w:shd w:val="clear" w:color="000000" w:fill="FFFFFF"/>
            <w:noWrap/>
            <w:vAlign w:val="bottom"/>
            <w:hideMark/>
          </w:tcPr>
          <w:p w14:paraId="769721E7" w14:textId="77777777" w:rsidR="005D7828" w:rsidRDefault="005D7828" w:rsidP="005D7828">
            <w:pPr>
              <w:jc w:val="right"/>
              <w:rPr>
                <w:sz w:val="22"/>
                <w:szCs w:val="22"/>
              </w:rPr>
            </w:pPr>
            <w:r>
              <w:rPr>
                <w:sz w:val="22"/>
                <w:szCs w:val="22"/>
              </w:rPr>
              <w:t>8.62%</w:t>
            </w:r>
          </w:p>
        </w:tc>
        <w:tc>
          <w:tcPr>
            <w:tcW w:w="272" w:type="dxa"/>
            <w:tcBorders>
              <w:top w:val="nil"/>
              <w:left w:val="nil"/>
              <w:bottom w:val="nil"/>
              <w:right w:val="single" w:sz="4" w:space="0" w:color="auto"/>
            </w:tcBorders>
            <w:shd w:val="clear" w:color="000000" w:fill="FFFFFF"/>
            <w:noWrap/>
            <w:vAlign w:val="bottom"/>
            <w:hideMark/>
          </w:tcPr>
          <w:p w14:paraId="1EFC8F95" w14:textId="77777777" w:rsidR="005D7828" w:rsidRDefault="005D7828" w:rsidP="005D7828">
            <w:pPr>
              <w:rPr>
                <w:sz w:val="22"/>
                <w:szCs w:val="22"/>
              </w:rPr>
            </w:pPr>
            <w:r>
              <w:rPr>
                <w:sz w:val="22"/>
                <w:szCs w:val="22"/>
              </w:rPr>
              <w:t> </w:t>
            </w:r>
          </w:p>
        </w:tc>
      </w:tr>
      <w:tr w:rsidR="005D7828" w14:paraId="37ACCCE3"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297867ED" w14:textId="77777777" w:rsidR="005D7828" w:rsidRDefault="005D7828" w:rsidP="005D7828">
            <w:pPr>
              <w:jc w:val="center"/>
              <w:rPr>
                <w:sz w:val="22"/>
                <w:szCs w:val="22"/>
              </w:rPr>
            </w:pPr>
            <w:r>
              <w:rPr>
                <w:sz w:val="22"/>
                <w:szCs w:val="22"/>
              </w:rPr>
              <w:t>5</w:t>
            </w:r>
          </w:p>
        </w:tc>
        <w:tc>
          <w:tcPr>
            <w:tcW w:w="2443" w:type="dxa"/>
            <w:tcBorders>
              <w:top w:val="nil"/>
              <w:left w:val="nil"/>
              <w:bottom w:val="nil"/>
              <w:right w:val="nil"/>
            </w:tcBorders>
            <w:shd w:val="clear" w:color="000000" w:fill="FFFFFF"/>
            <w:noWrap/>
            <w:vAlign w:val="bottom"/>
            <w:hideMark/>
          </w:tcPr>
          <w:p w14:paraId="0B37A5E0" w14:textId="77777777" w:rsidR="005D7828" w:rsidRDefault="005D7828" w:rsidP="005D7828">
            <w:pPr>
              <w:rPr>
                <w:sz w:val="22"/>
                <w:szCs w:val="22"/>
              </w:rPr>
            </w:pPr>
            <w:r>
              <w:rPr>
                <w:sz w:val="22"/>
                <w:szCs w:val="22"/>
              </w:rPr>
              <w:t>Customer Deposits</w:t>
            </w:r>
          </w:p>
        </w:tc>
        <w:tc>
          <w:tcPr>
            <w:tcW w:w="3093" w:type="dxa"/>
            <w:tcBorders>
              <w:top w:val="nil"/>
              <w:left w:val="nil"/>
              <w:bottom w:val="nil"/>
              <w:right w:val="nil"/>
            </w:tcBorders>
            <w:shd w:val="clear" w:color="000000" w:fill="FFFFFF"/>
            <w:noWrap/>
            <w:vAlign w:val="bottom"/>
            <w:hideMark/>
          </w:tcPr>
          <w:p w14:paraId="70E32D62" w14:textId="77777777" w:rsidR="005D7828" w:rsidRDefault="005D7828" w:rsidP="005D7828">
            <w:pPr>
              <w:jc w:val="right"/>
              <w:rPr>
                <w:sz w:val="22"/>
                <w:szCs w:val="22"/>
              </w:rPr>
            </w:pPr>
            <w:r>
              <w:rPr>
                <w:sz w:val="22"/>
                <w:szCs w:val="22"/>
              </w:rPr>
              <w:t xml:space="preserve">10,880 </w:t>
            </w:r>
          </w:p>
        </w:tc>
        <w:tc>
          <w:tcPr>
            <w:tcW w:w="1476" w:type="dxa"/>
            <w:tcBorders>
              <w:top w:val="nil"/>
              <w:left w:val="nil"/>
              <w:bottom w:val="nil"/>
              <w:right w:val="nil"/>
            </w:tcBorders>
            <w:shd w:val="clear" w:color="000000" w:fill="FFFFFF"/>
            <w:noWrap/>
            <w:vAlign w:val="bottom"/>
            <w:hideMark/>
          </w:tcPr>
          <w:p w14:paraId="5650EC7B" w14:textId="77777777" w:rsidR="005D7828" w:rsidRDefault="005D7828" w:rsidP="005D7828">
            <w:pPr>
              <w:jc w:val="right"/>
              <w:rPr>
                <w:sz w:val="22"/>
                <w:szCs w:val="22"/>
              </w:rPr>
            </w:pPr>
            <w:r>
              <w:rPr>
                <w:sz w:val="22"/>
                <w:szCs w:val="22"/>
              </w:rPr>
              <w:t xml:space="preserve">0 </w:t>
            </w:r>
          </w:p>
        </w:tc>
        <w:tc>
          <w:tcPr>
            <w:tcW w:w="1457" w:type="dxa"/>
            <w:tcBorders>
              <w:top w:val="nil"/>
              <w:left w:val="nil"/>
              <w:bottom w:val="nil"/>
              <w:right w:val="nil"/>
            </w:tcBorders>
            <w:shd w:val="clear" w:color="000000" w:fill="FFFFFF"/>
            <w:noWrap/>
            <w:vAlign w:val="bottom"/>
            <w:hideMark/>
          </w:tcPr>
          <w:p w14:paraId="798D0977" w14:textId="77777777" w:rsidR="005D7828" w:rsidRDefault="005D7828" w:rsidP="005D7828">
            <w:pPr>
              <w:jc w:val="right"/>
              <w:rPr>
                <w:sz w:val="22"/>
                <w:szCs w:val="22"/>
              </w:rPr>
            </w:pPr>
            <w:r>
              <w:rPr>
                <w:sz w:val="22"/>
                <w:szCs w:val="22"/>
              </w:rPr>
              <w:t xml:space="preserve">10,880 </w:t>
            </w:r>
          </w:p>
        </w:tc>
        <w:tc>
          <w:tcPr>
            <w:tcW w:w="1005" w:type="dxa"/>
            <w:tcBorders>
              <w:top w:val="nil"/>
              <w:left w:val="nil"/>
              <w:bottom w:val="nil"/>
              <w:right w:val="nil"/>
            </w:tcBorders>
            <w:shd w:val="clear" w:color="000000" w:fill="FFFFFF"/>
            <w:noWrap/>
            <w:vAlign w:val="bottom"/>
            <w:hideMark/>
          </w:tcPr>
          <w:p w14:paraId="32B111D1" w14:textId="77777777" w:rsidR="005D7828" w:rsidRDefault="005D7828" w:rsidP="005D7828">
            <w:pPr>
              <w:jc w:val="right"/>
              <w:rPr>
                <w:sz w:val="22"/>
                <w:szCs w:val="22"/>
              </w:rPr>
            </w:pPr>
            <w:r>
              <w:rPr>
                <w:sz w:val="22"/>
                <w:szCs w:val="22"/>
              </w:rPr>
              <w:t>0.44%</w:t>
            </w:r>
          </w:p>
        </w:tc>
        <w:tc>
          <w:tcPr>
            <w:tcW w:w="1111" w:type="dxa"/>
            <w:tcBorders>
              <w:top w:val="nil"/>
              <w:left w:val="nil"/>
              <w:bottom w:val="nil"/>
              <w:right w:val="nil"/>
            </w:tcBorders>
            <w:shd w:val="clear" w:color="000000" w:fill="FFFFFF"/>
            <w:noWrap/>
            <w:vAlign w:val="bottom"/>
            <w:hideMark/>
          </w:tcPr>
          <w:p w14:paraId="4E0554DE" w14:textId="77777777" w:rsidR="005D7828" w:rsidRDefault="005D7828" w:rsidP="005D7828">
            <w:pPr>
              <w:jc w:val="right"/>
              <w:rPr>
                <w:sz w:val="22"/>
                <w:szCs w:val="22"/>
              </w:rPr>
            </w:pPr>
            <w:r>
              <w:rPr>
                <w:sz w:val="22"/>
                <w:szCs w:val="22"/>
              </w:rPr>
              <w:t>2.00%</w:t>
            </w:r>
          </w:p>
        </w:tc>
        <w:tc>
          <w:tcPr>
            <w:tcW w:w="1246" w:type="dxa"/>
            <w:tcBorders>
              <w:top w:val="nil"/>
              <w:left w:val="nil"/>
              <w:bottom w:val="nil"/>
              <w:right w:val="nil"/>
            </w:tcBorders>
            <w:shd w:val="clear" w:color="000000" w:fill="FFFFFF"/>
            <w:noWrap/>
            <w:vAlign w:val="bottom"/>
            <w:hideMark/>
          </w:tcPr>
          <w:p w14:paraId="3D95AF9A" w14:textId="77777777" w:rsidR="005D7828" w:rsidRDefault="005D7828" w:rsidP="005D7828">
            <w:pPr>
              <w:jc w:val="right"/>
              <w:rPr>
                <w:sz w:val="22"/>
                <w:szCs w:val="22"/>
              </w:rPr>
            </w:pPr>
            <w:r>
              <w:rPr>
                <w:sz w:val="22"/>
                <w:szCs w:val="22"/>
              </w:rPr>
              <w:t>0.01%</w:t>
            </w:r>
          </w:p>
        </w:tc>
        <w:tc>
          <w:tcPr>
            <w:tcW w:w="272" w:type="dxa"/>
            <w:tcBorders>
              <w:top w:val="nil"/>
              <w:left w:val="nil"/>
              <w:bottom w:val="nil"/>
              <w:right w:val="single" w:sz="4" w:space="0" w:color="auto"/>
            </w:tcBorders>
            <w:shd w:val="clear" w:color="000000" w:fill="FFFFFF"/>
            <w:noWrap/>
            <w:vAlign w:val="bottom"/>
            <w:hideMark/>
          </w:tcPr>
          <w:p w14:paraId="327E7073" w14:textId="77777777" w:rsidR="005D7828" w:rsidRDefault="005D7828" w:rsidP="005D7828">
            <w:pPr>
              <w:rPr>
                <w:sz w:val="22"/>
                <w:szCs w:val="22"/>
              </w:rPr>
            </w:pPr>
            <w:r>
              <w:rPr>
                <w:sz w:val="22"/>
                <w:szCs w:val="22"/>
              </w:rPr>
              <w:t> </w:t>
            </w:r>
          </w:p>
        </w:tc>
      </w:tr>
      <w:tr w:rsidR="005D7828" w14:paraId="01E6C345"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7B3CE386" w14:textId="77777777" w:rsidR="005D7828" w:rsidRDefault="005D7828" w:rsidP="005D7828">
            <w:pPr>
              <w:jc w:val="center"/>
              <w:rPr>
                <w:sz w:val="22"/>
                <w:szCs w:val="22"/>
              </w:rPr>
            </w:pPr>
            <w:r>
              <w:rPr>
                <w:sz w:val="22"/>
                <w:szCs w:val="22"/>
              </w:rPr>
              <w:t>6</w:t>
            </w:r>
          </w:p>
        </w:tc>
        <w:tc>
          <w:tcPr>
            <w:tcW w:w="2443" w:type="dxa"/>
            <w:tcBorders>
              <w:top w:val="nil"/>
              <w:left w:val="nil"/>
              <w:bottom w:val="nil"/>
              <w:right w:val="nil"/>
            </w:tcBorders>
            <w:shd w:val="clear" w:color="000000" w:fill="FFFFFF"/>
            <w:noWrap/>
            <w:vAlign w:val="bottom"/>
            <w:hideMark/>
          </w:tcPr>
          <w:p w14:paraId="69F17B52" w14:textId="77777777" w:rsidR="005D7828" w:rsidRDefault="005D7828" w:rsidP="005D7828">
            <w:pPr>
              <w:rPr>
                <w:sz w:val="22"/>
                <w:szCs w:val="22"/>
              </w:rPr>
            </w:pPr>
            <w:r>
              <w:rPr>
                <w:sz w:val="22"/>
                <w:szCs w:val="22"/>
              </w:rPr>
              <w:t>Tax Credits-Zero Cost</w:t>
            </w:r>
          </w:p>
        </w:tc>
        <w:tc>
          <w:tcPr>
            <w:tcW w:w="3093" w:type="dxa"/>
            <w:tcBorders>
              <w:top w:val="nil"/>
              <w:left w:val="nil"/>
              <w:bottom w:val="nil"/>
              <w:right w:val="nil"/>
            </w:tcBorders>
            <w:shd w:val="clear" w:color="000000" w:fill="FFFFFF"/>
            <w:noWrap/>
            <w:vAlign w:val="bottom"/>
            <w:hideMark/>
          </w:tcPr>
          <w:p w14:paraId="7014EB80" w14:textId="77777777" w:rsidR="005D7828" w:rsidRDefault="005D7828" w:rsidP="005D7828">
            <w:pPr>
              <w:jc w:val="right"/>
              <w:rPr>
                <w:sz w:val="22"/>
                <w:szCs w:val="22"/>
              </w:rPr>
            </w:pPr>
            <w:r>
              <w:rPr>
                <w:sz w:val="22"/>
                <w:szCs w:val="22"/>
              </w:rPr>
              <w:t xml:space="preserve">0 </w:t>
            </w:r>
          </w:p>
        </w:tc>
        <w:tc>
          <w:tcPr>
            <w:tcW w:w="1476" w:type="dxa"/>
            <w:tcBorders>
              <w:top w:val="nil"/>
              <w:left w:val="nil"/>
              <w:bottom w:val="nil"/>
              <w:right w:val="nil"/>
            </w:tcBorders>
            <w:shd w:val="clear" w:color="000000" w:fill="FFFFFF"/>
            <w:noWrap/>
            <w:vAlign w:val="bottom"/>
            <w:hideMark/>
          </w:tcPr>
          <w:p w14:paraId="6D9B9139" w14:textId="77777777" w:rsidR="005D7828" w:rsidRDefault="005D7828" w:rsidP="005D7828">
            <w:pPr>
              <w:jc w:val="right"/>
              <w:rPr>
                <w:sz w:val="22"/>
                <w:szCs w:val="22"/>
              </w:rPr>
            </w:pPr>
            <w:r>
              <w:rPr>
                <w:sz w:val="22"/>
                <w:szCs w:val="22"/>
              </w:rPr>
              <w:t xml:space="preserve">0 </w:t>
            </w:r>
          </w:p>
        </w:tc>
        <w:tc>
          <w:tcPr>
            <w:tcW w:w="1457" w:type="dxa"/>
            <w:tcBorders>
              <w:top w:val="nil"/>
              <w:left w:val="nil"/>
              <w:bottom w:val="nil"/>
              <w:right w:val="nil"/>
            </w:tcBorders>
            <w:shd w:val="clear" w:color="000000" w:fill="FFFFFF"/>
            <w:noWrap/>
            <w:vAlign w:val="bottom"/>
            <w:hideMark/>
          </w:tcPr>
          <w:p w14:paraId="041F1E23" w14:textId="77777777" w:rsidR="005D7828" w:rsidRDefault="005D7828" w:rsidP="005D7828">
            <w:pPr>
              <w:jc w:val="right"/>
              <w:rPr>
                <w:sz w:val="22"/>
                <w:szCs w:val="22"/>
              </w:rPr>
            </w:pPr>
            <w:r>
              <w:rPr>
                <w:sz w:val="22"/>
                <w:szCs w:val="22"/>
              </w:rPr>
              <w:t xml:space="preserve">0 </w:t>
            </w:r>
          </w:p>
        </w:tc>
        <w:tc>
          <w:tcPr>
            <w:tcW w:w="1005" w:type="dxa"/>
            <w:tcBorders>
              <w:top w:val="nil"/>
              <w:left w:val="nil"/>
              <w:bottom w:val="nil"/>
              <w:right w:val="nil"/>
            </w:tcBorders>
            <w:shd w:val="clear" w:color="000000" w:fill="FFFFFF"/>
            <w:noWrap/>
            <w:vAlign w:val="bottom"/>
            <w:hideMark/>
          </w:tcPr>
          <w:p w14:paraId="38D3E3E1" w14:textId="77777777" w:rsidR="005D7828" w:rsidRDefault="005D7828" w:rsidP="005D7828">
            <w:pPr>
              <w:jc w:val="right"/>
              <w:rPr>
                <w:sz w:val="22"/>
                <w:szCs w:val="22"/>
              </w:rPr>
            </w:pPr>
            <w:r>
              <w:rPr>
                <w:sz w:val="22"/>
                <w:szCs w:val="22"/>
              </w:rPr>
              <w:t>0.00%</w:t>
            </w:r>
          </w:p>
        </w:tc>
        <w:tc>
          <w:tcPr>
            <w:tcW w:w="1111" w:type="dxa"/>
            <w:tcBorders>
              <w:top w:val="nil"/>
              <w:left w:val="nil"/>
              <w:bottom w:val="nil"/>
              <w:right w:val="nil"/>
            </w:tcBorders>
            <w:shd w:val="clear" w:color="000000" w:fill="FFFFFF"/>
            <w:noWrap/>
            <w:vAlign w:val="bottom"/>
            <w:hideMark/>
          </w:tcPr>
          <w:p w14:paraId="33DA0D4D" w14:textId="77777777" w:rsidR="005D7828" w:rsidRDefault="005D7828" w:rsidP="005D7828">
            <w:pPr>
              <w:jc w:val="right"/>
              <w:rPr>
                <w:sz w:val="22"/>
                <w:szCs w:val="22"/>
              </w:rPr>
            </w:pPr>
            <w:r>
              <w:rPr>
                <w:sz w:val="22"/>
                <w:szCs w:val="22"/>
              </w:rPr>
              <w:t>0.00%</w:t>
            </w:r>
          </w:p>
        </w:tc>
        <w:tc>
          <w:tcPr>
            <w:tcW w:w="1246" w:type="dxa"/>
            <w:tcBorders>
              <w:top w:val="nil"/>
              <w:left w:val="nil"/>
              <w:bottom w:val="nil"/>
              <w:right w:val="nil"/>
            </w:tcBorders>
            <w:shd w:val="clear" w:color="000000" w:fill="FFFFFF"/>
            <w:noWrap/>
            <w:vAlign w:val="bottom"/>
            <w:hideMark/>
          </w:tcPr>
          <w:p w14:paraId="4F3CFF4A" w14:textId="77777777" w:rsidR="005D7828" w:rsidRDefault="005D7828" w:rsidP="005D7828">
            <w:pPr>
              <w:jc w:val="right"/>
              <w:rPr>
                <w:sz w:val="22"/>
                <w:szCs w:val="22"/>
              </w:rPr>
            </w:pPr>
            <w:r>
              <w:rPr>
                <w:sz w:val="22"/>
                <w:szCs w:val="22"/>
              </w:rPr>
              <w:t>0.00%</w:t>
            </w:r>
          </w:p>
        </w:tc>
        <w:tc>
          <w:tcPr>
            <w:tcW w:w="272" w:type="dxa"/>
            <w:tcBorders>
              <w:top w:val="nil"/>
              <w:left w:val="nil"/>
              <w:bottom w:val="nil"/>
              <w:right w:val="single" w:sz="4" w:space="0" w:color="auto"/>
            </w:tcBorders>
            <w:shd w:val="clear" w:color="000000" w:fill="FFFFFF"/>
            <w:noWrap/>
            <w:vAlign w:val="bottom"/>
            <w:hideMark/>
          </w:tcPr>
          <w:p w14:paraId="721A9C30" w14:textId="77777777" w:rsidR="005D7828" w:rsidRDefault="005D7828" w:rsidP="005D7828">
            <w:pPr>
              <w:rPr>
                <w:sz w:val="22"/>
                <w:szCs w:val="22"/>
              </w:rPr>
            </w:pPr>
            <w:r>
              <w:rPr>
                <w:sz w:val="22"/>
                <w:szCs w:val="22"/>
              </w:rPr>
              <w:t> </w:t>
            </w:r>
          </w:p>
        </w:tc>
      </w:tr>
      <w:tr w:rsidR="005D7828" w14:paraId="703C71FB"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0CDDDBDA" w14:textId="77777777" w:rsidR="005D7828" w:rsidRDefault="005D7828" w:rsidP="005D7828">
            <w:pPr>
              <w:jc w:val="center"/>
              <w:rPr>
                <w:sz w:val="22"/>
                <w:szCs w:val="22"/>
              </w:rPr>
            </w:pPr>
            <w:r>
              <w:rPr>
                <w:sz w:val="22"/>
                <w:szCs w:val="22"/>
              </w:rPr>
              <w:t>7</w:t>
            </w:r>
          </w:p>
        </w:tc>
        <w:tc>
          <w:tcPr>
            <w:tcW w:w="2443" w:type="dxa"/>
            <w:tcBorders>
              <w:top w:val="nil"/>
              <w:left w:val="nil"/>
              <w:bottom w:val="nil"/>
              <w:right w:val="nil"/>
            </w:tcBorders>
            <w:shd w:val="clear" w:color="000000" w:fill="FFFFFF"/>
            <w:noWrap/>
            <w:vAlign w:val="bottom"/>
            <w:hideMark/>
          </w:tcPr>
          <w:p w14:paraId="3647ED00" w14:textId="77777777" w:rsidR="005D7828" w:rsidRDefault="005D7828" w:rsidP="005D7828">
            <w:pPr>
              <w:rPr>
                <w:sz w:val="22"/>
                <w:szCs w:val="22"/>
              </w:rPr>
            </w:pPr>
            <w:r>
              <w:rPr>
                <w:sz w:val="22"/>
                <w:szCs w:val="22"/>
              </w:rPr>
              <w:t>Deferred Income Taxes</w:t>
            </w:r>
          </w:p>
        </w:tc>
        <w:tc>
          <w:tcPr>
            <w:tcW w:w="3093" w:type="dxa"/>
            <w:tcBorders>
              <w:top w:val="nil"/>
              <w:left w:val="nil"/>
              <w:bottom w:val="nil"/>
              <w:right w:val="nil"/>
            </w:tcBorders>
            <w:shd w:val="clear" w:color="000000" w:fill="FFFFFF"/>
            <w:noWrap/>
            <w:vAlign w:val="bottom"/>
            <w:hideMark/>
          </w:tcPr>
          <w:p w14:paraId="005BE951" w14:textId="77777777" w:rsidR="005D7828" w:rsidRDefault="005D7828" w:rsidP="005D7828">
            <w:pPr>
              <w:jc w:val="right"/>
              <w:rPr>
                <w:sz w:val="22"/>
                <w:szCs w:val="22"/>
                <w:u w:val="single"/>
              </w:rPr>
            </w:pPr>
            <w:r>
              <w:rPr>
                <w:sz w:val="22"/>
                <w:szCs w:val="22"/>
                <w:u w:val="single"/>
              </w:rPr>
              <w:t xml:space="preserve">0 </w:t>
            </w:r>
          </w:p>
        </w:tc>
        <w:tc>
          <w:tcPr>
            <w:tcW w:w="1476" w:type="dxa"/>
            <w:tcBorders>
              <w:top w:val="nil"/>
              <w:left w:val="nil"/>
              <w:bottom w:val="nil"/>
              <w:right w:val="nil"/>
            </w:tcBorders>
            <w:shd w:val="clear" w:color="000000" w:fill="FFFFFF"/>
            <w:noWrap/>
            <w:vAlign w:val="bottom"/>
            <w:hideMark/>
          </w:tcPr>
          <w:p w14:paraId="61128830" w14:textId="77777777" w:rsidR="005D7828" w:rsidRDefault="005D7828" w:rsidP="005D7828">
            <w:pPr>
              <w:jc w:val="right"/>
              <w:rPr>
                <w:sz w:val="22"/>
                <w:szCs w:val="22"/>
                <w:u w:val="single"/>
              </w:rPr>
            </w:pPr>
            <w:r>
              <w:rPr>
                <w:sz w:val="22"/>
                <w:szCs w:val="22"/>
                <w:u w:val="single"/>
              </w:rPr>
              <w:t xml:space="preserve">0 </w:t>
            </w:r>
          </w:p>
        </w:tc>
        <w:tc>
          <w:tcPr>
            <w:tcW w:w="1457" w:type="dxa"/>
            <w:tcBorders>
              <w:top w:val="nil"/>
              <w:left w:val="nil"/>
              <w:bottom w:val="nil"/>
              <w:right w:val="nil"/>
            </w:tcBorders>
            <w:shd w:val="clear" w:color="000000" w:fill="FFFFFF"/>
            <w:noWrap/>
            <w:vAlign w:val="bottom"/>
            <w:hideMark/>
          </w:tcPr>
          <w:p w14:paraId="1EFF8962" w14:textId="77777777" w:rsidR="005D7828" w:rsidRDefault="005D7828" w:rsidP="005D7828">
            <w:pPr>
              <w:jc w:val="right"/>
              <w:rPr>
                <w:sz w:val="22"/>
                <w:szCs w:val="22"/>
                <w:u w:val="single"/>
              </w:rPr>
            </w:pPr>
            <w:r>
              <w:rPr>
                <w:sz w:val="22"/>
                <w:szCs w:val="22"/>
                <w:u w:val="single"/>
              </w:rPr>
              <w:t xml:space="preserve">0 </w:t>
            </w:r>
          </w:p>
        </w:tc>
        <w:tc>
          <w:tcPr>
            <w:tcW w:w="1005" w:type="dxa"/>
            <w:tcBorders>
              <w:top w:val="nil"/>
              <w:left w:val="nil"/>
              <w:bottom w:val="nil"/>
              <w:right w:val="nil"/>
            </w:tcBorders>
            <w:shd w:val="clear" w:color="000000" w:fill="FFFFFF"/>
            <w:noWrap/>
            <w:vAlign w:val="bottom"/>
            <w:hideMark/>
          </w:tcPr>
          <w:p w14:paraId="4C4644B3" w14:textId="77777777" w:rsidR="005D7828" w:rsidRDefault="005D7828" w:rsidP="005D7828">
            <w:pPr>
              <w:jc w:val="right"/>
              <w:rPr>
                <w:sz w:val="22"/>
                <w:szCs w:val="22"/>
                <w:u w:val="single"/>
              </w:rPr>
            </w:pPr>
            <w:r>
              <w:rPr>
                <w:sz w:val="22"/>
                <w:szCs w:val="22"/>
                <w:u w:val="single"/>
              </w:rPr>
              <w:t>0.00%</w:t>
            </w:r>
          </w:p>
        </w:tc>
        <w:tc>
          <w:tcPr>
            <w:tcW w:w="1111" w:type="dxa"/>
            <w:tcBorders>
              <w:top w:val="nil"/>
              <w:left w:val="nil"/>
              <w:bottom w:val="nil"/>
              <w:right w:val="nil"/>
            </w:tcBorders>
            <w:shd w:val="clear" w:color="000000" w:fill="FFFFFF"/>
            <w:noWrap/>
            <w:vAlign w:val="bottom"/>
            <w:hideMark/>
          </w:tcPr>
          <w:p w14:paraId="3EC66789" w14:textId="77777777" w:rsidR="005D7828" w:rsidRDefault="005D7828" w:rsidP="005D7828">
            <w:pPr>
              <w:jc w:val="right"/>
              <w:rPr>
                <w:sz w:val="22"/>
                <w:szCs w:val="22"/>
              </w:rPr>
            </w:pPr>
            <w:r>
              <w:rPr>
                <w:sz w:val="22"/>
                <w:szCs w:val="22"/>
              </w:rPr>
              <w:t>0.00%</w:t>
            </w:r>
          </w:p>
        </w:tc>
        <w:tc>
          <w:tcPr>
            <w:tcW w:w="1246" w:type="dxa"/>
            <w:tcBorders>
              <w:top w:val="nil"/>
              <w:left w:val="nil"/>
              <w:bottom w:val="nil"/>
              <w:right w:val="nil"/>
            </w:tcBorders>
            <w:shd w:val="clear" w:color="000000" w:fill="FFFFFF"/>
            <w:noWrap/>
            <w:vAlign w:val="bottom"/>
            <w:hideMark/>
          </w:tcPr>
          <w:p w14:paraId="5C7ECACF" w14:textId="77777777" w:rsidR="005D7828" w:rsidRDefault="005D7828" w:rsidP="005D7828">
            <w:pPr>
              <w:jc w:val="right"/>
              <w:rPr>
                <w:sz w:val="22"/>
                <w:szCs w:val="22"/>
                <w:u w:val="single"/>
              </w:rPr>
            </w:pPr>
            <w:r>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14:paraId="07375174" w14:textId="77777777" w:rsidR="005D7828" w:rsidRDefault="005D7828" w:rsidP="005D7828">
            <w:pPr>
              <w:rPr>
                <w:sz w:val="22"/>
                <w:szCs w:val="22"/>
              </w:rPr>
            </w:pPr>
            <w:r>
              <w:rPr>
                <w:sz w:val="22"/>
                <w:szCs w:val="22"/>
              </w:rPr>
              <w:t> </w:t>
            </w:r>
          </w:p>
        </w:tc>
      </w:tr>
      <w:tr w:rsidR="005D7828" w14:paraId="4CDA5FBC"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59ED95C8" w14:textId="77777777" w:rsidR="005D7828" w:rsidRDefault="005D7828" w:rsidP="005D7828">
            <w:pPr>
              <w:jc w:val="center"/>
              <w:rPr>
                <w:sz w:val="22"/>
                <w:szCs w:val="22"/>
              </w:rPr>
            </w:pPr>
            <w:r>
              <w:rPr>
                <w:sz w:val="22"/>
                <w:szCs w:val="22"/>
              </w:rPr>
              <w:t>8</w:t>
            </w:r>
          </w:p>
        </w:tc>
        <w:tc>
          <w:tcPr>
            <w:tcW w:w="2443" w:type="dxa"/>
            <w:tcBorders>
              <w:top w:val="nil"/>
              <w:left w:val="nil"/>
              <w:bottom w:val="nil"/>
              <w:right w:val="nil"/>
            </w:tcBorders>
            <w:shd w:val="clear" w:color="000000" w:fill="FFFFFF"/>
            <w:noWrap/>
            <w:vAlign w:val="bottom"/>
            <w:hideMark/>
          </w:tcPr>
          <w:p w14:paraId="0A97ED34" w14:textId="77777777" w:rsidR="005D7828" w:rsidRDefault="005D7828" w:rsidP="005D7828">
            <w:pPr>
              <w:rPr>
                <w:b/>
                <w:bCs/>
                <w:sz w:val="22"/>
                <w:szCs w:val="22"/>
              </w:rPr>
            </w:pPr>
            <w:r>
              <w:rPr>
                <w:b/>
                <w:bCs/>
                <w:sz w:val="22"/>
                <w:szCs w:val="22"/>
              </w:rPr>
              <w:t>Total Capital</w:t>
            </w:r>
          </w:p>
        </w:tc>
        <w:tc>
          <w:tcPr>
            <w:tcW w:w="3093" w:type="dxa"/>
            <w:tcBorders>
              <w:top w:val="nil"/>
              <w:left w:val="nil"/>
              <w:bottom w:val="nil"/>
              <w:right w:val="nil"/>
            </w:tcBorders>
            <w:shd w:val="clear" w:color="000000" w:fill="FFFFFF"/>
            <w:noWrap/>
            <w:vAlign w:val="bottom"/>
            <w:hideMark/>
          </w:tcPr>
          <w:p w14:paraId="0173ABAD" w14:textId="77777777" w:rsidR="005D7828" w:rsidRDefault="005D7828" w:rsidP="005D7828">
            <w:pPr>
              <w:jc w:val="right"/>
              <w:rPr>
                <w:sz w:val="22"/>
                <w:szCs w:val="22"/>
                <w:u w:val="double"/>
              </w:rPr>
            </w:pPr>
            <w:r>
              <w:rPr>
                <w:sz w:val="22"/>
                <w:szCs w:val="22"/>
                <w:u w:val="double"/>
              </w:rPr>
              <w:t xml:space="preserve">$3,033,114 </w:t>
            </w:r>
          </w:p>
        </w:tc>
        <w:tc>
          <w:tcPr>
            <w:tcW w:w="1476" w:type="dxa"/>
            <w:tcBorders>
              <w:top w:val="nil"/>
              <w:left w:val="nil"/>
              <w:bottom w:val="nil"/>
              <w:right w:val="nil"/>
            </w:tcBorders>
            <w:shd w:val="clear" w:color="000000" w:fill="FFFFFF"/>
            <w:noWrap/>
            <w:vAlign w:val="bottom"/>
            <w:hideMark/>
          </w:tcPr>
          <w:p w14:paraId="4D8DBFC6" w14:textId="77777777" w:rsidR="005D7828" w:rsidRDefault="005D7828" w:rsidP="005D7828">
            <w:pPr>
              <w:jc w:val="right"/>
              <w:rPr>
                <w:sz w:val="22"/>
                <w:szCs w:val="22"/>
                <w:u w:val="double"/>
              </w:rPr>
            </w:pPr>
            <w:r>
              <w:rPr>
                <w:sz w:val="22"/>
                <w:szCs w:val="22"/>
                <w:u w:val="double"/>
              </w:rPr>
              <w:t xml:space="preserve">($587,116) </w:t>
            </w:r>
          </w:p>
        </w:tc>
        <w:tc>
          <w:tcPr>
            <w:tcW w:w="1457" w:type="dxa"/>
            <w:tcBorders>
              <w:top w:val="nil"/>
              <w:left w:val="nil"/>
              <w:bottom w:val="nil"/>
              <w:right w:val="nil"/>
            </w:tcBorders>
            <w:shd w:val="clear" w:color="000000" w:fill="FFFFFF"/>
            <w:noWrap/>
            <w:vAlign w:val="bottom"/>
            <w:hideMark/>
          </w:tcPr>
          <w:p w14:paraId="5202E40C" w14:textId="77777777" w:rsidR="005D7828" w:rsidRDefault="005D7828" w:rsidP="005D7828">
            <w:pPr>
              <w:jc w:val="right"/>
              <w:rPr>
                <w:sz w:val="22"/>
                <w:szCs w:val="22"/>
                <w:u w:val="double"/>
              </w:rPr>
            </w:pPr>
            <w:r>
              <w:rPr>
                <w:sz w:val="22"/>
                <w:szCs w:val="22"/>
                <w:u w:val="double"/>
              </w:rPr>
              <w:t xml:space="preserve">$2,445,998 </w:t>
            </w:r>
          </w:p>
        </w:tc>
        <w:tc>
          <w:tcPr>
            <w:tcW w:w="1005" w:type="dxa"/>
            <w:tcBorders>
              <w:top w:val="nil"/>
              <w:left w:val="nil"/>
              <w:bottom w:val="nil"/>
              <w:right w:val="nil"/>
            </w:tcBorders>
            <w:shd w:val="clear" w:color="000000" w:fill="FFFFFF"/>
            <w:noWrap/>
            <w:vAlign w:val="bottom"/>
            <w:hideMark/>
          </w:tcPr>
          <w:p w14:paraId="53F392D9" w14:textId="77777777" w:rsidR="005D7828" w:rsidRDefault="005D7828" w:rsidP="005D7828">
            <w:pPr>
              <w:jc w:val="right"/>
              <w:rPr>
                <w:sz w:val="22"/>
                <w:szCs w:val="22"/>
                <w:u w:val="double"/>
              </w:rPr>
            </w:pPr>
            <w:r>
              <w:rPr>
                <w:sz w:val="22"/>
                <w:szCs w:val="22"/>
                <w:u w:val="double"/>
              </w:rPr>
              <w:t>100.00%</w:t>
            </w:r>
          </w:p>
        </w:tc>
        <w:tc>
          <w:tcPr>
            <w:tcW w:w="1111" w:type="dxa"/>
            <w:tcBorders>
              <w:top w:val="nil"/>
              <w:left w:val="nil"/>
              <w:bottom w:val="nil"/>
              <w:right w:val="nil"/>
            </w:tcBorders>
            <w:shd w:val="clear" w:color="000000" w:fill="FFFFFF"/>
            <w:noWrap/>
            <w:vAlign w:val="bottom"/>
            <w:hideMark/>
          </w:tcPr>
          <w:p w14:paraId="42557DA7" w14:textId="77777777" w:rsidR="005D7828" w:rsidRDefault="005D7828" w:rsidP="005D7828">
            <w:pPr>
              <w:rPr>
                <w:sz w:val="22"/>
                <w:szCs w:val="22"/>
                <w:u w:val="double"/>
              </w:rPr>
            </w:pPr>
          </w:p>
        </w:tc>
        <w:tc>
          <w:tcPr>
            <w:tcW w:w="1246" w:type="dxa"/>
            <w:tcBorders>
              <w:top w:val="nil"/>
              <w:left w:val="nil"/>
              <w:bottom w:val="nil"/>
              <w:right w:val="nil"/>
            </w:tcBorders>
            <w:shd w:val="clear" w:color="000000" w:fill="FFFFFF"/>
            <w:noWrap/>
            <w:vAlign w:val="bottom"/>
            <w:hideMark/>
          </w:tcPr>
          <w:p w14:paraId="64C23BF1" w14:textId="77777777" w:rsidR="005D7828" w:rsidRDefault="005D7828" w:rsidP="005D7828">
            <w:pPr>
              <w:jc w:val="right"/>
              <w:rPr>
                <w:sz w:val="22"/>
                <w:szCs w:val="22"/>
                <w:u w:val="double"/>
              </w:rPr>
            </w:pPr>
            <w:r>
              <w:rPr>
                <w:sz w:val="22"/>
                <w:szCs w:val="22"/>
                <w:u w:val="double"/>
              </w:rPr>
              <w:t>8.63%</w:t>
            </w:r>
          </w:p>
        </w:tc>
        <w:tc>
          <w:tcPr>
            <w:tcW w:w="272" w:type="dxa"/>
            <w:tcBorders>
              <w:top w:val="nil"/>
              <w:left w:val="nil"/>
              <w:bottom w:val="nil"/>
              <w:right w:val="single" w:sz="4" w:space="0" w:color="auto"/>
            </w:tcBorders>
            <w:shd w:val="clear" w:color="000000" w:fill="FFFFFF"/>
            <w:noWrap/>
            <w:vAlign w:val="bottom"/>
            <w:hideMark/>
          </w:tcPr>
          <w:p w14:paraId="0A82894F" w14:textId="77777777" w:rsidR="005D7828" w:rsidRDefault="005D7828" w:rsidP="005D7828">
            <w:pPr>
              <w:rPr>
                <w:sz w:val="22"/>
                <w:szCs w:val="22"/>
                <w:u w:val="double"/>
              </w:rPr>
            </w:pPr>
          </w:p>
        </w:tc>
      </w:tr>
      <w:tr w:rsidR="005D7828" w14:paraId="35CCDCE0"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70978670" w14:textId="77777777" w:rsidR="005D7828" w:rsidRDefault="005D7828" w:rsidP="005D7828">
            <w:pPr>
              <w:rPr>
                <w:sz w:val="22"/>
                <w:szCs w:val="22"/>
              </w:rPr>
            </w:pPr>
            <w:r>
              <w:rPr>
                <w:sz w:val="22"/>
                <w:szCs w:val="22"/>
              </w:rPr>
              <w:t> </w:t>
            </w:r>
          </w:p>
        </w:tc>
        <w:tc>
          <w:tcPr>
            <w:tcW w:w="2443" w:type="dxa"/>
            <w:tcBorders>
              <w:top w:val="nil"/>
              <w:left w:val="nil"/>
              <w:bottom w:val="nil"/>
              <w:right w:val="nil"/>
            </w:tcBorders>
            <w:shd w:val="clear" w:color="000000" w:fill="FFFFFF"/>
            <w:noWrap/>
            <w:vAlign w:val="bottom"/>
            <w:hideMark/>
          </w:tcPr>
          <w:p w14:paraId="000D5A0C" w14:textId="77777777" w:rsidR="005D7828" w:rsidRDefault="005D7828" w:rsidP="005D7828">
            <w:pPr>
              <w:rPr>
                <w:color w:val="000000"/>
                <w:sz w:val="22"/>
                <w:szCs w:val="22"/>
              </w:rPr>
            </w:pPr>
            <w:r>
              <w:rPr>
                <w:color w:val="000000"/>
                <w:sz w:val="22"/>
                <w:szCs w:val="22"/>
              </w:rPr>
              <w:t> </w:t>
            </w:r>
          </w:p>
        </w:tc>
        <w:tc>
          <w:tcPr>
            <w:tcW w:w="3093" w:type="dxa"/>
            <w:tcBorders>
              <w:top w:val="nil"/>
              <w:left w:val="nil"/>
              <w:bottom w:val="nil"/>
              <w:right w:val="nil"/>
            </w:tcBorders>
            <w:shd w:val="clear" w:color="000000" w:fill="FFFFFF"/>
            <w:noWrap/>
            <w:vAlign w:val="bottom"/>
            <w:hideMark/>
          </w:tcPr>
          <w:p w14:paraId="1B442C71" w14:textId="77777777" w:rsidR="005D7828" w:rsidRDefault="005D7828" w:rsidP="005D7828">
            <w:pPr>
              <w:rPr>
                <w:color w:val="000000"/>
                <w:sz w:val="22"/>
                <w:szCs w:val="22"/>
              </w:rPr>
            </w:pPr>
            <w:r>
              <w:rPr>
                <w:color w:val="000000"/>
                <w:sz w:val="22"/>
                <w:szCs w:val="22"/>
              </w:rPr>
              <w:t> </w:t>
            </w:r>
          </w:p>
        </w:tc>
        <w:tc>
          <w:tcPr>
            <w:tcW w:w="1476" w:type="dxa"/>
            <w:tcBorders>
              <w:top w:val="nil"/>
              <w:left w:val="nil"/>
              <w:bottom w:val="nil"/>
              <w:right w:val="nil"/>
            </w:tcBorders>
            <w:shd w:val="clear" w:color="000000" w:fill="FFFFFF"/>
            <w:noWrap/>
            <w:vAlign w:val="bottom"/>
            <w:hideMark/>
          </w:tcPr>
          <w:p w14:paraId="2169B9BB" w14:textId="77777777" w:rsidR="005D7828" w:rsidRDefault="005D7828" w:rsidP="005D7828">
            <w:pPr>
              <w:rPr>
                <w:color w:val="000000"/>
                <w:sz w:val="22"/>
                <w:szCs w:val="22"/>
              </w:rPr>
            </w:pPr>
            <w:r>
              <w:rPr>
                <w:color w:val="000000"/>
                <w:sz w:val="22"/>
                <w:szCs w:val="22"/>
              </w:rPr>
              <w:t> </w:t>
            </w:r>
          </w:p>
        </w:tc>
        <w:tc>
          <w:tcPr>
            <w:tcW w:w="1457" w:type="dxa"/>
            <w:tcBorders>
              <w:top w:val="nil"/>
              <w:left w:val="nil"/>
              <w:bottom w:val="nil"/>
              <w:right w:val="nil"/>
            </w:tcBorders>
            <w:shd w:val="clear" w:color="000000" w:fill="FFFFFF"/>
            <w:noWrap/>
            <w:vAlign w:val="bottom"/>
            <w:hideMark/>
          </w:tcPr>
          <w:p w14:paraId="7006F167" w14:textId="77777777" w:rsidR="005D7828" w:rsidRDefault="005D7828" w:rsidP="005D7828">
            <w:pPr>
              <w:rPr>
                <w:color w:val="000000"/>
                <w:sz w:val="22"/>
                <w:szCs w:val="22"/>
              </w:rPr>
            </w:pPr>
            <w:r>
              <w:rPr>
                <w:color w:val="000000"/>
                <w:sz w:val="22"/>
                <w:szCs w:val="22"/>
              </w:rPr>
              <w:t> </w:t>
            </w:r>
          </w:p>
        </w:tc>
        <w:tc>
          <w:tcPr>
            <w:tcW w:w="1005" w:type="dxa"/>
            <w:tcBorders>
              <w:top w:val="nil"/>
              <w:left w:val="nil"/>
              <w:bottom w:val="nil"/>
              <w:right w:val="nil"/>
            </w:tcBorders>
            <w:shd w:val="clear" w:color="000000" w:fill="FFFFFF"/>
            <w:noWrap/>
            <w:vAlign w:val="bottom"/>
            <w:hideMark/>
          </w:tcPr>
          <w:p w14:paraId="5567FEA4" w14:textId="77777777" w:rsidR="005D7828" w:rsidRDefault="005D7828" w:rsidP="005D7828">
            <w:pPr>
              <w:rPr>
                <w:color w:val="000000"/>
                <w:sz w:val="22"/>
                <w:szCs w:val="22"/>
              </w:rPr>
            </w:pPr>
            <w:r>
              <w:rPr>
                <w:color w:val="000000"/>
                <w:sz w:val="22"/>
                <w:szCs w:val="22"/>
              </w:rPr>
              <w:t> </w:t>
            </w:r>
          </w:p>
        </w:tc>
        <w:tc>
          <w:tcPr>
            <w:tcW w:w="1111" w:type="dxa"/>
            <w:tcBorders>
              <w:top w:val="nil"/>
              <w:left w:val="nil"/>
              <w:bottom w:val="nil"/>
              <w:right w:val="nil"/>
            </w:tcBorders>
            <w:shd w:val="clear" w:color="000000" w:fill="FFFFFF"/>
            <w:noWrap/>
            <w:vAlign w:val="bottom"/>
            <w:hideMark/>
          </w:tcPr>
          <w:p w14:paraId="11A0CE18" w14:textId="77777777" w:rsidR="005D7828" w:rsidRDefault="005D7828" w:rsidP="005D7828">
            <w:pPr>
              <w:rPr>
                <w:color w:val="000000"/>
                <w:sz w:val="22"/>
                <w:szCs w:val="22"/>
              </w:rPr>
            </w:pPr>
            <w:r>
              <w:rPr>
                <w:color w:val="000000"/>
                <w:sz w:val="22"/>
                <w:szCs w:val="22"/>
              </w:rPr>
              <w:t> </w:t>
            </w:r>
          </w:p>
        </w:tc>
        <w:tc>
          <w:tcPr>
            <w:tcW w:w="1246" w:type="dxa"/>
            <w:tcBorders>
              <w:top w:val="nil"/>
              <w:left w:val="nil"/>
              <w:bottom w:val="nil"/>
              <w:right w:val="nil"/>
            </w:tcBorders>
            <w:shd w:val="clear" w:color="000000" w:fill="FFFFFF"/>
            <w:noWrap/>
            <w:vAlign w:val="bottom"/>
            <w:hideMark/>
          </w:tcPr>
          <w:p w14:paraId="610F3380" w14:textId="77777777" w:rsidR="005D7828" w:rsidRDefault="005D7828" w:rsidP="005D7828">
            <w:pPr>
              <w:rPr>
                <w:sz w:val="22"/>
                <w:szCs w:val="22"/>
              </w:rPr>
            </w:pPr>
            <w:r>
              <w:rPr>
                <w:sz w:val="22"/>
                <w:szCs w:val="22"/>
              </w:rPr>
              <w:t> </w:t>
            </w:r>
          </w:p>
        </w:tc>
        <w:tc>
          <w:tcPr>
            <w:tcW w:w="272" w:type="dxa"/>
            <w:tcBorders>
              <w:top w:val="nil"/>
              <w:left w:val="nil"/>
              <w:bottom w:val="nil"/>
              <w:right w:val="single" w:sz="4" w:space="0" w:color="auto"/>
            </w:tcBorders>
            <w:shd w:val="clear" w:color="000000" w:fill="FFFFFF"/>
            <w:noWrap/>
            <w:vAlign w:val="bottom"/>
            <w:hideMark/>
          </w:tcPr>
          <w:p w14:paraId="1F37ABF7" w14:textId="77777777" w:rsidR="005D7828" w:rsidRDefault="005D7828" w:rsidP="005D7828">
            <w:pPr>
              <w:rPr>
                <w:sz w:val="22"/>
                <w:szCs w:val="22"/>
              </w:rPr>
            </w:pPr>
            <w:r>
              <w:rPr>
                <w:sz w:val="22"/>
                <w:szCs w:val="22"/>
              </w:rPr>
              <w:t> </w:t>
            </w:r>
          </w:p>
        </w:tc>
      </w:tr>
      <w:tr w:rsidR="005D7828" w14:paraId="0B622748"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0F42556B" w14:textId="77777777" w:rsidR="005D7828" w:rsidRDefault="005D7828" w:rsidP="005D7828">
            <w:pPr>
              <w:rPr>
                <w:sz w:val="22"/>
                <w:szCs w:val="22"/>
              </w:rPr>
            </w:pPr>
            <w:r>
              <w:rPr>
                <w:sz w:val="22"/>
                <w:szCs w:val="22"/>
              </w:rPr>
              <w:t> </w:t>
            </w:r>
          </w:p>
        </w:tc>
        <w:tc>
          <w:tcPr>
            <w:tcW w:w="2443" w:type="dxa"/>
            <w:tcBorders>
              <w:top w:val="nil"/>
              <w:left w:val="nil"/>
              <w:bottom w:val="nil"/>
              <w:right w:val="nil"/>
            </w:tcBorders>
            <w:shd w:val="clear" w:color="000000" w:fill="FFFFFF"/>
            <w:noWrap/>
            <w:vAlign w:val="bottom"/>
            <w:hideMark/>
          </w:tcPr>
          <w:p w14:paraId="7ED3ADC1" w14:textId="77777777" w:rsidR="005D7828" w:rsidRDefault="005D7828" w:rsidP="005D7828">
            <w:pPr>
              <w:rPr>
                <w:color w:val="000000"/>
                <w:sz w:val="22"/>
                <w:szCs w:val="22"/>
              </w:rPr>
            </w:pPr>
            <w:r>
              <w:rPr>
                <w:color w:val="000000"/>
                <w:sz w:val="22"/>
                <w:szCs w:val="22"/>
              </w:rPr>
              <w:t> </w:t>
            </w:r>
          </w:p>
        </w:tc>
        <w:tc>
          <w:tcPr>
            <w:tcW w:w="3093" w:type="dxa"/>
            <w:tcBorders>
              <w:top w:val="nil"/>
              <w:left w:val="nil"/>
              <w:bottom w:val="nil"/>
              <w:right w:val="nil"/>
            </w:tcBorders>
            <w:shd w:val="clear" w:color="000000" w:fill="FFFFFF"/>
            <w:noWrap/>
            <w:vAlign w:val="bottom"/>
            <w:hideMark/>
          </w:tcPr>
          <w:p w14:paraId="19BDB4AF" w14:textId="77777777" w:rsidR="005D7828" w:rsidRDefault="005D7828" w:rsidP="005D7828">
            <w:pPr>
              <w:rPr>
                <w:color w:val="000000"/>
                <w:sz w:val="22"/>
                <w:szCs w:val="22"/>
              </w:rPr>
            </w:pPr>
            <w:r>
              <w:rPr>
                <w:color w:val="000000"/>
                <w:sz w:val="22"/>
                <w:szCs w:val="22"/>
              </w:rPr>
              <w:t> </w:t>
            </w:r>
          </w:p>
        </w:tc>
        <w:tc>
          <w:tcPr>
            <w:tcW w:w="1476" w:type="dxa"/>
            <w:tcBorders>
              <w:top w:val="nil"/>
              <w:left w:val="nil"/>
              <w:bottom w:val="nil"/>
              <w:right w:val="nil"/>
            </w:tcBorders>
            <w:shd w:val="clear" w:color="000000" w:fill="FFFFFF"/>
            <w:noWrap/>
            <w:vAlign w:val="bottom"/>
            <w:hideMark/>
          </w:tcPr>
          <w:p w14:paraId="1DC962E3" w14:textId="77777777" w:rsidR="005D7828" w:rsidRDefault="005D7828" w:rsidP="005D7828">
            <w:pPr>
              <w:rPr>
                <w:b/>
                <w:bCs/>
                <w:sz w:val="22"/>
                <w:szCs w:val="22"/>
              </w:rPr>
            </w:pPr>
            <w:r>
              <w:rPr>
                <w:b/>
                <w:bCs/>
                <w:sz w:val="22"/>
                <w:szCs w:val="22"/>
              </w:rPr>
              <w:t> </w:t>
            </w:r>
          </w:p>
        </w:tc>
        <w:tc>
          <w:tcPr>
            <w:tcW w:w="1457" w:type="dxa"/>
            <w:tcBorders>
              <w:top w:val="nil"/>
              <w:left w:val="nil"/>
              <w:bottom w:val="nil"/>
              <w:right w:val="nil"/>
            </w:tcBorders>
            <w:shd w:val="clear" w:color="000000" w:fill="FFFFFF"/>
            <w:noWrap/>
            <w:vAlign w:val="bottom"/>
            <w:hideMark/>
          </w:tcPr>
          <w:p w14:paraId="51E3529D" w14:textId="77777777" w:rsidR="005D7828" w:rsidRDefault="005D7828" w:rsidP="005D7828">
            <w:pPr>
              <w:rPr>
                <w:b/>
                <w:bCs/>
                <w:sz w:val="22"/>
                <w:szCs w:val="22"/>
              </w:rPr>
            </w:pPr>
            <w:r>
              <w:rPr>
                <w:b/>
                <w:bCs/>
                <w:sz w:val="22"/>
                <w:szCs w:val="22"/>
              </w:rPr>
              <w:t> </w:t>
            </w:r>
          </w:p>
        </w:tc>
        <w:tc>
          <w:tcPr>
            <w:tcW w:w="1005" w:type="dxa"/>
            <w:tcBorders>
              <w:top w:val="nil"/>
              <w:left w:val="nil"/>
              <w:bottom w:val="nil"/>
              <w:right w:val="nil"/>
            </w:tcBorders>
            <w:shd w:val="clear" w:color="000000" w:fill="FFFFFF"/>
            <w:noWrap/>
            <w:vAlign w:val="bottom"/>
            <w:hideMark/>
          </w:tcPr>
          <w:p w14:paraId="18E53B10" w14:textId="77777777" w:rsidR="005D7828" w:rsidRDefault="005D7828" w:rsidP="005D7828">
            <w:pPr>
              <w:jc w:val="center"/>
              <w:rPr>
                <w:b/>
                <w:bCs/>
                <w:sz w:val="22"/>
                <w:szCs w:val="22"/>
                <w:u w:val="single"/>
              </w:rPr>
            </w:pPr>
            <w:r>
              <w:rPr>
                <w:b/>
                <w:bCs/>
                <w:sz w:val="22"/>
                <w:szCs w:val="22"/>
                <w:u w:val="single"/>
              </w:rPr>
              <w:t>LOW</w:t>
            </w:r>
          </w:p>
        </w:tc>
        <w:tc>
          <w:tcPr>
            <w:tcW w:w="1111" w:type="dxa"/>
            <w:tcBorders>
              <w:top w:val="nil"/>
              <w:left w:val="nil"/>
              <w:bottom w:val="nil"/>
              <w:right w:val="nil"/>
            </w:tcBorders>
            <w:shd w:val="clear" w:color="000000" w:fill="FFFFFF"/>
            <w:noWrap/>
            <w:vAlign w:val="bottom"/>
            <w:hideMark/>
          </w:tcPr>
          <w:p w14:paraId="2D17891D" w14:textId="77777777" w:rsidR="005D7828" w:rsidRDefault="005D7828" w:rsidP="005D7828">
            <w:pPr>
              <w:jc w:val="center"/>
              <w:rPr>
                <w:b/>
                <w:bCs/>
                <w:sz w:val="22"/>
                <w:szCs w:val="22"/>
                <w:u w:val="single"/>
              </w:rPr>
            </w:pPr>
            <w:r>
              <w:rPr>
                <w:b/>
                <w:bCs/>
                <w:sz w:val="22"/>
                <w:szCs w:val="22"/>
                <w:u w:val="single"/>
              </w:rPr>
              <w:t>HIGH</w:t>
            </w:r>
          </w:p>
        </w:tc>
        <w:tc>
          <w:tcPr>
            <w:tcW w:w="1246" w:type="dxa"/>
            <w:tcBorders>
              <w:top w:val="nil"/>
              <w:left w:val="nil"/>
              <w:bottom w:val="nil"/>
              <w:right w:val="nil"/>
            </w:tcBorders>
            <w:shd w:val="clear" w:color="000000" w:fill="FFFFFF"/>
            <w:noWrap/>
            <w:vAlign w:val="bottom"/>
            <w:hideMark/>
          </w:tcPr>
          <w:p w14:paraId="7AF3EF21" w14:textId="77777777" w:rsidR="005D7828" w:rsidRDefault="005D7828" w:rsidP="005D7828">
            <w:pPr>
              <w:rPr>
                <w:sz w:val="22"/>
                <w:szCs w:val="22"/>
              </w:rPr>
            </w:pPr>
            <w:r>
              <w:rPr>
                <w:sz w:val="22"/>
                <w:szCs w:val="22"/>
              </w:rPr>
              <w:t> </w:t>
            </w:r>
          </w:p>
        </w:tc>
        <w:tc>
          <w:tcPr>
            <w:tcW w:w="272" w:type="dxa"/>
            <w:tcBorders>
              <w:top w:val="nil"/>
              <w:left w:val="nil"/>
              <w:bottom w:val="nil"/>
              <w:right w:val="single" w:sz="4" w:space="0" w:color="auto"/>
            </w:tcBorders>
            <w:shd w:val="clear" w:color="000000" w:fill="FFFFFF"/>
            <w:noWrap/>
            <w:vAlign w:val="bottom"/>
            <w:hideMark/>
          </w:tcPr>
          <w:p w14:paraId="7B29BDC5" w14:textId="77777777" w:rsidR="005D7828" w:rsidRDefault="005D7828" w:rsidP="005D7828">
            <w:pPr>
              <w:rPr>
                <w:sz w:val="22"/>
                <w:szCs w:val="22"/>
              </w:rPr>
            </w:pPr>
            <w:r>
              <w:rPr>
                <w:sz w:val="22"/>
                <w:szCs w:val="22"/>
              </w:rPr>
              <w:t> </w:t>
            </w:r>
          </w:p>
        </w:tc>
      </w:tr>
      <w:tr w:rsidR="005D7828" w14:paraId="5AF82BC5"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4F899A3F" w14:textId="77777777" w:rsidR="005D7828" w:rsidRDefault="005D7828" w:rsidP="005D7828">
            <w:pPr>
              <w:rPr>
                <w:sz w:val="22"/>
                <w:szCs w:val="22"/>
              </w:rPr>
            </w:pPr>
            <w:r>
              <w:rPr>
                <w:sz w:val="22"/>
                <w:szCs w:val="22"/>
              </w:rPr>
              <w:t> </w:t>
            </w:r>
          </w:p>
        </w:tc>
        <w:tc>
          <w:tcPr>
            <w:tcW w:w="2443" w:type="dxa"/>
            <w:tcBorders>
              <w:top w:val="nil"/>
              <w:left w:val="nil"/>
              <w:bottom w:val="nil"/>
              <w:right w:val="nil"/>
            </w:tcBorders>
            <w:shd w:val="clear" w:color="000000" w:fill="FFFFFF"/>
            <w:noWrap/>
            <w:vAlign w:val="bottom"/>
            <w:hideMark/>
          </w:tcPr>
          <w:p w14:paraId="6CEF395A" w14:textId="77777777" w:rsidR="005D7828" w:rsidRDefault="005D7828" w:rsidP="005D7828">
            <w:pPr>
              <w:rPr>
                <w:color w:val="000000"/>
                <w:sz w:val="22"/>
                <w:szCs w:val="22"/>
              </w:rPr>
            </w:pPr>
            <w:r>
              <w:rPr>
                <w:color w:val="000000"/>
                <w:sz w:val="22"/>
                <w:szCs w:val="22"/>
              </w:rPr>
              <w:t> </w:t>
            </w:r>
          </w:p>
        </w:tc>
        <w:tc>
          <w:tcPr>
            <w:tcW w:w="4569" w:type="dxa"/>
            <w:gridSpan w:val="2"/>
            <w:tcBorders>
              <w:top w:val="nil"/>
              <w:left w:val="nil"/>
              <w:bottom w:val="nil"/>
              <w:right w:val="nil"/>
            </w:tcBorders>
            <w:shd w:val="clear" w:color="000000" w:fill="FFFFFF"/>
            <w:noWrap/>
            <w:vAlign w:val="bottom"/>
            <w:hideMark/>
          </w:tcPr>
          <w:p w14:paraId="30782310" w14:textId="77777777" w:rsidR="005D7828" w:rsidRPr="00DE1173" w:rsidRDefault="005D7828" w:rsidP="005D7828">
            <w:pPr>
              <w:rPr>
                <w:sz w:val="22"/>
                <w:szCs w:val="22"/>
              </w:rPr>
            </w:pPr>
            <w:r>
              <w:rPr>
                <w:sz w:val="22"/>
                <w:szCs w:val="22"/>
              </w:rPr>
              <w:t xml:space="preserve">   RETURN ON EQUITY</w:t>
            </w:r>
          </w:p>
        </w:tc>
        <w:tc>
          <w:tcPr>
            <w:tcW w:w="1457" w:type="dxa"/>
            <w:tcBorders>
              <w:top w:val="nil"/>
              <w:left w:val="nil"/>
              <w:bottom w:val="nil"/>
              <w:right w:val="nil"/>
            </w:tcBorders>
            <w:shd w:val="clear" w:color="000000" w:fill="FFFFFF"/>
            <w:noWrap/>
            <w:vAlign w:val="bottom"/>
            <w:hideMark/>
          </w:tcPr>
          <w:p w14:paraId="0BE5EFE9" w14:textId="77777777" w:rsidR="005D7828" w:rsidRDefault="005D7828" w:rsidP="005D7828">
            <w:pPr>
              <w:rPr>
                <w:color w:val="000000"/>
                <w:sz w:val="22"/>
                <w:szCs w:val="22"/>
              </w:rPr>
            </w:pPr>
            <w:r>
              <w:rPr>
                <w:color w:val="000000"/>
                <w:sz w:val="22"/>
                <w:szCs w:val="22"/>
              </w:rPr>
              <w:t> </w:t>
            </w:r>
          </w:p>
        </w:tc>
        <w:tc>
          <w:tcPr>
            <w:tcW w:w="1005" w:type="dxa"/>
            <w:tcBorders>
              <w:top w:val="nil"/>
              <w:left w:val="nil"/>
              <w:bottom w:val="nil"/>
              <w:right w:val="nil"/>
            </w:tcBorders>
            <w:shd w:val="clear" w:color="000000" w:fill="FFFFFF"/>
            <w:noWrap/>
            <w:vAlign w:val="bottom"/>
            <w:hideMark/>
          </w:tcPr>
          <w:p w14:paraId="0F3181FC" w14:textId="77777777" w:rsidR="005D7828" w:rsidRDefault="005D7828" w:rsidP="005D7828">
            <w:pPr>
              <w:jc w:val="right"/>
              <w:rPr>
                <w:sz w:val="22"/>
                <w:szCs w:val="22"/>
                <w:u w:val="double"/>
              </w:rPr>
            </w:pPr>
            <w:r>
              <w:rPr>
                <w:sz w:val="22"/>
                <w:szCs w:val="22"/>
                <w:u w:val="double"/>
              </w:rPr>
              <w:t>7.66%</w:t>
            </w:r>
          </w:p>
        </w:tc>
        <w:tc>
          <w:tcPr>
            <w:tcW w:w="1111" w:type="dxa"/>
            <w:tcBorders>
              <w:top w:val="nil"/>
              <w:left w:val="nil"/>
              <w:bottom w:val="nil"/>
              <w:right w:val="nil"/>
            </w:tcBorders>
            <w:shd w:val="clear" w:color="000000" w:fill="FFFFFF"/>
            <w:noWrap/>
            <w:vAlign w:val="bottom"/>
            <w:hideMark/>
          </w:tcPr>
          <w:p w14:paraId="795446D5" w14:textId="77777777" w:rsidR="005D7828" w:rsidRDefault="005D7828" w:rsidP="005D7828">
            <w:pPr>
              <w:jc w:val="right"/>
              <w:rPr>
                <w:sz w:val="22"/>
                <w:szCs w:val="22"/>
                <w:u w:val="double"/>
              </w:rPr>
            </w:pPr>
            <w:r>
              <w:rPr>
                <w:sz w:val="22"/>
                <w:szCs w:val="22"/>
                <w:u w:val="double"/>
              </w:rPr>
              <w:t>9.66%</w:t>
            </w:r>
          </w:p>
        </w:tc>
        <w:tc>
          <w:tcPr>
            <w:tcW w:w="1246" w:type="dxa"/>
            <w:tcBorders>
              <w:top w:val="nil"/>
              <w:left w:val="nil"/>
              <w:bottom w:val="nil"/>
              <w:right w:val="nil"/>
            </w:tcBorders>
            <w:shd w:val="clear" w:color="000000" w:fill="FFFFFF"/>
            <w:noWrap/>
            <w:vAlign w:val="bottom"/>
            <w:hideMark/>
          </w:tcPr>
          <w:p w14:paraId="312E529D" w14:textId="77777777" w:rsidR="005D7828" w:rsidRDefault="005D7828" w:rsidP="005D7828">
            <w:pPr>
              <w:rPr>
                <w:sz w:val="22"/>
                <w:szCs w:val="22"/>
              </w:rPr>
            </w:pPr>
            <w:r>
              <w:rPr>
                <w:sz w:val="22"/>
                <w:szCs w:val="22"/>
              </w:rPr>
              <w:t> </w:t>
            </w:r>
          </w:p>
        </w:tc>
        <w:tc>
          <w:tcPr>
            <w:tcW w:w="272" w:type="dxa"/>
            <w:tcBorders>
              <w:top w:val="nil"/>
              <w:left w:val="nil"/>
              <w:bottom w:val="nil"/>
              <w:right w:val="single" w:sz="4" w:space="0" w:color="auto"/>
            </w:tcBorders>
            <w:shd w:val="clear" w:color="000000" w:fill="FFFFFF"/>
            <w:noWrap/>
            <w:vAlign w:val="bottom"/>
            <w:hideMark/>
          </w:tcPr>
          <w:p w14:paraId="592426FA" w14:textId="77777777" w:rsidR="005D7828" w:rsidRDefault="005D7828" w:rsidP="005D7828">
            <w:pPr>
              <w:rPr>
                <w:sz w:val="22"/>
                <w:szCs w:val="22"/>
              </w:rPr>
            </w:pPr>
            <w:r>
              <w:rPr>
                <w:sz w:val="22"/>
                <w:szCs w:val="22"/>
              </w:rPr>
              <w:t> </w:t>
            </w:r>
          </w:p>
        </w:tc>
      </w:tr>
      <w:tr w:rsidR="005D7828" w14:paraId="55DE23EC"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7DB4146E" w14:textId="77777777" w:rsidR="005D7828" w:rsidRDefault="005D7828" w:rsidP="005D7828">
            <w:pPr>
              <w:rPr>
                <w:sz w:val="22"/>
                <w:szCs w:val="22"/>
              </w:rPr>
            </w:pPr>
            <w:r>
              <w:rPr>
                <w:sz w:val="22"/>
                <w:szCs w:val="22"/>
              </w:rPr>
              <w:t> </w:t>
            </w:r>
          </w:p>
        </w:tc>
        <w:tc>
          <w:tcPr>
            <w:tcW w:w="2443" w:type="dxa"/>
            <w:tcBorders>
              <w:top w:val="nil"/>
              <w:left w:val="nil"/>
              <w:bottom w:val="nil"/>
              <w:right w:val="nil"/>
            </w:tcBorders>
            <w:shd w:val="clear" w:color="000000" w:fill="FFFFFF"/>
            <w:noWrap/>
            <w:vAlign w:val="bottom"/>
            <w:hideMark/>
          </w:tcPr>
          <w:p w14:paraId="0080C76F" w14:textId="77777777" w:rsidR="005D7828" w:rsidRDefault="005D7828" w:rsidP="005D7828">
            <w:pPr>
              <w:rPr>
                <w:color w:val="000000"/>
                <w:sz w:val="22"/>
                <w:szCs w:val="22"/>
              </w:rPr>
            </w:pPr>
            <w:r>
              <w:rPr>
                <w:color w:val="000000"/>
                <w:sz w:val="22"/>
                <w:szCs w:val="22"/>
              </w:rPr>
              <w:t> </w:t>
            </w:r>
          </w:p>
        </w:tc>
        <w:tc>
          <w:tcPr>
            <w:tcW w:w="4569" w:type="dxa"/>
            <w:gridSpan w:val="2"/>
            <w:tcBorders>
              <w:top w:val="nil"/>
              <w:left w:val="nil"/>
              <w:bottom w:val="nil"/>
              <w:right w:val="nil"/>
            </w:tcBorders>
            <w:shd w:val="clear" w:color="000000" w:fill="FFFFFF"/>
            <w:noWrap/>
            <w:vAlign w:val="bottom"/>
            <w:hideMark/>
          </w:tcPr>
          <w:p w14:paraId="676FB062" w14:textId="77777777" w:rsidR="005D7828" w:rsidRDefault="005D7828" w:rsidP="005D7828">
            <w:pPr>
              <w:rPr>
                <w:rFonts w:ascii="Courier New" w:hAnsi="Courier New" w:cs="Courier New"/>
                <w:color w:val="000000"/>
                <w:sz w:val="20"/>
                <w:szCs w:val="20"/>
              </w:rPr>
            </w:pPr>
            <w:r>
              <w:rPr>
                <w:sz w:val="22"/>
                <w:szCs w:val="22"/>
              </w:rPr>
              <w:t xml:space="preserve">   OVERALL RATE OF RETURN</w:t>
            </w:r>
            <w:r>
              <w:rPr>
                <w:rFonts w:ascii="Courier New" w:hAnsi="Courier New" w:cs="Courier New"/>
                <w:color w:val="000000"/>
                <w:sz w:val="20"/>
                <w:szCs w:val="20"/>
              </w:rPr>
              <w:t> </w:t>
            </w:r>
          </w:p>
        </w:tc>
        <w:tc>
          <w:tcPr>
            <w:tcW w:w="1457" w:type="dxa"/>
            <w:tcBorders>
              <w:top w:val="nil"/>
              <w:left w:val="nil"/>
              <w:bottom w:val="nil"/>
              <w:right w:val="nil"/>
            </w:tcBorders>
            <w:shd w:val="clear" w:color="000000" w:fill="FFFFFF"/>
            <w:noWrap/>
            <w:vAlign w:val="bottom"/>
            <w:hideMark/>
          </w:tcPr>
          <w:p w14:paraId="42CE8F3F" w14:textId="77777777" w:rsidR="005D7828" w:rsidRDefault="005D7828" w:rsidP="005D7828">
            <w:pPr>
              <w:rPr>
                <w:color w:val="000000"/>
                <w:sz w:val="22"/>
                <w:szCs w:val="22"/>
              </w:rPr>
            </w:pPr>
            <w:r>
              <w:rPr>
                <w:color w:val="000000"/>
                <w:sz w:val="22"/>
                <w:szCs w:val="22"/>
              </w:rPr>
              <w:t> </w:t>
            </w:r>
          </w:p>
        </w:tc>
        <w:tc>
          <w:tcPr>
            <w:tcW w:w="1005" w:type="dxa"/>
            <w:tcBorders>
              <w:top w:val="nil"/>
              <w:left w:val="nil"/>
              <w:bottom w:val="nil"/>
              <w:right w:val="nil"/>
            </w:tcBorders>
            <w:shd w:val="clear" w:color="000000" w:fill="FFFFFF"/>
            <w:noWrap/>
            <w:vAlign w:val="bottom"/>
            <w:hideMark/>
          </w:tcPr>
          <w:p w14:paraId="095A3B8E" w14:textId="77777777" w:rsidR="005D7828" w:rsidRDefault="005D7828" w:rsidP="005D7828">
            <w:pPr>
              <w:jc w:val="right"/>
              <w:rPr>
                <w:sz w:val="22"/>
                <w:szCs w:val="22"/>
                <w:u w:val="double"/>
              </w:rPr>
            </w:pPr>
            <w:r>
              <w:rPr>
                <w:sz w:val="22"/>
                <w:szCs w:val="22"/>
                <w:u w:val="double"/>
              </w:rPr>
              <w:t>7.63%</w:t>
            </w:r>
          </w:p>
        </w:tc>
        <w:tc>
          <w:tcPr>
            <w:tcW w:w="1111" w:type="dxa"/>
            <w:tcBorders>
              <w:top w:val="nil"/>
              <w:left w:val="nil"/>
              <w:bottom w:val="nil"/>
              <w:right w:val="nil"/>
            </w:tcBorders>
            <w:shd w:val="clear" w:color="000000" w:fill="FFFFFF"/>
            <w:noWrap/>
            <w:vAlign w:val="bottom"/>
            <w:hideMark/>
          </w:tcPr>
          <w:p w14:paraId="65AB7DFE" w14:textId="77777777" w:rsidR="005D7828" w:rsidRDefault="005D7828" w:rsidP="005D7828">
            <w:pPr>
              <w:jc w:val="right"/>
              <w:rPr>
                <w:sz w:val="22"/>
                <w:szCs w:val="22"/>
                <w:u w:val="double"/>
              </w:rPr>
            </w:pPr>
            <w:r>
              <w:rPr>
                <w:sz w:val="22"/>
                <w:szCs w:val="22"/>
                <w:u w:val="double"/>
              </w:rPr>
              <w:t>9.62%</w:t>
            </w:r>
          </w:p>
        </w:tc>
        <w:tc>
          <w:tcPr>
            <w:tcW w:w="1246" w:type="dxa"/>
            <w:tcBorders>
              <w:top w:val="nil"/>
              <w:left w:val="nil"/>
              <w:bottom w:val="nil"/>
              <w:right w:val="nil"/>
            </w:tcBorders>
            <w:shd w:val="clear" w:color="000000" w:fill="FFFFFF"/>
            <w:noWrap/>
            <w:vAlign w:val="bottom"/>
            <w:hideMark/>
          </w:tcPr>
          <w:p w14:paraId="7F0D5715" w14:textId="77777777" w:rsidR="005D7828" w:rsidRDefault="005D7828" w:rsidP="005D7828">
            <w:pPr>
              <w:rPr>
                <w:sz w:val="22"/>
                <w:szCs w:val="22"/>
              </w:rPr>
            </w:pPr>
            <w:r>
              <w:rPr>
                <w:sz w:val="22"/>
                <w:szCs w:val="22"/>
              </w:rPr>
              <w:t> </w:t>
            </w:r>
          </w:p>
        </w:tc>
        <w:tc>
          <w:tcPr>
            <w:tcW w:w="272" w:type="dxa"/>
            <w:tcBorders>
              <w:top w:val="nil"/>
              <w:left w:val="nil"/>
              <w:bottom w:val="nil"/>
              <w:right w:val="single" w:sz="4" w:space="0" w:color="auto"/>
            </w:tcBorders>
            <w:shd w:val="clear" w:color="000000" w:fill="FFFFFF"/>
            <w:noWrap/>
            <w:vAlign w:val="bottom"/>
            <w:hideMark/>
          </w:tcPr>
          <w:p w14:paraId="3DD2AA5A" w14:textId="77777777" w:rsidR="005D7828" w:rsidRDefault="005D7828" w:rsidP="005D7828">
            <w:pPr>
              <w:rPr>
                <w:sz w:val="22"/>
                <w:szCs w:val="22"/>
              </w:rPr>
            </w:pPr>
            <w:r>
              <w:rPr>
                <w:sz w:val="22"/>
                <w:szCs w:val="22"/>
              </w:rPr>
              <w:t> </w:t>
            </w:r>
          </w:p>
        </w:tc>
      </w:tr>
      <w:tr w:rsidR="005D7828" w14:paraId="304CB742" w14:textId="77777777" w:rsidTr="005D7828">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14:paraId="4614FDC9" w14:textId="77777777" w:rsidR="005D7828" w:rsidRDefault="005D7828" w:rsidP="005D7828">
            <w:pPr>
              <w:rPr>
                <w:sz w:val="22"/>
                <w:szCs w:val="22"/>
              </w:rPr>
            </w:pPr>
            <w:r>
              <w:rPr>
                <w:sz w:val="22"/>
                <w:szCs w:val="22"/>
              </w:rPr>
              <w:t> </w:t>
            </w:r>
          </w:p>
        </w:tc>
        <w:tc>
          <w:tcPr>
            <w:tcW w:w="2443" w:type="dxa"/>
            <w:tcBorders>
              <w:top w:val="nil"/>
              <w:left w:val="nil"/>
              <w:bottom w:val="single" w:sz="4" w:space="0" w:color="auto"/>
              <w:right w:val="nil"/>
            </w:tcBorders>
            <w:shd w:val="clear" w:color="000000" w:fill="FFFFFF"/>
            <w:noWrap/>
            <w:vAlign w:val="bottom"/>
            <w:hideMark/>
          </w:tcPr>
          <w:p w14:paraId="2E58D4D3" w14:textId="77777777" w:rsidR="005D7828" w:rsidRDefault="005D7828" w:rsidP="005D7828">
            <w:pPr>
              <w:rPr>
                <w:sz w:val="22"/>
                <w:szCs w:val="22"/>
              </w:rPr>
            </w:pPr>
            <w:r>
              <w:rPr>
                <w:sz w:val="22"/>
                <w:szCs w:val="22"/>
              </w:rPr>
              <w:t> </w:t>
            </w:r>
          </w:p>
        </w:tc>
        <w:tc>
          <w:tcPr>
            <w:tcW w:w="3093" w:type="dxa"/>
            <w:tcBorders>
              <w:top w:val="nil"/>
              <w:left w:val="nil"/>
              <w:bottom w:val="single" w:sz="4" w:space="0" w:color="auto"/>
              <w:right w:val="nil"/>
            </w:tcBorders>
            <w:shd w:val="clear" w:color="000000" w:fill="FFFFFF"/>
            <w:noWrap/>
            <w:vAlign w:val="bottom"/>
            <w:hideMark/>
          </w:tcPr>
          <w:p w14:paraId="20E95D19" w14:textId="77777777" w:rsidR="005D7828" w:rsidRDefault="005D7828" w:rsidP="005D7828">
            <w:pPr>
              <w:rPr>
                <w:sz w:val="22"/>
                <w:szCs w:val="22"/>
              </w:rPr>
            </w:pPr>
            <w:r>
              <w:rPr>
                <w:sz w:val="22"/>
                <w:szCs w:val="22"/>
              </w:rPr>
              <w:t> </w:t>
            </w:r>
          </w:p>
        </w:tc>
        <w:tc>
          <w:tcPr>
            <w:tcW w:w="1476" w:type="dxa"/>
            <w:tcBorders>
              <w:top w:val="nil"/>
              <w:left w:val="nil"/>
              <w:bottom w:val="single" w:sz="4" w:space="0" w:color="auto"/>
              <w:right w:val="nil"/>
            </w:tcBorders>
            <w:shd w:val="clear" w:color="000000" w:fill="FFFFFF"/>
            <w:noWrap/>
            <w:vAlign w:val="bottom"/>
            <w:hideMark/>
          </w:tcPr>
          <w:p w14:paraId="33A555A2" w14:textId="77777777" w:rsidR="005D7828" w:rsidRDefault="005D7828" w:rsidP="005D7828">
            <w:pPr>
              <w:rPr>
                <w:sz w:val="22"/>
                <w:szCs w:val="22"/>
              </w:rPr>
            </w:pPr>
            <w:r>
              <w:rPr>
                <w:sz w:val="22"/>
                <w:szCs w:val="22"/>
              </w:rPr>
              <w:t> </w:t>
            </w:r>
          </w:p>
        </w:tc>
        <w:tc>
          <w:tcPr>
            <w:tcW w:w="1457" w:type="dxa"/>
            <w:tcBorders>
              <w:top w:val="nil"/>
              <w:left w:val="nil"/>
              <w:bottom w:val="single" w:sz="4" w:space="0" w:color="auto"/>
              <w:right w:val="nil"/>
            </w:tcBorders>
            <w:shd w:val="clear" w:color="000000" w:fill="FFFFFF"/>
            <w:noWrap/>
            <w:vAlign w:val="bottom"/>
            <w:hideMark/>
          </w:tcPr>
          <w:p w14:paraId="68D3019D" w14:textId="77777777" w:rsidR="005D7828" w:rsidRDefault="005D7828" w:rsidP="005D7828">
            <w:pPr>
              <w:rPr>
                <w:sz w:val="22"/>
                <w:szCs w:val="22"/>
              </w:rPr>
            </w:pPr>
            <w:r>
              <w:rPr>
                <w:sz w:val="22"/>
                <w:szCs w:val="22"/>
              </w:rPr>
              <w:t> </w:t>
            </w:r>
          </w:p>
        </w:tc>
        <w:tc>
          <w:tcPr>
            <w:tcW w:w="1005" w:type="dxa"/>
            <w:tcBorders>
              <w:top w:val="nil"/>
              <w:left w:val="nil"/>
              <w:bottom w:val="single" w:sz="4" w:space="0" w:color="auto"/>
              <w:right w:val="nil"/>
            </w:tcBorders>
            <w:shd w:val="clear" w:color="000000" w:fill="FFFFFF"/>
            <w:noWrap/>
            <w:vAlign w:val="bottom"/>
            <w:hideMark/>
          </w:tcPr>
          <w:p w14:paraId="01F1D51B" w14:textId="77777777" w:rsidR="005D7828" w:rsidRDefault="005D7828" w:rsidP="005D7828">
            <w:pPr>
              <w:rPr>
                <w:sz w:val="22"/>
                <w:szCs w:val="22"/>
              </w:rPr>
            </w:pPr>
            <w:r>
              <w:rPr>
                <w:sz w:val="22"/>
                <w:szCs w:val="22"/>
              </w:rPr>
              <w:t> </w:t>
            </w:r>
          </w:p>
        </w:tc>
        <w:tc>
          <w:tcPr>
            <w:tcW w:w="1111" w:type="dxa"/>
            <w:tcBorders>
              <w:top w:val="nil"/>
              <w:left w:val="nil"/>
              <w:bottom w:val="single" w:sz="4" w:space="0" w:color="auto"/>
              <w:right w:val="nil"/>
            </w:tcBorders>
            <w:shd w:val="clear" w:color="000000" w:fill="FFFFFF"/>
            <w:noWrap/>
            <w:vAlign w:val="bottom"/>
            <w:hideMark/>
          </w:tcPr>
          <w:p w14:paraId="358923F5" w14:textId="77777777" w:rsidR="005D7828" w:rsidRDefault="005D7828" w:rsidP="005D7828">
            <w:pPr>
              <w:rPr>
                <w:sz w:val="22"/>
                <w:szCs w:val="22"/>
              </w:rPr>
            </w:pPr>
            <w:r>
              <w:rPr>
                <w:sz w:val="22"/>
                <w:szCs w:val="22"/>
              </w:rPr>
              <w:t> </w:t>
            </w:r>
          </w:p>
        </w:tc>
        <w:tc>
          <w:tcPr>
            <w:tcW w:w="1246" w:type="dxa"/>
            <w:tcBorders>
              <w:top w:val="nil"/>
              <w:left w:val="nil"/>
              <w:bottom w:val="single" w:sz="4" w:space="0" w:color="auto"/>
              <w:right w:val="nil"/>
            </w:tcBorders>
            <w:shd w:val="clear" w:color="000000" w:fill="FFFFFF"/>
            <w:noWrap/>
            <w:vAlign w:val="bottom"/>
            <w:hideMark/>
          </w:tcPr>
          <w:p w14:paraId="69353BDB" w14:textId="77777777" w:rsidR="005D7828" w:rsidRDefault="005D7828" w:rsidP="005D7828">
            <w:pPr>
              <w:rPr>
                <w:sz w:val="22"/>
                <w:szCs w:val="22"/>
              </w:rPr>
            </w:pPr>
            <w:r>
              <w:rPr>
                <w:sz w:val="22"/>
                <w:szCs w:val="22"/>
              </w:rPr>
              <w:t> </w:t>
            </w:r>
          </w:p>
        </w:tc>
        <w:tc>
          <w:tcPr>
            <w:tcW w:w="272" w:type="dxa"/>
            <w:tcBorders>
              <w:top w:val="nil"/>
              <w:left w:val="nil"/>
              <w:bottom w:val="single" w:sz="4" w:space="0" w:color="auto"/>
              <w:right w:val="single" w:sz="4" w:space="0" w:color="auto"/>
            </w:tcBorders>
            <w:shd w:val="clear" w:color="000000" w:fill="FFFFFF"/>
            <w:noWrap/>
            <w:vAlign w:val="bottom"/>
            <w:hideMark/>
          </w:tcPr>
          <w:p w14:paraId="3A4626D6" w14:textId="77777777" w:rsidR="005D7828" w:rsidRDefault="005D7828" w:rsidP="005D7828">
            <w:pPr>
              <w:rPr>
                <w:sz w:val="22"/>
                <w:szCs w:val="22"/>
              </w:rPr>
            </w:pPr>
            <w:r>
              <w:rPr>
                <w:sz w:val="22"/>
                <w:szCs w:val="22"/>
              </w:rPr>
              <w:t> </w:t>
            </w:r>
          </w:p>
        </w:tc>
      </w:tr>
    </w:tbl>
    <w:p w14:paraId="0A1F3ED0" w14:textId="77777777" w:rsidR="005D7828" w:rsidRDefault="005D7828" w:rsidP="009054ED">
      <w:pPr>
        <w:pStyle w:val="BodyText"/>
        <w:sectPr w:rsidR="005D7828" w:rsidSect="005D7828">
          <w:headerReference w:type="default" r:id="rId17"/>
          <w:pgSz w:w="15840" w:h="12240" w:orient="landscape"/>
          <w:pgMar w:top="1440" w:right="1440" w:bottom="1440" w:left="1440" w:header="720" w:footer="720" w:gutter="0"/>
          <w:cols w:space="720"/>
          <w:docGrid w:linePitch="360"/>
        </w:sectPr>
      </w:pPr>
    </w:p>
    <w:p w14:paraId="6BB97140" w14:textId="77777777" w:rsidR="005D7828" w:rsidRDefault="005D7828" w:rsidP="005D7828">
      <w:pPr>
        <w:pStyle w:val="BodyText"/>
      </w:pPr>
    </w:p>
    <w:tbl>
      <w:tblPr>
        <w:tblW w:w="10719" w:type="dxa"/>
        <w:jc w:val="center"/>
        <w:tblLook w:val="04A0" w:firstRow="1" w:lastRow="0" w:firstColumn="1" w:lastColumn="0" w:noHBand="0" w:noVBand="1"/>
      </w:tblPr>
      <w:tblGrid>
        <w:gridCol w:w="436"/>
        <w:gridCol w:w="2764"/>
        <w:gridCol w:w="1235"/>
        <w:gridCol w:w="1476"/>
        <w:gridCol w:w="1476"/>
        <w:gridCol w:w="1370"/>
        <w:gridCol w:w="1628"/>
        <w:gridCol w:w="334"/>
      </w:tblGrid>
      <w:tr w:rsidR="005D7828" w14:paraId="67465CE6" w14:textId="77777777" w:rsidTr="005D7828">
        <w:trPr>
          <w:trHeight w:val="300"/>
          <w:jc w:val="center"/>
        </w:trPr>
        <w:tc>
          <w:tcPr>
            <w:tcW w:w="5911" w:type="dxa"/>
            <w:gridSpan w:val="4"/>
            <w:tcBorders>
              <w:top w:val="single" w:sz="4" w:space="0" w:color="auto"/>
              <w:left w:val="single" w:sz="4" w:space="0" w:color="auto"/>
              <w:bottom w:val="nil"/>
              <w:right w:val="nil"/>
            </w:tcBorders>
            <w:shd w:val="clear" w:color="000000" w:fill="FFFFFF"/>
            <w:noWrap/>
            <w:vAlign w:val="bottom"/>
            <w:hideMark/>
          </w:tcPr>
          <w:p w14:paraId="443A8D3A" w14:textId="2F32A4D6" w:rsidR="005D7828" w:rsidRPr="00993F71" w:rsidRDefault="005D7828" w:rsidP="005D7828">
            <w:pPr>
              <w:rPr>
                <w:rFonts w:ascii="Arial" w:hAnsi="Arial" w:cs="Arial"/>
                <w:b/>
                <w:bCs/>
              </w:rPr>
            </w:pPr>
            <w:bookmarkStart w:id="25" w:name="RANGE!A5:I32"/>
            <w:r>
              <w:rPr>
                <w:rFonts w:ascii="Arial" w:hAnsi="Arial" w:cs="Arial"/>
                <w:b/>
                <w:bCs/>
              </w:rPr>
              <w:t>Environmental Utilities, LLC</w:t>
            </w:r>
            <w:bookmarkEnd w:id="25"/>
          </w:p>
        </w:tc>
        <w:tc>
          <w:tcPr>
            <w:tcW w:w="1476" w:type="dxa"/>
            <w:tcBorders>
              <w:top w:val="single" w:sz="4" w:space="0" w:color="auto"/>
              <w:left w:val="nil"/>
              <w:bottom w:val="nil"/>
              <w:right w:val="nil"/>
            </w:tcBorders>
            <w:shd w:val="clear" w:color="000000" w:fill="FFFFFF"/>
            <w:noWrap/>
            <w:vAlign w:val="bottom"/>
            <w:hideMark/>
          </w:tcPr>
          <w:p w14:paraId="1548AFFB" w14:textId="77777777" w:rsidR="005D7828" w:rsidRDefault="005D7828" w:rsidP="005D7828">
            <w:pPr>
              <w:rPr>
                <w:rFonts w:ascii="SWISS" w:hAnsi="SWISS" w:cs="Arial"/>
                <w:b/>
                <w:bCs/>
              </w:rPr>
            </w:pPr>
            <w:r>
              <w:rPr>
                <w:rFonts w:ascii="SWISS" w:hAnsi="SWISS" w:cs="Arial"/>
                <w:b/>
                <w:bCs/>
              </w:rPr>
              <w:t> </w:t>
            </w:r>
          </w:p>
        </w:tc>
        <w:tc>
          <w:tcPr>
            <w:tcW w:w="3332" w:type="dxa"/>
            <w:gridSpan w:val="3"/>
            <w:tcBorders>
              <w:top w:val="single" w:sz="4" w:space="0" w:color="auto"/>
              <w:left w:val="nil"/>
              <w:bottom w:val="nil"/>
              <w:right w:val="single" w:sz="4" w:space="0" w:color="000000"/>
            </w:tcBorders>
            <w:shd w:val="clear" w:color="000000" w:fill="FFFFFF"/>
            <w:noWrap/>
            <w:vAlign w:val="bottom"/>
            <w:hideMark/>
          </w:tcPr>
          <w:p w14:paraId="2093F5B8" w14:textId="77777777" w:rsidR="005D7828" w:rsidRDefault="005D7828" w:rsidP="005D7828">
            <w:pPr>
              <w:jc w:val="right"/>
              <w:rPr>
                <w:rFonts w:ascii="Arial" w:hAnsi="Arial" w:cs="Arial"/>
                <w:b/>
                <w:bCs/>
              </w:rPr>
            </w:pPr>
            <w:r>
              <w:rPr>
                <w:rFonts w:ascii="Arial" w:hAnsi="Arial" w:cs="Arial"/>
                <w:b/>
                <w:bCs/>
              </w:rPr>
              <w:t>Schedule No. 3-A</w:t>
            </w:r>
          </w:p>
        </w:tc>
      </w:tr>
      <w:tr w:rsidR="005D7828" w14:paraId="6F98D0E9" w14:textId="77777777" w:rsidTr="005D7828">
        <w:trPr>
          <w:trHeight w:val="300"/>
          <w:jc w:val="center"/>
        </w:trPr>
        <w:tc>
          <w:tcPr>
            <w:tcW w:w="5911" w:type="dxa"/>
            <w:gridSpan w:val="4"/>
            <w:tcBorders>
              <w:top w:val="nil"/>
              <w:left w:val="single" w:sz="4" w:space="0" w:color="auto"/>
              <w:bottom w:val="nil"/>
              <w:right w:val="nil"/>
            </w:tcBorders>
            <w:shd w:val="clear" w:color="000000" w:fill="FFFFFF"/>
            <w:noWrap/>
            <w:vAlign w:val="bottom"/>
            <w:hideMark/>
          </w:tcPr>
          <w:p w14:paraId="1166C138" w14:textId="77777777" w:rsidR="005D7828" w:rsidRPr="00993F71" w:rsidRDefault="005D7828" w:rsidP="005D7828">
            <w:pPr>
              <w:rPr>
                <w:rFonts w:ascii="Arial" w:hAnsi="Arial" w:cs="Arial"/>
                <w:b/>
                <w:bCs/>
              </w:rPr>
            </w:pPr>
            <w:r>
              <w:rPr>
                <w:rFonts w:ascii="Arial" w:hAnsi="Arial" w:cs="Arial"/>
                <w:b/>
                <w:bCs/>
              </w:rPr>
              <w:t>Statement of Wastewater Operations</w:t>
            </w:r>
          </w:p>
        </w:tc>
        <w:tc>
          <w:tcPr>
            <w:tcW w:w="1476" w:type="dxa"/>
            <w:tcBorders>
              <w:top w:val="nil"/>
              <w:left w:val="nil"/>
              <w:bottom w:val="nil"/>
              <w:right w:val="nil"/>
            </w:tcBorders>
            <w:shd w:val="clear" w:color="000000" w:fill="FFFFFF"/>
            <w:noWrap/>
            <w:vAlign w:val="bottom"/>
            <w:hideMark/>
          </w:tcPr>
          <w:p w14:paraId="2E0F36C5" w14:textId="77777777" w:rsidR="005D7828" w:rsidRDefault="005D7828" w:rsidP="005D7828">
            <w:pPr>
              <w:rPr>
                <w:rFonts w:ascii="SWISS" w:hAnsi="SWISS" w:cs="Arial"/>
                <w:b/>
                <w:bCs/>
              </w:rPr>
            </w:pPr>
            <w:r>
              <w:rPr>
                <w:rFonts w:ascii="SWISS" w:hAnsi="SWISS" w:cs="Arial"/>
                <w:b/>
                <w:bCs/>
              </w:rPr>
              <w:t> </w:t>
            </w:r>
          </w:p>
        </w:tc>
        <w:tc>
          <w:tcPr>
            <w:tcW w:w="3332" w:type="dxa"/>
            <w:gridSpan w:val="3"/>
            <w:tcBorders>
              <w:top w:val="nil"/>
              <w:left w:val="nil"/>
              <w:bottom w:val="nil"/>
              <w:right w:val="single" w:sz="4" w:space="0" w:color="000000"/>
            </w:tcBorders>
            <w:shd w:val="clear" w:color="000000" w:fill="FFFFFF"/>
            <w:noWrap/>
            <w:vAlign w:val="bottom"/>
            <w:hideMark/>
          </w:tcPr>
          <w:p w14:paraId="18B4EA9A" w14:textId="77777777" w:rsidR="005D7828" w:rsidRDefault="005D7828" w:rsidP="005D7828">
            <w:pPr>
              <w:jc w:val="right"/>
              <w:rPr>
                <w:rFonts w:ascii="Arial" w:hAnsi="Arial" w:cs="Arial"/>
                <w:b/>
                <w:bCs/>
              </w:rPr>
            </w:pPr>
            <w:r>
              <w:rPr>
                <w:rFonts w:ascii="Arial" w:hAnsi="Arial" w:cs="Arial"/>
                <w:b/>
                <w:bCs/>
              </w:rPr>
              <w:t>20240032-SU</w:t>
            </w:r>
          </w:p>
        </w:tc>
      </w:tr>
      <w:tr w:rsidR="005D7828" w14:paraId="0C8D1964" w14:textId="77777777" w:rsidTr="005D7828">
        <w:trPr>
          <w:trHeight w:val="300"/>
          <w:jc w:val="center"/>
        </w:trPr>
        <w:tc>
          <w:tcPr>
            <w:tcW w:w="4435" w:type="dxa"/>
            <w:gridSpan w:val="3"/>
            <w:tcBorders>
              <w:top w:val="nil"/>
              <w:left w:val="single" w:sz="4" w:space="0" w:color="auto"/>
              <w:bottom w:val="single" w:sz="4" w:space="0" w:color="auto"/>
              <w:right w:val="nil"/>
            </w:tcBorders>
            <w:shd w:val="clear" w:color="auto" w:fill="auto"/>
            <w:noWrap/>
            <w:vAlign w:val="bottom"/>
            <w:hideMark/>
          </w:tcPr>
          <w:p w14:paraId="549378F9" w14:textId="77777777" w:rsidR="005D7828" w:rsidRPr="00993F71" w:rsidRDefault="005D7828" w:rsidP="005D7828">
            <w:pPr>
              <w:rPr>
                <w:rFonts w:ascii="Arial" w:hAnsi="Arial" w:cs="Arial"/>
                <w:b/>
                <w:bCs/>
              </w:rPr>
            </w:pPr>
            <w:r>
              <w:rPr>
                <w:rFonts w:ascii="Arial" w:hAnsi="Arial" w:cs="Arial"/>
                <w:b/>
                <w:bCs/>
              </w:rPr>
              <w:t>80% of Design Capacity</w:t>
            </w:r>
          </w:p>
        </w:tc>
        <w:tc>
          <w:tcPr>
            <w:tcW w:w="1476" w:type="dxa"/>
            <w:tcBorders>
              <w:top w:val="nil"/>
              <w:left w:val="nil"/>
              <w:bottom w:val="single" w:sz="4" w:space="0" w:color="auto"/>
              <w:right w:val="nil"/>
            </w:tcBorders>
            <w:shd w:val="clear" w:color="000000" w:fill="FFFFFF"/>
            <w:noWrap/>
            <w:vAlign w:val="bottom"/>
            <w:hideMark/>
          </w:tcPr>
          <w:p w14:paraId="3894CBE3" w14:textId="77777777" w:rsidR="005D7828" w:rsidRDefault="005D7828" w:rsidP="005D7828">
            <w:pPr>
              <w:rPr>
                <w:rFonts w:ascii="SWISS" w:hAnsi="SWISS" w:cs="Arial"/>
                <w:b/>
                <w:bCs/>
              </w:rPr>
            </w:pPr>
            <w:r>
              <w:rPr>
                <w:rFonts w:ascii="SWISS" w:hAnsi="SWISS" w:cs="Arial"/>
                <w:b/>
                <w:bCs/>
              </w:rPr>
              <w:t> </w:t>
            </w:r>
          </w:p>
        </w:tc>
        <w:tc>
          <w:tcPr>
            <w:tcW w:w="1476" w:type="dxa"/>
            <w:tcBorders>
              <w:top w:val="nil"/>
              <w:left w:val="nil"/>
              <w:bottom w:val="single" w:sz="4" w:space="0" w:color="auto"/>
              <w:right w:val="nil"/>
            </w:tcBorders>
            <w:shd w:val="clear" w:color="000000" w:fill="FFFFFF"/>
            <w:noWrap/>
            <w:vAlign w:val="bottom"/>
            <w:hideMark/>
          </w:tcPr>
          <w:p w14:paraId="3F5E9EBA" w14:textId="77777777" w:rsidR="005D7828" w:rsidRDefault="005D7828" w:rsidP="005D7828">
            <w:pPr>
              <w:rPr>
                <w:rFonts w:ascii="SWISS" w:hAnsi="SWISS" w:cs="Arial"/>
                <w:b/>
                <w:bCs/>
              </w:rPr>
            </w:pPr>
            <w:r>
              <w:rPr>
                <w:rFonts w:ascii="SWISS" w:hAnsi="SWISS" w:cs="Arial"/>
                <w:b/>
                <w:bCs/>
              </w:rPr>
              <w:t> </w:t>
            </w:r>
          </w:p>
        </w:tc>
        <w:tc>
          <w:tcPr>
            <w:tcW w:w="1370" w:type="dxa"/>
            <w:tcBorders>
              <w:top w:val="nil"/>
              <w:left w:val="nil"/>
              <w:bottom w:val="single" w:sz="4" w:space="0" w:color="auto"/>
              <w:right w:val="nil"/>
            </w:tcBorders>
            <w:shd w:val="clear" w:color="000000" w:fill="FFFFFF"/>
            <w:noWrap/>
            <w:vAlign w:val="bottom"/>
            <w:hideMark/>
          </w:tcPr>
          <w:p w14:paraId="2BFC288D" w14:textId="77777777" w:rsidR="005D7828" w:rsidRDefault="005D7828" w:rsidP="005D7828">
            <w:pPr>
              <w:rPr>
                <w:rFonts w:ascii="SWISS" w:hAnsi="SWISS" w:cs="Arial"/>
                <w:b/>
                <w:bCs/>
              </w:rPr>
            </w:pPr>
            <w:r>
              <w:rPr>
                <w:rFonts w:ascii="SWISS" w:hAnsi="SWISS" w:cs="Arial"/>
                <w:b/>
                <w:bCs/>
              </w:rPr>
              <w:t> </w:t>
            </w:r>
          </w:p>
        </w:tc>
        <w:tc>
          <w:tcPr>
            <w:tcW w:w="1628" w:type="dxa"/>
            <w:tcBorders>
              <w:top w:val="nil"/>
              <w:left w:val="nil"/>
              <w:bottom w:val="single" w:sz="4" w:space="0" w:color="auto"/>
              <w:right w:val="nil"/>
            </w:tcBorders>
            <w:shd w:val="clear" w:color="000000" w:fill="FFFFFF"/>
            <w:noWrap/>
            <w:vAlign w:val="bottom"/>
            <w:hideMark/>
          </w:tcPr>
          <w:p w14:paraId="03AC810B" w14:textId="77777777" w:rsidR="005D7828" w:rsidRDefault="005D7828" w:rsidP="005D7828">
            <w:pPr>
              <w:rPr>
                <w:rFonts w:ascii="SWISS" w:hAnsi="SWISS" w:cs="Arial"/>
                <w:b/>
                <w:bCs/>
              </w:rPr>
            </w:pPr>
            <w:r>
              <w:rPr>
                <w:rFonts w:ascii="SWISS" w:hAnsi="SWISS" w:cs="Arial"/>
                <w:b/>
                <w:bCs/>
              </w:rPr>
              <w:t> </w:t>
            </w:r>
          </w:p>
        </w:tc>
        <w:tc>
          <w:tcPr>
            <w:tcW w:w="334" w:type="dxa"/>
            <w:tcBorders>
              <w:top w:val="nil"/>
              <w:left w:val="nil"/>
              <w:bottom w:val="single" w:sz="4" w:space="0" w:color="auto"/>
              <w:right w:val="single" w:sz="4" w:space="0" w:color="auto"/>
            </w:tcBorders>
            <w:shd w:val="clear" w:color="000000" w:fill="FFFFFF"/>
            <w:noWrap/>
            <w:vAlign w:val="bottom"/>
            <w:hideMark/>
          </w:tcPr>
          <w:p w14:paraId="0BDF31FB" w14:textId="77777777" w:rsidR="005D7828" w:rsidRDefault="005D7828" w:rsidP="005D7828">
            <w:pPr>
              <w:rPr>
                <w:rFonts w:ascii="SWISS" w:hAnsi="SWISS" w:cs="Arial"/>
                <w:b/>
                <w:bCs/>
              </w:rPr>
            </w:pPr>
            <w:r>
              <w:rPr>
                <w:rFonts w:ascii="SWISS" w:hAnsi="SWISS" w:cs="Arial"/>
                <w:b/>
                <w:bCs/>
              </w:rPr>
              <w:t> </w:t>
            </w:r>
          </w:p>
        </w:tc>
      </w:tr>
      <w:tr w:rsidR="005D7828" w14:paraId="4FF64FD6" w14:textId="77777777" w:rsidTr="005D7828">
        <w:trPr>
          <w:trHeight w:val="300"/>
          <w:jc w:val="center"/>
        </w:trPr>
        <w:tc>
          <w:tcPr>
            <w:tcW w:w="436" w:type="dxa"/>
            <w:tcBorders>
              <w:top w:val="nil"/>
              <w:left w:val="single" w:sz="4" w:space="0" w:color="auto"/>
              <w:bottom w:val="nil"/>
              <w:right w:val="nil"/>
            </w:tcBorders>
            <w:shd w:val="clear" w:color="auto" w:fill="auto"/>
            <w:noWrap/>
            <w:vAlign w:val="bottom"/>
            <w:hideMark/>
          </w:tcPr>
          <w:p w14:paraId="1C13D571" w14:textId="77777777" w:rsidR="005D7828" w:rsidRDefault="005D7828" w:rsidP="005D7828">
            <w:pPr>
              <w:rPr>
                <w:b/>
                <w:bCs/>
                <w:sz w:val="22"/>
                <w:szCs w:val="22"/>
              </w:rPr>
            </w:pPr>
            <w:r>
              <w:rPr>
                <w:b/>
                <w:bCs/>
                <w:sz w:val="22"/>
                <w:szCs w:val="22"/>
              </w:rPr>
              <w:t> </w:t>
            </w:r>
          </w:p>
        </w:tc>
        <w:tc>
          <w:tcPr>
            <w:tcW w:w="2764" w:type="dxa"/>
            <w:vMerge w:val="restart"/>
            <w:tcBorders>
              <w:top w:val="nil"/>
              <w:left w:val="nil"/>
              <w:bottom w:val="nil"/>
              <w:right w:val="nil"/>
            </w:tcBorders>
            <w:shd w:val="clear" w:color="auto" w:fill="auto"/>
            <w:vAlign w:val="center"/>
            <w:hideMark/>
          </w:tcPr>
          <w:p w14:paraId="3FF007CC" w14:textId="77777777" w:rsidR="005D7828" w:rsidRDefault="005D7828" w:rsidP="005D7828">
            <w:pPr>
              <w:jc w:val="center"/>
              <w:rPr>
                <w:b/>
                <w:bCs/>
                <w:sz w:val="22"/>
                <w:szCs w:val="22"/>
              </w:rPr>
            </w:pPr>
            <w:r>
              <w:rPr>
                <w:b/>
                <w:bCs/>
                <w:sz w:val="22"/>
                <w:szCs w:val="22"/>
              </w:rPr>
              <w:t>Description</w:t>
            </w:r>
          </w:p>
        </w:tc>
        <w:tc>
          <w:tcPr>
            <w:tcW w:w="1235" w:type="dxa"/>
            <w:vMerge w:val="restart"/>
            <w:tcBorders>
              <w:top w:val="nil"/>
              <w:left w:val="nil"/>
              <w:bottom w:val="nil"/>
              <w:right w:val="nil"/>
            </w:tcBorders>
            <w:shd w:val="clear" w:color="auto" w:fill="auto"/>
            <w:vAlign w:val="center"/>
            <w:hideMark/>
          </w:tcPr>
          <w:p w14:paraId="7667FC57" w14:textId="77777777" w:rsidR="005D7828" w:rsidRDefault="005D7828" w:rsidP="005D7828">
            <w:pPr>
              <w:jc w:val="center"/>
              <w:rPr>
                <w:b/>
                <w:bCs/>
                <w:sz w:val="22"/>
                <w:szCs w:val="22"/>
              </w:rPr>
            </w:pPr>
            <w:r>
              <w:rPr>
                <w:b/>
                <w:bCs/>
                <w:sz w:val="22"/>
                <w:szCs w:val="22"/>
              </w:rPr>
              <w:t>Proposed      Per Utility</w:t>
            </w:r>
          </w:p>
        </w:tc>
        <w:tc>
          <w:tcPr>
            <w:tcW w:w="1476" w:type="dxa"/>
            <w:vMerge w:val="restart"/>
            <w:tcBorders>
              <w:top w:val="nil"/>
              <w:left w:val="nil"/>
              <w:bottom w:val="nil"/>
              <w:right w:val="nil"/>
            </w:tcBorders>
            <w:shd w:val="clear" w:color="auto" w:fill="auto"/>
            <w:vAlign w:val="center"/>
            <w:hideMark/>
          </w:tcPr>
          <w:p w14:paraId="0E4890A4" w14:textId="77777777" w:rsidR="005D7828" w:rsidRDefault="005D7828" w:rsidP="005D7828">
            <w:pPr>
              <w:jc w:val="center"/>
              <w:rPr>
                <w:b/>
                <w:bCs/>
                <w:sz w:val="22"/>
                <w:szCs w:val="22"/>
              </w:rPr>
            </w:pPr>
            <w:r>
              <w:rPr>
                <w:b/>
                <w:bCs/>
                <w:sz w:val="22"/>
                <w:szCs w:val="22"/>
              </w:rPr>
              <w:t xml:space="preserve">Staff      Adjust-    </w:t>
            </w:r>
            <w:proofErr w:type="spellStart"/>
            <w:r>
              <w:rPr>
                <w:b/>
                <w:bCs/>
                <w:sz w:val="22"/>
                <w:szCs w:val="22"/>
              </w:rPr>
              <w:t>ments</w:t>
            </w:r>
            <w:proofErr w:type="spellEnd"/>
          </w:p>
        </w:tc>
        <w:tc>
          <w:tcPr>
            <w:tcW w:w="1476" w:type="dxa"/>
            <w:vMerge w:val="restart"/>
            <w:tcBorders>
              <w:top w:val="nil"/>
              <w:left w:val="nil"/>
              <w:bottom w:val="nil"/>
              <w:right w:val="nil"/>
            </w:tcBorders>
            <w:shd w:val="clear" w:color="auto" w:fill="auto"/>
            <w:vAlign w:val="center"/>
            <w:hideMark/>
          </w:tcPr>
          <w:p w14:paraId="10E1A0F3" w14:textId="77777777" w:rsidR="005D7828" w:rsidRDefault="005D7828" w:rsidP="005D7828">
            <w:pPr>
              <w:jc w:val="center"/>
              <w:rPr>
                <w:b/>
                <w:bCs/>
                <w:sz w:val="22"/>
                <w:szCs w:val="22"/>
              </w:rPr>
            </w:pPr>
            <w:r>
              <w:rPr>
                <w:b/>
                <w:bCs/>
                <w:sz w:val="22"/>
                <w:szCs w:val="22"/>
              </w:rPr>
              <w:t xml:space="preserve">Staff  Adjusted  </w:t>
            </w:r>
          </w:p>
        </w:tc>
        <w:tc>
          <w:tcPr>
            <w:tcW w:w="1370" w:type="dxa"/>
            <w:vMerge w:val="restart"/>
            <w:tcBorders>
              <w:top w:val="nil"/>
              <w:left w:val="nil"/>
              <w:bottom w:val="nil"/>
              <w:right w:val="nil"/>
            </w:tcBorders>
            <w:shd w:val="clear" w:color="auto" w:fill="auto"/>
            <w:vAlign w:val="center"/>
            <w:hideMark/>
          </w:tcPr>
          <w:p w14:paraId="3AE834B0" w14:textId="77777777" w:rsidR="005D7828" w:rsidRDefault="005D7828" w:rsidP="005D7828">
            <w:pPr>
              <w:jc w:val="center"/>
              <w:rPr>
                <w:b/>
                <w:bCs/>
                <w:sz w:val="22"/>
                <w:szCs w:val="22"/>
              </w:rPr>
            </w:pPr>
            <w:r>
              <w:rPr>
                <w:b/>
                <w:bCs/>
                <w:sz w:val="22"/>
                <w:szCs w:val="22"/>
              </w:rPr>
              <w:t>Revenue Increase</w:t>
            </w:r>
          </w:p>
        </w:tc>
        <w:tc>
          <w:tcPr>
            <w:tcW w:w="1628" w:type="dxa"/>
            <w:vMerge w:val="restart"/>
            <w:tcBorders>
              <w:top w:val="nil"/>
              <w:left w:val="nil"/>
              <w:bottom w:val="nil"/>
              <w:right w:val="nil"/>
            </w:tcBorders>
            <w:shd w:val="clear" w:color="auto" w:fill="auto"/>
            <w:vAlign w:val="center"/>
            <w:hideMark/>
          </w:tcPr>
          <w:p w14:paraId="793A166E" w14:textId="77777777" w:rsidR="005D7828" w:rsidRDefault="005D7828" w:rsidP="005D7828">
            <w:pPr>
              <w:jc w:val="center"/>
              <w:rPr>
                <w:b/>
                <w:bCs/>
                <w:sz w:val="22"/>
                <w:szCs w:val="22"/>
              </w:rPr>
            </w:pPr>
            <w:r>
              <w:rPr>
                <w:b/>
                <w:bCs/>
                <w:sz w:val="22"/>
                <w:szCs w:val="22"/>
              </w:rPr>
              <w:t>Revenue Requirement</w:t>
            </w:r>
          </w:p>
        </w:tc>
        <w:tc>
          <w:tcPr>
            <w:tcW w:w="334" w:type="dxa"/>
            <w:tcBorders>
              <w:top w:val="nil"/>
              <w:left w:val="nil"/>
              <w:bottom w:val="nil"/>
              <w:right w:val="single" w:sz="4" w:space="0" w:color="auto"/>
            </w:tcBorders>
            <w:shd w:val="clear" w:color="auto" w:fill="auto"/>
            <w:noWrap/>
            <w:vAlign w:val="bottom"/>
            <w:hideMark/>
          </w:tcPr>
          <w:p w14:paraId="447B79A4" w14:textId="77777777" w:rsidR="005D7828" w:rsidRDefault="005D7828" w:rsidP="005D7828">
            <w:pPr>
              <w:rPr>
                <w:b/>
                <w:bCs/>
                <w:sz w:val="22"/>
                <w:szCs w:val="22"/>
              </w:rPr>
            </w:pPr>
            <w:r>
              <w:rPr>
                <w:b/>
                <w:bCs/>
                <w:sz w:val="22"/>
                <w:szCs w:val="22"/>
              </w:rPr>
              <w:t> </w:t>
            </w:r>
          </w:p>
        </w:tc>
      </w:tr>
      <w:tr w:rsidR="005D7828" w14:paraId="24C6D506" w14:textId="77777777" w:rsidTr="005D7828">
        <w:trPr>
          <w:trHeight w:val="300"/>
          <w:jc w:val="center"/>
        </w:trPr>
        <w:tc>
          <w:tcPr>
            <w:tcW w:w="436" w:type="dxa"/>
            <w:tcBorders>
              <w:top w:val="nil"/>
              <w:left w:val="single" w:sz="4" w:space="0" w:color="auto"/>
              <w:bottom w:val="nil"/>
              <w:right w:val="nil"/>
            </w:tcBorders>
            <w:shd w:val="clear" w:color="auto" w:fill="auto"/>
            <w:noWrap/>
            <w:vAlign w:val="bottom"/>
            <w:hideMark/>
          </w:tcPr>
          <w:p w14:paraId="3761949E" w14:textId="77777777" w:rsidR="005D7828" w:rsidRDefault="005D7828" w:rsidP="005D7828">
            <w:pPr>
              <w:rPr>
                <w:b/>
                <w:bCs/>
                <w:sz w:val="22"/>
                <w:szCs w:val="22"/>
              </w:rPr>
            </w:pPr>
            <w:r>
              <w:rPr>
                <w:b/>
                <w:bCs/>
                <w:sz w:val="22"/>
                <w:szCs w:val="22"/>
              </w:rPr>
              <w:t> </w:t>
            </w:r>
          </w:p>
        </w:tc>
        <w:tc>
          <w:tcPr>
            <w:tcW w:w="2764" w:type="dxa"/>
            <w:vMerge/>
            <w:tcBorders>
              <w:top w:val="nil"/>
              <w:left w:val="nil"/>
              <w:bottom w:val="nil"/>
              <w:right w:val="nil"/>
            </w:tcBorders>
            <w:vAlign w:val="center"/>
            <w:hideMark/>
          </w:tcPr>
          <w:p w14:paraId="358F3D01" w14:textId="77777777" w:rsidR="005D7828" w:rsidRDefault="005D7828" w:rsidP="005D7828">
            <w:pPr>
              <w:rPr>
                <w:b/>
                <w:bCs/>
                <w:sz w:val="22"/>
                <w:szCs w:val="22"/>
              </w:rPr>
            </w:pPr>
          </w:p>
        </w:tc>
        <w:tc>
          <w:tcPr>
            <w:tcW w:w="1235" w:type="dxa"/>
            <w:vMerge/>
            <w:tcBorders>
              <w:top w:val="nil"/>
              <w:left w:val="nil"/>
              <w:bottom w:val="nil"/>
              <w:right w:val="nil"/>
            </w:tcBorders>
            <w:vAlign w:val="center"/>
            <w:hideMark/>
          </w:tcPr>
          <w:p w14:paraId="53240D67" w14:textId="77777777" w:rsidR="005D7828" w:rsidRDefault="005D7828" w:rsidP="005D7828">
            <w:pPr>
              <w:rPr>
                <w:b/>
                <w:bCs/>
                <w:sz w:val="22"/>
                <w:szCs w:val="22"/>
              </w:rPr>
            </w:pPr>
          </w:p>
        </w:tc>
        <w:tc>
          <w:tcPr>
            <w:tcW w:w="1476" w:type="dxa"/>
            <w:vMerge/>
            <w:tcBorders>
              <w:top w:val="nil"/>
              <w:left w:val="nil"/>
              <w:bottom w:val="nil"/>
              <w:right w:val="nil"/>
            </w:tcBorders>
            <w:vAlign w:val="center"/>
            <w:hideMark/>
          </w:tcPr>
          <w:p w14:paraId="2923118B" w14:textId="77777777" w:rsidR="005D7828" w:rsidRDefault="005D7828" w:rsidP="005D7828">
            <w:pPr>
              <w:rPr>
                <w:b/>
                <w:bCs/>
                <w:sz w:val="22"/>
                <w:szCs w:val="22"/>
              </w:rPr>
            </w:pPr>
          </w:p>
        </w:tc>
        <w:tc>
          <w:tcPr>
            <w:tcW w:w="1476" w:type="dxa"/>
            <w:vMerge/>
            <w:tcBorders>
              <w:top w:val="nil"/>
              <w:left w:val="nil"/>
              <w:bottom w:val="nil"/>
              <w:right w:val="nil"/>
            </w:tcBorders>
            <w:vAlign w:val="center"/>
            <w:hideMark/>
          </w:tcPr>
          <w:p w14:paraId="4164D544" w14:textId="77777777" w:rsidR="005D7828" w:rsidRDefault="005D7828" w:rsidP="005D7828">
            <w:pPr>
              <w:rPr>
                <w:b/>
                <w:bCs/>
                <w:sz w:val="22"/>
                <w:szCs w:val="22"/>
              </w:rPr>
            </w:pPr>
          </w:p>
        </w:tc>
        <w:tc>
          <w:tcPr>
            <w:tcW w:w="1370" w:type="dxa"/>
            <w:vMerge/>
            <w:tcBorders>
              <w:top w:val="nil"/>
              <w:left w:val="nil"/>
              <w:bottom w:val="nil"/>
              <w:right w:val="nil"/>
            </w:tcBorders>
            <w:vAlign w:val="center"/>
            <w:hideMark/>
          </w:tcPr>
          <w:p w14:paraId="54566E63" w14:textId="77777777" w:rsidR="005D7828" w:rsidRDefault="005D7828" w:rsidP="005D7828">
            <w:pPr>
              <w:rPr>
                <w:b/>
                <w:bCs/>
                <w:sz w:val="22"/>
                <w:szCs w:val="22"/>
              </w:rPr>
            </w:pPr>
          </w:p>
        </w:tc>
        <w:tc>
          <w:tcPr>
            <w:tcW w:w="1628" w:type="dxa"/>
            <w:vMerge/>
            <w:tcBorders>
              <w:top w:val="nil"/>
              <w:left w:val="nil"/>
              <w:bottom w:val="nil"/>
              <w:right w:val="nil"/>
            </w:tcBorders>
            <w:vAlign w:val="center"/>
            <w:hideMark/>
          </w:tcPr>
          <w:p w14:paraId="12D5C042" w14:textId="77777777" w:rsidR="005D7828" w:rsidRDefault="005D7828" w:rsidP="005D7828">
            <w:pPr>
              <w:rPr>
                <w:b/>
                <w:bCs/>
                <w:sz w:val="22"/>
                <w:szCs w:val="22"/>
              </w:rPr>
            </w:pPr>
          </w:p>
        </w:tc>
        <w:tc>
          <w:tcPr>
            <w:tcW w:w="334" w:type="dxa"/>
            <w:tcBorders>
              <w:top w:val="nil"/>
              <w:left w:val="nil"/>
              <w:bottom w:val="nil"/>
              <w:right w:val="single" w:sz="4" w:space="0" w:color="auto"/>
            </w:tcBorders>
            <w:shd w:val="clear" w:color="auto" w:fill="auto"/>
            <w:noWrap/>
            <w:vAlign w:val="bottom"/>
            <w:hideMark/>
          </w:tcPr>
          <w:p w14:paraId="2D3D53DB" w14:textId="77777777" w:rsidR="005D7828" w:rsidRDefault="005D7828" w:rsidP="005D7828">
            <w:pPr>
              <w:jc w:val="center"/>
              <w:rPr>
                <w:b/>
                <w:bCs/>
                <w:sz w:val="22"/>
                <w:szCs w:val="22"/>
              </w:rPr>
            </w:pPr>
            <w:r>
              <w:rPr>
                <w:b/>
                <w:bCs/>
                <w:sz w:val="22"/>
                <w:szCs w:val="22"/>
              </w:rPr>
              <w:t> </w:t>
            </w:r>
          </w:p>
        </w:tc>
      </w:tr>
      <w:tr w:rsidR="005D7828" w14:paraId="240E951F" w14:textId="77777777" w:rsidTr="005D7828">
        <w:trPr>
          <w:trHeight w:val="300"/>
          <w:jc w:val="center"/>
        </w:trPr>
        <w:tc>
          <w:tcPr>
            <w:tcW w:w="436" w:type="dxa"/>
            <w:tcBorders>
              <w:top w:val="nil"/>
              <w:left w:val="single" w:sz="4" w:space="0" w:color="auto"/>
              <w:bottom w:val="nil"/>
              <w:right w:val="nil"/>
            </w:tcBorders>
            <w:shd w:val="clear" w:color="auto" w:fill="auto"/>
            <w:noWrap/>
            <w:vAlign w:val="bottom"/>
            <w:hideMark/>
          </w:tcPr>
          <w:p w14:paraId="7AE70032" w14:textId="77777777" w:rsidR="005D7828" w:rsidRDefault="005D7828" w:rsidP="005D7828">
            <w:pPr>
              <w:rPr>
                <w:b/>
                <w:bCs/>
                <w:sz w:val="22"/>
                <w:szCs w:val="22"/>
              </w:rPr>
            </w:pPr>
            <w:r>
              <w:rPr>
                <w:b/>
                <w:bCs/>
                <w:sz w:val="22"/>
                <w:szCs w:val="22"/>
              </w:rPr>
              <w:t> </w:t>
            </w:r>
          </w:p>
        </w:tc>
        <w:tc>
          <w:tcPr>
            <w:tcW w:w="2764" w:type="dxa"/>
            <w:vMerge/>
            <w:tcBorders>
              <w:top w:val="nil"/>
              <w:left w:val="nil"/>
              <w:bottom w:val="nil"/>
              <w:right w:val="nil"/>
            </w:tcBorders>
            <w:vAlign w:val="center"/>
            <w:hideMark/>
          </w:tcPr>
          <w:p w14:paraId="0AFF8723" w14:textId="77777777" w:rsidR="005D7828" w:rsidRDefault="005D7828" w:rsidP="005D7828">
            <w:pPr>
              <w:rPr>
                <w:b/>
                <w:bCs/>
                <w:sz w:val="22"/>
                <w:szCs w:val="22"/>
              </w:rPr>
            </w:pPr>
          </w:p>
        </w:tc>
        <w:tc>
          <w:tcPr>
            <w:tcW w:w="1235" w:type="dxa"/>
            <w:vMerge/>
            <w:tcBorders>
              <w:top w:val="nil"/>
              <w:left w:val="nil"/>
              <w:bottom w:val="nil"/>
              <w:right w:val="nil"/>
            </w:tcBorders>
            <w:vAlign w:val="center"/>
            <w:hideMark/>
          </w:tcPr>
          <w:p w14:paraId="07EFFEB1" w14:textId="77777777" w:rsidR="005D7828" w:rsidRDefault="005D7828" w:rsidP="005D7828">
            <w:pPr>
              <w:rPr>
                <w:b/>
                <w:bCs/>
                <w:sz w:val="22"/>
                <w:szCs w:val="22"/>
              </w:rPr>
            </w:pPr>
          </w:p>
        </w:tc>
        <w:tc>
          <w:tcPr>
            <w:tcW w:w="1476" w:type="dxa"/>
            <w:vMerge/>
            <w:tcBorders>
              <w:top w:val="nil"/>
              <w:left w:val="nil"/>
              <w:bottom w:val="nil"/>
              <w:right w:val="nil"/>
            </w:tcBorders>
            <w:vAlign w:val="center"/>
            <w:hideMark/>
          </w:tcPr>
          <w:p w14:paraId="1D0A8FE3" w14:textId="77777777" w:rsidR="005D7828" w:rsidRDefault="005D7828" w:rsidP="005D7828">
            <w:pPr>
              <w:rPr>
                <w:b/>
                <w:bCs/>
                <w:sz w:val="22"/>
                <w:szCs w:val="22"/>
              </w:rPr>
            </w:pPr>
          </w:p>
        </w:tc>
        <w:tc>
          <w:tcPr>
            <w:tcW w:w="1476" w:type="dxa"/>
            <w:vMerge/>
            <w:tcBorders>
              <w:top w:val="nil"/>
              <w:left w:val="nil"/>
              <w:bottom w:val="nil"/>
              <w:right w:val="nil"/>
            </w:tcBorders>
            <w:vAlign w:val="center"/>
            <w:hideMark/>
          </w:tcPr>
          <w:p w14:paraId="393ECB29" w14:textId="77777777" w:rsidR="005D7828" w:rsidRDefault="005D7828" w:rsidP="005D7828">
            <w:pPr>
              <w:rPr>
                <w:b/>
                <w:bCs/>
                <w:sz w:val="22"/>
                <w:szCs w:val="22"/>
              </w:rPr>
            </w:pPr>
          </w:p>
        </w:tc>
        <w:tc>
          <w:tcPr>
            <w:tcW w:w="1370" w:type="dxa"/>
            <w:vMerge/>
            <w:tcBorders>
              <w:top w:val="nil"/>
              <w:left w:val="nil"/>
              <w:bottom w:val="nil"/>
              <w:right w:val="nil"/>
            </w:tcBorders>
            <w:vAlign w:val="center"/>
            <w:hideMark/>
          </w:tcPr>
          <w:p w14:paraId="3904B99D" w14:textId="77777777" w:rsidR="005D7828" w:rsidRDefault="005D7828" w:rsidP="005D7828">
            <w:pPr>
              <w:rPr>
                <w:b/>
                <w:bCs/>
                <w:sz w:val="22"/>
                <w:szCs w:val="22"/>
              </w:rPr>
            </w:pPr>
          </w:p>
        </w:tc>
        <w:tc>
          <w:tcPr>
            <w:tcW w:w="1628" w:type="dxa"/>
            <w:vMerge/>
            <w:tcBorders>
              <w:top w:val="nil"/>
              <w:left w:val="nil"/>
              <w:bottom w:val="nil"/>
              <w:right w:val="nil"/>
            </w:tcBorders>
            <w:vAlign w:val="center"/>
            <w:hideMark/>
          </w:tcPr>
          <w:p w14:paraId="05518E16" w14:textId="77777777" w:rsidR="005D7828" w:rsidRDefault="005D7828" w:rsidP="005D7828">
            <w:pPr>
              <w:rPr>
                <w:b/>
                <w:bCs/>
                <w:sz w:val="22"/>
                <w:szCs w:val="22"/>
              </w:rPr>
            </w:pPr>
          </w:p>
        </w:tc>
        <w:tc>
          <w:tcPr>
            <w:tcW w:w="334" w:type="dxa"/>
            <w:tcBorders>
              <w:top w:val="nil"/>
              <w:left w:val="nil"/>
              <w:bottom w:val="nil"/>
              <w:right w:val="single" w:sz="4" w:space="0" w:color="auto"/>
            </w:tcBorders>
            <w:shd w:val="clear" w:color="auto" w:fill="auto"/>
            <w:noWrap/>
            <w:vAlign w:val="bottom"/>
            <w:hideMark/>
          </w:tcPr>
          <w:p w14:paraId="24C49180" w14:textId="77777777" w:rsidR="005D7828" w:rsidRDefault="005D7828" w:rsidP="005D7828">
            <w:pPr>
              <w:jc w:val="center"/>
              <w:rPr>
                <w:b/>
                <w:bCs/>
                <w:sz w:val="22"/>
                <w:szCs w:val="22"/>
              </w:rPr>
            </w:pPr>
            <w:r>
              <w:rPr>
                <w:b/>
                <w:bCs/>
                <w:sz w:val="22"/>
                <w:szCs w:val="22"/>
              </w:rPr>
              <w:t> </w:t>
            </w:r>
          </w:p>
        </w:tc>
      </w:tr>
      <w:tr w:rsidR="005D7828" w14:paraId="74C9D378" w14:textId="77777777" w:rsidTr="005D7828">
        <w:trPr>
          <w:trHeight w:val="300"/>
          <w:jc w:val="center"/>
        </w:trPr>
        <w:tc>
          <w:tcPr>
            <w:tcW w:w="436" w:type="dxa"/>
            <w:tcBorders>
              <w:top w:val="single" w:sz="4" w:space="0" w:color="000000"/>
              <w:left w:val="single" w:sz="4" w:space="0" w:color="auto"/>
              <w:bottom w:val="nil"/>
              <w:right w:val="nil"/>
            </w:tcBorders>
            <w:shd w:val="clear" w:color="000000" w:fill="FFFFFF"/>
            <w:noWrap/>
            <w:vAlign w:val="bottom"/>
            <w:hideMark/>
          </w:tcPr>
          <w:p w14:paraId="5E7B93E3" w14:textId="77777777" w:rsidR="005D7828" w:rsidRDefault="005D7828" w:rsidP="005D7828">
            <w:pPr>
              <w:rPr>
                <w:sz w:val="22"/>
                <w:szCs w:val="22"/>
              </w:rPr>
            </w:pPr>
            <w:r>
              <w:rPr>
                <w:sz w:val="22"/>
                <w:szCs w:val="22"/>
              </w:rPr>
              <w:t> </w:t>
            </w:r>
          </w:p>
        </w:tc>
        <w:tc>
          <w:tcPr>
            <w:tcW w:w="2764" w:type="dxa"/>
            <w:tcBorders>
              <w:top w:val="single" w:sz="4" w:space="0" w:color="000000"/>
              <w:left w:val="nil"/>
              <w:bottom w:val="nil"/>
              <w:right w:val="nil"/>
            </w:tcBorders>
            <w:shd w:val="clear" w:color="000000" w:fill="FFFFFF"/>
            <w:noWrap/>
            <w:vAlign w:val="bottom"/>
            <w:hideMark/>
          </w:tcPr>
          <w:p w14:paraId="45E54C32" w14:textId="77777777" w:rsidR="005D7828" w:rsidRDefault="005D7828" w:rsidP="005D7828">
            <w:pPr>
              <w:rPr>
                <w:sz w:val="22"/>
                <w:szCs w:val="22"/>
              </w:rPr>
            </w:pPr>
            <w:r>
              <w:rPr>
                <w:sz w:val="22"/>
                <w:szCs w:val="22"/>
              </w:rPr>
              <w:t> </w:t>
            </w:r>
          </w:p>
        </w:tc>
        <w:tc>
          <w:tcPr>
            <w:tcW w:w="1235" w:type="dxa"/>
            <w:tcBorders>
              <w:top w:val="single" w:sz="4" w:space="0" w:color="000000"/>
              <w:left w:val="nil"/>
              <w:bottom w:val="nil"/>
              <w:right w:val="nil"/>
            </w:tcBorders>
            <w:shd w:val="clear" w:color="000000" w:fill="FFFFFF"/>
            <w:noWrap/>
            <w:vAlign w:val="bottom"/>
            <w:hideMark/>
          </w:tcPr>
          <w:p w14:paraId="08A9071D" w14:textId="77777777" w:rsidR="005D7828" w:rsidRDefault="005D7828" w:rsidP="005D7828">
            <w:pPr>
              <w:rPr>
                <w:sz w:val="22"/>
                <w:szCs w:val="22"/>
              </w:rPr>
            </w:pPr>
            <w:r>
              <w:rPr>
                <w:sz w:val="22"/>
                <w:szCs w:val="22"/>
              </w:rPr>
              <w:t> </w:t>
            </w:r>
          </w:p>
        </w:tc>
        <w:tc>
          <w:tcPr>
            <w:tcW w:w="1476" w:type="dxa"/>
            <w:tcBorders>
              <w:top w:val="single" w:sz="4" w:space="0" w:color="000000"/>
              <w:left w:val="nil"/>
              <w:bottom w:val="nil"/>
              <w:right w:val="nil"/>
            </w:tcBorders>
            <w:shd w:val="clear" w:color="000000" w:fill="FFFFFF"/>
            <w:noWrap/>
            <w:vAlign w:val="bottom"/>
            <w:hideMark/>
          </w:tcPr>
          <w:p w14:paraId="57829B0E" w14:textId="77777777" w:rsidR="005D7828" w:rsidRDefault="005D7828" w:rsidP="005D7828">
            <w:pPr>
              <w:rPr>
                <w:sz w:val="22"/>
                <w:szCs w:val="22"/>
              </w:rPr>
            </w:pPr>
            <w:r>
              <w:rPr>
                <w:sz w:val="22"/>
                <w:szCs w:val="22"/>
              </w:rPr>
              <w:t> </w:t>
            </w:r>
          </w:p>
        </w:tc>
        <w:tc>
          <w:tcPr>
            <w:tcW w:w="1476" w:type="dxa"/>
            <w:tcBorders>
              <w:top w:val="single" w:sz="4" w:space="0" w:color="000000"/>
              <w:left w:val="nil"/>
              <w:bottom w:val="nil"/>
              <w:right w:val="nil"/>
            </w:tcBorders>
            <w:shd w:val="clear" w:color="000000" w:fill="FFFFFF"/>
            <w:noWrap/>
            <w:vAlign w:val="bottom"/>
            <w:hideMark/>
          </w:tcPr>
          <w:p w14:paraId="488358C7" w14:textId="77777777" w:rsidR="005D7828" w:rsidRDefault="005D7828" w:rsidP="005D7828">
            <w:pPr>
              <w:rPr>
                <w:sz w:val="22"/>
                <w:szCs w:val="22"/>
              </w:rPr>
            </w:pPr>
            <w:r>
              <w:rPr>
                <w:sz w:val="22"/>
                <w:szCs w:val="22"/>
              </w:rPr>
              <w:t> </w:t>
            </w:r>
          </w:p>
        </w:tc>
        <w:tc>
          <w:tcPr>
            <w:tcW w:w="1370" w:type="dxa"/>
            <w:tcBorders>
              <w:top w:val="single" w:sz="4" w:space="0" w:color="000000"/>
              <w:left w:val="nil"/>
              <w:bottom w:val="nil"/>
              <w:right w:val="nil"/>
            </w:tcBorders>
            <w:shd w:val="clear" w:color="000000" w:fill="FFFFFF"/>
            <w:noWrap/>
            <w:vAlign w:val="bottom"/>
            <w:hideMark/>
          </w:tcPr>
          <w:p w14:paraId="71F1AB53" w14:textId="77777777" w:rsidR="005D7828" w:rsidRDefault="005D7828" w:rsidP="005D7828">
            <w:pPr>
              <w:rPr>
                <w:sz w:val="22"/>
                <w:szCs w:val="22"/>
              </w:rPr>
            </w:pPr>
            <w:r>
              <w:rPr>
                <w:sz w:val="22"/>
                <w:szCs w:val="22"/>
              </w:rPr>
              <w:t> </w:t>
            </w:r>
          </w:p>
        </w:tc>
        <w:tc>
          <w:tcPr>
            <w:tcW w:w="1628" w:type="dxa"/>
            <w:tcBorders>
              <w:top w:val="single" w:sz="4" w:space="0" w:color="000000"/>
              <w:left w:val="nil"/>
              <w:bottom w:val="nil"/>
              <w:right w:val="nil"/>
            </w:tcBorders>
            <w:shd w:val="clear" w:color="000000" w:fill="FFFFFF"/>
            <w:noWrap/>
            <w:vAlign w:val="bottom"/>
            <w:hideMark/>
          </w:tcPr>
          <w:p w14:paraId="5F46719B" w14:textId="77777777" w:rsidR="005D7828" w:rsidRDefault="005D7828" w:rsidP="005D7828">
            <w:pPr>
              <w:rPr>
                <w:sz w:val="22"/>
                <w:szCs w:val="22"/>
              </w:rPr>
            </w:pPr>
            <w:r>
              <w:rPr>
                <w:sz w:val="22"/>
                <w:szCs w:val="22"/>
              </w:rPr>
              <w:t> </w:t>
            </w:r>
          </w:p>
        </w:tc>
        <w:tc>
          <w:tcPr>
            <w:tcW w:w="334" w:type="dxa"/>
            <w:tcBorders>
              <w:top w:val="single" w:sz="4" w:space="0" w:color="000000"/>
              <w:left w:val="nil"/>
              <w:bottom w:val="nil"/>
              <w:right w:val="single" w:sz="4" w:space="0" w:color="auto"/>
            </w:tcBorders>
            <w:shd w:val="clear" w:color="000000" w:fill="FFFFFF"/>
            <w:noWrap/>
            <w:vAlign w:val="bottom"/>
            <w:hideMark/>
          </w:tcPr>
          <w:p w14:paraId="2C813B39" w14:textId="77777777" w:rsidR="005D7828" w:rsidRDefault="005D7828" w:rsidP="005D7828">
            <w:pPr>
              <w:rPr>
                <w:sz w:val="22"/>
                <w:szCs w:val="22"/>
              </w:rPr>
            </w:pPr>
            <w:r>
              <w:rPr>
                <w:sz w:val="22"/>
                <w:szCs w:val="22"/>
              </w:rPr>
              <w:t> </w:t>
            </w:r>
          </w:p>
        </w:tc>
      </w:tr>
      <w:tr w:rsidR="005D7828" w14:paraId="1BDEB0EB"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7DC293A8" w14:textId="77777777" w:rsidR="005D7828" w:rsidRDefault="005D7828" w:rsidP="005D7828">
            <w:pPr>
              <w:jc w:val="center"/>
              <w:rPr>
                <w:sz w:val="22"/>
                <w:szCs w:val="22"/>
              </w:rPr>
            </w:pPr>
            <w:r>
              <w:rPr>
                <w:sz w:val="22"/>
                <w:szCs w:val="22"/>
              </w:rPr>
              <w:t>1</w:t>
            </w:r>
          </w:p>
        </w:tc>
        <w:tc>
          <w:tcPr>
            <w:tcW w:w="2764" w:type="dxa"/>
            <w:tcBorders>
              <w:top w:val="nil"/>
              <w:left w:val="nil"/>
              <w:bottom w:val="nil"/>
              <w:right w:val="nil"/>
            </w:tcBorders>
            <w:shd w:val="clear" w:color="000000" w:fill="FFFFFF"/>
            <w:noWrap/>
            <w:vAlign w:val="bottom"/>
            <w:hideMark/>
          </w:tcPr>
          <w:p w14:paraId="2CA797FB" w14:textId="77777777" w:rsidR="005D7828" w:rsidRDefault="005D7828" w:rsidP="005D7828">
            <w:pPr>
              <w:rPr>
                <w:b/>
                <w:bCs/>
                <w:sz w:val="22"/>
                <w:szCs w:val="22"/>
              </w:rPr>
            </w:pPr>
            <w:r>
              <w:rPr>
                <w:b/>
                <w:bCs/>
                <w:sz w:val="22"/>
                <w:szCs w:val="22"/>
              </w:rPr>
              <w:t>Operating Revenues:</w:t>
            </w:r>
          </w:p>
        </w:tc>
        <w:tc>
          <w:tcPr>
            <w:tcW w:w="1235" w:type="dxa"/>
            <w:tcBorders>
              <w:top w:val="nil"/>
              <w:left w:val="nil"/>
              <w:bottom w:val="nil"/>
              <w:right w:val="nil"/>
            </w:tcBorders>
            <w:shd w:val="clear" w:color="auto" w:fill="auto"/>
            <w:noWrap/>
            <w:vAlign w:val="bottom"/>
            <w:hideMark/>
          </w:tcPr>
          <w:p w14:paraId="347E4D14" w14:textId="77777777" w:rsidR="005D7828" w:rsidRDefault="005D7828" w:rsidP="005D7828">
            <w:pPr>
              <w:jc w:val="right"/>
              <w:rPr>
                <w:sz w:val="22"/>
                <w:szCs w:val="22"/>
                <w:u w:val="single"/>
              </w:rPr>
            </w:pPr>
            <w:r>
              <w:rPr>
                <w:sz w:val="22"/>
                <w:szCs w:val="22"/>
                <w:u w:val="single"/>
              </w:rPr>
              <w:t xml:space="preserve">$1,902,160 </w:t>
            </w:r>
          </w:p>
        </w:tc>
        <w:tc>
          <w:tcPr>
            <w:tcW w:w="1476" w:type="dxa"/>
            <w:tcBorders>
              <w:top w:val="nil"/>
              <w:left w:val="nil"/>
              <w:bottom w:val="nil"/>
              <w:right w:val="nil"/>
            </w:tcBorders>
            <w:shd w:val="clear" w:color="000000" w:fill="FFFFFF"/>
            <w:noWrap/>
            <w:vAlign w:val="bottom"/>
            <w:hideMark/>
          </w:tcPr>
          <w:p w14:paraId="6C5FCA62" w14:textId="77777777" w:rsidR="005D7828" w:rsidRDefault="005D7828" w:rsidP="005D7828">
            <w:pPr>
              <w:jc w:val="right"/>
              <w:rPr>
                <w:sz w:val="22"/>
                <w:szCs w:val="22"/>
                <w:u w:val="single"/>
              </w:rPr>
            </w:pPr>
          </w:p>
        </w:tc>
        <w:tc>
          <w:tcPr>
            <w:tcW w:w="1476" w:type="dxa"/>
            <w:tcBorders>
              <w:top w:val="nil"/>
              <w:left w:val="nil"/>
              <w:bottom w:val="nil"/>
              <w:right w:val="nil"/>
            </w:tcBorders>
            <w:shd w:val="clear" w:color="000000" w:fill="FFFFFF"/>
            <w:noWrap/>
            <w:vAlign w:val="bottom"/>
            <w:hideMark/>
          </w:tcPr>
          <w:p w14:paraId="31E414CD" w14:textId="77777777" w:rsidR="005D7828" w:rsidRDefault="005D7828" w:rsidP="005D7828">
            <w:pPr>
              <w:jc w:val="right"/>
              <w:rPr>
                <w:sz w:val="22"/>
                <w:szCs w:val="22"/>
                <w:u w:val="single"/>
              </w:rPr>
            </w:pPr>
            <w:r>
              <w:rPr>
                <w:sz w:val="22"/>
                <w:szCs w:val="22"/>
                <w:u w:val="single"/>
              </w:rPr>
              <w:t xml:space="preserve">$1,902,160 </w:t>
            </w:r>
          </w:p>
        </w:tc>
        <w:tc>
          <w:tcPr>
            <w:tcW w:w="1370" w:type="dxa"/>
            <w:tcBorders>
              <w:top w:val="nil"/>
              <w:left w:val="nil"/>
              <w:bottom w:val="nil"/>
              <w:right w:val="nil"/>
            </w:tcBorders>
            <w:shd w:val="clear" w:color="000000" w:fill="FFFFFF"/>
            <w:noWrap/>
            <w:vAlign w:val="bottom"/>
            <w:hideMark/>
          </w:tcPr>
          <w:p w14:paraId="15FED86A" w14:textId="77777777" w:rsidR="005D7828" w:rsidRDefault="005D7828" w:rsidP="005D7828">
            <w:pPr>
              <w:jc w:val="right"/>
              <w:rPr>
                <w:sz w:val="22"/>
                <w:szCs w:val="22"/>
                <w:u w:val="single"/>
              </w:rPr>
            </w:pPr>
            <w:r>
              <w:rPr>
                <w:sz w:val="22"/>
                <w:szCs w:val="22"/>
                <w:u w:val="single"/>
              </w:rPr>
              <w:t xml:space="preserve">($2,006) </w:t>
            </w:r>
          </w:p>
        </w:tc>
        <w:tc>
          <w:tcPr>
            <w:tcW w:w="1628" w:type="dxa"/>
            <w:tcBorders>
              <w:top w:val="nil"/>
              <w:left w:val="nil"/>
              <w:bottom w:val="nil"/>
              <w:right w:val="nil"/>
            </w:tcBorders>
            <w:shd w:val="clear" w:color="000000" w:fill="FFFFFF"/>
            <w:noWrap/>
            <w:vAlign w:val="bottom"/>
            <w:hideMark/>
          </w:tcPr>
          <w:p w14:paraId="6CC1091C" w14:textId="77777777" w:rsidR="005D7828" w:rsidRDefault="005D7828" w:rsidP="005D7828">
            <w:pPr>
              <w:jc w:val="right"/>
              <w:rPr>
                <w:sz w:val="22"/>
                <w:szCs w:val="22"/>
                <w:u w:val="single"/>
              </w:rPr>
            </w:pPr>
            <w:r>
              <w:rPr>
                <w:sz w:val="22"/>
                <w:szCs w:val="22"/>
                <w:u w:val="single"/>
              </w:rPr>
              <w:t xml:space="preserve">$1,900,154 </w:t>
            </w:r>
          </w:p>
        </w:tc>
        <w:tc>
          <w:tcPr>
            <w:tcW w:w="334" w:type="dxa"/>
            <w:tcBorders>
              <w:top w:val="nil"/>
              <w:left w:val="nil"/>
              <w:bottom w:val="nil"/>
              <w:right w:val="single" w:sz="4" w:space="0" w:color="auto"/>
            </w:tcBorders>
            <w:shd w:val="clear" w:color="000000" w:fill="FFFFFF"/>
            <w:noWrap/>
            <w:vAlign w:val="bottom"/>
            <w:hideMark/>
          </w:tcPr>
          <w:p w14:paraId="448776A0" w14:textId="77777777" w:rsidR="005D7828" w:rsidRDefault="005D7828" w:rsidP="005D7828">
            <w:pPr>
              <w:rPr>
                <w:sz w:val="22"/>
                <w:szCs w:val="22"/>
                <w:u w:val="single"/>
              </w:rPr>
            </w:pPr>
          </w:p>
        </w:tc>
      </w:tr>
      <w:tr w:rsidR="005D7828" w14:paraId="66CDF600"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4935E436" w14:textId="77777777" w:rsidR="005D7828" w:rsidRDefault="005D7828" w:rsidP="005D7828">
            <w:pPr>
              <w:jc w:val="center"/>
              <w:rPr>
                <w:sz w:val="22"/>
                <w:szCs w:val="22"/>
              </w:rPr>
            </w:pPr>
            <w:r>
              <w:rPr>
                <w:sz w:val="22"/>
                <w:szCs w:val="22"/>
              </w:rPr>
              <w:t> </w:t>
            </w:r>
          </w:p>
        </w:tc>
        <w:tc>
          <w:tcPr>
            <w:tcW w:w="2764" w:type="dxa"/>
            <w:tcBorders>
              <w:top w:val="nil"/>
              <w:left w:val="nil"/>
              <w:bottom w:val="nil"/>
              <w:right w:val="nil"/>
            </w:tcBorders>
            <w:shd w:val="clear" w:color="000000" w:fill="FFFFFF"/>
            <w:noWrap/>
            <w:vAlign w:val="bottom"/>
            <w:hideMark/>
          </w:tcPr>
          <w:p w14:paraId="3380D857" w14:textId="77777777" w:rsidR="005D7828" w:rsidRDefault="005D7828" w:rsidP="005D7828">
            <w:pPr>
              <w:rPr>
                <w:sz w:val="22"/>
                <w:szCs w:val="22"/>
              </w:rPr>
            </w:pPr>
            <w:r>
              <w:rPr>
                <w:sz w:val="22"/>
                <w:szCs w:val="22"/>
              </w:rPr>
              <w:t> </w:t>
            </w:r>
          </w:p>
        </w:tc>
        <w:tc>
          <w:tcPr>
            <w:tcW w:w="1235" w:type="dxa"/>
            <w:tcBorders>
              <w:top w:val="nil"/>
              <w:left w:val="nil"/>
              <w:bottom w:val="nil"/>
              <w:right w:val="nil"/>
            </w:tcBorders>
            <w:shd w:val="clear" w:color="000000" w:fill="FFFFFF"/>
            <w:noWrap/>
            <w:vAlign w:val="bottom"/>
            <w:hideMark/>
          </w:tcPr>
          <w:p w14:paraId="70F84A95" w14:textId="77777777" w:rsidR="005D7828" w:rsidRDefault="005D7828" w:rsidP="005D7828">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00523330" w14:textId="77777777" w:rsidR="005D7828" w:rsidRDefault="005D7828" w:rsidP="005D7828">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6C82720E" w14:textId="77777777" w:rsidR="005D7828" w:rsidRDefault="005D7828" w:rsidP="005D7828">
            <w:pPr>
              <w:rPr>
                <w:sz w:val="22"/>
                <w:szCs w:val="22"/>
              </w:rPr>
            </w:pPr>
            <w:r>
              <w:rPr>
                <w:sz w:val="22"/>
                <w:szCs w:val="22"/>
              </w:rPr>
              <w:t> </w:t>
            </w:r>
          </w:p>
        </w:tc>
        <w:tc>
          <w:tcPr>
            <w:tcW w:w="1370" w:type="dxa"/>
            <w:tcBorders>
              <w:top w:val="nil"/>
              <w:left w:val="nil"/>
              <w:bottom w:val="nil"/>
              <w:right w:val="nil"/>
            </w:tcBorders>
            <w:shd w:val="clear" w:color="000000" w:fill="FFFFFF"/>
            <w:noWrap/>
            <w:vAlign w:val="bottom"/>
            <w:hideMark/>
          </w:tcPr>
          <w:p w14:paraId="635E7713" w14:textId="77777777" w:rsidR="005D7828" w:rsidRDefault="005D7828" w:rsidP="005D7828">
            <w:pPr>
              <w:jc w:val="right"/>
              <w:rPr>
                <w:sz w:val="22"/>
                <w:szCs w:val="22"/>
              </w:rPr>
            </w:pPr>
            <w:r>
              <w:rPr>
                <w:sz w:val="22"/>
                <w:szCs w:val="22"/>
              </w:rPr>
              <w:t>-0.11%</w:t>
            </w:r>
          </w:p>
        </w:tc>
        <w:tc>
          <w:tcPr>
            <w:tcW w:w="1628" w:type="dxa"/>
            <w:tcBorders>
              <w:top w:val="nil"/>
              <w:left w:val="nil"/>
              <w:bottom w:val="nil"/>
              <w:right w:val="nil"/>
            </w:tcBorders>
            <w:shd w:val="clear" w:color="000000" w:fill="FFFFFF"/>
            <w:noWrap/>
            <w:vAlign w:val="bottom"/>
            <w:hideMark/>
          </w:tcPr>
          <w:p w14:paraId="3A0B0306" w14:textId="77777777" w:rsidR="005D7828" w:rsidRDefault="005D7828" w:rsidP="005D7828">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14:paraId="537FBEF7" w14:textId="77777777" w:rsidR="005D7828" w:rsidRDefault="005D7828" w:rsidP="005D7828">
            <w:pPr>
              <w:rPr>
                <w:sz w:val="22"/>
                <w:szCs w:val="22"/>
              </w:rPr>
            </w:pPr>
            <w:r>
              <w:rPr>
                <w:sz w:val="22"/>
                <w:szCs w:val="22"/>
              </w:rPr>
              <w:t> </w:t>
            </w:r>
          </w:p>
        </w:tc>
      </w:tr>
      <w:tr w:rsidR="005D7828" w14:paraId="0BC19FEB"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066349E7" w14:textId="77777777" w:rsidR="005D7828" w:rsidRDefault="005D7828" w:rsidP="005D7828">
            <w:pPr>
              <w:jc w:val="center"/>
              <w:rPr>
                <w:sz w:val="22"/>
                <w:szCs w:val="22"/>
              </w:rPr>
            </w:pPr>
            <w:r>
              <w:rPr>
                <w:sz w:val="22"/>
                <w:szCs w:val="22"/>
              </w:rPr>
              <w:t> </w:t>
            </w:r>
          </w:p>
        </w:tc>
        <w:tc>
          <w:tcPr>
            <w:tcW w:w="2764" w:type="dxa"/>
            <w:tcBorders>
              <w:top w:val="nil"/>
              <w:left w:val="nil"/>
              <w:bottom w:val="nil"/>
              <w:right w:val="nil"/>
            </w:tcBorders>
            <w:shd w:val="clear" w:color="000000" w:fill="FFFFFF"/>
            <w:noWrap/>
            <w:vAlign w:val="bottom"/>
            <w:hideMark/>
          </w:tcPr>
          <w:p w14:paraId="2A16C59D" w14:textId="77777777" w:rsidR="005D7828" w:rsidRDefault="005D7828" w:rsidP="005D7828">
            <w:pPr>
              <w:rPr>
                <w:b/>
                <w:bCs/>
                <w:sz w:val="22"/>
                <w:szCs w:val="22"/>
              </w:rPr>
            </w:pPr>
            <w:r>
              <w:rPr>
                <w:b/>
                <w:bCs/>
                <w:sz w:val="22"/>
                <w:szCs w:val="22"/>
              </w:rPr>
              <w:t>Operating Expenses</w:t>
            </w:r>
          </w:p>
        </w:tc>
        <w:tc>
          <w:tcPr>
            <w:tcW w:w="1235" w:type="dxa"/>
            <w:tcBorders>
              <w:top w:val="nil"/>
              <w:left w:val="nil"/>
              <w:bottom w:val="nil"/>
              <w:right w:val="nil"/>
            </w:tcBorders>
            <w:shd w:val="clear" w:color="000000" w:fill="FFFFFF"/>
            <w:noWrap/>
            <w:vAlign w:val="bottom"/>
            <w:hideMark/>
          </w:tcPr>
          <w:p w14:paraId="46A7CF55" w14:textId="77777777" w:rsidR="005D7828" w:rsidRDefault="005D7828" w:rsidP="005D7828">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2EC9CBAB" w14:textId="77777777" w:rsidR="005D7828" w:rsidRDefault="005D7828" w:rsidP="005D7828">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0E972628" w14:textId="77777777" w:rsidR="005D7828" w:rsidRDefault="005D7828" w:rsidP="005D7828">
            <w:pPr>
              <w:rPr>
                <w:sz w:val="22"/>
                <w:szCs w:val="22"/>
              </w:rPr>
            </w:pPr>
            <w:r>
              <w:rPr>
                <w:sz w:val="22"/>
                <w:szCs w:val="22"/>
              </w:rPr>
              <w:t> </w:t>
            </w:r>
          </w:p>
        </w:tc>
        <w:tc>
          <w:tcPr>
            <w:tcW w:w="1370" w:type="dxa"/>
            <w:tcBorders>
              <w:top w:val="nil"/>
              <w:left w:val="nil"/>
              <w:bottom w:val="nil"/>
              <w:right w:val="nil"/>
            </w:tcBorders>
            <w:shd w:val="clear" w:color="000000" w:fill="FFFFFF"/>
            <w:noWrap/>
            <w:vAlign w:val="bottom"/>
            <w:hideMark/>
          </w:tcPr>
          <w:p w14:paraId="579F8780" w14:textId="77777777" w:rsidR="005D7828" w:rsidRDefault="005D7828" w:rsidP="005D7828">
            <w:pPr>
              <w:rPr>
                <w:sz w:val="22"/>
                <w:szCs w:val="22"/>
              </w:rPr>
            </w:pPr>
            <w:r>
              <w:rPr>
                <w:sz w:val="22"/>
                <w:szCs w:val="22"/>
              </w:rPr>
              <w:t> </w:t>
            </w:r>
          </w:p>
        </w:tc>
        <w:tc>
          <w:tcPr>
            <w:tcW w:w="1628" w:type="dxa"/>
            <w:tcBorders>
              <w:top w:val="nil"/>
              <w:left w:val="nil"/>
              <w:bottom w:val="nil"/>
              <w:right w:val="nil"/>
            </w:tcBorders>
            <w:shd w:val="clear" w:color="000000" w:fill="FFFFFF"/>
            <w:noWrap/>
            <w:vAlign w:val="bottom"/>
            <w:hideMark/>
          </w:tcPr>
          <w:p w14:paraId="1E1E1178" w14:textId="77777777" w:rsidR="005D7828" w:rsidRDefault="005D7828" w:rsidP="005D7828">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14:paraId="0290E584" w14:textId="77777777" w:rsidR="005D7828" w:rsidRDefault="005D7828" w:rsidP="005D7828">
            <w:pPr>
              <w:rPr>
                <w:sz w:val="22"/>
                <w:szCs w:val="22"/>
              </w:rPr>
            </w:pPr>
            <w:r>
              <w:rPr>
                <w:sz w:val="22"/>
                <w:szCs w:val="22"/>
              </w:rPr>
              <w:t> </w:t>
            </w:r>
          </w:p>
        </w:tc>
      </w:tr>
      <w:tr w:rsidR="005D7828" w14:paraId="316CC47E"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1E20BF3C" w14:textId="77777777" w:rsidR="005D7828" w:rsidRDefault="005D7828" w:rsidP="005D7828">
            <w:pPr>
              <w:jc w:val="center"/>
              <w:rPr>
                <w:sz w:val="22"/>
                <w:szCs w:val="22"/>
              </w:rPr>
            </w:pPr>
            <w:r>
              <w:rPr>
                <w:sz w:val="22"/>
                <w:szCs w:val="22"/>
              </w:rPr>
              <w:t>2</w:t>
            </w:r>
          </w:p>
        </w:tc>
        <w:tc>
          <w:tcPr>
            <w:tcW w:w="2764" w:type="dxa"/>
            <w:tcBorders>
              <w:top w:val="nil"/>
              <w:left w:val="nil"/>
              <w:bottom w:val="nil"/>
              <w:right w:val="nil"/>
            </w:tcBorders>
            <w:shd w:val="clear" w:color="000000" w:fill="FFFFFF"/>
            <w:noWrap/>
            <w:vAlign w:val="bottom"/>
            <w:hideMark/>
          </w:tcPr>
          <w:p w14:paraId="6955287E" w14:textId="77777777" w:rsidR="005D7828" w:rsidRDefault="005D7828" w:rsidP="005D7828">
            <w:pPr>
              <w:rPr>
                <w:sz w:val="22"/>
                <w:szCs w:val="22"/>
              </w:rPr>
            </w:pPr>
            <w:r>
              <w:rPr>
                <w:sz w:val="22"/>
                <w:szCs w:val="22"/>
              </w:rPr>
              <w:t xml:space="preserve">    Operation &amp; Maintenance</w:t>
            </w:r>
          </w:p>
        </w:tc>
        <w:tc>
          <w:tcPr>
            <w:tcW w:w="1235" w:type="dxa"/>
            <w:tcBorders>
              <w:top w:val="nil"/>
              <w:left w:val="nil"/>
              <w:bottom w:val="nil"/>
              <w:right w:val="nil"/>
            </w:tcBorders>
            <w:shd w:val="clear" w:color="000000" w:fill="FFFFFF"/>
            <w:noWrap/>
            <w:vAlign w:val="bottom"/>
            <w:hideMark/>
          </w:tcPr>
          <w:p w14:paraId="02FF5437" w14:textId="77777777" w:rsidR="005D7828" w:rsidRDefault="005D7828" w:rsidP="005D7828">
            <w:pPr>
              <w:jc w:val="right"/>
              <w:rPr>
                <w:sz w:val="22"/>
                <w:szCs w:val="22"/>
              </w:rPr>
            </w:pPr>
            <w:r>
              <w:rPr>
                <w:sz w:val="22"/>
                <w:szCs w:val="22"/>
              </w:rPr>
              <w:t>$1,071,003</w:t>
            </w:r>
          </w:p>
        </w:tc>
        <w:tc>
          <w:tcPr>
            <w:tcW w:w="1476" w:type="dxa"/>
            <w:tcBorders>
              <w:top w:val="nil"/>
              <w:left w:val="nil"/>
              <w:bottom w:val="nil"/>
              <w:right w:val="nil"/>
            </w:tcBorders>
            <w:shd w:val="clear" w:color="000000" w:fill="FFFFFF"/>
            <w:noWrap/>
            <w:vAlign w:val="bottom"/>
            <w:hideMark/>
          </w:tcPr>
          <w:p w14:paraId="184E631A" w14:textId="77777777" w:rsidR="005D7828" w:rsidRDefault="005D7828" w:rsidP="005D7828">
            <w:pPr>
              <w:jc w:val="right"/>
              <w:rPr>
                <w:sz w:val="22"/>
                <w:szCs w:val="22"/>
              </w:rPr>
            </w:pPr>
            <w:r>
              <w:rPr>
                <w:sz w:val="22"/>
                <w:szCs w:val="22"/>
              </w:rPr>
              <w:t xml:space="preserve">131,513 </w:t>
            </w:r>
          </w:p>
        </w:tc>
        <w:tc>
          <w:tcPr>
            <w:tcW w:w="1476" w:type="dxa"/>
            <w:tcBorders>
              <w:top w:val="nil"/>
              <w:left w:val="nil"/>
              <w:bottom w:val="nil"/>
              <w:right w:val="nil"/>
            </w:tcBorders>
            <w:shd w:val="clear" w:color="000000" w:fill="FFFFFF"/>
            <w:noWrap/>
            <w:vAlign w:val="bottom"/>
            <w:hideMark/>
          </w:tcPr>
          <w:p w14:paraId="123C9ADE" w14:textId="77777777" w:rsidR="005D7828" w:rsidRDefault="005D7828" w:rsidP="005D7828">
            <w:pPr>
              <w:jc w:val="right"/>
              <w:rPr>
                <w:sz w:val="22"/>
                <w:szCs w:val="22"/>
              </w:rPr>
            </w:pPr>
            <w:r>
              <w:rPr>
                <w:sz w:val="22"/>
                <w:szCs w:val="22"/>
              </w:rPr>
              <w:t>$1,202,516</w:t>
            </w:r>
          </w:p>
        </w:tc>
        <w:tc>
          <w:tcPr>
            <w:tcW w:w="1370" w:type="dxa"/>
            <w:tcBorders>
              <w:top w:val="nil"/>
              <w:left w:val="nil"/>
              <w:bottom w:val="nil"/>
              <w:right w:val="nil"/>
            </w:tcBorders>
            <w:shd w:val="clear" w:color="000000" w:fill="FFFFFF"/>
            <w:noWrap/>
            <w:vAlign w:val="bottom"/>
            <w:hideMark/>
          </w:tcPr>
          <w:p w14:paraId="3A0DE687" w14:textId="77777777" w:rsidR="005D7828" w:rsidRDefault="005D7828" w:rsidP="005D7828">
            <w:pPr>
              <w:rPr>
                <w:sz w:val="22"/>
                <w:szCs w:val="22"/>
              </w:rPr>
            </w:pPr>
            <w:r>
              <w:rPr>
                <w:sz w:val="22"/>
                <w:szCs w:val="22"/>
              </w:rPr>
              <w:t> </w:t>
            </w:r>
          </w:p>
        </w:tc>
        <w:tc>
          <w:tcPr>
            <w:tcW w:w="1628" w:type="dxa"/>
            <w:tcBorders>
              <w:top w:val="nil"/>
              <w:left w:val="nil"/>
              <w:bottom w:val="nil"/>
              <w:right w:val="nil"/>
            </w:tcBorders>
            <w:shd w:val="clear" w:color="000000" w:fill="FFFFFF"/>
            <w:noWrap/>
            <w:vAlign w:val="bottom"/>
            <w:hideMark/>
          </w:tcPr>
          <w:p w14:paraId="4251A581" w14:textId="77777777" w:rsidR="005D7828" w:rsidRDefault="005D7828" w:rsidP="005D7828">
            <w:pPr>
              <w:jc w:val="right"/>
              <w:rPr>
                <w:sz w:val="22"/>
                <w:szCs w:val="22"/>
              </w:rPr>
            </w:pPr>
            <w:r>
              <w:rPr>
                <w:sz w:val="22"/>
                <w:szCs w:val="22"/>
              </w:rPr>
              <w:t>$1,202,516</w:t>
            </w:r>
          </w:p>
        </w:tc>
        <w:tc>
          <w:tcPr>
            <w:tcW w:w="334" w:type="dxa"/>
            <w:tcBorders>
              <w:top w:val="nil"/>
              <w:left w:val="nil"/>
              <w:bottom w:val="nil"/>
              <w:right w:val="single" w:sz="4" w:space="0" w:color="auto"/>
            </w:tcBorders>
            <w:shd w:val="clear" w:color="000000" w:fill="FFFFFF"/>
            <w:noWrap/>
            <w:vAlign w:val="bottom"/>
            <w:hideMark/>
          </w:tcPr>
          <w:p w14:paraId="5147253F" w14:textId="77777777" w:rsidR="005D7828" w:rsidRDefault="005D7828" w:rsidP="005D7828">
            <w:pPr>
              <w:rPr>
                <w:sz w:val="22"/>
                <w:szCs w:val="22"/>
              </w:rPr>
            </w:pPr>
            <w:r>
              <w:rPr>
                <w:sz w:val="22"/>
                <w:szCs w:val="22"/>
              </w:rPr>
              <w:t> </w:t>
            </w:r>
          </w:p>
        </w:tc>
      </w:tr>
      <w:tr w:rsidR="005D7828" w14:paraId="7C812866"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34BAF11D" w14:textId="77777777" w:rsidR="005D7828" w:rsidRDefault="005D7828" w:rsidP="005D7828">
            <w:pPr>
              <w:jc w:val="center"/>
              <w:rPr>
                <w:sz w:val="22"/>
                <w:szCs w:val="22"/>
              </w:rPr>
            </w:pPr>
            <w:r>
              <w:rPr>
                <w:sz w:val="22"/>
                <w:szCs w:val="22"/>
              </w:rPr>
              <w:t> </w:t>
            </w:r>
          </w:p>
        </w:tc>
        <w:tc>
          <w:tcPr>
            <w:tcW w:w="2764" w:type="dxa"/>
            <w:tcBorders>
              <w:top w:val="nil"/>
              <w:left w:val="nil"/>
              <w:bottom w:val="nil"/>
              <w:right w:val="nil"/>
            </w:tcBorders>
            <w:shd w:val="clear" w:color="000000" w:fill="FFFFFF"/>
            <w:noWrap/>
            <w:vAlign w:val="bottom"/>
            <w:hideMark/>
          </w:tcPr>
          <w:p w14:paraId="02C0A920" w14:textId="77777777" w:rsidR="005D7828" w:rsidRDefault="005D7828" w:rsidP="005D7828">
            <w:pPr>
              <w:rPr>
                <w:sz w:val="22"/>
                <w:szCs w:val="22"/>
              </w:rPr>
            </w:pPr>
            <w:r>
              <w:rPr>
                <w:sz w:val="22"/>
                <w:szCs w:val="22"/>
              </w:rPr>
              <w:t> </w:t>
            </w:r>
          </w:p>
        </w:tc>
        <w:tc>
          <w:tcPr>
            <w:tcW w:w="1235" w:type="dxa"/>
            <w:tcBorders>
              <w:top w:val="nil"/>
              <w:left w:val="nil"/>
              <w:bottom w:val="nil"/>
              <w:right w:val="nil"/>
            </w:tcBorders>
            <w:shd w:val="clear" w:color="000000" w:fill="FFFFFF"/>
            <w:noWrap/>
            <w:vAlign w:val="bottom"/>
            <w:hideMark/>
          </w:tcPr>
          <w:p w14:paraId="3424DDF5" w14:textId="77777777" w:rsidR="005D7828" w:rsidRDefault="005D7828" w:rsidP="005D7828">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0563D5BA" w14:textId="77777777" w:rsidR="005D7828" w:rsidRDefault="005D7828" w:rsidP="005D7828">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620B0341" w14:textId="77777777" w:rsidR="005D7828" w:rsidRDefault="005D7828" w:rsidP="005D7828">
            <w:pPr>
              <w:rPr>
                <w:sz w:val="22"/>
                <w:szCs w:val="22"/>
              </w:rPr>
            </w:pPr>
            <w:r>
              <w:rPr>
                <w:sz w:val="22"/>
                <w:szCs w:val="22"/>
              </w:rPr>
              <w:t> </w:t>
            </w:r>
          </w:p>
        </w:tc>
        <w:tc>
          <w:tcPr>
            <w:tcW w:w="1370" w:type="dxa"/>
            <w:tcBorders>
              <w:top w:val="nil"/>
              <w:left w:val="nil"/>
              <w:bottom w:val="nil"/>
              <w:right w:val="nil"/>
            </w:tcBorders>
            <w:shd w:val="clear" w:color="000000" w:fill="FFFFFF"/>
            <w:noWrap/>
            <w:vAlign w:val="bottom"/>
            <w:hideMark/>
          </w:tcPr>
          <w:p w14:paraId="5B88C7C7" w14:textId="77777777" w:rsidR="005D7828" w:rsidRDefault="005D7828" w:rsidP="005D7828">
            <w:pPr>
              <w:rPr>
                <w:sz w:val="22"/>
                <w:szCs w:val="22"/>
              </w:rPr>
            </w:pPr>
            <w:r>
              <w:rPr>
                <w:sz w:val="22"/>
                <w:szCs w:val="22"/>
              </w:rPr>
              <w:t> </w:t>
            </w:r>
          </w:p>
        </w:tc>
        <w:tc>
          <w:tcPr>
            <w:tcW w:w="1628" w:type="dxa"/>
            <w:tcBorders>
              <w:top w:val="nil"/>
              <w:left w:val="nil"/>
              <w:bottom w:val="nil"/>
              <w:right w:val="nil"/>
            </w:tcBorders>
            <w:shd w:val="clear" w:color="000000" w:fill="FFFFFF"/>
            <w:noWrap/>
            <w:vAlign w:val="bottom"/>
            <w:hideMark/>
          </w:tcPr>
          <w:p w14:paraId="2964FE1A" w14:textId="77777777" w:rsidR="005D7828" w:rsidRDefault="005D7828" w:rsidP="005D7828">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14:paraId="2274F900" w14:textId="77777777" w:rsidR="005D7828" w:rsidRDefault="005D7828" w:rsidP="005D7828">
            <w:pPr>
              <w:rPr>
                <w:sz w:val="22"/>
                <w:szCs w:val="22"/>
              </w:rPr>
            </w:pPr>
            <w:r>
              <w:rPr>
                <w:sz w:val="22"/>
                <w:szCs w:val="22"/>
              </w:rPr>
              <w:t> </w:t>
            </w:r>
          </w:p>
        </w:tc>
      </w:tr>
      <w:tr w:rsidR="005D7828" w14:paraId="65CBA4F8"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01F7C220" w14:textId="77777777" w:rsidR="005D7828" w:rsidRDefault="005D7828" w:rsidP="005D7828">
            <w:pPr>
              <w:jc w:val="center"/>
              <w:rPr>
                <w:sz w:val="22"/>
                <w:szCs w:val="22"/>
              </w:rPr>
            </w:pPr>
            <w:r>
              <w:rPr>
                <w:sz w:val="22"/>
                <w:szCs w:val="22"/>
              </w:rPr>
              <w:t>3</w:t>
            </w:r>
          </w:p>
        </w:tc>
        <w:tc>
          <w:tcPr>
            <w:tcW w:w="2764" w:type="dxa"/>
            <w:tcBorders>
              <w:top w:val="nil"/>
              <w:left w:val="nil"/>
              <w:bottom w:val="nil"/>
              <w:right w:val="nil"/>
            </w:tcBorders>
            <w:shd w:val="clear" w:color="000000" w:fill="FFFFFF"/>
            <w:noWrap/>
            <w:vAlign w:val="bottom"/>
            <w:hideMark/>
          </w:tcPr>
          <w:p w14:paraId="18DEFCDA" w14:textId="77777777" w:rsidR="005D7828" w:rsidRDefault="005D7828" w:rsidP="005D7828">
            <w:pPr>
              <w:rPr>
                <w:sz w:val="22"/>
                <w:szCs w:val="22"/>
              </w:rPr>
            </w:pPr>
            <w:r>
              <w:rPr>
                <w:sz w:val="22"/>
                <w:szCs w:val="22"/>
              </w:rPr>
              <w:t xml:space="preserve">    Depreciation</w:t>
            </w:r>
          </w:p>
        </w:tc>
        <w:tc>
          <w:tcPr>
            <w:tcW w:w="1235" w:type="dxa"/>
            <w:tcBorders>
              <w:top w:val="nil"/>
              <w:left w:val="nil"/>
              <w:bottom w:val="nil"/>
              <w:right w:val="nil"/>
            </w:tcBorders>
            <w:shd w:val="clear" w:color="000000" w:fill="FFFFFF"/>
            <w:noWrap/>
            <w:vAlign w:val="bottom"/>
            <w:hideMark/>
          </w:tcPr>
          <w:p w14:paraId="3D96E5A7" w14:textId="77777777" w:rsidR="005D7828" w:rsidRDefault="005D7828" w:rsidP="005D7828">
            <w:pPr>
              <w:jc w:val="right"/>
              <w:rPr>
                <w:sz w:val="22"/>
                <w:szCs w:val="22"/>
              </w:rPr>
            </w:pPr>
            <w:r>
              <w:rPr>
                <w:sz w:val="22"/>
                <w:szCs w:val="22"/>
              </w:rPr>
              <w:t xml:space="preserve">216,798 </w:t>
            </w:r>
          </w:p>
        </w:tc>
        <w:tc>
          <w:tcPr>
            <w:tcW w:w="1476" w:type="dxa"/>
            <w:tcBorders>
              <w:top w:val="nil"/>
              <w:left w:val="nil"/>
              <w:bottom w:val="nil"/>
              <w:right w:val="nil"/>
            </w:tcBorders>
            <w:shd w:val="clear" w:color="000000" w:fill="FFFFFF"/>
            <w:noWrap/>
            <w:vAlign w:val="bottom"/>
            <w:hideMark/>
          </w:tcPr>
          <w:p w14:paraId="60F519D3" w14:textId="77777777" w:rsidR="005D7828" w:rsidRDefault="005D7828" w:rsidP="005D7828">
            <w:pPr>
              <w:jc w:val="right"/>
              <w:rPr>
                <w:sz w:val="22"/>
                <w:szCs w:val="22"/>
              </w:rPr>
            </w:pPr>
            <w:r>
              <w:rPr>
                <w:sz w:val="22"/>
                <w:szCs w:val="22"/>
              </w:rPr>
              <w:t>(59,866)</w:t>
            </w:r>
          </w:p>
        </w:tc>
        <w:tc>
          <w:tcPr>
            <w:tcW w:w="1476" w:type="dxa"/>
            <w:tcBorders>
              <w:top w:val="nil"/>
              <w:left w:val="nil"/>
              <w:bottom w:val="nil"/>
              <w:right w:val="nil"/>
            </w:tcBorders>
            <w:shd w:val="clear" w:color="000000" w:fill="FFFFFF"/>
            <w:noWrap/>
            <w:vAlign w:val="bottom"/>
            <w:hideMark/>
          </w:tcPr>
          <w:p w14:paraId="35EC8B8B" w14:textId="77777777" w:rsidR="005D7828" w:rsidRDefault="005D7828" w:rsidP="005D7828">
            <w:pPr>
              <w:jc w:val="right"/>
              <w:rPr>
                <w:sz w:val="22"/>
                <w:szCs w:val="22"/>
              </w:rPr>
            </w:pPr>
            <w:r>
              <w:rPr>
                <w:sz w:val="22"/>
                <w:szCs w:val="22"/>
              </w:rPr>
              <w:t xml:space="preserve">156,932 </w:t>
            </w:r>
          </w:p>
        </w:tc>
        <w:tc>
          <w:tcPr>
            <w:tcW w:w="1370" w:type="dxa"/>
            <w:tcBorders>
              <w:top w:val="nil"/>
              <w:left w:val="nil"/>
              <w:bottom w:val="nil"/>
              <w:right w:val="nil"/>
            </w:tcBorders>
            <w:shd w:val="clear" w:color="000000" w:fill="FFFFFF"/>
            <w:noWrap/>
            <w:vAlign w:val="bottom"/>
            <w:hideMark/>
          </w:tcPr>
          <w:p w14:paraId="4EB22FCF" w14:textId="77777777" w:rsidR="005D7828" w:rsidRDefault="005D7828" w:rsidP="005D7828">
            <w:pPr>
              <w:rPr>
                <w:sz w:val="22"/>
                <w:szCs w:val="22"/>
              </w:rPr>
            </w:pPr>
            <w:r>
              <w:rPr>
                <w:sz w:val="22"/>
                <w:szCs w:val="22"/>
              </w:rPr>
              <w:t> </w:t>
            </w:r>
          </w:p>
        </w:tc>
        <w:tc>
          <w:tcPr>
            <w:tcW w:w="1628" w:type="dxa"/>
            <w:tcBorders>
              <w:top w:val="nil"/>
              <w:left w:val="nil"/>
              <w:bottom w:val="nil"/>
              <w:right w:val="nil"/>
            </w:tcBorders>
            <w:shd w:val="clear" w:color="000000" w:fill="FFFFFF"/>
            <w:noWrap/>
            <w:vAlign w:val="bottom"/>
            <w:hideMark/>
          </w:tcPr>
          <w:p w14:paraId="24E0E9A6" w14:textId="77777777" w:rsidR="005D7828" w:rsidRDefault="005D7828" w:rsidP="005D7828">
            <w:pPr>
              <w:jc w:val="right"/>
              <w:rPr>
                <w:sz w:val="22"/>
                <w:szCs w:val="22"/>
              </w:rPr>
            </w:pPr>
            <w:r>
              <w:rPr>
                <w:sz w:val="22"/>
                <w:szCs w:val="22"/>
              </w:rPr>
              <w:t xml:space="preserve">156,932 </w:t>
            </w:r>
          </w:p>
        </w:tc>
        <w:tc>
          <w:tcPr>
            <w:tcW w:w="334" w:type="dxa"/>
            <w:tcBorders>
              <w:top w:val="nil"/>
              <w:left w:val="nil"/>
              <w:bottom w:val="nil"/>
              <w:right w:val="single" w:sz="4" w:space="0" w:color="auto"/>
            </w:tcBorders>
            <w:shd w:val="clear" w:color="000000" w:fill="FFFFFF"/>
            <w:noWrap/>
            <w:vAlign w:val="bottom"/>
            <w:hideMark/>
          </w:tcPr>
          <w:p w14:paraId="637049CA" w14:textId="77777777" w:rsidR="005D7828" w:rsidRDefault="005D7828" w:rsidP="005D7828">
            <w:pPr>
              <w:rPr>
                <w:sz w:val="22"/>
                <w:szCs w:val="22"/>
              </w:rPr>
            </w:pPr>
            <w:r>
              <w:rPr>
                <w:sz w:val="22"/>
                <w:szCs w:val="22"/>
              </w:rPr>
              <w:t> </w:t>
            </w:r>
          </w:p>
        </w:tc>
      </w:tr>
      <w:tr w:rsidR="005D7828" w14:paraId="1CD85944"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5084AF16" w14:textId="77777777" w:rsidR="005D7828" w:rsidRDefault="005D7828" w:rsidP="005D7828">
            <w:pPr>
              <w:jc w:val="center"/>
              <w:rPr>
                <w:sz w:val="22"/>
                <w:szCs w:val="22"/>
              </w:rPr>
            </w:pPr>
            <w:r>
              <w:rPr>
                <w:sz w:val="22"/>
                <w:szCs w:val="22"/>
              </w:rPr>
              <w:t> </w:t>
            </w:r>
          </w:p>
        </w:tc>
        <w:tc>
          <w:tcPr>
            <w:tcW w:w="2764" w:type="dxa"/>
            <w:tcBorders>
              <w:top w:val="nil"/>
              <w:left w:val="nil"/>
              <w:bottom w:val="nil"/>
              <w:right w:val="nil"/>
            </w:tcBorders>
            <w:shd w:val="clear" w:color="000000" w:fill="FFFFFF"/>
            <w:noWrap/>
            <w:vAlign w:val="bottom"/>
            <w:hideMark/>
          </w:tcPr>
          <w:p w14:paraId="0D3DB58A" w14:textId="77777777" w:rsidR="005D7828" w:rsidRDefault="005D7828" w:rsidP="005D7828">
            <w:pPr>
              <w:rPr>
                <w:sz w:val="22"/>
                <w:szCs w:val="22"/>
              </w:rPr>
            </w:pPr>
            <w:r>
              <w:rPr>
                <w:sz w:val="22"/>
                <w:szCs w:val="22"/>
              </w:rPr>
              <w:t> </w:t>
            </w:r>
          </w:p>
        </w:tc>
        <w:tc>
          <w:tcPr>
            <w:tcW w:w="1235" w:type="dxa"/>
            <w:tcBorders>
              <w:top w:val="nil"/>
              <w:left w:val="nil"/>
              <w:bottom w:val="nil"/>
              <w:right w:val="nil"/>
            </w:tcBorders>
            <w:shd w:val="clear" w:color="000000" w:fill="FFFFFF"/>
            <w:noWrap/>
            <w:vAlign w:val="bottom"/>
            <w:hideMark/>
          </w:tcPr>
          <w:p w14:paraId="136A1ABE" w14:textId="77777777" w:rsidR="005D7828" w:rsidRDefault="005D7828" w:rsidP="005D7828">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6890B9EC" w14:textId="77777777" w:rsidR="005D7828" w:rsidRDefault="005D7828" w:rsidP="005D7828">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133976D7" w14:textId="77777777" w:rsidR="005D7828" w:rsidRDefault="005D7828" w:rsidP="005D7828">
            <w:pPr>
              <w:rPr>
                <w:sz w:val="22"/>
                <w:szCs w:val="22"/>
              </w:rPr>
            </w:pPr>
            <w:r>
              <w:rPr>
                <w:sz w:val="22"/>
                <w:szCs w:val="22"/>
              </w:rPr>
              <w:t> </w:t>
            </w:r>
          </w:p>
        </w:tc>
        <w:tc>
          <w:tcPr>
            <w:tcW w:w="1370" w:type="dxa"/>
            <w:tcBorders>
              <w:top w:val="nil"/>
              <w:left w:val="nil"/>
              <w:bottom w:val="nil"/>
              <w:right w:val="nil"/>
            </w:tcBorders>
            <w:shd w:val="clear" w:color="000000" w:fill="FFFFFF"/>
            <w:noWrap/>
            <w:vAlign w:val="bottom"/>
            <w:hideMark/>
          </w:tcPr>
          <w:p w14:paraId="1E90E35C" w14:textId="77777777" w:rsidR="005D7828" w:rsidRDefault="005D7828" w:rsidP="005D7828">
            <w:pPr>
              <w:rPr>
                <w:sz w:val="22"/>
                <w:szCs w:val="22"/>
              </w:rPr>
            </w:pPr>
            <w:r>
              <w:rPr>
                <w:sz w:val="22"/>
                <w:szCs w:val="22"/>
              </w:rPr>
              <w:t> </w:t>
            </w:r>
          </w:p>
        </w:tc>
        <w:tc>
          <w:tcPr>
            <w:tcW w:w="1628" w:type="dxa"/>
            <w:tcBorders>
              <w:top w:val="nil"/>
              <w:left w:val="nil"/>
              <w:bottom w:val="nil"/>
              <w:right w:val="nil"/>
            </w:tcBorders>
            <w:shd w:val="clear" w:color="000000" w:fill="FFFFFF"/>
            <w:noWrap/>
            <w:vAlign w:val="bottom"/>
            <w:hideMark/>
          </w:tcPr>
          <w:p w14:paraId="376EFE50" w14:textId="77777777" w:rsidR="005D7828" w:rsidRDefault="005D7828" w:rsidP="005D7828">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14:paraId="381F1E40" w14:textId="77777777" w:rsidR="005D7828" w:rsidRDefault="005D7828" w:rsidP="005D7828">
            <w:pPr>
              <w:rPr>
                <w:sz w:val="22"/>
                <w:szCs w:val="22"/>
              </w:rPr>
            </w:pPr>
            <w:r>
              <w:rPr>
                <w:sz w:val="22"/>
                <w:szCs w:val="22"/>
              </w:rPr>
              <w:t> </w:t>
            </w:r>
          </w:p>
        </w:tc>
      </w:tr>
      <w:tr w:rsidR="005D7828" w14:paraId="7599ACB1"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32E53B47" w14:textId="77777777" w:rsidR="005D7828" w:rsidRDefault="005D7828" w:rsidP="005D7828">
            <w:pPr>
              <w:jc w:val="center"/>
              <w:rPr>
                <w:sz w:val="22"/>
                <w:szCs w:val="22"/>
              </w:rPr>
            </w:pPr>
            <w:r>
              <w:rPr>
                <w:sz w:val="22"/>
                <w:szCs w:val="22"/>
              </w:rPr>
              <w:t>4</w:t>
            </w:r>
          </w:p>
        </w:tc>
        <w:tc>
          <w:tcPr>
            <w:tcW w:w="2764" w:type="dxa"/>
            <w:tcBorders>
              <w:top w:val="nil"/>
              <w:left w:val="nil"/>
              <w:bottom w:val="nil"/>
              <w:right w:val="nil"/>
            </w:tcBorders>
            <w:shd w:val="clear" w:color="000000" w:fill="FFFFFF"/>
            <w:noWrap/>
            <w:vAlign w:val="bottom"/>
            <w:hideMark/>
          </w:tcPr>
          <w:p w14:paraId="1F1FE7C4" w14:textId="77777777" w:rsidR="005D7828" w:rsidRDefault="005D7828" w:rsidP="005D7828">
            <w:pPr>
              <w:rPr>
                <w:sz w:val="22"/>
                <w:szCs w:val="22"/>
              </w:rPr>
            </w:pPr>
            <w:r>
              <w:rPr>
                <w:sz w:val="22"/>
                <w:szCs w:val="22"/>
              </w:rPr>
              <w:t xml:space="preserve">    Amortization</w:t>
            </w:r>
          </w:p>
        </w:tc>
        <w:tc>
          <w:tcPr>
            <w:tcW w:w="1235" w:type="dxa"/>
            <w:tcBorders>
              <w:top w:val="nil"/>
              <w:left w:val="nil"/>
              <w:bottom w:val="nil"/>
              <w:right w:val="nil"/>
            </w:tcBorders>
            <w:shd w:val="clear" w:color="000000" w:fill="FFFFFF"/>
            <w:noWrap/>
            <w:vAlign w:val="bottom"/>
            <w:hideMark/>
          </w:tcPr>
          <w:p w14:paraId="260AFCEE" w14:textId="77777777" w:rsidR="005D7828" w:rsidRDefault="005D7828" w:rsidP="005D7828">
            <w:pPr>
              <w:jc w:val="right"/>
              <w:rPr>
                <w:sz w:val="22"/>
                <w:szCs w:val="22"/>
              </w:rPr>
            </w:pPr>
            <w:r>
              <w:rPr>
                <w:sz w:val="22"/>
                <w:szCs w:val="22"/>
              </w:rPr>
              <w:t xml:space="preserve">17,644 </w:t>
            </w:r>
          </w:p>
        </w:tc>
        <w:tc>
          <w:tcPr>
            <w:tcW w:w="1476" w:type="dxa"/>
            <w:tcBorders>
              <w:top w:val="nil"/>
              <w:left w:val="nil"/>
              <w:bottom w:val="nil"/>
              <w:right w:val="nil"/>
            </w:tcBorders>
            <w:shd w:val="clear" w:color="000000" w:fill="FFFFFF"/>
            <w:noWrap/>
            <w:vAlign w:val="bottom"/>
            <w:hideMark/>
          </w:tcPr>
          <w:p w14:paraId="0E960F2E" w14:textId="77777777" w:rsidR="005D7828" w:rsidRDefault="005D7828" w:rsidP="005D7828">
            <w:pPr>
              <w:jc w:val="right"/>
              <w:rPr>
                <w:sz w:val="22"/>
                <w:szCs w:val="22"/>
              </w:rPr>
            </w:pPr>
            <w:r>
              <w:rPr>
                <w:sz w:val="22"/>
                <w:szCs w:val="22"/>
              </w:rPr>
              <w:t xml:space="preserve">1,349 </w:t>
            </w:r>
          </w:p>
        </w:tc>
        <w:tc>
          <w:tcPr>
            <w:tcW w:w="1476" w:type="dxa"/>
            <w:tcBorders>
              <w:top w:val="nil"/>
              <w:left w:val="nil"/>
              <w:bottom w:val="nil"/>
              <w:right w:val="nil"/>
            </w:tcBorders>
            <w:shd w:val="clear" w:color="000000" w:fill="FFFFFF"/>
            <w:noWrap/>
            <w:vAlign w:val="bottom"/>
            <w:hideMark/>
          </w:tcPr>
          <w:p w14:paraId="2DD10D96" w14:textId="77777777" w:rsidR="005D7828" w:rsidRDefault="005D7828" w:rsidP="005D7828">
            <w:pPr>
              <w:jc w:val="right"/>
              <w:rPr>
                <w:sz w:val="22"/>
                <w:szCs w:val="22"/>
              </w:rPr>
            </w:pPr>
            <w:r>
              <w:rPr>
                <w:sz w:val="22"/>
                <w:szCs w:val="22"/>
              </w:rPr>
              <w:t xml:space="preserve">18,993 </w:t>
            </w:r>
          </w:p>
        </w:tc>
        <w:tc>
          <w:tcPr>
            <w:tcW w:w="1370" w:type="dxa"/>
            <w:tcBorders>
              <w:top w:val="nil"/>
              <w:left w:val="nil"/>
              <w:bottom w:val="nil"/>
              <w:right w:val="nil"/>
            </w:tcBorders>
            <w:shd w:val="clear" w:color="000000" w:fill="FFFFFF"/>
            <w:noWrap/>
            <w:vAlign w:val="bottom"/>
            <w:hideMark/>
          </w:tcPr>
          <w:p w14:paraId="4802FDF9" w14:textId="77777777" w:rsidR="005D7828" w:rsidRDefault="005D7828" w:rsidP="005D7828">
            <w:pPr>
              <w:rPr>
                <w:sz w:val="22"/>
                <w:szCs w:val="22"/>
              </w:rPr>
            </w:pPr>
            <w:r>
              <w:rPr>
                <w:sz w:val="22"/>
                <w:szCs w:val="22"/>
              </w:rPr>
              <w:t> </w:t>
            </w:r>
          </w:p>
        </w:tc>
        <w:tc>
          <w:tcPr>
            <w:tcW w:w="1628" w:type="dxa"/>
            <w:tcBorders>
              <w:top w:val="nil"/>
              <w:left w:val="nil"/>
              <w:bottom w:val="nil"/>
              <w:right w:val="nil"/>
            </w:tcBorders>
            <w:shd w:val="clear" w:color="000000" w:fill="FFFFFF"/>
            <w:noWrap/>
            <w:vAlign w:val="bottom"/>
            <w:hideMark/>
          </w:tcPr>
          <w:p w14:paraId="35D60210" w14:textId="77777777" w:rsidR="005D7828" w:rsidRDefault="005D7828" w:rsidP="005D7828">
            <w:pPr>
              <w:jc w:val="right"/>
              <w:rPr>
                <w:sz w:val="22"/>
                <w:szCs w:val="22"/>
              </w:rPr>
            </w:pPr>
            <w:r>
              <w:rPr>
                <w:sz w:val="22"/>
                <w:szCs w:val="22"/>
              </w:rPr>
              <w:t xml:space="preserve">18,993 </w:t>
            </w:r>
          </w:p>
        </w:tc>
        <w:tc>
          <w:tcPr>
            <w:tcW w:w="334" w:type="dxa"/>
            <w:tcBorders>
              <w:top w:val="nil"/>
              <w:left w:val="nil"/>
              <w:bottom w:val="nil"/>
              <w:right w:val="single" w:sz="4" w:space="0" w:color="auto"/>
            </w:tcBorders>
            <w:shd w:val="clear" w:color="000000" w:fill="FFFFFF"/>
            <w:noWrap/>
            <w:vAlign w:val="bottom"/>
            <w:hideMark/>
          </w:tcPr>
          <w:p w14:paraId="6E19FA06" w14:textId="77777777" w:rsidR="005D7828" w:rsidRDefault="005D7828" w:rsidP="005D7828">
            <w:pPr>
              <w:rPr>
                <w:sz w:val="22"/>
                <w:szCs w:val="22"/>
              </w:rPr>
            </w:pPr>
            <w:r>
              <w:rPr>
                <w:sz w:val="22"/>
                <w:szCs w:val="22"/>
              </w:rPr>
              <w:t> </w:t>
            </w:r>
          </w:p>
        </w:tc>
      </w:tr>
      <w:tr w:rsidR="005D7828" w14:paraId="01A60AE7"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2382ED86" w14:textId="77777777" w:rsidR="005D7828" w:rsidRDefault="005D7828" w:rsidP="005D7828">
            <w:pPr>
              <w:jc w:val="center"/>
              <w:rPr>
                <w:sz w:val="22"/>
                <w:szCs w:val="22"/>
              </w:rPr>
            </w:pPr>
            <w:r>
              <w:rPr>
                <w:sz w:val="22"/>
                <w:szCs w:val="22"/>
              </w:rPr>
              <w:t> </w:t>
            </w:r>
          </w:p>
        </w:tc>
        <w:tc>
          <w:tcPr>
            <w:tcW w:w="2764" w:type="dxa"/>
            <w:tcBorders>
              <w:top w:val="nil"/>
              <w:left w:val="nil"/>
              <w:bottom w:val="nil"/>
              <w:right w:val="nil"/>
            </w:tcBorders>
            <w:shd w:val="clear" w:color="000000" w:fill="FFFFFF"/>
            <w:noWrap/>
            <w:vAlign w:val="bottom"/>
            <w:hideMark/>
          </w:tcPr>
          <w:p w14:paraId="70DF04D2" w14:textId="77777777" w:rsidR="005D7828" w:rsidRDefault="005D7828" w:rsidP="005D7828">
            <w:pPr>
              <w:rPr>
                <w:sz w:val="22"/>
                <w:szCs w:val="22"/>
              </w:rPr>
            </w:pPr>
            <w:r>
              <w:rPr>
                <w:sz w:val="22"/>
                <w:szCs w:val="22"/>
              </w:rPr>
              <w:t> </w:t>
            </w:r>
          </w:p>
        </w:tc>
        <w:tc>
          <w:tcPr>
            <w:tcW w:w="1235" w:type="dxa"/>
            <w:tcBorders>
              <w:top w:val="nil"/>
              <w:left w:val="nil"/>
              <w:bottom w:val="nil"/>
              <w:right w:val="nil"/>
            </w:tcBorders>
            <w:shd w:val="clear" w:color="000000" w:fill="FFFFFF"/>
            <w:noWrap/>
            <w:vAlign w:val="bottom"/>
            <w:hideMark/>
          </w:tcPr>
          <w:p w14:paraId="36C8CFA5" w14:textId="77777777" w:rsidR="005D7828" w:rsidRDefault="005D7828" w:rsidP="005D7828">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50D2C163" w14:textId="77777777" w:rsidR="005D7828" w:rsidRDefault="005D7828" w:rsidP="005D7828">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4051C1A4" w14:textId="77777777" w:rsidR="005D7828" w:rsidRDefault="005D7828" w:rsidP="005D7828">
            <w:pPr>
              <w:rPr>
                <w:sz w:val="22"/>
                <w:szCs w:val="22"/>
              </w:rPr>
            </w:pPr>
            <w:r>
              <w:rPr>
                <w:sz w:val="22"/>
                <w:szCs w:val="22"/>
              </w:rPr>
              <w:t> </w:t>
            </w:r>
          </w:p>
        </w:tc>
        <w:tc>
          <w:tcPr>
            <w:tcW w:w="1370" w:type="dxa"/>
            <w:tcBorders>
              <w:top w:val="nil"/>
              <w:left w:val="nil"/>
              <w:bottom w:val="nil"/>
              <w:right w:val="nil"/>
            </w:tcBorders>
            <w:shd w:val="clear" w:color="000000" w:fill="FFFFFF"/>
            <w:noWrap/>
            <w:vAlign w:val="bottom"/>
            <w:hideMark/>
          </w:tcPr>
          <w:p w14:paraId="1B7E7FC8" w14:textId="77777777" w:rsidR="005D7828" w:rsidRDefault="005D7828" w:rsidP="005D7828">
            <w:pPr>
              <w:rPr>
                <w:sz w:val="22"/>
                <w:szCs w:val="22"/>
              </w:rPr>
            </w:pPr>
            <w:r>
              <w:rPr>
                <w:sz w:val="22"/>
                <w:szCs w:val="22"/>
              </w:rPr>
              <w:t> </w:t>
            </w:r>
          </w:p>
        </w:tc>
        <w:tc>
          <w:tcPr>
            <w:tcW w:w="1628" w:type="dxa"/>
            <w:tcBorders>
              <w:top w:val="nil"/>
              <w:left w:val="nil"/>
              <w:bottom w:val="nil"/>
              <w:right w:val="nil"/>
            </w:tcBorders>
            <w:shd w:val="clear" w:color="000000" w:fill="FFFFFF"/>
            <w:noWrap/>
            <w:vAlign w:val="bottom"/>
            <w:hideMark/>
          </w:tcPr>
          <w:p w14:paraId="5EF8CEE8" w14:textId="77777777" w:rsidR="005D7828" w:rsidRDefault="005D7828" w:rsidP="005D7828">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14:paraId="0A267D6A" w14:textId="77777777" w:rsidR="005D7828" w:rsidRDefault="005D7828" w:rsidP="005D7828">
            <w:pPr>
              <w:rPr>
                <w:sz w:val="22"/>
                <w:szCs w:val="22"/>
              </w:rPr>
            </w:pPr>
            <w:r>
              <w:rPr>
                <w:sz w:val="22"/>
                <w:szCs w:val="22"/>
              </w:rPr>
              <w:t> </w:t>
            </w:r>
          </w:p>
        </w:tc>
      </w:tr>
      <w:tr w:rsidR="005D7828" w14:paraId="1C96B6D7"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59FCE6A8" w14:textId="77777777" w:rsidR="005D7828" w:rsidRDefault="005D7828" w:rsidP="005D7828">
            <w:pPr>
              <w:jc w:val="center"/>
              <w:rPr>
                <w:sz w:val="22"/>
                <w:szCs w:val="22"/>
              </w:rPr>
            </w:pPr>
            <w:r>
              <w:rPr>
                <w:sz w:val="22"/>
                <w:szCs w:val="22"/>
              </w:rPr>
              <w:t>5</w:t>
            </w:r>
          </w:p>
        </w:tc>
        <w:tc>
          <w:tcPr>
            <w:tcW w:w="2764" w:type="dxa"/>
            <w:tcBorders>
              <w:top w:val="nil"/>
              <w:left w:val="nil"/>
              <w:bottom w:val="nil"/>
              <w:right w:val="nil"/>
            </w:tcBorders>
            <w:shd w:val="clear" w:color="000000" w:fill="FFFFFF"/>
            <w:noWrap/>
            <w:vAlign w:val="bottom"/>
            <w:hideMark/>
          </w:tcPr>
          <w:p w14:paraId="56299159" w14:textId="77777777" w:rsidR="005D7828" w:rsidRDefault="005D7828" w:rsidP="005D7828">
            <w:pPr>
              <w:rPr>
                <w:sz w:val="22"/>
                <w:szCs w:val="22"/>
              </w:rPr>
            </w:pPr>
            <w:r>
              <w:rPr>
                <w:sz w:val="22"/>
                <w:szCs w:val="22"/>
              </w:rPr>
              <w:t xml:space="preserve">    Taxes Other Than Income</w:t>
            </w:r>
          </w:p>
        </w:tc>
        <w:tc>
          <w:tcPr>
            <w:tcW w:w="1235" w:type="dxa"/>
            <w:tcBorders>
              <w:top w:val="nil"/>
              <w:left w:val="nil"/>
              <w:bottom w:val="nil"/>
              <w:right w:val="nil"/>
            </w:tcBorders>
            <w:shd w:val="clear" w:color="000000" w:fill="FFFFFF"/>
            <w:noWrap/>
            <w:vAlign w:val="bottom"/>
            <w:hideMark/>
          </w:tcPr>
          <w:p w14:paraId="13B9F23B" w14:textId="77777777" w:rsidR="005D7828" w:rsidRDefault="005D7828" w:rsidP="005D7828">
            <w:pPr>
              <w:jc w:val="right"/>
              <w:rPr>
                <w:sz w:val="22"/>
                <w:szCs w:val="22"/>
              </w:rPr>
            </w:pPr>
            <w:r>
              <w:rPr>
                <w:sz w:val="22"/>
                <w:szCs w:val="22"/>
              </w:rPr>
              <w:t xml:space="preserve">245,479 </w:t>
            </w:r>
          </w:p>
        </w:tc>
        <w:tc>
          <w:tcPr>
            <w:tcW w:w="1476" w:type="dxa"/>
            <w:tcBorders>
              <w:top w:val="nil"/>
              <w:left w:val="nil"/>
              <w:bottom w:val="nil"/>
              <w:right w:val="nil"/>
            </w:tcBorders>
            <w:shd w:val="clear" w:color="000000" w:fill="FFFFFF"/>
            <w:noWrap/>
            <w:vAlign w:val="bottom"/>
            <w:hideMark/>
          </w:tcPr>
          <w:p w14:paraId="5F8E6E50" w14:textId="77777777" w:rsidR="005D7828" w:rsidRDefault="005D7828" w:rsidP="005D7828">
            <w:pPr>
              <w:jc w:val="right"/>
              <w:rPr>
                <w:sz w:val="22"/>
                <w:szCs w:val="22"/>
              </w:rPr>
            </w:pPr>
            <w:r>
              <w:rPr>
                <w:sz w:val="22"/>
                <w:szCs w:val="22"/>
              </w:rPr>
              <w:t xml:space="preserve">(6,335) </w:t>
            </w:r>
          </w:p>
        </w:tc>
        <w:tc>
          <w:tcPr>
            <w:tcW w:w="1476" w:type="dxa"/>
            <w:tcBorders>
              <w:top w:val="nil"/>
              <w:left w:val="nil"/>
              <w:bottom w:val="nil"/>
              <w:right w:val="nil"/>
            </w:tcBorders>
            <w:shd w:val="clear" w:color="000000" w:fill="FFFFFF"/>
            <w:noWrap/>
            <w:vAlign w:val="bottom"/>
            <w:hideMark/>
          </w:tcPr>
          <w:p w14:paraId="762AEBB2" w14:textId="77777777" w:rsidR="005D7828" w:rsidRDefault="005D7828" w:rsidP="005D7828">
            <w:pPr>
              <w:jc w:val="right"/>
              <w:rPr>
                <w:sz w:val="22"/>
                <w:szCs w:val="22"/>
              </w:rPr>
            </w:pPr>
            <w:r>
              <w:rPr>
                <w:sz w:val="22"/>
                <w:szCs w:val="22"/>
              </w:rPr>
              <w:t xml:space="preserve">239,144 </w:t>
            </w:r>
          </w:p>
        </w:tc>
        <w:tc>
          <w:tcPr>
            <w:tcW w:w="1370" w:type="dxa"/>
            <w:tcBorders>
              <w:top w:val="nil"/>
              <w:left w:val="nil"/>
              <w:bottom w:val="nil"/>
              <w:right w:val="nil"/>
            </w:tcBorders>
            <w:shd w:val="clear" w:color="000000" w:fill="FFFFFF"/>
            <w:noWrap/>
            <w:vAlign w:val="bottom"/>
            <w:hideMark/>
          </w:tcPr>
          <w:p w14:paraId="67A0F66F" w14:textId="77777777" w:rsidR="005D7828" w:rsidRDefault="005D7828" w:rsidP="005D7828">
            <w:pPr>
              <w:jc w:val="right"/>
              <w:rPr>
                <w:sz w:val="22"/>
                <w:szCs w:val="22"/>
              </w:rPr>
            </w:pPr>
            <w:r>
              <w:rPr>
                <w:sz w:val="22"/>
                <w:szCs w:val="22"/>
              </w:rPr>
              <w:t xml:space="preserve">(90) </w:t>
            </w:r>
          </w:p>
        </w:tc>
        <w:tc>
          <w:tcPr>
            <w:tcW w:w="1628" w:type="dxa"/>
            <w:tcBorders>
              <w:top w:val="nil"/>
              <w:left w:val="nil"/>
              <w:bottom w:val="nil"/>
              <w:right w:val="nil"/>
            </w:tcBorders>
            <w:shd w:val="clear" w:color="000000" w:fill="FFFFFF"/>
            <w:noWrap/>
            <w:vAlign w:val="bottom"/>
            <w:hideMark/>
          </w:tcPr>
          <w:p w14:paraId="251AFA62" w14:textId="77777777" w:rsidR="005D7828" w:rsidRDefault="005D7828" w:rsidP="005D7828">
            <w:pPr>
              <w:jc w:val="right"/>
              <w:rPr>
                <w:sz w:val="22"/>
                <w:szCs w:val="22"/>
              </w:rPr>
            </w:pPr>
            <w:r>
              <w:rPr>
                <w:sz w:val="22"/>
                <w:szCs w:val="22"/>
              </w:rPr>
              <w:t xml:space="preserve">239,053 </w:t>
            </w:r>
          </w:p>
        </w:tc>
        <w:tc>
          <w:tcPr>
            <w:tcW w:w="334" w:type="dxa"/>
            <w:tcBorders>
              <w:top w:val="nil"/>
              <w:left w:val="nil"/>
              <w:bottom w:val="nil"/>
              <w:right w:val="single" w:sz="4" w:space="0" w:color="auto"/>
            </w:tcBorders>
            <w:shd w:val="clear" w:color="000000" w:fill="FFFFFF"/>
            <w:noWrap/>
            <w:vAlign w:val="bottom"/>
            <w:hideMark/>
          </w:tcPr>
          <w:p w14:paraId="17045753" w14:textId="77777777" w:rsidR="005D7828" w:rsidRDefault="005D7828" w:rsidP="005D7828">
            <w:pPr>
              <w:rPr>
                <w:sz w:val="22"/>
                <w:szCs w:val="22"/>
              </w:rPr>
            </w:pPr>
            <w:r>
              <w:rPr>
                <w:sz w:val="22"/>
                <w:szCs w:val="22"/>
              </w:rPr>
              <w:t> </w:t>
            </w:r>
          </w:p>
        </w:tc>
      </w:tr>
      <w:tr w:rsidR="005D7828" w14:paraId="1CE9C738"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5CF1059C" w14:textId="77777777" w:rsidR="005D7828" w:rsidRDefault="005D7828" w:rsidP="005D7828">
            <w:pPr>
              <w:jc w:val="center"/>
              <w:rPr>
                <w:sz w:val="22"/>
                <w:szCs w:val="22"/>
              </w:rPr>
            </w:pPr>
            <w:r>
              <w:rPr>
                <w:sz w:val="22"/>
                <w:szCs w:val="22"/>
              </w:rPr>
              <w:t> </w:t>
            </w:r>
          </w:p>
        </w:tc>
        <w:tc>
          <w:tcPr>
            <w:tcW w:w="2764" w:type="dxa"/>
            <w:tcBorders>
              <w:top w:val="nil"/>
              <w:left w:val="nil"/>
              <w:bottom w:val="nil"/>
              <w:right w:val="nil"/>
            </w:tcBorders>
            <w:shd w:val="clear" w:color="000000" w:fill="FFFFFF"/>
            <w:noWrap/>
            <w:vAlign w:val="bottom"/>
            <w:hideMark/>
          </w:tcPr>
          <w:p w14:paraId="257111A8" w14:textId="77777777" w:rsidR="005D7828" w:rsidRDefault="005D7828" w:rsidP="005D7828">
            <w:pPr>
              <w:rPr>
                <w:sz w:val="22"/>
                <w:szCs w:val="22"/>
              </w:rPr>
            </w:pPr>
            <w:r>
              <w:rPr>
                <w:sz w:val="22"/>
                <w:szCs w:val="22"/>
              </w:rPr>
              <w:t> </w:t>
            </w:r>
          </w:p>
        </w:tc>
        <w:tc>
          <w:tcPr>
            <w:tcW w:w="1235" w:type="dxa"/>
            <w:tcBorders>
              <w:top w:val="nil"/>
              <w:left w:val="nil"/>
              <w:bottom w:val="nil"/>
              <w:right w:val="nil"/>
            </w:tcBorders>
            <w:shd w:val="clear" w:color="000000" w:fill="FFFFFF"/>
            <w:noWrap/>
            <w:vAlign w:val="bottom"/>
            <w:hideMark/>
          </w:tcPr>
          <w:p w14:paraId="7DBF27A7" w14:textId="77777777" w:rsidR="005D7828" w:rsidRDefault="005D7828" w:rsidP="005D7828">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296138C4" w14:textId="77777777" w:rsidR="005D7828" w:rsidRDefault="005D7828" w:rsidP="005D7828">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11CB7DDD" w14:textId="77777777" w:rsidR="005D7828" w:rsidRDefault="005D7828" w:rsidP="005D7828">
            <w:pPr>
              <w:rPr>
                <w:sz w:val="22"/>
                <w:szCs w:val="22"/>
              </w:rPr>
            </w:pPr>
            <w:r>
              <w:rPr>
                <w:sz w:val="22"/>
                <w:szCs w:val="22"/>
              </w:rPr>
              <w:t> </w:t>
            </w:r>
          </w:p>
        </w:tc>
        <w:tc>
          <w:tcPr>
            <w:tcW w:w="1370" w:type="dxa"/>
            <w:tcBorders>
              <w:top w:val="nil"/>
              <w:left w:val="nil"/>
              <w:bottom w:val="nil"/>
              <w:right w:val="nil"/>
            </w:tcBorders>
            <w:shd w:val="clear" w:color="000000" w:fill="FFFFFF"/>
            <w:noWrap/>
            <w:vAlign w:val="bottom"/>
            <w:hideMark/>
          </w:tcPr>
          <w:p w14:paraId="46A845C6" w14:textId="77777777" w:rsidR="005D7828" w:rsidRDefault="005D7828" w:rsidP="005D7828">
            <w:pPr>
              <w:rPr>
                <w:sz w:val="22"/>
                <w:szCs w:val="22"/>
              </w:rPr>
            </w:pPr>
            <w:r>
              <w:rPr>
                <w:sz w:val="22"/>
                <w:szCs w:val="22"/>
              </w:rPr>
              <w:t> </w:t>
            </w:r>
          </w:p>
        </w:tc>
        <w:tc>
          <w:tcPr>
            <w:tcW w:w="1628" w:type="dxa"/>
            <w:tcBorders>
              <w:top w:val="nil"/>
              <w:left w:val="nil"/>
              <w:bottom w:val="nil"/>
              <w:right w:val="nil"/>
            </w:tcBorders>
            <w:shd w:val="clear" w:color="000000" w:fill="FFFFFF"/>
            <w:noWrap/>
            <w:vAlign w:val="bottom"/>
            <w:hideMark/>
          </w:tcPr>
          <w:p w14:paraId="4089A980" w14:textId="77777777" w:rsidR="005D7828" w:rsidRDefault="005D7828" w:rsidP="005D7828">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14:paraId="7C3874E7" w14:textId="77777777" w:rsidR="005D7828" w:rsidRDefault="005D7828" w:rsidP="005D7828">
            <w:pPr>
              <w:rPr>
                <w:sz w:val="22"/>
                <w:szCs w:val="22"/>
              </w:rPr>
            </w:pPr>
            <w:r>
              <w:rPr>
                <w:sz w:val="22"/>
                <w:szCs w:val="22"/>
              </w:rPr>
              <w:t> </w:t>
            </w:r>
          </w:p>
        </w:tc>
      </w:tr>
      <w:tr w:rsidR="005D7828" w14:paraId="0BDB9BD0"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4F8C6837" w14:textId="77777777" w:rsidR="005D7828" w:rsidRDefault="005D7828" w:rsidP="005D7828">
            <w:pPr>
              <w:jc w:val="center"/>
              <w:rPr>
                <w:sz w:val="22"/>
                <w:szCs w:val="22"/>
              </w:rPr>
            </w:pPr>
            <w:r>
              <w:rPr>
                <w:sz w:val="22"/>
                <w:szCs w:val="22"/>
              </w:rPr>
              <w:t>6</w:t>
            </w:r>
          </w:p>
        </w:tc>
        <w:tc>
          <w:tcPr>
            <w:tcW w:w="2764" w:type="dxa"/>
            <w:tcBorders>
              <w:top w:val="nil"/>
              <w:left w:val="nil"/>
              <w:bottom w:val="nil"/>
              <w:right w:val="nil"/>
            </w:tcBorders>
            <w:shd w:val="clear" w:color="000000" w:fill="FFFFFF"/>
            <w:noWrap/>
            <w:vAlign w:val="bottom"/>
            <w:hideMark/>
          </w:tcPr>
          <w:p w14:paraId="5886DAA6" w14:textId="77777777" w:rsidR="005D7828" w:rsidRDefault="005D7828" w:rsidP="005D7828">
            <w:pPr>
              <w:rPr>
                <w:sz w:val="22"/>
                <w:szCs w:val="22"/>
              </w:rPr>
            </w:pPr>
            <w:r>
              <w:rPr>
                <w:sz w:val="22"/>
                <w:szCs w:val="22"/>
              </w:rPr>
              <w:t xml:space="preserve">    Income Taxes</w:t>
            </w:r>
          </w:p>
        </w:tc>
        <w:tc>
          <w:tcPr>
            <w:tcW w:w="1235" w:type="dxa"/>
            <w:tcBorders>
              <w:top w:val="nil"/>
              <w:left w:val="nil"/>
              <w:bottom w:val="nil"/>
              <w:right w:val="nil"/>
            </w:tcBorders>
            <w:shd w:val="clear" w:color="000000" w:fill="FFFFFF"/>
            <w:noWrap/>
            <w:vAlign w:val="bottom"/>
            <w:hideMark/>
          </w:tcPr>
          <w:p w14:paraId="487EF5E2" w14:textId="77777777" w:rsidR="005D7828" w:rsidRDefault="005D7828" w:rsidP="005D7828">
            <w:pPr>
              <w:jc w:val="right"/>
              <w:rPr>
                <w:sz w:val="22"/>
                <w:szCs w:val="22"/>
                <w:u w:val="single"/>
              </w:rPr>
            </w:pPr>
            <w:r>
              <w:rPr>
                <w:sz w:val="22"/>
                <w:szCs w:val="22"/>
                <w:u w:val="single"/>
              </w:rPr>
              <w:t xml:space="preserve">88,944 </w:t>
            </w:r>
          </w:p>
        </w:tc>
        <w:tc>
          <w:tcPr>
            <w:tcW w:w="1476" w:type="dxa"/>
            <w:tcBorders>
              <w:top w:val="nil"/>
              <w:left w:val="nil"/>
              <w:bottom w:val="nil"/>
              <w:right w:val="nil"/>
            </w:tcBorders>
            <w:shd w:val="clear" w:color="000000" w:fill="FFFFFF"/>
            <w:noWrap/>
            <w:vAlign w:val="bottom"/>
            <w:hideMark/>
          </w:tcPr>
          <w:p w14:paraId="49ABC84D" w14:textId="77777777" w:rsidR="005D7828" w:rsidRDefault="005D7828" w:rsidP="005D7828">
            <w:pPr>
              <w:jc w:val="right"/>
              <w:rPr>
                <w:sz w:val="22"/>
                <w:szCs w:val="22"/>
                <w:u w:val="single"/>
              </w:rPr>
            </w:pPr>
            <w:r>
              <w:rPr>
                <w:sz w:val="22"/>
                <w:szCs w:val="22"/>
                <w:u w:val="single"/>
              </w:rPr>
              <w:t>(16,874)</w:t>
            </w:r>
          </w:p>
        </w:tc>
        <w:tc>
          <w:tcPr>
            <w:tcW w:w="1476" w:type="dxa"/>
            <w:tcBorders>
              <w:top w:val="nil"/>
              <w:left w:val="nil"/>
              <w:bottom w:val="nil"/>
              <w:right w:val="nil"/>
            </w:tcBorders>
            <w:shd w:val="clear" w:color="000000" w:fill="FFFFFF"/>
            <w:noWrap/>
            <w:vAlign w:val="bottom"/>
            <w:hideMark/>
          </w:tcPr>
          <w:p w14:paraId="5E300CB6" w14:textId="77777777" w:rsidR="005D7828" w:rsidRDefault="005D7828" w:rsidP="005D7828">
            <w:pPr>
              <w:jc w:val="right"/>
              <w:rPr>
                <w:sz w:val="22"/>
                <w:szCs w:val="22"/>
                <w:u w:val="single"/>
              </w:rPr>
            </w:pPr>
            <w:r>
              <w:rPr>
                <w:sz w:val="22"/>
                <w:szCs w:val="22"/>
                <w:u w:val="single"/>
              </w:rPr>
              <w:t xml:space="preserve">72,070 </w:t>
            </w:r>
          </w:p>
        </w:tc>
        <w:tc>
          <w:tcPr>
            <w:tcW w:w="1370" w:type="dxa"/>
            <w:tcBorders>
              <w:top w:val="nil"/>
              <w:left w:val="nil"/>
              <w:bottom w:val="nil"/>
              <w:right w:val="nil"/>
            </w:tcBorders>
            <w:shd w:val="clear" w:color="000000" w:fill="FFFFFF"/>
            <w:noWrap/>
            <w:vAlign w:val="bottom"/>
            <w:hideMark/>
          </w:tcPr>
          <w:p w14:paraId="74647AAE" w14:textId="77777777" w:rsidR="005D7828" w:rsidRDefault="005D7828" w:rsidP="005D7828">
            <w:pPr>
              <w:jc w:val="right"/>
              <w:rPr>
                <w:sz w:val="22"/>
                <w:szCs w:val="22"/>
                <w:u w:val="single"/>
              </w:rPr>
            </w:pPr>
            <w:r>
              <w:rPr>
                <w:sz w:val="22"/>
                <w:szCs w:val="22"/>
                <w:u w:val="single"/>
              </w:rPr>
              <w:t xml:space="preserve">(486) </w:t>
            </w:r>
          </w:p>
        </w:tc>
        <w:tc>
          <w:tcPr>
            <w:tcW w:w="1628" w:type="dxa"/>
            <w:tcBorders>
              <w:top w:val="nil"/>
              <w:left w:val="nil"/>
              <w:bottom w:val="nil"/>
              <w:right w:val="nil"/>
            </w:tcBorders>
            <w:shd w:val="clear" w:color="000000" w:fill="FFFFFF"/>
            <w:noWrap/>
            <w:vAlign w:val="bottom"/>
            <w:hideMark/>
          </w:tcPr>
          <w:p w14:paraId="4DC359E0" w14:textId="77777777" w:rsidR="005D7828" w:rsidRDefault="005D7828" w:rsidP="005D7828">
            <w:pPr>
              <w:jc w:val="right"/>
              <w:rPr>
                <w:sz w:val="22"/>
                <w:szCs w:val="22"/>
                <w:u w:val="single"/>
              </w:rPr>
            </w:pPr>
            <w:r>
              <w:rPr>
                <w:sz w:val="22"/>
                <w:szCs w:val="22"/>
                <w:u w:val="single"/>
              </w:rPr>
              <w:t>71,585</w:t>
            </w:r>
          </w:p>
        </w:tc>
        <w:tc>
          <w:tcPr>
            <w:tcW w:w="334" w:type="dxa"/>
            <w:tcBorders>
              <w:top w:val="nil"/>
              <w:left w:val="nil"/>
              <w:bottom w:val="nil"/>
              <w:right w:val="single" w:sz="4" w:space="0" w:color="auto"/>
            </w:tcBorders>
            <w:shd w:val="clear" w:color="000000" w:fill="FFFFFF"/>
            <w:noWrap/>
            <w:vAlign w:val="bottom"/>
            <w:hideMark/>
          </w:tcPr>
          <w:p w14:paraId="5A5BB92B" w14:textId="77777777" w:rsidR="005D7828" w:rsidRDefault="005D7828" w:rsidP="005D7828">
            <w:pPr>
              <w:rPr>
                <w:sz w:val="22"/>
                <w:szCs w:val="22"/>
                <w:u w:val="single"/>
              </w:rPr>
            </w:pPr>
          </w:p>
        </w:tc>
      </w:tr>
      <w:tr w:rsidR="005D7828" w14:paraId="69C18480"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02F53157" w14:textId="77777777" w:rsidR="005D7828" w:rsidRDefault="005D7828" w:rsidP="005D7828">
            <w:pPr>
              <w:jc w:val="center"/>
              <w:rPr>
                <w:sz w:val="22"/>
                <w:szCs w:val="22"/>
              </w:rPr>
            </w:pPr>
            <w:r>
              <w:rPr>
                <w:sz w:val="22"/>
                <w:szCs w:val="22"/>
              </w:rPr>
              <w:t> </w:t>
            </w:r>
          </w:p>
        </w:tc>
        <w:tc>
          <w:tcPr>
            <w:tcW w:w="2764" w:type="dxa"/>
            <w:tcBorders>
              <w:top w:val="nil"/>
              <w:left w:val="nil"/>
              <w:bottom w:val="nil"/>
              <w:right w:val="nil"/>
            </w:tcBorders>
            <w:shd w:val="clear" w:color="000000" w:fill="FFFFFF"/>
            <w:noWrap/>
            <w:vAlign w:val="bottom"/>
            <w:hideMark/>
          </w:tcPr>
          <w:p w14:paraId="1372819E" w14:textId="77777777" w:rsidR="005D7828" w:rsidRDefault="005D7828" w:rsidP="005D7828">
            <w:pPr>
              <w:rPr>
                <w:sz w:val="22"/>
                <w:szCs w:val="22"/>
              </w:rPr>
            </w:pPr>
            <w:r>
              <w:rPr>
                <w:sz w:val="22"/>
                <w:szCs w:val="22"/>
              </w:rPr>
              <w:t> </w:t>
            </w:r>
          </w:p>
        </w:tc>
        <w:tc>
          <w:tcPr>
            <w:tcW w:w="1235" w:type="dxa"/>
            <w:tcBorders>
              <w:top w:val="nil"/>
              <w:left w:val="nil"/>
              <w:bottom w:val="nil"/>
              <w:right w:val="nil"/>
            </w:tcBorders>
            <w:shd w:val="clear" w:color="000000" w:fill="FFFFFF"/>
            <w:noWrap/>
            <w:vAlign w:val="bottom"/>
            <w:hideMark/>
          </w:tcPr>
          <w:p w14:paraId="2AE347EB" w14:textId="77777777" w:rsidR="005D7828" w:rsidRDefault="005D7828" w:rsidP="005D7828">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6C4AD1B8" w14:textId="77777777" w:rsidR="005D7828" w:rsidRDefault="005D7828" w:rsidP="005D7828">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0D5C6766" w14:textId="77777777" w:rsidR="005D7828" w:rsidRDefault="005D7828" w:rsidP="005D7828">
            <w:pPr>
              <w:rPr>
                <w:sz w:val="22"/>
                <w:szCs w:val="22"/>
              </w:rPr>
            </w:pPr>
            <w:r>
              <w:rPr>
                <w:sz w:val="22"/>
                <w:szCs w:val="22"/>
              </w:rPr>
              <w:t> </w:t>
            </w:r>
          </w:p>
        </w:tc>
        <w:tc>
          <w:tcPr>
            <w:tcW w:w="1370" w:type="dxa"/>
            <w:tcBorders>
              <w:top w:val="nil"/>
              <w:left w:val="nil"/>
              <w:bottom w:val="nil"/>
              <w:right w:val="nil"/>
            </w:tcBorders>
            <w:shd w:val="clear" w:color="000000" w:fill="FFFFFF"/>
            <w:noWrap/>
            <w:vAlign w:val="bottom"/>
            <w:hideMark/>
          </w:tcPr>
          <w:p w14:paraId="2CF768BB" w14:textId="77777777" w:rsidR="005D7828" w:rsidRDefault="005D7828" w:rsidP="005D7828">
            <w:pPr>
              <w:rPr>
                <w:sz w:val="22"/>
                <w:szCs w:val="22"/>
              </w:rPr>
            </w:pPr>
            <w:r>
              <w:rPr>
                <w:sz w:val="22"/>
                <w:szCs w:val="22"/>
              </w:rPr>
              <w:t> </w:t>
            </w:r>
          </w:p>
        </w:tc>
        <w:tc>
          <w:tcPr>
            <w:tcW w:w="1628" w:type="dxa"/>
            <w:tcBorders>
              <w:top w:val="nil"/>
              <w:left w:val="nil"/>
              <w:bottom w:val="nil"/>
              <w:right w:val="nil"/>
            </w:tcBorders>
            <w:shd w:val="clear" w:color="000000" w:fill="FFFFFF"/>
            <w:noWrap/>
            <w:vAlign w:val="bottom"/>
            <w:hideMark/>
          </w:tcPr>
          <w:p w14:paraId="2A799C03" w14:textId="77777777" w:rsidR="005D7828" w:rsidRDefault="005D7828" w:rsidP="005D7828">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14:paraId="1662DCE9" w14:textId="77777777" w:rsidR="005D7828" w:rsidRDefault="005D7828" w:rsidP="005D7828">
            <w:pPr>
              <w:rPr>
                <w:sz w:val="22"/>
                <w:szCs w:val="22"/>
              </w:rPr>
            </w:pPr>
            <w:r>
              <w:rPr>
                <w:sz w:val="22"/>
                <w:szCs w:val="22"/>
              </w:rPr>
              <w:t> </w:t>
            </w:r>
          </w:p>
        </w:tc>
      </w:tr>
      <w:tr w:rsidR="005D7828" w14:paraId="045E19F1"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400502A2" w14:textId="77777777" w:rsidR="005D7828" w:rsidRDefault="005D7828" w:rsidP="005D7828">
            <w:pPr>
              <w:jc w:val="center"/>
              <w:rPr>
                <w:sz w:val="22"/>
                <w:szCs w:val="22"/>
              </w:rPr>
            </w:pPr>
            <w:r>
              <w:rPr>
                <w:sz w:val="22"/>
                <w:szCs w:val="22"/>
              </w:rPr>
              <w:t>7</w:t>
            </w:r>
          </w:p>
        </w:tc>
        <w:tc>
          <w:tcPr>
            <w:tcW w:w="2764" w:type="dxa"/>
            <w:tcBorders>
              <w:top w:val="nil"/>
              <w:left w:val="nil"/>
              <w:bottom w:val="nil"/>
              <w:right w:val="nil"/>
            </w:tcBorders>
            <w:shd w:val="clear" w:color="auto" w:fill="auto"/>
            <w:noWrap/>
            <w:vAlign w:val="bottom"/>
            <w:hideMark/>
          </w:tcPr>
          <w:p w14:paraId="1B42DC6B" w14:textId="77777777" w:rsidR="005D7828" w:rsidRDefault="005D7828" w:rsidP="005D7828">
            <w:pPr>
              <w:rPr>
                <w:b/>
                <w:bCs/>
                <w:sz w:val="22"/>
                <w:szCs w:val="22"/>
              </w:rPr>
            </w:pPr>
            <w:r>
              <w:rPr>
                <w:b/>
                <w:bCs/>
                <w:sz w:val="22"/>
                <w:szCs w:val="22"/>
              </w:rPr>
              <w:t>Total Operating Expense</w:t>
            </w:r>
          </w:p>
        </w:tc>
        <w:tc>
          <w:tcPr>
            <w:tcW w:w="1235" w:type="dxa"/>
            <w:tcBorders>
              <w:top w:val="nil"/>
              <w:left w:val="nil"/>
              <w:bottom w:val="nil"/>
              <w:right w:val="nil"/>
            </w:tcBorders>
            <w:shd w:val="clear" w:color="000000" w:fill="FFFFFF"/>
            <w:noWrap/>
            <w:vAlign w:val="bottom"/>
            <w:hideMark/>
          </w:tcPr>
          <w:p w14:paraId="6F0EA6FF" w14:textId="77777777" w:rsidR="005D7828" w:rsidRDefault="005D7828" w:rsidP="005D7828">
            <w:pPr>
              <w:jc w:val="right"/>
              <w:rPr>
                <w:sz w:val="22"/>
                <w:szCs w:val="22"/>
                <w:u w:val="single"/>
              </w:rPr>
            </w:pPr>
            <w:r>
              <w:rPr>
                <w:sz w:val="22"/>
                <w:szCs w:val="22"/>
                <w:u w:val="single"/>
              </w:rPr>
              <w:t xml:space="preserve">1,639,868 </w:t>
            </w:r>
          </w:p>
        </w:tc>
        <w:tc>
          <w:tcPr>
            <w:tcW w:w="1476" w:type="dxa"/>
            <w:tcBorders>
              <w:top w:val="nil"/>
              <w:left w:val="nil"/>
              <w:bottom w:val="nil"/>
              <w:right w:val="nil"/>
            </w:tcBorders>
            <w:shd w:val="clear" w:color="000000" w:fill="FFFFFF"/>
            <w:noWrap/>
            <w:vAlign w:val="bottom"/>
            <w:hideMark/>
          </w:tcPr>
          <w:p w14:paraId="20297256" w14:textId="77777777" w:rsidR="005D7828" w:rsidRDefault="005D7828" w:rsidP="005D7828">
            <w:pPr>
              <w:jc w:val="right"/>
              <w:rPr>
                <w:sz w:val="22"/>
                <w:szCs w:val="22"/>
                <w:u w:val="single"/>
              </w:rPr>
            </w:pPr>
            <w:r>
              <w:rPr>
                <w:sz w:val="22"/>
                <w:szCs w:val="22"/>
                <w:u w:val="single"/>
              </w:rPr>
              <w:t xml:space="preserve">49,787 </w:t>
            </w:r>
          </w:p>
        </w:tc>
        <w:tc>
          <w:tcPr>
            <w:tcW w:w="1476" w:type="dxa"/>
            <w:tcBorders>
              <w:top w:val="nil"/>
              <w:left w:val="nil"/>
              <w:bottom w:val="nil"/>
              <w:right w:val="nil"/>
            </w:tcBorders>
            <w:shd w:val="clear" w:color="000000" w:fill="FFFFFF"/>
            <w:noWrap/>
            <w:vAlign w:val="bottom"/>
            <w:hideMark/>
          </w:tcPr>
          <w:p w14:paraId="7113FDB8" w14:textId="77777777" w:rsidR="005D7828" w:rsidRDefault="005D7828" w:rsidP="005D7828">
            <w:pPr>
              <w:jc w:val="right"/>
              <w:rPr>
                <w:sz w:val="22"/>
                <w:szCs w:val="22"/>
                <w:u w:val="single"/>
              </w:rPr>
            </w:pPr>
            <w:r>
              <w:rPr>
                <w:sz w:val="22"/>
                <w:szCs w:val="22"/>
                <w:u w:val="single"/>
              </w:rPr>
              <w:t xml:space="preserve">1,689,655 </w:t>
            </w:r>
          </w:p>
        </w:tc>
        <w:tc>
          <w:tcPr>
            <w:tcW w:w="1370" w:type="dxa"/>
            <w:tcBorders>
              <w:top w:val="nil"/>
              <w:left w:val="nil"/>
              <w:bottom w:val="nil"/>
              <w:right w:val="nil"/>
            </w:tcBorders>
            <w:shd w:val="clear" w:color="000000" w:fill="FFFFFF"/>
            <w:noWrap/>
            <w:vAlign w:val="bottom"/>
            <w:hideMark/>
          </w:tcPr>
          <w:p w14:paraId="26F969B1" w14:textId="77777777" w:rsidR="005D7828" w:rsidRDefault="005D7828" w:rsidP="005D7828">
            <w:pPr>
              <w:jc w:val="right"/>
              <w:rPr>
                <w:sz w:val="22"/>
                <w:szCs w:val="22"/>
                <w:u w:val="single"/>
              </w:rPr>
            </w:pPr>
            <w:r>
              <w:rPr>
                <w:sz w:val="22"/>
                <w:szCs w:val="22"/>
                <w:u w:val="single"/>
              </w:rPr>
              <w:t>(576)</w:t>
            </w:r>
          </w:p>
        </w:tc>
        <w:tc>
          <w:tcPr>
            <w:tcW w:w="1628" w:type="dxa"/>
            <w:tcBorders>
              <w:top w:val="nil"/>
              <w:left w:val="nil"/>
              <w:bottom w:val="nil"/>
              <w:right w:val="nil"/>
            </w:tcBorders>
            <w:shd w:val="clear" w:color="000000" w:fill="FFFFFF"/>
            <w:noWrap/>
            <w:vAlign w:val="bottom"/>
            <w:hideMark/>
          </w:tcPr>
          <w:p w14:paraId="495869DE" w14:textId="77777777" w:rsidR="005D7828" w:rsidRDefault="005D7828" w:rsidP="005D7828">
            <w:pPr>
              <w:jc w:val="right"/>
              <w:rPr>
                <w:sz w:val="22"/>
                <w:szCs w:val="22"/>
                <w:u w:val="single"/>
              </w:rPr>
            </w:pPr>
            <w:r>
              <w:rPr>
                <w:sz w:val="22"/>
                <w:szCs w:val="22"/>
                <w:u w:val="single"/>
              </w:rPr>
              <w:t xml:space="preserve">1,689,079 </w:t>
            </w:r>
          </w:p>
        </w:tc>
        <w:tc>
          <w:tcPr>
            <w:tcW w:w="334" w:type="dxa"/>
            <w:tcBorders>
              <w:top w:val="nil"/>
              <w:left w:val="nil"/>
              <w:bottom w:val="nil"/>
              <w:right w:val="single" w:sz="4" w:space="0" w:color="auto"/>
            </w:tcBorders>
            <w:shd w:val="clear" w:color="000000" w:fill="FFFFFF"/>
            <w:noWrap/>
            <w:vAlign w:val="bottom"/>
            <w:hideMark/>
          </w:tcPr>
          <w:p w14:paraId="5FE236D3" w14:textId="77777777" w:rsidR="005D7828" w:rsidRDefault="005D7828" w:rsidP="005D7828">
            <w:pPr>
              <w:rPr>
                <w:sz w:val="22"/>
                <w:szCs w:val="22"/>
                <w:u w:val="single"/>
              </w:rPr>
            </w:pPr>
          </w:p>
        </w:tc>
      </w:tr>
      <w:tr w:rsidR="005D7828" w14:paraId="0973B571"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2915EB7F" w14:textId="77777777" w:rsidR="005D7828" w:rsidRDefault="005D7828" w:rsidP="005D7828">
            <w:pPr>
              <w:jc w:val="center"/>
              <w:rPr>
                <w:sz w:val="22"/>
                <w:szCs w:val="22"/>
              </w:rPr>
            </w:pPr>
            <w:r>
              <w:rPr>
                <w:sz w:val="22"/>
                <w:szCs w:val="22"/>
              </w:rPr>
              <w:t> </w:t>
            </w:r>
          </w:p>
        </w:tc>
        <w:tc>
          <w:tcPr>
            <w:tcW w:w="2764" w:type="dxa"/>
            <w:tcBorders>
              <w:top w:val="nil"/>
              <w:left w:val="nil"/>
              <w:bottom w:val="nil"/>
              <w:right w:val="nil"/>
            </w:tcBorders>
            <w:shd w:val="clear" w:color="000000" w:fill="FFFFFF"/>
            <w:noWrap/>
            <w:vAlign w:val="bottom"/>
            <w:hideMark/>
          </w:tcPr>
          <w:p w14:paraId="48F842C6" w14:textId="77777777" w:rsidR="005D7828" w:rsidRDefault="005D7828" w:rsidP="005D7828">
            <w:pPr>
              <w:rPr>
                <w:sz w:val="22"/>
                <w:szCs w:val="22"/>
              </w:rPr>
            </w:pPr>
            <w:r>
              <w:rPr>
                <w:sz w:val="22"/>
                <w:szCs w:val="22"/>
              </w:rPr>
              <w:t> </w:t>
            </w:r>
          </w:p>
        </w:tc>
        <w:tc>
          <w:tcPr>
            <w:tcW w:w="1235" w:type="dxa"/>
            <w:tcBorders>
              <w:top w:val="nil"/>
              <w:left w:val="nil"/>
              <w:bottom w:val="nil"/>
              <w:right w:val="nil"/>
            </w:tcBorders>
            <w:shd w:val="clear" w:color="000000" w:fill="FFFFFF"/>
            <w:noWrap/>
            <w:vAlign w:val="bottom"/>
            <w:hideMark/>
          </w:tcPr>
          <w:p w14:paraId="77268563" w14:textId="77777777" w:rsidR="005D7828" w:rsidRDefault="005D7828" w:rsidP="005D7828">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1BD8108B" w14:textId="77777777" w:rsidR="005D7828" w:rsidRDefault="005D7828" w:rsidP="005D7828">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4AFF556D" w14:textId="77777777" w:rsidR="005D7828" w:rsidRDefault="005D7828" w:rsidP="005D7828">
            <w:pPr>
              <w:rPr>
                <w:sz w:val="22"/>
                <w:szCs w:val="22"/>
              </w:rPr>
            </w:pPr>
            <w:r>
              <w:rPr>
                <w:sz w:val="22"/>
                <w:szCs w:val="22"/>
              </w:rPr>
              <w:t> </w:t>
            </w:r>
          </w:p>
        </w:tc>
        <w:tc>
          <w:tcPr>
            <w:tcW w:w="1370" w:type="dxa"/>
            <w:tcBorders>
              <w:top w:val="nil"/>
              <w:left w:val="nil"/>
              <w:bottom w:val="nil"/>
              <w:right w:val="nil"/>
            </w:tcBorders>
            <w:shd w:val="clear" w:color="000000" w:fill="FFFFFF"/>
            <w:noWrap/>
            <w:vAlign w:val="bottom"/>
            <w:hideMark/>
          </w:tcPr>
          <w:p w14:paraId="407D0187" w14:textId="77777777" w:rsidR="005D7828" w:rsidRDefault="005D7828" w:rsidP="005D7828">
            <w:pPr>
              <w:rPr>
                <w:sz w:val="22"/>
                <w:szCs w:val="22"/>
              </w:rPr>
            </w:pPr>
            <w:r>
              <w:rPr>
                <w:sz w:val="22"/>
                <w:szCs w:val="22"/>
              </w:rPr>
              <w:t> </w:t>
            </w:r>
          </w:p>
        </w:tc>
        <w:tc>
          <w:tcPr>
            <w:tcW w:w="1628" w:type="dxa"/>
            <w:tcBorders>
              <w:top w:val="nil"/>
              <w:left w:val="nil"/>
              <w:bottom w:val="nil"/>
              <w:right w:val="nil"/>
            </w:tcBorders>
            <w:shd w:val="clear" w:color="000000" w:fill="FFFFFF"/>
            <w:noWrap/>
            <w:vAlign w:val="bottom"/>
            <w:hideMark/>
          </w:tcPr>
          <w:p w14:paraId="16B06419" w14:textId="77777777" w:rsidR="005D7828" w:rsidRDefault="005D7828" w:rsidP="005D7828">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14:paraId="07FCD493" w14:textId="77777777" w:rsidR="005D7828" w:rsidRDefault="005D7828" w:rsidP="005D7828">
            <w:pPr>
              <w:rPr>
                <w:sz w:val="22"/>
                <w:szCs w:val="22"/>
              </w:rPr>
            </w:pPr>
            <w:r>
              <w:rPr>
                <w:sz w:val="22"/>
                <w:szCs w:val="22"/>
              </w:rPr>
              <w:t> </w:t>
            </w:r>
          </w:p>
        </w:tc>
      </w:tr>
      <w:tr w:rsidR="005D7828" w14:paraId="54347CA3"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37045FB5" w14:textId="77777777" w:rsidR="005D7828" w:rsidRDefault="005D7828" w:rsidP="005D7828">
            <w:pPr>
              <w:jc w:val="center"/>
              <w:rPr>
                <w:sz w:val="22"/>
                <w:szCs w:val="22"/>
              </w:rPr>
            </w:pPr>
            <w:r>
              <w:rPr>
                <w:sz w:val="22"/>
                <w:szCs w:val="22"/>
              </w:rPr>
              <w:t>8</w:t>
            </w:r>
          </w:p>
        </w:tc>
        <w:tc>
          <w:tcPr>
            <w:tcW w:w="2764" w:type="dxa"/>
            <w:tcBorders>
              <w:top w:val="nil"/>
              <w:left w:val="nil"/>
              <w:bottom w:val="nil"/>
              <w:right w:val="nil"/>
            </w:tcBorders>
            <w:shd w:val="clear" w:color="000000" w:fill="FFFFFF"/>
            <w:noWrap/>
            <w:vAlign w:val="bottom"/>
            <w:hideMark/>
          </w:tcPr>
          <w:p w14:paraId="3DD86A50" w14:textId="77777777" w:rsidR="005D7828" w:rsidRDefault="005D7828" w:rsidP="005D7828">
            <w:pPr>
              <w:rPr>
                <w:b/>
                <w:bCs/>
                <w:sz w:val="22"/>
                <w:szCs w:val="22"/>
              </w:rPr>
            </w:pPr>
            <w:r>
              <w:rPr>
                <w:b/>
                <w:bCs/>
                <w:sz w:val="22"/>
                <w:szCs w:val="22"/>
              </w:rPr>
              <w:t>Operating Income</w:t>
            </w:r>
          </w:p>
        </w:tc>
        <w:tc>
          <w:tcPr>
            <w:tcW w:w="1235" w:type="dxa"/>
            <w:tcBorders>
              <w:top w:val="nil"/>
              <w:left w:val="nil"/>
              <w:bottom w:val="nil"/>
              <w:right w:val="nil"/>
            </w:tcBorders>
            <w:shd w:val="clear" w:color="000000" w:fill="FFFFFF"/>
            <w:noWrap/>
            <w:vAlign w:val="bottom"/>
            <w:hideMark/>
          </w:tcPr>
          <w:p w14:paraId="32734472" w14:textId="77777777" w:rsidR="005D7828" w:rsidRDefault="005D7828" w:rsidP="005D7828">
            <w:pPr>
              <w:jc w:val="right"/>
              <w:rPr>
                <w:sz w:val="22"/>
                <w:szCs w:val="22"/>
                <w:u w:val="double"/>
              </w:rPr>
            </w:pPr>
            <w:r>
              <w:rPr>
                <w:sz w:val="22"/>
                <w:szCs w:val="22"/>
                <w:u w:val="double"/>
              </w:rPr>
              <w:t xml:space="preserve">$262,292 </w:t>
            </w:r>
          </w:p>
        </w:tc>
        <w:tc>
          <w:tcPr>
            <w:tcW w:w="1476" w:type="dxa"/>
            <w:tcBorders>
              <w:top w:val="nil"/>
              <w:left w:val="nil"/>
              <w:bottom w:val="nil"/>
              <w:right w:val="nil"/>
            </w:tcBorders>
            <w:shd w:val="clear" w:color="000000" w:fill="FFFFFF"/>
            <w:noWrap/>
            <w:vAlign w:val="bottom"/>
            <w:hideMark/>
          </w:tcPr>
          <w:p w14:paraId="0B15AAE6" w14:textId="77777777" w:rsidR="005D7828" w:rsidRDefault="005D7828" w:rsidP="005D7828">
            <w:pPr>
              <w:jc w:val="right"/>
              <w:rPr>
                <w:sz w:val="22"/>
                <w:szCs w:val="22"/>
                <w:u w:val="double"/>
              </w:rPr>
            </w:pPr>
            <w:r>
              <w:rPr>
                <w:sz w:val="22"/>
                <w:szCs w:val="22"/>
                <w:u w:val="double"/>
              </w:rPr>
              <w:t>($49,787)</w:t>
            </w:r>
          </w:p>
        </w:tc>
        <w:tc>
          <w:tcPr>
            <w:tcW w:w="1476" w:type="dxa"/>
            <w:tcBorders>
              <w:top w:val="nil"/>
              <w:left w:val="nil"/>
              <w:bottom w:val="nil"/>
              <w:right w:val="nil"/>
            </w:tcBorders>
            <w:shd w:val="clear" w:color="000000" w:fill="FFFFFF"/>
            <w:noWrap/>
            <w:vAlign w:val="bottom"/>
            <w:hideMark/>
          </w:tcPr>
          <w:p w14:paraId="5949F918" w14:textId="77777777" w:rsidR="005D7828" w:rsidRDefault="005D7828" w:rsidP="005D7828">
            <w:pPr>
              <w:jc w:val="right"/>
              <w:rPr>
                <w:sz w:val="22"/>
                <w:szCs w:val="22"/>
                <w:u w:val="double"/>
              </w:rPr>
            </w:pPr>
            <w:r>
              <w:rPr>
                <w:sz w:val="22"/>
                <w:szCs w:val="22"/>
                <w:u w:val="double"/>
              </w:rPr>
              <w:t xml:space="preserve">$212,505 </w:t>
            </w:r>
          </w:p>
        </w:tc>
        <w:tc>
          <w:tcPr>
            <w:tcW w:w="1370" w:type="dxa"/>
            <w:tcBorders>
              <w:top w:val="nil"/>
              <w:left w:val="nil"/>
              <w:bottom w:val="nil"/>
              <w:right w:val="nil"/>
            </w:tcBorders>
            <w:shd w:val="clear" w:color="000000" w:fill="FFFFFF"/>
            <w:noWrap/>
            <w:vAlign w:val="bottom"/>
            <w:hideMark/>
          </w:tcPr>
          <w:p w14:paraId="05E5E8C3" w14:textId="77777777" w:rsidR="005D7828" w:rsidRDefault="005D7828" w:rsidP="005D7828">
            <w:pPr>
              <w:jc w:val="right"/>
              <w:rPr>
                <w:sz w:val="22"/>
                <w:szCs w:val="22"/>
                <w:u w:val="double"/>
              </w:rPr>
            </w:pPr>
            <w:r>
              <w:rPr>
                <w:sz w:val="22"/>
                <w:szCs w:val="22"/>
                <w:u w:val="double"/>
              </w:rPr>
              <w:t xml:space="preserve">($1,430) </w:t>
            </w:r>
          </w:p>
        </w:tc>
        <w:tc>
          <w:tcPr>
            <w:tcW w:w="1628" w:type="dxa"/>
            <w:tcBorders>
              <w:top w:val="nil"/>
              <w:left w:val="nil"/>
              <w:bottom w:val="nil"/>
              <w:right w:val="nil"/>
            </w:tcBorders>
            <w:shd w:val="clear" w:color="000000" w:fill="FFFFFF"/>
            <w:noWrap/>
            <w:vAlign w:val="bottom"/>
            <w:hideMark/>
          </w:tcPr>
          <w:p w14:paraId="601F288D" w14:textId="77777777" w:rsidR="005D7828" w:rsidRDefault="005D7828" w:rsidP="005D7828">
            <w:pPr>
              <w:jc w:val="right"/>
              <w:rPr>
                <w:sz w:val="22"/>
                <w:szCs w:val="22"/>
                <w:u w:val="double"/>
              </w:rPr>
            </w:pPr>
            <w:r>
              <w:rPr>
                <w:sz w:val="22"/>
                <w:szCs w:val="22"/>
                <w:u w:val="double"/>
              </w:rPr>
              <w:t xml:space="preserve">$211,074 </w:t>
            </w:r>
          </w:p>
        </w:tc>
        <w:tc>
          <w:tcPr>
            <w:tcW w:w="334" w:type="dxa"/>
            <w:tcBorders>
              <w:top w:val="nil"/>
              <w:left w:val="nil"/>
              <w:bottom w:val="nil"/>
              <w:right w:val="single" w:sz="4" w:space="0" w:color="auto"/>
            </w:tcBorders>
            <w:shd w:val="clear" w:color="000000" w:fill="FFFFFF"/>
            <w:noWrap/>
            <w:vAlign w:val="bottom"/>
            <w:hideMark/>
          </w:tcPr>
          <w:p w14:paraId="26638D67" w14:textId="77777777" w:rsidR="005D7828" w:rsidRDefault="005D7828" w:rsidP="005D7828">
            <w:pPr>
              <w:rPr>
                <w:sz w:val="22"/>
                <w:szCs w:val="22"/>
                <w:u w:val="double"/>
              </w:rPr>
            </w:pPr>
          </w:p>
        </w:tc>
      </w:tr>
      <w:tr w:rsidR="005D7828" w14:paraId="7775664A"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7C9E5958" w14:textId="77777777" w:rsidR="005D7828" w:rsidRDefault="005D7828" w:rsidP="005D7828">
            <w:pPr>
              <w:jc w:val="center"/>
              <w:rPr>
                <w:sz w:val="22"/>
                <w:szCs w:val="22"/>
              </w:rPr>
            </w:pPr>
            <w:r>
              <w:rPr>
                <w:sz w:val="22"/>
                <w:szCs w:val="22"/>
              </w:rPr>
              <w:t> </w:t>
            </w:r>
          </w:p>
        </w:tc>
        <w:tc>
          <w:tcPr>
            <w:tcW w:w="2764" w:type="dxa"/>
            <w:tcBorders>
              <w:top w:val="nil"/>
              <w:left w:val="nil"/>
              <w:bottom w:val="nil"/>
              <w:right w:val="nil"/>
            </w:tcBorders>
            <w:shd w:val="clear" w:color="000000" w:fill="FFFFFF"/>
            <w:noWrap/>
            <w:vAlign w:val="bottom"/>
            <w:hideMark/>
          </w:tcPr>
          <w:p w14:paraId="61D686E5" w14:textId="77777777" w:rsidR="005D7828" w:rsidRDefault="005D7828" w:rsidP="005D7828">
            <w:pPr>
              <w:rPr>
                <w:sz w:val="22"/>
                <w:szCs w:val="22"/>
              </w:rPr>
            </w:pPr>
            <w:r>
              <w:rPr>
                <w:sz w:val="22"/>
                <w:szCs w:val="22"/>
              </w:rPr>
              <w:t> </w:t>
            </w:r>
          </w:p>
        </w:tc>
        <w:tc>
          <w:tcPr>
            <w:tcW w:w="1235" w:type="dxa"/>
            <w:tcBorders>
              <w:top w:val="nil"/>
              <w:left w:val="nil"/>
              <w:bottom w:val="nil"/>
              <w:right w:val="nil"/>
            </w:tcBorders>
            <w:shd w:val="clear" w:color="000000" w:fill="FFFFFF"/>
            <w:noWrap/>
            <w:vAlign w:val="bottom"/>
            <w:hideMark/>
          </w:tcPr>
          <w:p w14:paraId="7E01D7D4" w14:textId="77777777" w:rsidR="005D7828" w:rsidRDefault="005D7828" w:rsidP="005D7828">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27C1DBA6" w14:textId="77777777" w:rsidR="005D7828" w:rsidRDefault="005D7828" w:rsidP="005D7828">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53143E0E" w14:textId="77777777" w:rsidR="005D7828" w:rsidRDefault="005D7828" w:rsidP="005D7828">
            <w:pPr>
              <w:rPr>
                <w:sz w:val="22"/>
                <w:szCs w:val="22"/>
              </w:rPr>
            </w:pPr>
            <w:r>
              <w:rPr>
                <w:sz w:val="22"/>
                <w:szCs w:val="22"/>
              </w:rPr>
              <w:t> </w:t>
            </w:r>
          </w:p>
        </w:tc>
        <w:tc>
          <w:tcPr>
            <w:tcW w:w="1370" w:type="dxa"/>
            <w:tcBorders>
              <w:top w:val="nil"/>
              <w:left w:val="nil"/>
              <w:bottom w:val="nil"/>
              <w:right w:val="nil"/>
            </w:tcBorders>
            <w:shd w:val="clear" w:color="000000" w:fill="FFFFFF"/>
            <w:noWrap/>
            <w:vAlign w:val="bottom"/>
            <w:hideMark/>
          </w:tcPr>
          <w:p w14:paraId="4A9D7541" w14:textId="77777777" w:rsidR="005D7828" w:rsidRDefault="005D7828" w:rsidP="005D7828">
            <w:pPr>
              <w:rPr>
                <w:sz w:val="22"/>
                <w:szCs w:val="22"/>
              </w:rPr>
            </w:pPr>
            <w:r>
              <w:rPr>
                <w:sz w:val="22"/>
                <w:szCs w:val="22"/>
              </w:rPr>
              <w:t> </w:t>
            </w:r>
          </w:p>
        </w:tc>
        <w:tc>
          <w:tcPr>
            <w:tcW w:w="1628" w:type="dxa"/>
            <w:tcBorders>
              <w:top w:val="nil"/>
              <w:left w:val="nil"/>
              <w:bottom w:val="nil"/>
              <w:right w:val="nil"/>
            </w:tcBorders>
            <w:shd w:val="clear" w:color="000000" w:fill="FFFFFF"/>
            <w:noWrap/>
            <w:vAlign w:val="bottom"/>
            <w:hideMark/>
          </w:tcPr>
          <w:p w14:paraId="15A8141C" w14:textId="77777777" w:rsidR="005D7828" w:rsidRDefault="005D7828" w:rsidP="005D7828">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14:paraId="6C183350" w14:textId="77777777" w:rsidR="005D7828" w:rsidRDefault="005D7828" w:rsidP="005D7828">
            <w:pPr>
              <w:rPr>
                <w:sz w:val="22"/>
                <w:szCs w:val="22"/>
              </w:rPr>
            </w:pPr>
            <w:r>
              <w:rPr>
                <w:sz w:val="22"/>
                <w:szCs w:val="22"/>
              </w:rPr>
              <w:t> </w:t>
            </w:r>
          </w:p>
        </w:tc>
      </w:tr>
      <w:tr w:rsidR="005D7828" w14:paraId="3347CD54"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6DE22A2E" w14:textId="77777777" w:rsidR="005D7828" w:rsidRDefault="005D7828" w:rsidP="005D7828">
            <w:pPr>
              <w:jc w:val="center"/>
              <w:rPr>
                <w:sz w:val="22"/>
                <w:szCs w:val="22"/>
              </w:rPr>
            </w:pPr>
            <w:r>
              <w:rPr>
                <w:sz w:val="22"/>
                <w:szCs w:val="22"/>
              </w:rPr>
              <w:t>9</w:t>
            </w:r>
          </w:p>
        </w:tc>
        <w:tc>
          <w:tcPr>
            <w:tcW w:w="2764" w:type="dxa"/>
            <w:tcBorders>
              <w:top w:val="nil"/>
              <w:left w:val="nil"/>
              <w:bottom w:val="nil"/>
              <w:right w:val="nil"/>
            </w:tcBorders>
            <w:shd w:val="clear" w:color="000000" w:fill="FFFFFF"/>
            <w:noWrap/>
            <w:vAlign w:val="bottom"/>
            <w:hideMark/>
          </w:tcPr>
          <w:p w14:paraId="187905F3" w14:textId="77777777" w:rsidR="005D7828" w:rsidRDefault="005D7828" w:rsidP="005D7828">
            <w:pPr>
              <w:rPr>
                <w:b/>
                <w:bCs/>
                <w:sz w:val="22"/>
                <w:szCs w:val="22"/>
              </w:rPr>
            </w:pPr>
            <w:r>
              <w:rPr>
                <w:b/>
                <w:bCs/>
                <w:sz w:val="22"/>
                <w:szCs w:val="22"/>
              </w:rPr>
              <w:t>Rate Base</w:t>
            </w:r>
          </w:p>
        </w:tc>
        <w:tc>
          <w:tcPr>
            <w:tcW w:w="1235" w:type="dxa"/>
            <w:tcBorders>
              <w:top w:val="nil"/>
              <w:left w:val="nil"/>
              <w:bottom w:val="nil"/>
              <w:right w:val="nil"/>
            </w:tcBorders>
            <w:shd w:val="clear" w:color="000000" w:fill="FFFFFF"/>
            <w:noWrap/>
            <w:vAlign w:val="bottom"/>
            <w:hideMark/>
          </w:tcPr>
          <w:p w14:paraId="75E5E9A8" w14:textId="77777777" w:rsidR="005D7828" w:rsidRDefault="005D7828" w:rsidP="005D7828">
            <w:pPr>
              <w:jc w:val="right"/>
              <w:rPr>
                <w:sz w:val="22"/>
                <w:szCs w:val="22"/>
                <w:u w:val="double"/>
              </w:rPr>
            </w:pPr>
            <w:r>
              <w:rPr>
                <w:sz w:val="22"/>
                <w:szCs w:val="22"/>
                <w:u w:val="double"/>
              </w:rPr>
              <w:t xml:space="preserve">$3,033,115 </w:t>
            </w:r>
          </w:p>
        </w:tc>
        <w:tc>
          <w:tcPr>
            <w:tcW w:w="1476" w:type="dxa"/>
            <w:tcBorders>
              <w:top w:val="nil"/>
              <w:left w:val="nil"/>
              <w:bottom w:val="nil"/>
              <w:right w:val="nil"/>
            </w:tcBorders>
            <w:shd w:val="clear" w:color="000000" w:fill="FFFFFF"/>
            <w:noWrap/>
            <w:vAlign w:val="bottom"/>
            <w:hideMark/>
          </w:tcPr>
          <w:p w14:paraId="1041BC95" w14:textId="77777777" w:rsidR="005D7828" w:rsidRDefault="005D7828" w:rsidP="005D7828">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44EC5EFE" w14:textId="77777777" w:rsidR="005D7828" w:rsidRDefault="005D7828" w:rsidP="005D7828">
            <w:pPr>
              <w:jc w:val="right"/>
              <w:rPr>
                <w:sz w:val="22"/>
                <w:szCs w:val="22"/>
                <w:u w:val="double"/>
              </w:rPr>
            </w:pPr>
            <w:r>
              <w:rPr>
                <w:sz w:val="22"/>
                <w:szCs w:val="22"/>
                <w:u w:val="double"/>
              </w:rPr>
              <w:t xml:space="preserve">$2,445,998 </w:t>
            </w:r>
          </w:p>
        </w:tc>
        <w:tc>
          <w:tcPr>
            <w:tcW w:w="1370" w:type="dxa"/>
            <w:tcBorders>
              <w:top w:val="nil"/>
              <w:left w:val="nil"/>
              <w:bottom w:val="nil"/>
              <w:right w:val="nil"/>
            </w:tcBorders>
            <w:shd w:val="clear" w:color="000000" w:fill="FFFFFF"/>
            <w:noWrap/>
            <w:vAlign w:val="bottom"/>
            <w:hideMark/>
          </w:tcPr>
          <w:p w14:paraId="3B051F53" w14:textId="77777777" w:rsidR="005D7828" w:rsidRDefault="005D7828" w:rsidP="005D7828">
            <w:pPr>
              <w:rPr>
                <w:sz w:val="22"/>
                <w:szCs w:val="22"/>
              </w:rPr>
            </w:pPr>
            <w:r>
              <w:rPr>
                <w:sz w:val="22"/>
                <w:szCs w:val="22"/>
              </w:rPr>
              <w:t> </w:t>
            </w:r>
          </w:p>
        </w:tc>
        <w:tc>
          <w:tcPr>
            <w:tcW w:w="1628" w:type="dxa"/>
            <w:tcBorders>
              <w:top w:val="nil"/>
              <w:left w:val="nil"/>
              <w:bottom w:val="nil"/>
              <w:right w:val="nil"/>
            </w:tcBorders>
            <w:shd w:val="clear" w:color="000000" w:fill="FFFFFF"/>
            <w:noWrap/>
            <w:vAlign w:val="bottom"/>
            <w:hideMark/>
          </w:tcPr>
          <w:p w14:paraId="4E8F7FF4" w14:textId="77777777" w:rsidR="005D7828" w:rsidRDefault="005D7828" w:rsidP="005D7828">
            <w:pPr>
              <w:jc w:val="right"/>
              <w:rPr>
                <w:sz w:val="22"/>
                <w:szCs w:val="22"/>
                <w:u w:val="double"/>
              </w:rPr>
            </w:pPr>
            <w:r w:rsidRPr="00486504">
              <w:rPr>
                <w:sz w:val="22"/>
                <w:szCs w:val="22"/>
                <w:u w:val="double"/>
              </w:rPr>
              <w:t>$2,445,998</w:t>
            </w:r>
            <w:r>
              <w:rPr>
                <w:sz w:val="22"/>
                <w:szCs w:val="22"/>
                <w:u w:val="double"/>
              </w:rPr>
              <w:t xml:space="preserve"> </w:t>
            </w:r>
          </w:p>
        </w:tc>
        <w:tc>
          <w:tcPr>
            <w:tcW w:w="334" w:type="dxa"/>
            <w:tcBorders>
              <w:top w:val="nil"/>
              <w:left w:val="nil"/>
              <w:bottom w:val="nil"/>
              <w:right w:val="single" w:sz="4" w:space="0" w:color="auto"/>
            </w:tcBorders>
            <w:shd w:val="clear" w:color="000000" w:fill="FFFFFF"/>
            <w:noWrap/>
            <w:vAlign w:val="bottom"/>
            <w:hideMark/>
          </w:tcPr>
          <w:p w14:paraId="722C9472" w14:textId="77777777" w:rsidR="005D7828" w:rsidRDefault="005D7828" w:rsidP="005D7828">
            <w:pPr>
              <w:rPr>
                <w:sz w:val="22"/>
                <w:szCs w:val="22"/>
                <w:u w:val="double"/>
              </w:rPr>
            </w:pPr>
          </w:p>
        </w:tc>
      </w:tr>
      <w:tr w:rsidR="005D7828" w14:paraId="07A79191"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649CE95A" w14:textId="77777777" w:rsidR="005D7828" w:rsidRDefault="005D7828" w:rsidP="005D7828">
            <w:pPr>
              <w:jc w:val="center"/>
              <w:rPr>
                <w:sz w:val="22"/>
                <w:szCs w:val="22"/>
              </w:rPr>
            </w:pPr>
            <w:r>
              <w:rPr>
                <w:sz w:val="22"/>
                <w:szCs w:val="22"/>
              </w:rPr>
              <w:t> </w:t>
            </w:r>
          </w:p>
        </w:tc>
        <w:tc>
          <w:tcPr>
            <w:tcW w:w="2764" w:type="dxa"/>
            <w:tcBorders>
              <w:top w:val="nil"/>
              <w:left w:val="nil"/>
              <w:bottom w:val="nil"/>
              <w:right w:val="nil"/>
            </w:tcBorders>
            <w:shd w:val="clear" w:color="000000" w:fill="FFFFFF"/>
            <w:noWrap/>
            <w:vAlign w:val="bottom"/>
            <w:hideMark/>
          </w:tcPr>
          <w:p w14:paraId="72B119BA" w14:textId="77777777" w:rsidR="005D7828" w:rsidRDefault="005D7828" w:rsidP="005D7828">
            <w:pPr>
              <w:rPr>
                <w:sz w:val="22"/>
                <w:szCs w:val="22"/>
              </w:rPr>
            </w:pPr>
            <w:r>
              <w:rPr>
                <w:sz w:val="22"/>
                <w:szCs w:val="22"/>
              </w:rPr>
              <w:t> </w:t>
            </w:r>
          </w:p>
        </w:tc>
        <w:tc>
          <w:tcPr>
            <w:tcW w:w="1235" w:type="dxa"/>
            <w:tcBorders>
              <w:top w:val="nil"/>
              <w:left w:val="nil"/>
              <w:bottom w:val="nil"/>
              <w:right w:val="nil"/>
            </w:tcBorders>
            <w:shd w:val="clear" w:color="000000" w:fill="FFFFFF"/>
            <w:noWrap/>
            <w:vAlign w:val="bottom"/>
            <w:hideMark/>
          </w:tcPr>
          <w:p w14:paraId="0F34F454" w14:textId="77777777" w:rsidR="005D7828" w:rsidRDefault="005D7828" w:rsidP="005D7828">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7D8DE273" w14:textId="77777777" w:rsidR="005D7828" w:rsidRDefault="005D7828" w:rsidP="005D7828">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47354EDD" w14:textId="77777777" w:rsidR="005D7828" w:rsidRDefault="005D7828" w:rsidP="005D7828">
            <w:pPr>
              <w:rPr>
                <w:sz w:val="22"/>
                <w:szCs w:val="22"/>
              </w:rPr>
            </w:pPr>
            <w:r>
              <w:rPr>
                <w:sz w:val="22"/>
                <w:szCs w:val="22"/>
              </w:rPr>
              <w:t> </w:t>
            </w:r>
          </w:p>
        </w:tc>
        <w:tc>
          <w:tcPr>
            <w:tcW w:w="1370" w:type="dxa"/>
            <w:tcBorders>
              <w:top w:val="nil"/>
              <w:left w:val="nil"/>
              <w:bottom w:val="nil"/>
              <w:right w:val="nil"/>
            </w:tcBorders>
            <w:shd w:val="clear" w:color="000000" w:fill="FFFFFF"/>
            <w:noWrap/>
            <w:vAlign w:val="bottom"/>
            <w:hideMark/>
          </w:tcPr>
          <w:p w14:paraId="631F3C24" w14:textId="77777777" w:rsidR="005D7828" w:rsidRDefault="005D7828" w:rsidP="005D7828">
            <w:pPr>
              <w:rPr>
                <w:sz w:val="22"/>
                <w:szCs w:val="22"/>
              </w:rPr>
            </w:pPr>
            <w:r>
              <w:rPr>
                <w:sz w:val="22"/>
                <w:szCs w:val="22"/>
              </w:rPr>
              <w:t> </w:t>
            </w:r>
          </w:p>
        </w:tc>
        <w:tc>
          <w:tcPr>
            <w:tcW w:w="1628" w:type="dxa"/>
            <w:tcBorders>
              <w:top w:val="nil"/>
              <w:left w:val="nil"/>
              <w:bottom w:val="nil"/>
              <w:right w:val="nil"/>
            </w:tcBorders>
            <w:shd w:val="clear" w:color="000000" w:fill="FFFFFF"/>
            <w:noWrap/>
            <w:vAlign w:val="bottom"/>
            <w:hideMark/>
          </w:tcPr>
          <w:p w14:paraId="40531256" w14:textId="77777777" w:rsidR="005D7828" w:rsidRDefault="005D7828" w:rsidP="005D7828">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14:paraId="4DF33E3D" w14:textId="77777777" w:rsidR="005D7828" w:rsidRDefault="005D7828" w:rsidP="005D7828">
            <w:pPr>
              <w:rPr>
                <w:sz w:val="22"/>
                <w:szCs w:val="22"/>
              </w:rPr>
            </w:pPr>
            <w:r>
              <w:rPr>
                <w:sz w:val="22"/>
                <w:szCs w:val="22"/>
              </w:rPr>
              <w:t> </w:t>
            </w:r>
          </w:p>
        </w:tc>
      </w:tr>
      <w:tr w:rsidR="005D7828" w14:paraId="3A04C534" w14:textId="77777777" w:rsidTr="005D7828">
        <w:trPr>
          <w:trHeight w:val="300"/>
          <w:jc w:val="center"/>
        </w:trPr>
        <w:tc>
          <w:tcPr>
            <w:tcW w:w="436" w:type="dxa"/>
            <w:tcBorders>
              <w:top w:val="nil"/>
              <w:left w:val="single" w:sz="4" w:space="0" w:color="auto"/>
              <w:bottom w:val="nil"/>
              <w:right w:val="nil"/>
            </w:tcBorders>
            <w:shd w:val="clear" w:color="000000" w:fill="FFFFFF"/>
            <w:noWrap/>
            <w:vAlign w:val="bottom"/>
            <w:hideMark/>
          </w:tcPr>
          <w:p w14:paraId="42880E44" w14:textId="77777777" w:rsidR="005D7828" w:rsidRDefault="005D7828" w:rsidP="005D7828">
            <w:pPr>
              <w:jc w:val="center"/>
              <w:rPr>
                <w:sz w:val="22"/>
                <w:szCs w:val="22"/>
              </w:rPr>
            </w:pPr>
            <w:r>
              <w:rPr>
                <w:sz w:val="22"/>
                <w:szCs w:val="22"/>
              </w:rPr>
              <w:t>10</w:t>
            </w:r>
          </w:p>
        </w:tc>
        <w:tc>
          <w:tcPr>
            <w:tcW w:w="2764" w:type="dxa"/>
            <w:tcBorders>
              <w:top w:val="nil"/>
              <w:left w:val="nil"/>
              <w:bottom w:val="nil"/>
              <w:right w:val="nil"/>
            </w:tcBorders>
            <w:shd w:val="clear" w:color="000000" w:fill="FFFFFF"/>
            <w:noWrap/>
            <w:vAlign w:val="bottom"/>
            <w:hideMark/>
          </w:tcPr>
          <w:p w14:paraId="78980F15" w14:textId="77777777" w:rsidR="005D7828" w:rsidRDefault="005D7828" w:rsidP="005D7828">
            <w:pPr>
              <w:rPr>
                <w:b/>
                <w:bCs/>
                <w:sz w:val="22"/>
                <w:szCs w:val="22"/>
              </w:rPr>
            </w:pPr>
            <w:r>
              <w:rPr>
                <w:b/>
                <w:bCs/>
                <w:sz w:val="22"/>
                <w:szCs w:val="22"/>
              </w:rPr>
              <w:t>Rate of Return</w:t>
            </w:r>
          </w:p>
        </w:tc>
        <w:tc>
          <w:tcPr>
            <w:tcW w:w="1235" w:type="dxa"/>
            <w:tcBorders>
              <w:top w:val="nil"/>
              <w:left w:val="nil"/>
              <w:bottom w:val="nil"/>
              <w:right w:val="nil"/>
            </w:tcBorders>
            <w:shd w:val="clear" w:color="000000" w:fill="FFFFFF"/>
            <w:noWrap/>
            <w:vAlign w:val="bottom"/>
            <w:hideMark/>
          </w:tcPr>
          <w:p w14:paraId="7C87844C" w14:textId="77777777" w:rsidR="005D7828" w:rsidRDefault="005D7828" w:rsidP="005D7828">
            <w:pPr>
              <w:jc w:val="right"/>
              <w:rPr>
                <w:sz w:val="22"/>
                <w:szCs w:val="22"/>
                <w:u w:val="double"/>
              </w:rPr>
            </w:pPr>
            <w:r>
              <w:rPr>
                <w:sz w:val="22"/>
                <w:szCs w:val="22"/>
                <w:u w:val="double"/>
              </w:rPr>
              <w:t>8.65%</w:t>
            </w:r>
          </w:p>
        </w:tc>
        <w:tc>
          <w:tcPr>
            <w:tcW w:w="1476" w:type="dxa"/>
            <w:tcBorders>
              <w:top w:val="nil"/>
              <w:left w:val="nil"/>
              <w:bottom w:val="nil"/>
              <w:right w:val="nil"/>
            </w:tcBorders>
            <w:shd w:val="clear" w:color="000000" w:fill="FFFFFF"/>
            <w:noWrap/>
            <w:vAlign w:val="bottom"/>
            <w:hideMark/>
          </w:tcPr>
          <w:p w14:paraId="75EB588F" w14:textId="77777777" w:rsidR="005D7828" w:rsidRDefault="005D7828" w:rsidP="005D7828">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60B15704" w14:textId="77777777" w:rsidR="005D7828" w:rsidRDefault="005D7828" w:rsidP="005D7828">
            <w:pPr>
              <w:jc w:val="right"/>
              <w:rPr>
                <w:sz w:val="22"/>
                <w:szCs w:val="22"/>
                <w:u w:val="double"/>
              </w:rPr>
            </w:pPr>
            <w:r>
              <w:rPr>
                <w:sz w:val="22"/>
                <w:szCs w:val="22"/>
                <w:u w:val="double"/>
              </w:rPr>
              <w:t>8.69%</w:t>
            </w:r>
          </w:p>
        </w:tc>
        <w:tc>
          <w:tcPr>
            <w:tcW w:w="1370" w:type="dxa"/>
            <w:tcBorders>
              <w:top w:val="nil"/>
              <w:left w:val="nil"/>
              <w:bottom w:val="nil"/>
              <w:right w:val="nil"/>
            </w:tcBorders>
            <w:shd w:val="clear" w:color="000000" w:fill="FFFFFF"/>
            <w:noWrap/>
            <w:vAlign w:val="bottom"/>
            <w:hideMark/>
          </w:tcPr>
          <w:p w14:paraId="0E64120B" w14:textId="77777777" w:rsidR="005D7828" w:rsidRDefault="005D7828" w:rsidP="005D7828">
            <w:pPr>
              <w:rPr>
                <w:sz w:val="22"/>
                <w:szCs w:val="22"/>
              </w:rPr>
            </w:pPr>
            <w:r>
              <w:rPr>
                <w:sz w:val="22"/>
                <w:szCs w:val="22"/>
              </w:rPr>
              <w:t> </w:t>
            </w:r>
          </w:p>
        </w:tc>
        <w:tc>
          <w:tcPr>
            <w:tcW w:w="1628" w:type="dxa"/>
            <w:tcBorders>
              <w:top w:val="nil"/>
              <w:left w:val="nil"/>
              <w:bottom w:val="nil"/>
              <w:right w:val="nil"/>
            </w:tcBorders>
            <w:shd w:val="clear" w:color="000000" w:fill="FFFFFF"/>
            <w:noWrap/>
            <w:vAlign w:val="bottom"/>
            <w:hideMark/>
          </w:tcPr>
          <w:p w14:paraId="3014DE74" w14:textId="77777777" w:rsidR="005D7828" w:rsidRDefault="005D7828" w:rsidP="005D7828">
            <w:pPr>
              <w:jc w:val="right"/>
              <w:rPr>
                <w:sz w:val="22"/>
                <w:szCs w:val="22"/>
                <w:u w:val="double"/>
              </w:rPr>
            </w:pPr>
            <w:r>
              <w:rPr>
                <w:sz w:val="22"/>
                <w:szCs w:val="22"/>
                <w:u w:val="double"/>
              </w:rPr>
              <w:t>8.63%</w:t>
            </w:r>
          </w:p>
        </w:tc>
        <w:tc>
          <w:tcPr>
            <w:tcW w:w="334" w:type="dxa"/>
            <w:tcBorders>
              <w:top w:val="nil"/>
              <w:left w:val="nil"/>
              <w:bottom w:val="nil"/>
              <w:right w:val="single" w:sz="4" w:space="0" w:color="auto"/>
            </w:tcBorders>
            <w:shd w:val="clear" w:color="000000" w:fill="FFFFFF"/>
            <w:noWrap/>
            <w:vAlign w:val="bottom"/>
            <w:hideMark/>
          </w:tcPr>
          <w:p w14:paraId="2BA6D34C" w14:textId="77777777" w:rsidR="005D7828" w:rsidRDefault="005D7828" w:rsidP="005D7828">
            <w:pPr>
              <w:rPr>
                <w:sz w:val="22"/>
                <w:szCs w:val="22"/>
                <w:u w:val="double"/>
              </w:rPr>
            </w:pPr>
          </w:p>
        </w:tc>
      </w:tr>
      <w:tr w:rsidR="005D7828" w14:paraId="434F16BB" w14:textId="77777777" w:rsidTr="005D7828">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14:paraId="640E3760" w14:textId="77777777" w:rsidR="005D7828" w:rsidRDefault="005D7828" w:rsidP="005D7828">
            <w:pPr>
              <w:rPr>
                <w:sz w:val="22"/>
                <w:szCs w:val="22"/>
              </w:rPr>
            </w:pPr>
            <w:r>
              <w:rPr>
                <w:sz w:val="22"/>
                <w:szCs w:val="22"/>
              </w:rPr>
              <w:t> </w:t>
            </w:r>
          </w:p>
        </w:tc>
        <w:tc>
          <w:tcPr>
            <w:tcW w:w="2764" w:type="dxa"/>
            <w:tcBorders>
              <w:top w:val="nil"/>
              <w:left w:val="nil"/>
              <w:bottom w:val="single" w:sz="4" w:space="0" w:color="auto"/>
              <w:right w:val="nil"/>
            </w:tcBorders>
            <w:shd w:val="clear" w:color="000000" w:fill="FFFFFF"/>
            <w:noWrap/>
            <w:vAlign w:val="bottom"/>
            <w:hideMark/>
          </w:tcPr>
          <w:p w14:paraId="106F55C3" w14:textId="77777777" w:rsidR="005D7828" w:rsidRDefault="005D7828" w:rsidP="005D7828">
            <w:pPr>
              <w:rPr>
                <w:sz w:val="22"/>
                <w:szCs w:val="22"/>
              </w:rPr>
            </w:pPr>
            <w:r>
              <w:rPr>
                <w:sz w:val="22"/>
                <w:szCs w:val="22"/>
              </w:rPr>
              <w:t> </w:t>
            </w:r>
          </w:p>
        </w:tc>
        <w:tc>
          <w:tcPr>
            <w:tcW w:w="1235" w:type="dxa"/>
            <w:tcBorders>
              <w:top w:val="nil"/>
              <w:left w:val="nil"/>
              <w:bottom w:val="single" w:sz="4" w:space="0" w:color="auto"/>
              <w:right w:val="nil"/>
            </w:tcBorders>
            <w:shd w:val="clear" w:color="000000" w:fill="FFFFFF"/>
            <w:noWrap/>
            <w:vAlign w:val="bottom"/>
            <w:hideMark/>
          </w:tcPr>
          <w:p w14:paraId="1A39E54C" w14:textId="77777777" w:rsidR="005D7828" w:rsidRDefault="005D7828" w:rsidP="005D7828">
            <w:pPr>
              <w:rPr>
                <w:sz w:val="22"/>
                <w:szCs w:val="22"/>
              </w:rPr>
            </w:pPr>
            <w:r>
              <w:rPr>
                <w:sz w:val="22"/>
                <w:szCs w:val="22"/>
              </w:rPr>
              <w:t> </w:t>
            </w:r>
          </w:p>
        </w:tc>
        <w:tc>
          <w:tcPr>
            <w:tcW w:w="1476" w:type="dxa"/>
            <w:tcBorders>
              <w:top w:val="nil"/>
              <w:left w:val="nil"/>
              <w:bottom w:val="single" w:sz="4" w:space="0" w:color="auto"/>
              <w:right w:val="nil"/>
            </w:tcBorders>
            <w:shd w:val="clear" w:color="000000" w:fill="FFFFFF"/>
            <w:noWrap/>
            <w:vAlign w:val="bottom"/>
            <w:hideMark/>
          </w:tcPr>
          <w:p w14:paraId="3A1E44B7" w14:textId="77777777" w:rsidR="005D7828" w:rsidRDefault="005D7828" w:rsidP="005D7828">
            <w:pPr>
              <w:rPr>
                <w:sz w:val="22"/>
                <w:szCs w:val="22"/>
              </w:rPr>
            </w:pPr>
            <w:r>
              <w:rPr>
                <w:sz w:val="22"/>
                <w:szCs w:val="22"/>
              </w:rPr>
              <w:t> </w:t>
            </w:r>
          </w:p>
        </w:tc>
        <w:tc>
          <w:tcPr>
            <w:tcW w:w="1476" w:type="dxa"/>
            <w:tcBorders>
              <w:top w:val="nil"/>
              <w:left w:val="nil"/>
              <w:bottom w:val="single" w:sz="4" w:space="0" w:color="auto"/>
              <w:right w:val="nil"/>
            </w:tcBorders>
            <w:shd w:val="clear" w:color="000000" w:fill="FFFFFF"/>
            <w:noWrap/>
            <w:vAlign w:val="bottom"/>
            <w:hideMark/>
          </w:tcPr>
          <w:p w14:paraId="363EEB7C" w14:textId="77777777" w:rsidR="005D7828" w:rsidRDefault="005D7828" w:rsidP="005D7828">
            <w:pPr>
              <w:rPr>
                <w:sz w:val="22"/>
                <w:szCs w:val="22"/>
              </w:rPr>
            </w:pPr>
            <w:r>
              <w:rPr>
                <w:sz w:val="22"/>
                <w:szCs w:val="22"/>
              </w:rPr>
              <w:t> </w:t>
            </w:r>
          </w:p>
        </w:tc>
        <w:tc>
          <w:tcPr>
            <w:tcW w:w="1370" w:type="dxa"/>
            <w:tcBorders>
              <w:top w:val="nil"/>
              <w:left w:val="nil"/>
              <w:bottom w:val="single" w:sz="4" w:space="0" w:color="auto"/>
              <w:right w:val="nil"/>
            </w:tcBorders>
            <w:shd w:val="clear" w:color="000000" w:fill="FFFFFF"/>
            <w:noWrap/>
            <w:vAlign w:val="bottom"/>
            <w:hideMark/>
          </w:tcPr>
          <w:p w14:paraId="26DCC712" w14:textId="77777777" w:rsidR="005D7828" w:rsidRDefault="005D7828" w:rsidP="005D7828">
            <w:pPr>
              <w:rPr>
                <w:sz w:val="22"/>
                <w:szCs w:val="22"/>
              </w:rPr>
            </w:pPr>
            <w:r>
              <w:rPr>
                <w:sz w:val="22"/>
                <w:szCs w:val="22"/>
              </w:rPr>
              <w:t> </w:t>
            </w:r>
          </w:p>
        </w:tc>
        <w:tc>
          <w:tcPr>
            <w:tcW w:w="1628" w:type="dxa"/>
            <w:tcBorders>
              <w:top w:val="nil"/>
              <w:left w:val="nil"/>
              <w:bottom w:val="single" w:sz="4" w:space="0" w:color="auto"/>
              <w:right w:val="nil"/>
            </w:tcBorders>
            <w:shd w:val="clear" w:color="000000" w:fill="FFFFFF"/>
            <w:noWrap/>
            <w:vAlign w:val="bottom"/>
            <w:hideMark/>
          </w:tcPr>
          <w:p w14:paraId="7ECDBAE7" w14:textId="77777777" w:rsidR="005D7828" w:rsidRDefault="005D7828" w:rsidP="005D7828">
            <w:pPr>
              <w:rPr>
                <w:sz w:val="22"/>
                <w:szCs w:val="22"/>
              </w:rPr>
            </w:pPr>
            <w:r>
              <w:rPr>
                <w:sz w:val="22"/>
                <w:szCs w:val="22"/>
              </w:rPr>
              <w:t> </w:t>
            </w:r>
          </w:p>
        </w:tc>
        <w:tc>
          <w:tcPr>
            <w:tcW w:w="334" w:type="dxa"/>
            <w:tcBorders>
              <w:top w:val="nil"/>
              <w:left w:val="nil"/>
              <w:bottom w:val="single" w:sz="4" w:space="0" w:color="auto"/>
              <w:right w:val="single" w:sz="4" w:space="0" w:color="auto"/>
            </w:tcBorders>
            <w:shd w:val="clear" w:color="000000" w:fill="FFFFFF"/>
            <w:noWrap/>
            <w:vAlign w:val="bottom"/>
            <w:hideMark/>
          </w:tcPr>
          <w:p w14:paraId="3588270E" w14:textId="77777777" w:rsidR="005D7828" w:rsidRDefault="005D7828" w:rsidP="005D7828">
            <w:pPr>
              <w:rPr>
                <w:sz w:val="22"/>
                <w:szCs w:val="22"/>
              </w:rPr>
            </w:pPr>
            <w:r>
              <w:rPr>
                <w:sz w:val="22"/>
                <w:szCs w:val="22"/>
              </w:rPr>
              <w:t> </w:t>
            </w:r>
          </w:p>
        </w:tc>
      </w:tr>
    </w:tbl>
    <w:p w14:paraId="4C27EB2F" w14:textId="77777777" w:rsidR="005D7828" w:rsidRDefault="005D7828" w:rsidP="009054ED">
      <w:pPr>
        <w:pStyle w:val="BodyText"/>
      </w:pPr>
    </w:p>
    <w:p w14:paraId="32764F74" w14:textId="77777777" w:rsidR="005D7828" w:rsidRDefault="005D7828" w:rsidP="009054ED">
      <w:pPr>
        <w:pStyle w:val="BodyText"/>
        <w:sectPr w:rsidR="005D7828" w:rsidSect="005D7828">
          <w:headerReference w:type="default" r:id="rId18"/>
          <w:pgSz w:w="12240" w:h="15840"/>
          <w:pgMar w:top="1440" w:right="1440" w:bottom="1440" w:left="1440" w:header="720" w:footer="720" w:gutter="0"/>
          <w:cols w:space="720"/>
          <w:docGrid w:linePitch="360"/>
        </w:sectPr>
      </w:pPr>
    </w:p>
    <w:p w14:paraId="7FD2E5C3" w14:textId="77777777" w:rsidR="005D7828" w:rsidRDefault="005D7828" w:rsidP="005D7828">
      <w:pPr>
        <w:pStyle w:val="BodyText"/>
      </w:pPr>
    </w:p>
    <w:tbl>
      <w:tblPr>
        <w:tblW w:w="9718" w:type="dxa"/>
        <w:tblInd w:w="113" w:type="dxa"/>
        <w:tblLook w:val="04A0" w:firstRow="1" w:lastRow="0" w:firstColumn="1" w:lastColumn="0" w:noHBand="0" w:noVBand="1"/>
      </w:tblPr>
      <w:tblGrid>
        <w:gridCol w:w="326"/>
        <w:gridCol w:w="7199"/>
        <w:gridCol w:w="1659"/>
        <w:gridCol w:w="534"/>
      </w:tblGrid>
      <w:tr w:rsidR="005D7828" w14:paraId="4739556F" w14:textId="77777777" w:rsidTr="005D7828">
        <w:trPr>
          <w:trHeight w:val="300"/>
        </w:trPr>
        <w:tc>
          <w:tcPr>
            <w:tcW w:w="7525" w:type="dxa"/>
            <w:gridSpan w:val="2"/>
            <w:tcBorders>
              <w:top w:val="single" w:sz="4" w:space="0" w:color="auto"/>
              <w:left w:val="single" w:sz="4" w:space="0" w:color="auto"/>
              <w:bottom w:val="nil"/>
              <w:right w:val="nil"/>
            </w:tcBorders>
            <w:shd w:val="clear" w:color="000000" w:fill="FFFFFF"/>
            <w:noWrap/>
            <w:vAlign w:val="bottom"/>
            <w:hideMark/>
          </w:tcPr>
          <w:p w14:paraId="58C554C3" w14:textId="77777777" w:rsidR="005D7828" w:rsidRDefault="005D7828" w:rsidP="005D7828">
            <w:pPr>
              <w:rPr>
                <w:rFonts w:ascii="Arial" w:hAnsi="Arial" w:cs="Arial"/>
                <w:b/>
                <w:bCs/>
              </w:rPr>
            </w:pPr>
            <w:bookmarkStart w:id="26" w:name="RANGE!B32:E57"/>
            <w:r>
              <w:rPr>
                <w:rFonts w:ascii="Arial" w:hAnsi="Arial" w:cs="Arial"/>
                <w:b/>
                <w:bCs/>
              </w:rPr>
              <w:t>Environmental Utilities, LLC</w:t>
            </w:r>
            <w:bookmarkEnd w:id="26"/>
          </w:p>
        </w:tc>
        <w:tc>
          <w:tcPr>
            <w:tcW w:w="2193" w:type="dxa"/>
            <w:gridSpan w:val="2"/>
            <w:tcBorders>
              <w:top w:val="single" w:sz="4" w:space="0" w:color="auto"/>
              <w:left w:val="nil"/>
              <w:bottom w:val="nil"/>
              <w:right w:val="single" w:sz="4" w:space="0" w:color="auto"/>
            </w:tcBorders>
            <w:shd w:val="clear" w:color="000000" w:fill="FFFFFF"/>
            <w:noWrap/>
            <w:vAlign w:val="bottom"/>
            <w:hideMark/>
          </w:tcPr>
          <w:p w14:paraId="25519E79" w14:textId="77777777" w:rsidR="005D7828" w:rsidRDefault="005D7828" w:rsidP="005D7828">
            <w:pPr>
              <w:jc w:val="right"/>
              <w:rPr>
                <w:rFonts w:ascii="Arial" w:hAnsi="Arial" w:cs="Arial"/>
                <w:b/>
                <w:bCs/>
              </w:rPr>
            </w:pPr>
            <w:r>
              <w:rPr>
                <w:rFonts w:ascii="Arial" w:hAnsi="Arial" w:cs="Arial"/>
                <w:b/>
                <w:bCs/>
              </w:rPr>
              <w:t>Schedule No. 3-B</w:t>
            </w:r>
          </w:p>
        </w:tc>
      </w:tr>
      <w:tr w:rsidR="005D7828" w14:paraId="19A7D321" w14:textId="77777777" w:rsidTr="005D7828">
        <w:trPr>
          <w:trHeight w:val="300"/>
        </w:trPr>
        <w:tc>
          <w:tcPr>
            <w:tcW w:w="7525" w:type="dxa"/>
            <w:gridSpan w:val="2"/>
            <w:tcBorders>
              <w:top w:val="nil"/>
              <w:left w:val="single" w:sz="4" w:space="0" w:color="auto"/>
              <w:bottom w:val="nil"/>
              <w:right w:val="nil"/>
            </w:tcBorders>
            <w:shd w:val="clear" w:color="000000" w:fill="FFFFFF"/>
            <w:noWrap/>
            <w:vAlign w:val="bottom"/>
            <w:hideMark/>
          </w:tcPr>
          <w:p w14:paraId="7D8F561E" w14:textId="77777777" w:rsidR="005D7828" w:rsidRDefault="005D7828" w:rsidP="005D7828">
            <w:pPr>
              <w:rPr>
                <w:rFonts w:ascii="Arial" w:hAnsi="Arial" w:cs="Arial"/>
                <w:b/>
                <w:bCs/>
              </w:rPr>
            </w:pPr>
            <w:r>
              <w:rPr>
                <w:rFonts w:ascii="Arial" w:hAnsi="Arial" w:cs="Arial"/>
                <w:b/>
                <w:bCs/>
              </w:rPr>
              <w:t>Adjustments to Operating Income</w:t>
            </w:r>
          </w:p>
        </w:tc>
        <w:tc>
          <w:tcPr>
            <w:tcW w:w="2193" w:type="dxa"/>
            <w:gridSpan w:val="2"/>
            <w:tcBorders>
              <w:top w:val="nil"/>
              <w:left w:val="nil"/>
              <w:bottom w:val="nil"/>
              <w:right w:val="single" w:sz="4" w:space="0" w:color="auto"/>
            </w:tcBorders>
            <w:shd w:val="clear" w:color="000000" w:fill="FFFFFF"/>
            <w:noWrap/>
            <w:vAlign w:val="bottom"/>
            <w:hideMark/>
          </w:tcPr>
          <w:p w14:paraId="7EE7B215" w14:textId="77777777" w:rsidR="005D7828" w:rsidRDefault="005D7828" w:rsidP="005D7828">
            <w:pPr>
              <w:jc w:val="right"/>
              <w:rPr>
                <w:rFonts w:ascii="Arial" w:hAnsi="Arial" w:cs="Arial"/>
                <w:b/>
                <w:bCs/>
              </w:rPr>
            </w:pPr>
            <w:r>
              <w:rPr>
                <w:rFonts w:ascii="Arial" w:hAnsi="Arial" w:cs="Arial"/>
                <w:b/>
                <w:bCs/>
              </w:rPr>
              <w:t>20240032-SU</w:t>
            </w:r>
          </w:p>
        </w:tc>
      </w:tr>
      <w:tr w:rsidR="005D7828" w14:paraId="1B050309" w14:textId="77777777" w:rsidTr="005D7828">
        <w:trPr>
          <w:trHeight w:val="300"/>
        </w:trPr>
        <w:tc>
          <w:tcPr>
            <w:tcW w:w="7525" w:type="dxa"/>
            <w:gridSpan w:val="2"/>
            <w:tcBorders>
              <w:top w:val="nil"/>
              <w:left w:val="single" w:sz="4" w:space="0" w:color="auto"/>
              <w:bottom w:val="single" w:sz="4" w:space="0" w:color="auto"/>
              <w:right w:val="nil"/>
            </w:tcBorders>
            <w:shd w:val="clear" w:color="000000" w:fill="FFFFFF"/>
            <w:noWrap/>
            <w:vAlign w:val="bottom"/>
            <w:hideMark/>
          </w:tcPr>
          <w:p w14:paraId="565B6A6F" w14:textId="77777777" w:rsidR="005D7828" w:rsidRDefault="005D7828" w:rsidP="005D7828">
            <w:pPr>
              <w:rPr>
                <w:rFonts w:ascii="Arial" w:hAnsi="Arial" w:cs="Arial"/>
                <w:b/>
                <w:bCs/>
              </w:rPr>
            </w:pPr>
            <w:r>
              <w:rPr>
                <w:rFonts w:ascii="Arial" w:hAnsi="Arial" w:cs="Arial"/>
                <w:b/>
                <w:bCs/>
              </w:rPr>
              <w:t>80% Design Capacity</w:t>
            </w:r>
          </w:p>
        </w:tc>
        <w:tc>
          <w:tcPr>
            <w:tcW w:w="1659" w:type="dxa"/>
            <w:tcBorders>
              <w:top w:val="nil"/>
              <w:left w:val="nil"/>
              <w:bottom w:val="nil"/>
              <w:right w:val="nil"/>
            </w:tcBorders>
            <w:shd w:val="clear" w:color="000000" w:fill="FFFFFF"/>
            <w:noWrap/>
            <w:vAlign w:val="bottom"/>
            <w:hideMark/>
          </w:tcPr>
          <w:p w14:paraId="0C0F0F2D" w14:textId="77777777" w:rsidR="005D7828" w:rsidRDefault="005D7828" w:rsidP="005D7828">
            <w:pPr>
              <w:jc w:val="right"/>
              <w:rPr>
                <w:rFonts w:ascii="Arial" w:hAnsi="Arial" w:cs="Arial"/>
                <w:b/>
                <w:bCs/>
              </w:rPr>
            </w:pPr>
            <w:r>
              <w:rPr>
                <w:rFonts w:ascii="Arial" w:hAnsi="Arial" w:cs="Arial"/>
                <w:b/>
                <w:bCs/>
              </w:rPr>
              <w:t> </w:t>
            </w:r>
          </w:p>
        </w:tc>
        <w:tc>
          <w:tcPr>
            <w:tcW w:w="534" w:type="dxa"/>
            <w:tcBorders>
              <w:top w:val="nil"/>
              <w:left w:val="nil"/>
              <w:bottom w:val="nil"/>
              <w:right w:val="single" w:sz="4" w:space="0" w:color="auto"/>
            </w:tcBorders>
            <w:shd w:val="clear" w:color="000000" w:fill="FFFFFF"/>
            <w:noWrap/>
            <w:vAlign w:val="bottom"/>
            <w:hideMark/>
          </w:tcPr>
          <w:p w14:paraId="38C5E593" w14:textId="77777777" w:rsidR="005D7828" w:rsidRDefault="005D7828" w:rsidP="005D7828">
            <w:pPr>
              <w:rPr>
                <w:rFonts w:ascii="Arial" w:hAnsi="Arial" w:cs="Arial"/>
              </w:rPr>
            </w:pPr>
            <w:r>
              <w:rPr>
                <w:rFonts w:ascii="Arial" w:hAnsi="Arial" w:cs="Arial"/>
              </w:rPr>
              <w:t> </w:t>
            </w:r>
          </w:p>
        </w:tc>
      </w:tr>
      <w:tr w:rsidR="005D7828" w14:paraId="55805265" w14:textId="77777777" w:rsidTr="005D7828">
        <w:trPr>
          <w:trHeight w:val="300"/>
        </w:trPr>
        <w:tc>
          <w:tcPr>
            <w:tcW w:w="326" w:type="dxa"/>
            <w:tcBorders>
              <w:top w:val="nil"/>
              <w:left w:val="single" w:sz="4" w:space="0" w:color="auto"/>
              <w:bottom w:val="nil"/>
              <w:right w:val="nil"/>
            </w:tcBorders>
            <w:shd w:val="clear" w:color="000000" w:fill="FFFFFF"/>
            <w:noWrap/>
            <w:vAlign w:val="bottom"/>
            <w:hideMark/>
          </w:tcPr>
          <w:p w14:paraId="2A522073" w14:textId="77777777" w:rsidR="005D7828" w:rsidRDefault="005D7828" w:rsidP="005D7828">
            <w:pPr>
              <w:rPr>
                <w:rFonts w:ascii="Arial" w:hAnsi="Arial" w:cs="Arial"/>
                <w:sz w:val="20"/>
                <w:szCs w:val="20"/>
              </w:rPr>
            </w:pPr>
            <w:r>
              <w:rPr>
                <w:rFonts w:ascii="Arial" w:hAnsi="Arial" w:cs="Arial"/>
                <w:sz w:val="20"/>
                <w:szCs w:val="20"/>
              </w:rPr>
              <w:t> </w:t>
            </w:r>
          </w:p>
        </w:tc>
        <w:tc>
          <w:tcPr>
            <w:tcW w:w="7199" w:type="dxa"/>
            <w:tcBorders>
              <w:top w:val="nil"/>
              <w:left w:val="nil"/>
              <w:bottom w:val="nil"/>
              <w:right w:val="nil"/>
            </w:tcBorders>
            <w:shd w:val="clear" w:color="000000" w:fill="FFFFFF"/>
            <w:noWrap/>
            <w:vAlign w:val="bottom"/>
            <w:hideMark/>
          </w:tcPr>
          <w:p w14:paraId="2BB3ADC0" w14:textId="77777777" w:rsidR="005D7828" w:rsidRDefault="005D7828" w:rsidP="005D7828">
            <w:pPr>
              <w:rPr>
                <w:rFonts w:ascii="Arial" w:hAnsi="Arial" w:cs="Arial"/>
                <w:sz w:val="20"/>
                <w:szCs w:val="20"/>
              </w:rPr>
            </w:pPr>
            <w:r>
              <w:rPr>
                <w:rFonts w:ascii="Arial" w:hAnsi="Arial" w:cs="Arial"/>
                <w:sz w:val="20"/>
                <w:szCs w:val="20"/>
              </w:rPr>
              <w:t> </w:t>
            </w:r>
          </w:p>
        </w:tc>
        <w:tc>
          <w:tcPr>
            <w:tcW w:w="1659" w:type="dxa"/>
            <w:tcBorders>
              <w:top w:val="single" w:sz="4" w:space="0" w:color="000000"/>
              <w:left w:val="nil"/>
              <w:bottom w:val="nil"/>
              <w:right w:val="nil"/>
            </w:tcBorders>
            <w:shd w:val="clear" w:color="000000" w:fill="FFFFFF"/>
            <w:noWrap/>
            <w:vAlign w:val="bottom"/>
            <w:hideMark/>
          </w:tcPr>
          <w:p w14:paraId="271D6DA7" w14:textId="77777777" w:rsidR="005D7828" w:rsidRDefault="005D7828" w:rsidP="005D7828">
            <w:pPr>
              <w:jc w:val="center"/>
              <w:rPr>
                <w:rFonts w:ascii="Arial" w:hAnsi="Arial" w:cs="Arial"/>
                <w:sz w:val="20"/>
                <w:szCs w:val="20"/>
              </w:rPr>
            </w:pPr>
            <w:r>
              <w:rPr>
                <w:rFonts w:ascii="Arial" w:hAnsi="Arial" w:cs="Arial"/>
                <w:sz w:val="20"/>
                <w:szCs w:val="20"/>
              </w:rPr>
              <w:t> </w:t>
            </w:r>
          </w:p>
        </w:tc>
        <w:tc>
          <w:tcPr>
            <w:tcW w:w="534" w:type="dxa"/>
            <w:tcBorders>
              <w:top w:val="single" w:sz="4" w:space="0" w:color="000000"/>
              <w:left w:val="nil"/>
              <w:bottom w:val="nil"/>
              <w:right w:val="single" w:sz="4" w:space="0" w:color="auto"/>
            </w:tcBorders>
            <w:shd w:val="clear" w:color="000000" w:fill="FFFFFF"/>
            <w:noWrap/>
            <w:vAlign w:val="bottom"/>
            <w:hideMark/>
          </w:tcPr>
          <w:p w14:paraId="2F045D69" w14:textId="77777777" w:rsidR="005D7828" w:rsidRDefault="005D7828" w:rsidP="005D7828">
            <w:pPr>
              <w:rPr>
                <w:rFonts w:ascii="Arial" w:hAnsi="Arial" w:cs="Arial"/>
                <w:sz w:val="20"/>
                <w:szCs w:val="20"/>
              </w:rPr>
            </w:pPr>
            <w:r>
              <w:rPr>
                <w:rFonts w:ascii="Arial" w:hAnsi="Arial" w:cs="Arial"/>
                <w:sz w:val="20"/>
                <w:szCs w:val="20"/>
              </w:rPr>
              <w:t> </w:t>
            </w:r>
          </w:p>
        </w:tc>
      </w:tr>
      <w:tr w:rsidR="005D7828" w14:paraId="53210C05" w14:textId="77777777" w:rsidTr="005D7828">
        <w:trPr>
          <w:trHeight w:val="300"/>
        </w:trPr>
        <w:tc>
          <w:tcPr>
            <w:tcW w:w="326" w:type="dxa"/>
            <w:tcBorders>
              <w:top w:val="nil"/>
              <w:left w:val="single" w:sz="4" w:space="0" w:color="auto"/>
              <w:bottom w:val="nil"/>
              <w:right w:val="nil"/>
            </w:tcBorders>
            <w:shd w:val="clear" w:color="000000" w:fill="FFFFFF"/>
            <w:noWrap/>
            <w:vAlign w:val="bottom"/>
            <w:hideMark/>
          </w:tcPr>
          <w:p w14:paraId="36E5D0F2" w14:textId="77777777" w:rsidR="005D7828" w:rsidRDefault="005D7828" w:rsidP="005D7828">
            <w:pPr>
              <w:rPr>
                <w:rFonts w:ascii="Arial" w:hAnsi="Arial" w:cs="Arial"/>
                <w:sz w:val="20"/>
                <w:szCs w:val="20"/>
              </w:rPr>
            </w:pPr>
            <w:r>
              <w:rPr>
                <w:rFonts w:ascii="Arial" w:hAnsi="Arial" w:cs="Arial"/>
                <w:sz w:val="20"/>
                <w:szCs w:val="20"/>
              </w:rPr>
              <w:t> </w:t>
            </w:r>
          </w:p>
        </w:tc>
        <w:tc>
          <w:tcPr>
            <w:tcW w:w="7199" w:type="dxa"/>
            <w:tcBorders>
              <w:top w:val="nil"/>
              <w:left w:val="nil"/>
              <w:bottom w:val="nil"/>
              <w:right w:val="nil"/>
            </w:tcBorders>
            <w:shd w:val="clear" w:color="000000" w:fill="FFFFFF"/>
            <w:noWrap/>
            <w:vAlign w:val="bottom"/>
            <w:hideMark/>
          </w:tcPr>
          <w:p w14:paraId="298DAF1A" w14:textId="77777777" w:rsidR="005D7828" w:rsidRDefault="005D7828" w:rsidP="005D7828">
            <w:pPr>
              <w:rPr>
                <w:b/>
                <w:bCs/>
                <w:sz w:val="22"/>
                <w:szCs w:val="22"/>
              </w:rPr>
            </w:pPr>
            <w:r>
              <w:rPr>
                <w:b/>
                <w:bCs/>
                <w:sz w:val="22"/>
                <w:szCs w:val="22"/>
              </w:rPr>
              <w:t>Explanation</w:t>
            </w:r>
          </w:p>
        </w:tc>
        <w:tc>
          <w:tcPr>
            <w:tcW w:w="1659" w:type="dxa"/>
            <w:tcBorders>
              <w:top w:val="nil"/>
              <w:left w:val="nil"/>
              <w:bottom w:val="nil"/>
              <w:right w:val="nil"/>
            </w:tcBorders>
            <w:shd w:val="clear" w:color="000000" w:fill="FFFFFF"/>
            <w:noWrap/>
            <w:vAlign w:val="bottom"/>
            <w:hideMark/>
          </w:tcPr>
          <w:p w14:paraId="3B835475" w14:textId="77777777" w:rsidR="005D7828" w:rsidRDefault="005D7828" w:rsidP="005D7828">
            <w:pPr>
              <w:jc w:val="center"/>
              <w:rPr>
                <w:b/>
                <w:bCs/>
                <w:sz w:val="22"/>
                <w:szCs w:val="22"/>
              </w:rPr>
            </w:pPr>
            <w:r>
              <w:rPr>
                <w:b/>
                <w:bCs/>
                <w:sz w:val="22"/>
                <w:szCs w:val="22"/>
              </w:rPr>
              <w:t>Wastewater</w:t>
            </w:r>
          </w:p>
        </w:tc>
        <w:tc>
          <w:tcPr>
            <w:tcW w:w="534" w:type="dxa"/>
            <w:tcBorders>
              <w:top w:val="nil"/>
              <w:left w:val="nil"/>
              <w:bottom w:val="nil"/>
              <w:right w:val="single" w:sz="4" w:space="0" w:color="auto"/>
            </w:tcBorders>
            <w:shd w:val="clear" w:color="000000" w:fill="FFFFFF"/>
            <w:noWrap/>
            <w:vAlign w:val="bottom"/>
            <w:hideMark/>
          </w:tcPr>
          <w:p w14:paraId="384BE871" w14:textId="77777777" w:rsidR="005D7828" w:rsidRDefault="005D7828" w:rsidP="005D7828">
            <w:pPr>
              <w:jc w:val="center"/>
              <w:rPr>
                <w:rFonts w:ascii="Arial" w:hAnsi="Arial" w:cs="Arial"/>
                <w:sz w:val="20"/>
                <w:szCs w:val="20"/>
              </w:rPr>
            </w:pPr>
            <w:r>
              <w:rPr>
                <w:rFonts w:ascii="Arial" w:hAnsi="Arial" w:cs="Arial"/>
                <w:sz w:val="20"/>
                <w:szCs w:val="20"/>
              </w:rPr>
              <w:t> </w:t>
            </w:r>
          </w:p>
        </w:tc>
      </w:tr>
      <w:tr w:rsidR="005D7828" w14:paraId="18610B2B" w14:textId="77777777" w:rsidTr="005D7828">
        <w:trPr>
          <w:trHeight w:val="300"/>
        </w:trPr>
        <w:tc>
          <w:tcPr>
            <w:tcW w:w="326" w:type="dxa"/>
            <w:tcBorders>
              <w:top w:val="nil"/>
              <w:left w:val="single" w:sz="4" w:space="0" w:color="auto"/>
              <w:bottom w:val="nil"/>
              <w:right w:val="nil"/>
            </w:tcBorders>
            <w:shd w:val="clear" w:color="000000" w:fill="FFFFFF"/>
            <w:noWrap/>
            <w:vAlign w:val="bottom"/>
            <w:hideMark/>
          </w:tcPr>
          <w:p w14:paraId="35D6F4E8" w14:textId="77777777" w:rsidR="005D7828" w:rsidRDefault="005D7828" w:rsidP="005D7828">
            <w:pPr>
              <w:rPr>
                <w:rFonts w:ascii="Arial" w:hAnsi="Arial" w:cs="Arial"/>
                <w:sz w:val="20"/>
                <w:szCs w:val="20"/>
              </w:rPr>
            </w:pPr>
            <w:r>
              <w:rPr>
                <w:rFonts w:ascii="Arial" w:hAnsi="Arial" w:cs="Arial"/>
                <w:sz w:val="20"/>
                <w:szCs w:val="20"/>
              </w:rPr>
              <w:t> </w:t>
            </w:r>
          </w:p>
        </w:tc>
        <w:tc>
          <w:tcPr>
            <w:tcW w:w="7199" w:type="dxa"/>
            <w:tcBorders>
              <w:top w:val="nil"/>
              <w:left w:val="nil"/>
              <w:bottom w:val="nil"/>
              <w:right w:val="nil"/>
            </w:tcBorders>
            <w:shd w:val="clear" w:color="000000" w:fill="FFFFFF"/>
            <w:noWrap/>
            <w:vAlign w:val="bottom"/>
            <w:hideMark/>
          </w:tcPr>
          <w:p w14:paraId="127E4100" w14:textId="77777777" w:rsidR="005D7828" w:rsidRDefault="005D7828" w:rsidP="005D7828">
            <w:pPr>
              <w:rPr>
                <w:rFonts w:ascii="Arial" w:hAnsi="Arial" w:cs="Arial"/>
                <w:sz w:val="20"/>
                <w:szCs w:val="20"/>
              </w:rPr>
            </w:pPr>
            <w:r>
              <w:rPr>
                <w:rFonts w:ascii="Arial" w:hAnsi="Arial" w:cs="Arial"/>
                <w:sz w:val="20"/>
                <w:szCs w:val="20"/>
              </w:rPr>
              <w:t> </w:t>
            </w:r>
          </w:p>
        </w:tc>
        <w:tc>
          <w:tcPr>
            <w:tcW w:w="1659" w:type="dxa"/>
            <w:tcBorders>
              <w:top w:val="nil"/>
              <w:left w:val="nil"/>
              <w:bottom w:val="nil"/>
              <w:right w:val="nil"/>
            </w:tcBorders>
            <w:shd w:val="clear" w:color="000000" w:fill="FFFFFF"/>
            <w:noWrap/>
            <w:vAlign w:val="bottom"/>
            <w:hideMark/>
          </w:tcPr>
          <w:p w14:paraId="109052E0" w14:textId="77777777" w:rsidR="005D7828" w:rsidRDefault="005D7828" w:rsidP="005D7828">
            <w:pPr>
              <w:jc w:val="center"/>
              <w:rPr>
                <w:rFonts w:ascii="Arial" w:hAnsi="Arial" w:cs="Arial"/>
                <w:sz w:val="20"/>
                <w:szCs w:val="20"/>
              </w:rPr>
            </w:pPr>
            <w:r>
              <w:rPr>
                <w:rFonts w:ascii="Arial" w:hAnsi="Arial" w:cs="Arial"/>
                <w:sz w:val="20"/>
                <w:szCs w:val="20"/>
              </w:rPr>
              <w:t> </w:t>
            </w:r>
          </w:p>
        </w:tc>
        <w:tc>
          <w:tcPr>
            <w:tcW w:w="534" w:type="dxa"/>
            <w:tcBorders>
              <w:top w:val="nil"/>
              <w:left w:val="nil"/>
              <w:bottom w:val="nil"/>
              <w:right w:val="single" w:sz="4" w:space="0" w:color="auto"/>
            </w:tcBorders>
            <w:shd w:val="clear" w:color="000000" w:fill="FFFFFF"/>
            <w:noWrap/>
            <w:vAlign w:val="bottom"/>
            <w:hideMark/>
          </w:tcPr>
          <w:p w14:paraId="0BC825DB" w14:textId="77777777" w:rsidR="005D7828" w:rsidRDefault="005D7828" w:rsidP="005D7828">
            <w:pPr>
              <w:rPr>
                <w:rFonts w:ascii="Arial" w:hAnsi="Arial" w:cs="Arial"/>
                <w:sz w:val="20"/>
                <w:szCs w:val="20"/>
              </w:rPr>
            </w:pPr>
            <w:r>
              <w:rPr>
                <w:rFonts w:ascii="Arial" w:hAnsi="Arial" w:cs="Arial"/>
                <w:sz w:val="20"/>
                <w:szCs w:val="20"/>
              </w:rPr>
              <w:t> </w:t>
            </w:r>
          </w:p>
        </w:tc>
      </w:tr>
      <w:tr w:rsidR="005D7828" w14:paraId="67920AF3" w14:textId="77777777" w:rsidTr="005D7828">
        <w:trPr>
          <w:trHeight w:val="300"/>
        </w:trPr>
        <w:tc>
          <w:tcPr>
            <w:tcW w:w="326" w:type="dxa"/>
            <w:tcBorders>
              <w:top w:val="nil"/>
              <w:left w:val="single" w:sz="4" w:space="0" w:color="auto"/>
              <w:bottom w:val="nil"/>
              <w:right w:val="nil"/>
            </w:tcBorders>
            <w:shd w:val="clear" w:color="000000" w:fill="FFFFFF"/>
            <w:noWrap/>
            <w:vAlign w:val="bottom"/>
            <w:hideMark/>
          </w:tcPr>
          <w:p w14:paraId="5DF62478" w14:textId="77777777" w:rsidR="005D7828" w:rsidRDefault="005D7828" w:rsidP="005D7828">
            <w:pPr>
              <w:jc w:val="center"/>
              <w:rPr>
                <w:sz w:val="22"/>
                <w:szCs w:val="22"/>
              </w:rPr>
            </w:pPr>
            <w:r>
              <w:rPr>
                <w:sz w:val="22"/>
                <w:szCs w:val="22"/>
              </w:rPr>
              <w:t> </w:t>
            </w:r>
          </w:p>
        </w:tc>
        <w:tc>
          <w:tcPr>
            <w:tcW w:w="7199" w:type="dxa"/>
            <w:tcBorders>
              <w:top w:val="nil"/>
              <w:left w:val="nil"/>
              <w:bottom w:val="nil"/>
              <w:right w:val="nil"/>
            </w:tcBorders>
            <w:shd w:val="clear" w:color="000000" w:fill="FFFFFF"/>
            <w:noWrap/>
            <w:vAlign w:val="bottom"/>
            <w:hideMark/>
          </w:tcPr>
          <w:p w14:paraId="46E2041B" w14:textId="77777777" w:rsidR="005D7828" w:rsidRDefault="005D7828" w:rsidP="005D7828">
            <w:pPr>
              <w:rPr>
                <w:b/>
                <w:bCs/>
                <w:sz w:val="22"/>
                <w:szCs w:val="22"/>
              </w:rPr>
            </w:pPr>
            <w:r>
              <w:rPr>
                <w:b/>
                <w:bCs/>
                <w:sz w:val="22"/>
                <w:szCs w:val="22"/>
              </w:rPr>
              <w:t>Operation and Maintenance Expense</w:t>
            </w:r>
          </w:p>
        </w:tc>
        <w:tc>
          <w:tcPr>
            <w:tcW w:w="1659" w:type="dxa"/>
            <w:tcBorders>
              <w:top w:val="nil"/>
              <w:left w:val="nil"/>
              <w:bottom w:val="nil"/>
              <w:right w:val="nil"/>
            </w:tcBorders>
            <w:shd w:val="clear" w:color="000000" w:fill="FFFFFF"/>
            <w:noWrap/>
            <w:vAlign w:val="bottom"/>
            <w:hideMark/>
          </w:tcPr>
          <w:p w14:paraId="67C46AF4" w14:textId="77777777" w:rsidR="005D7828" w:rsidRDefault="005D7828" w:rsidP="005D7828">
            <w:pPr>
              <w:rPr>
                <w:sz w:val="22"/>
                <w:szCs w:val="22"/>
              </w:rPr>
            </w:pPr>
            <w:r>
              <w:rPr>
                <w:sz w:val="22"/>
                <w:szCs w:val="22"/>
              </w:rPr>
              <w:t> </w:t>
            </w:r>
          </w:p>
        </w:tc>
        <w:tc>
          <w:tcPr>
            <w:tcW w:w="534" w:type="dxa"/>
            <w:tcBorders>
              <w:top w:val="nil"/>
              <w:left w:val="nil"/>
              <w:bottom w:val="nil"/>
              <w:right w:val="single" w:sz="4" w:space="0" w:color="auto"/>
            </w:tcBorders>
            <w:shd w:val="clear" w:color="000000" w:fill="FFFFFF"/>
            <w:noWrap/>
            <w:vAlign w:val="bottom"/>
            <w:hideMark/>
          </w:tcPr>
          <w:p w14:paraId="75480919" w14:textId="77777777" w:rsidR="005D7828" w:rsidRDefault="005D7828" w:rsidP="005D7828">
            <w:pPr>
              <w:rPr>
                <w:sz w:val="22"/>
                <w:szCs w:val="22"/>
              </w:rPr>
            </w:pPr>
            <w:r>
              <w:rPr>
                <w:sz w:val="22"/>
                <w:szCs w:val="22"/>
              </w:rPr>
              <w:t> </w:t>
            </w:r>
          </w:p>
        </w:tc>
      </w:tr>
      <w:tr w:rsidR="005D7828" w14:paraId="18DACB43" w14:textId="77777777" w:rsidTr="005D7828">
        <w:trPr>
          <w:trHeight w:val="300"/>
        </w:trPr>
        <w:tc>
          <w:tcPr>
            <w:tcW w:w="326" w:type="dxa"/>
            <w:tcBorders>
              <w:top w:val="nil"/>
              <w:left w:val="single" w:sz="4" w:space="0" w:color="auto"/>
              <w:bottom w:val="nil"/>
              <w:right w:val="nil"/>
            </w:tcBorders>
            <w:shd w:val="clear" w:color="000000" w:fill="FFFFFF"/>
            <w:noWrap/>
            <w:vAlign w:val="bottom"/>
            <w:hideMark/>
          </w:tcPr>
          <w:p w14:paraId="68BB0AAE" w14:textId="77777777" w:rsidR="005D7828" w:rsidRDefault="005D7828" w:rsidP="005D7828">
            <w:pPr>
              <w:jc w:val="center"/>
              <w:rPr>
                <w:sz w:val="22"/>
                <w:szCs w:val="22"/>
              </w:rPr>
            </w:pPr>
            <w:r>
              <w:rPr>
                <w:sz w:val="22"/>
                <w:szCs w:val="22"/>
              </w:rPr>
              <w:t> </w:t>
            </w:r>
          </w:p>
        </w:tc>
        <w:tc>
          <w:tcPr>
            <w:tcW w:w="7199" w:type="dxa"/>
            <w:tcBorders>
              <w:top w:val="nil"/>
              <w:left w:val="nil"/>
              <w:bottom w:val="nil"/>
              <w:right w:val="nil"/>
            </w:tcBorders>
            <w:shd w:val="clear" w:color="000000" w:fill="FFFFFF"/>
            <w:noWrap/>
            <w:vAlign w:val="bottom"/>
            <w:hideMark/>
          </w:tcPr>
          <w:p w14:paraId="6A959F75" w14:textId="77777777" w:rsidR="005D7828" w:rsidRDefault="005D7828" w:rsidP="005D7828">
            <w:pPr>
              <w:rPr>
                <w:sz w:val="22"/>
                <w:szCs w:val="22"/>
              </w:rPr>
            </w:pPr>
            <w:r>
              <w:rPr>
                <w:sz w:val="22"/>
                <w:szCs w:val="22"/>
              </w:rPr>
              <w:t>To reflect correct amount of O&amp;M Expense.</w:t>
            </w:r>
          </w:p>
        </w:tc>
        <w:tc>
          <w:tcPr>
            <w:tcW w:w="1659" w:type="dxa"/>
            <w:tcBorders>
              <w:top w:val="nil"/>
              <w:left w:val="nil"/>
              <w:bottom w:val="nil"/>
              <w:right w:val="nil"/>
            </w:tcBorders>
            <w:shd w:val="clear" w:color="000000" w:fill="FFFFFF"/>
            <w:noWrap/>
            <w:vAlign w:val="bottom"/>
            <w:hideMark/>
          </w:tcPr>
          <w:p w14:paraId="09133B13" w14:textId="77777777" w:rsidR="005D7828" w:rsidRDefault="005D7828" w:rsidP="005D7828">
            <w:pPr>
              <w:jc w:val="right"/>
              <w:rPr>
                <w:sz w:val="22"/>
                <w:szCs w:val="22"/>
                <w:u w:val="double"/>
              </w:rPr>
            </w:pPr>
            <w:r>
              <w:rPr>
                <w:sz w:val="22"/>
                <w:szCs w:val="22"/>
                <w:u w:val="double"/>
              </w:rPr>
              <w:t xml:space="preserve">$131,513 </w:t>
            </w:r>
          </w:p>
        </w:tc>
        <w:tc>
          <w:tcPr>
            <w:tcW w:w="534" w:type="dxa"/>
            <w:tcBorders>
              <w:top w:val="nil"/>
              <w:left w:val="nil"/>
              <w:bottom w:val="nil"/>
              <w:right w:val="single" w:sz="4" w:space="0" w:color="auto"/>
            </w:tcBorders>
            <w:shd w:val="clear" w:color="000000" w:fill="FFFFFF"/>
            <w:noWrap/>
            <w:vAlign w:val="bottom"/>
            <w:hideMark/>
          </w:tcPr>
          <w:p w14:paraId="41CE0D23" w14:textId="77777777" w:rsidR="005D7828" w:rsidRDefault="005D7828" w:rsidP="005D7828">
            <w:pPr>
              <w:rPr>
                <w:sz w:val="22"/>
                <w:szCs w:val="22"/>
              </w:rPr>
            </w:pPr>
            <w:r>
              <w:rPr>
                <w:sz w:val="22"/>
                <w:szCs w:val="22"/>
              </w:rPr>
              <w:t> </w:t>
            </w:r>
          </w:p>
        </w:tc>
      </w:tr>
      <w:tr w:rsidR="005D7828" w14:paraId="4CCA4953" w14:textId="77777777" w:rsidTr="005D7828">
        <w:trPr>
          <w:trHeight w:val="300"/>
        </w:trPr>
        <w:tc>
          <w:tcPr>
            <w:tcW w:w="326" w:type="dxa"/>
            <w:tcBorders>
              <w:top w:val="nil"/>
              <w:left w:val="single" w:sz="4" w:space="0" w:color="auto"/>
              <w:bottom w:val="nil"/>
              <w:right w:val="nil"/>
            </w:tcBorders>
            <w:shd w:val="clear" w:color="000000" w:fill="FFFFFF"/>
            <w:noWrap/>
            <w:vAlign w:val="bottom"/>
            <w:hideMark/>
          </w:tcPr>
          <w:p w14:paraId="1CB49120" w14:textId="77777777" w:rsidR="005D7828" w:rsidRDefault="005D7828" w:rsidP="005D7828">
            <w:pPr>
              <w:jc w:val="center"/>
              <w:rPr>
                <w:sz w:val="22"/>
                <w:szCs w:val="22"/>
              </w:rPr>
            </w:pPr>
            <w:r>
              <w:rPr>
                <w:sz w:val="22"/>
                <w:szCs w:val="22"/>
              </w:rPr>
              <w:t> </w:t>
            </w:r>
          </w:p>
        </w:tc>
        <w:tc>
          <w:tcPr>
            <w:tcW w:w="7199" w:type="dxa"/>
            <w:tcBorders>
              <w:top w:val="nil"/>
              <w:left w:val="nil"/>
              <w:bottom w:val="nil"/>
              <w:right w:val="nil"/>
            </w:tcBorders>
            <w:shd w:val="clear" w:color="000000" w:fill="FFFFFF"/>
            <w:noWrap/>
            <w:vAlign w:val="bottom"/>
            <w:hideMark/>
          </w:tcPr>
          <w:p w14:paraId="56302C8D" w14:textId="77777777" w:rsidR="005D7828" w:rsidRDefault="005D7828" w:rsidP="005D7828">
            <w:pPr>
              <w:rPr>
                <w:sz w:val="22"/>
                <w:szCs w:val="22"/>
              </w:rPr>
            </w:pPr>
            <w:r>
              <w:rPr>
                <w:sz w:val="22"/>
                <w:szCs w:val="22"/>
              </w:rPr>
              <w:t> </w:t>
            </w:r>
          </w:p>
        </w:tc>
        <w:tc>
          <w:tcPr>
            <w:tcW w:w="1659" w:type="dxa"/>
            <w:tcBorders>
              <w:top w:val="nil"/>
              <w:left w:val="nil"/>
              <w:bottom w:val="nil"/>
              <w:right w:val="nil"/>
            </w:tcBorders>
            <w:shd w:val="clear" w:color="000000" w:fill="FFFFFF"/>
            <w:noWrap/>
            <w:vAlign w:val="bottom"/>
            <w:hideMark/>
          </w:tcPr>
          <w:p w14:paraId="1129F258" w14:textId="77777777" w:rsidR="005D7828" w:rsidRDefault="005D7828" w:rsidP="005D7828">
            <w:pPr>
              <w:rPr>
                <w:sz w:val="22"/>
                <w:szCs w:val="22"/>
              </w:rPr>
            </w:pPr>
            <w:r>
              <w:rPr>
                <w:sz w:val="22"/>
                <w:szCs w:val="22"/>
              </w:rPr>
              <w:t> </w:t>
            </w:r>
          </w:p>
        </w:tc>
        <w:tc>
          <w:tcPr>
            <w:tcW w:w="534" w:type="dxa"/>
            <w:tcBorders>
              <w:top w:val="nil"/>
              <w:left w:val="nil"/>
              <w:bottom w:val="nil"/>
              <w:right w:val="single" w:sz="4" w:space="0" w:color="auto"/>
            </w:tcBorders>
            <w:shd w:val="clear" w:color="000000" w:fill="FFFFFF"/>
            <w:noWrap/>
            <w:vAlign w:val="bottom"/>
            <w:hideMark/>
          </w:tcPr>
          <w:p w14:paraId="1142DAA3" w14:textId="77777777" w:rsidR="005D7828" w:rsidRDefault="005D7828" w:rsidP="005D7828">
            <w:pPr>
              <w:rPr>
                <w:sz w:val="22"/>
                <w:szCs w:val="22"/>
              </w:rPr>
            </w:pPr>
            <w:r>
              <w:rPr>
                <w:sz w:val="22"/>
                <w:szCs w:val="22"/>
              </w:rPr>
              <w:t> </w:t>
            </w:r>
          </w:p>
        </w:tc>
      </w:tr>
      <w:tr w:rsidR="005D7828" w14:paraId="54C3D390" w14:textId="77777777" w:rsidTr="005D7828">
        <w:trPr>
          <w:trHeight w:val="300"/>
        </w:trPr>
        <w:tc>
          <w:tcPr>
            <w:tcW w:w="326" w:type="dxa"/>
            <w:tcBorders>
              <w:top w:val="nil"/>
              <w:left w:val="single" w:sz="4" w:space="0" w:color="auto"/>
              <w:bottom w:val="nil"/>
              <w:right w:val="nil"/>
            </w:tcBorders>
            <w:shd w:val="clear" w:color="000000" w:fill="FFFFFF"/>
            <w:noWrap/>
            <w:vAlign w:val="bottom"/>
            <w:hideMark/>
          </w:tcPr>
          <w:p w14:paraId="076BD224" w14:textId="77777777" w:rsidR="005D7828" w:rsidRDefault="005D7828" w:rsidP="005D7828">
            <w:pPr>
              <w:jc w:val="center"/>
              <w:rPr>
                <w:sz w:val="22"/>
                <w:szCs w:val="22"/>
              </w:rPr>
            </w:pPr>
            <w:r>
              <w:rPr>
                <w:sz w:val="22"/>
                <w:szCs w:val="22"/>
              </w:rPr>
              <w:t> </w:t>
            </w:r>
          </w:p>
        </w:tc>
        <w:tc>
          <w:tcPr>
            <w:tcW w:w="7199" w:type="dxa"/>
            <w:tcBorders>
              <w:top w:val="nil"/>
              <w:left w:val="nil"/>
              <w:bottom w:val="nil"/>
              <w:right w:val="nil"/>
            </w:tcBorders>
            <w:shd w:val="clear" w:color="000000" w:fill="FFFFFF"/>
            <w:noWrap/>
            <w:vAlign w:val="bottom"/>
            <w:hideMark/>
          </w:tcPr>
          <w:p w14:paraId="4E697283" w14:textId="77777777" w:rsidR="005D7828" w:rsidRDefault="005D7828" w:rsidP="005D7828">
            <w:pPr>
              <w:rPr>
                <w:b/>
                <w:bCs/>
                <w:sz w:val="22"/>
                <w:szCs w:val="22"/>
              </w:rPr>
            </w:pPr>
            <w:r>
              <w:rPr>
                <w:b/>
                <w:bCs/>
                <w:sz w:val="22"/>
                <w:szCs w:val="22"/>
              </w:rPr>
              <w:t>Depreciation Expense - Net</w:t>
            </w:r>
          </w:p>
        </w:tc>
        <w:tc>
          <w:tcPr>
            <w:tcW w:w="1659" w:type="dxa"/>
            <w:tcBorders>
              <w:top w:val="nil"/>
              <w:left w:val="nil"/>
              <w:bottom w:val="nil"/>
              <w:right w:val="nil"/>
            </w:tcBorders>
            <w:shd w:val="clear" w:color="000000" w:fill="FFFFFF"/>
            <w:noWrap/>
            <w:vAlign w:val="bottom"/>
            <w:hideMark/>
          </w:tcPr>
          <w:p w14:paraId="3E5AF7B6" w14:textId="77777777" w:rsidR="005D7828" w:rsidRDefault="005D7828" w:rsidP="005D7828">
            <w:pPr>
              <w:rPr>
                <w:sz w:val="22"/>
                <w:szCs w:val="22"/>
              </w:rPr>
            </w:pPr>
            <w:r>
              <w:rPr>
                <w:sz w:val="22"/>
                <w:szCs w:val="22"/>
              </w:rPr>
              <w:t> </w:t>
            </w:r>
          </w:p>
        </w:tc>
        <w:tc>
          <w:tcPr>
            <w:tcW w:w="534" w:type="dxa"/>
            <w:tcBorders>
              <w:top w:val="nil"/>
              <w:left w:val="nil"/>
              <w:bottom w:val="nil"/>
              <w:right w:val="single" w:sz="4" w:space="0" w:color="auto"/>
            </w:tcBorders>
            <w:shd w:val="clear" w:color="000000" w:fill="FFFFFF"/>
            <w:noWrap/>
            <w:vAlign w:val="bottom"/>
            <w:hideMark/>
          </w:tcPr>
          <w:p w14:paraId="42DDDF14" w14:textId="77777777" w:rsidR="005D7828" w:rsidRDefault="005D7828" w:rsidP="005D7828">
            <w:pPr>
              <w:rPr>
                <w:sz w:val="22"/>
                <w:szCs w:val="22"/>
              </w:rPr>
            </w:pPr>
            <w:r>
              <w:rPr>
                <w:sz w:val="22"/>
                <w:szCs w:val="22"/>
              </w:rPr>
              <w:t> </w:t>
            </w:r>
          </w:p>
        </w:tc>
      </w:tr>
      <w:tr w:rsidR="005D7828" w14:paraId="52692C8E" w14:textId="77777777" w:rsidTr="005D7828">
        <w:trPr>
          <w:trHeight w:val="300"/>
        </w:trPr>
        <w:tc>
          <w:tcPr>
            <w:tcW w:w="326" w:type="dxa"/>
            <w:tcBorders>
              <w:top w:val="nil"/>
              <w:left w:val="single" w:sz="4" w:space="0" w:color="auto"/>
              <w:bottom w:val="nil"/>
              <w:right w:val="nil"/>
            </w:tcBorders>
            <w:shd w:val="clear" w:color="000000" w:fill="FFFFFF"/>
            <w:noWrap/>
            <w:vAlign w:val="bottom"/>
            <w:hideMark/>
          </w:tcPr>
          <w:p w14:paraId="77981838" w14:textId="77777777" w:rsidR="005D7828" w:rsidRDefault="005D7828" w:rsidP="005D7828">
            <w:pPr>
              <w:jc w:val="center"/>
              <w:rPr>
                <w:sz w:val="22"/>
                <w:szCs w:val="22"/>
              </w:rPr>
            </w:pPr>
            <w:r>
              <w:rPr>
                <w:sz w:val="22"/>
                <w:szCs w:val="22"/>
              </w:rPr>
              <w:t> </w:t>
            </w:r>
          </w:p>
        </w:tc>
        <w:tc>
          <w:tcPr>
            <w:tcW w:w="7199" w:type="dxa"/>
            <w:tcBorders>
              <w:top w:val="nil"/>
              <w:left w:val="nil"/>
              <w:bottom w:val="nil"/>
              <w:right w:val="nil"/>
            </w:tcBorders>
            <w:shd w:val="clear" w:color="000000" w:fill="FFFFFF"/>
            <w:noWrap/>
            <w:vAlign w:val="bottom"/>
            <w:hideMark/>
          </w:tcPr>
          <w:p w14:paraId="20E6258A" w14:textId="77777777" w:rsidR="005D7828" w:rsidRDefault="005D7828" w:rsidP="005D7828">
            <w:pPr>
              <w:rPr>
                <w:sz w:val="22"/>
                <w:szCs w:val="22"/>
              </w:rPr>
            </w:pPr>
            <w:r>
              <w:rPr>
                <w:sz w:val="22"/>
                <w:szCs w:val="22"/>
              </w:rPr>
              <w:t>To reflect correct amount of plant in service and amortization rate for CIAC.</w:t>
            </w:r>
          </w:p>
        </w:tc>
        <w:tc>
          <w:tcPr>
            <w:tcW w:w="1659" w:type="dxa"/>
            <w:tcBorders>
              <w:top w:val="nil"/>
              <w:left w:val="nil"/>
              <w:bottom w:val="nil"/>
              <w:right w:val="nil"/>
            </w:tcBorders>
            <w:shd w:val="clear" w:color="000000" w:fill="FFFFFF"/>
            <w:noWrap/>
            <w:vAlign w:val="bottom"/>
            <w:hideMark/>
          </w:tcPr>
          <w:p w14:paraId="383AE916" w14:textId="77777777" w:rsidR="005D7828" w:rsidRPr="00374205" w:rsidRDefault="005D7828" w:rsidP="005D7828">
            <w:pPr>
              <w:jc w:val="right"/>
              <w:rPr>
                <w:sz w:val="22"/>
                <w:szCs w:val="22"/>
                <w:u w:val="double"/>
              </w:rPr>
            </w:pPr>
            <w:r w:rsidRPr="00374205">
              <w:rPr>
                <w:sz w:val="22"/>
                <w:szCs w:val="22"/>
                <w:u w:val="double"/>
              </w:rPr>
              <w:t>(</w:t>
            </w:r>
            <w:r>
              <w:rPr>
                <w:sz w:val="22"/>
                <w:szCs w:val="22"/>
                <w:u w:val="double"/>
              </w:rPr>
              <w:t>$59,866</w:t>
            </w:r>
            <w:r w:rsidRPr="00374205">
              <w:rPr>
                <w:sz w:val="22"/>
                <w:szCs w:val="22"/>
                <w:u w:val="double"/>
              </w:rPr>
              <w:t>)</w:t>
            </w:r>
          </w:p>
        </w:tc>
        <w:tc>
          <w:tcPr>
            <w:tcW w:w="534" w:type="dxa"/>
            <w:tcBorders>
              <w:top w:val="nil"/>
              <w:left w:val="nil"/>
              <w:bottom w:val="nil"/>
              <w:right w:val="single" w:sz="4" w:space="0" w:color="auto"/>
            </w:tcBorders>
            <w:shd w:val="clear" w:color="000000" w:fill="FFFFFF"/>
            <w:noWrap/>
            <w:vAlign w:val="bottom"/>
            <w:hideMark/>
          </w:tcPr>
          <w:p w14:paraId="470CD58C" w14:textId="77777777" w:rsidR="005D7828" w:rsidRDefault="005D7828" w:rsidP="005D7828">
            <w:pPr>
              <w:rPr>
                <w:sz w:val="22"/>
                <w:szCs w:val="22"/>
              </w:rPr>
            </w:pPr>
            <w:r>
              <w:rPr>
                <w:sz w:val="22"/>
                <w:szCs w:val="22"/>
              </w:rPr>
              <w:t> </w:t>
            </w:r>
          </w:p>
        </w:tc>
      </w:tr>
      <w:tr w:rsidR="005D7828" w14:paraId="5E203D22" w14:textId="77777777" w:rsidTr="005D7828">
        <w:trPr>
          <w:trHeight w:val="300"/>
        </w:trPr>
        <w:tc>
          <w:tcPr>
            <w:tcW w:w="326" w:type="dxa"/>
            <w:tcBorders>
              <w:top w:val="nil"/>
              <w:left w:val="single" w:sz="4" w:space="0" w:color="auto"/>
              <w:bottom w:val="nil"/>
              <w:right w:val="nil"/>
            </w:tcBorders>
            <w:shd w:val="clear" w:color="000000" w:fill="FFFFFF"/>
            <w:noWrap/>
            <w:vAlign w:val="bottom"/>
            <w:hideMark/>
          </w:tcPr>
          <w:p w14:paraId="27DF357B" w14:textId="77777777" w:rsidR="005D7828" w:rsidRDefault="005D7828" w:rsidP="005D7828">
            <w:pPr>
              <w:jc w:val="center"/>
              <w:rPr>
                <w:sz w:val="22"/>
                <w:szCs w:val="22"/>
              </w:rPr>
            </w:pPr>
            <w:r>
              <w:rPr>
                <w:sz w:val="22"/>
                <w:szCs w:val="22"/>
              </w:rPr>
              <w:t> </w:t>
            </w:r>
          </w:p>
        </w:tc>
        <w:tc>
          <w:tcPr>
            <w:tcW w:w="7199" w:type="dxa"/>
            <w:tcBorders>
              <w:top w:val="nil"/>
              <w:left w:val="nil"/>
              <w:bottom w:val="nil"/>
              <w:right w:val="nil"/>
            </w:tcBorders>
            <w:shd w:val="clear" w:color="000000" w:fill="FFFFFF"/>
            <w:noWrap/>
            <w:vAlign w:val="bottom"/>
            <w:hideMark/>
          </w:tcPr>
          <w:p w14:paraId="391366C2" w14:textId="77777777" w:rsidR="005D7828" w:rsidRDefault="005D7828" w:rsidP="005D7828">
            <w:pPr>
              <w:rPr>
                <w:sz w:val="22"/>
                <w:szCs w:val="22"/>
              </w:rPr>
            </w:pPr>
            <w:r>
              <w:rPr>
                <w:sz w:val="22"/>
                <w:szCs w:val="22"/>
              </w:rPr>
              <w:t> </w:t>
            </w:r>
          </w:p>
        </w:tc>
        <w:tc>
          <w:tcPr>
            <w:tcW w:w="1659" w:type="dxa"/>
            <w:tcBorders>
              <w:top w:val="nil"/>
              <w:left w:val="nil"/>
              <w:bottom w:val="nil"/>
              <w:right w:val="nil"/>
            </w:tcBorders>
            <w:shd w:val="clear" w:color="000000" w:fill="FFFFFF"/>
            <w:noWrap/>
            <w:vAlign w:val="bottom"/>
            <w:hideMark/>
          </w:tcPr>
          <w:p w14:paraId="3859E75C" w14:textId="77777777" w:rsidR="005D7828" w:rsidRDefault="005D7828" w:rsidP="005D7828">
            <w:pPr>
              <w:rPr>
                <w:sz w:val="22"/>
                <w:szCs w:val="22"/>
              </w:rPr>
            </w:pPr>
            <w:r>
              <w:rPr>
                <w:sz w:val="22"/>
                <w:szCs w:val="22"/>
              </w:rPr>
              <w:t> </w:t>
            </w:r>
          </w:p>
        </w:tc>
        <w:tc>
          <w:tcPr>
            <w:tcW w:w="534" w:type="dxa"/>
            <w:tcBorders>
              <w:top w:val="nil"/>
              <w:left w:val="nil"/>
              <w:bottom w:val="nil"/>
              <w:right w:val="single" w:sz="4" w:space="0" w:color="auto"/>
            </w:tcBorders>
            <w:shd w:val="clear" w:color="000000" w:fill="FFFFFF"/>
            <w:noWrap/>
            <w:vAlign w:val="bottom"/>
            <w:hideMark/>
          </w:tcPr>
          <w:p w14:paraId="6C0D87D1" w14:textId="77777777" w:rsidR="005D7828" w:rsidRDefault="005D7828" w:rsidP="005D7828">
            <w:pPr>
              <w:rPr>
                <w:sz w:val="22"/>
                <w:szCs w:val="22"/>
              </w:rPr>
            </w:pPr>
            <w:r>
              <w:rPr>
                <w:sz w:val="22"/>
                <w:szCs w:val="22"/>
              </w:rPr>
              <w:t> </w:t>
            </w:r>
          </w:p>
        </w:tc>
      </w:tr>
      <w:tr w:rsidR="005D7828" w14:paraId="3092CF82" w14:textId="77777777" w:rsidTr="005D7828">
        <w:trPr>
          <w:trHeight w:val="300"/>
        </w:trPr>
        <w:tc>
          <w:tcPr>
            <w:tcW w:w="326" w:type="dxa"/>
            <w:tcBorders>
              <w:top w:val="nil"/>
              <w:left w:val="single" w:sz="4" w:space="0" w:color="auto"/>
              <w:bottom w:val="nil"/>
              <w:right w:val="nil"/>
            </w:tcBorders>
            <w:shd w:val="clear" w:color="000000" w:fill="FFFFFF"/>
            <w:noWrap/>
            <w:vAlign w:val="bottom"/>
            <w:hideMark/>
          </w:tcPr>
          <w:p w14:paraId="15D623E3" w14:textId="77777777" w:rsidR="005D7828" w:rsidRDefault="005D7828" w:rsidP="005D7828">
            <w:pPr>
              <w:jc w:val="center"/>
              <w:rPr>
                <w:sz w:val="22"/>
                <w:szCs w:val="22"/>
              </w:rPr>
            </w:pPr>
            <w:r>
              <w:rPr>
                <w:sz w:val="22"/>
                <w:szCs w:val="22"/>
              </w:rPr>
              <w:t> </w:t>
            </w:r>
          </w:p>
        </w:tc>
        <w:tc>
          <w:tcPr>
            <w:tcW w:w="7199" w:type="dxa"/>
            <w:tcBorders>
              <w:top w:val="nil"/>
              <w:left w:val="nil"/>
              <w:bottom w:val="nil"/>
              <w:right w:val="nil"/>
            </w:tcBorders>
            <w:shd w:val="clear" w:color="000000" w:fill="FFFFFF"/>
            <w:noWrap/>
            <w:vAlign w:val="bottom"/>
            <w:hideMark/>
          </w:tcPr>
          <w:p w14:paraId="532B6978" w14:textId="77777777" w:rsidR="005D7828" w:rsidRDefault="005D7828" w:rsidP="005D7828">
            <w:pPr>
              <w:rPr>
                <w:b/>
                <w:bCs/>
                <w:sz w:val="22"/>
                <w:szCs w:val="22"/>
              </w:rPr>
            </w:pPr>
            <w:r>
              <w:rPr>
                <w:b/>
                <w:bCs/>
                <w:sz w:val="22"/>
                <w:szCs w:val="22"/>
              </w:rPr>
              <w:t>Amortization-Other Expense</w:t>
            </w:r>
          </w:p>
        </w:tc>
        <w:tc>
          <w:tcPr>
            <w:tcW w:w="1659" w:type="dxa"/>
            <w:tcBorders>
              <w:top w:val="nil"/>
              <w:left w:val="nil"/>
              <w:bottom w:val="nil"/>
              <w:right w:val="nil"/>
            </w:tcBorders>
            <w:shd w:val="clear" w:color="000000" w:fill="FFFFFF"/>
            <w:noWrap/>
            <w:vAlign w:val="bottom"/>
            <w:hideMark/>
          </w:tcPr>
          <w:p w14:paraId="437A0EAA" w14:textId="77777777" w:rsidR="005D7828" w:rsidRDefault="005D7828" w:rsidP="005D7828">
            <w:pPr>
              <w:rPr>
                <w:sz w:val="22"/>
                <w:szCs w:val="22"/>
              </w:rPr>
            </w:pPr>
            <w:r>
              <w:rPr>
                <w:sz w:val="22"/>
                <w:szCs w:val="22"/>
              </w:rPr>
              <w:t> </w:t>
            </w:r>
          </w:p>
        </w:tc>
        <w:tc>
          <w:tcPr>
            <w:tcW w:w="534" w:type="dxa"/>
            <w:tcBorders>
              <w:top w:val="nil"/>
              <w:left w:val="nil"/>
              <w:bottom w:val="nil"/>
              <w:right w:val="single" w:sz="4" w:space="0" w:color="auto"/>
            </w:tcBorders>
            <w:shd w:val="clear" w:color="000000" w:fill="FFFFFF"/>
            <w:noWrap/>
            <w:vAlign w:val="bottom"/>
            <w:hideMark/>
          </w:tcPr>
          <w:p w14:paraId="3C916314" w14:textId="77777777" w:rsidR="005D7828" w:rsidRDefault="005D7828" w:rsidP="005D7828">
            <w:pPr>
              <w:rPr>
                <w:sz w:val="22"/>
                <w:szCs w:val="22"/>
              </w:rPr>
            </w:pPr>
            <w:r>
              <w:rPr>
                <w:sz w:val="22"/>
                <w:szCs w:val="22"/>
              </w:rPr>
              <w:t> </w:t>
            </w:r>
          </w:p>
        </w:tc>
      </w:tr>
      <w:tr w:rsidR="005D7828" w14:paraId="30425AC0" w14:textId="77777777" w:rsidTr="005D7828">
        <w:trPr>
          <w:trHeight w:val="300"/>
        </w:trPr>
        <w:tc>
          <w:tcPr>
            <w:tcW w:w="326" w:type="dxa"/>
            <w:tcBorders>
              <w:top w:val="nil"/>
              <w:left w:val="single" w:sz="4" w:space="0" w:color="auto"/>
              <w:bottom w:val="nil"/>
              <w:right w:val="nil"/>
            </w:tcBorders>
            <w:shd w:val="clear" w:color="000000" w:fill="FFFFFF"/>
            <w:noWrap/>
            <w:vAlign w:val="bottom"/>
            <w:hideMark/>
          </w:tcPr>
          <w:p w14:paraId="0B2F6E85" w14:textId="77777777" w:rsidR="005D7828" w:rsidRDefault="005D7828" w:rsidP="005D7828">
            <w:pPr>
              <w:jc w:val="center"/>
              <w:rPr>
                <w:sz w:val="22"/>
                <w:szCs w:val="22"/>
              </w:rPr>
            </w:pPr>
            <w:r>
              <w:rPr>
                <w:sz w:val="22"/>
                <w:szCs w:val="22"/>
              </w:rPr>
              <w:t> </w:t>
            </w:r>
          </w:p>
        </w:tc>
        <w:tc>
          <w:tcPr>
            <w:tcW w:w="7199" w:type="dxa"/>
            <w:tcBorders>
              <w:top w:val="nil"/>
              <w:left w:val="nil"/>
              <w:bottom w:val="nil"/>
              <w:right w:val="nil"/>
            </w:tcBorders>
            <w:shd w:val="clear" w:color="000000" w:fill="FFFFFF"/>
            <w:noWrap/>
            <w:vAlign w:val="bottom"/>
            <w:hideMark/>
          </w:tcPr>
          <w:p w14:paraId="35AF91F3" w14:textId="77777777" w:rsidR="005D7828" w:rsidRDefault="005D7828" w:rsidP="005D7828">
            <w:pPr>
              <w:rPr>
                <w:sz w:val="22"/>
                <w:szCs w:val="22"/>
              </w:rPr>
            </w:pPr>
            <w:r>
              <w:rPr>
                <w:sz w:val="22"/>
                <w:szCs w:val="22"/>
              </w:rPr>
              <w:t>To reflect the correct amount of amortization expense.</w:t>
            </w:r>
          </w:p>
        </w:tc>
        <w:tc>
          <w:tcPr>
            <w:tcW w:w="1659" w:type="dxa"/>
            <w:tcBorders>
              <w:top w:val="nil"/>
              <w:left w:val="nil"/>
              <w:bottom w:val="nil"/>
              <w:right w:val="nil"/>
            </w:tcBorders>
            <w:shd w:val="clear" w:color="000000" w:fill="FFFFFF"/>
            <w:noWrap/>
            <w:vAlign w:val="bottom"/>
            <w:hideMark/>
          </w:tcPr>
          <w:p w14:paraId="2B7EE282" w14:textId="77777777" w:rsidR="005D7828" w:rsidRPr="00374205" w:rsidRDefault="005D7828" w:rsidP="005D7828">
            <w:pPr>
              <w:jc w:val="right"/>
              <w:rPr>
                <w:sz w:val="22"/>
                <w:szCs w:val="22"/>
                <w:u w:val="double"/>
              </w:rPr>
            </w:pPr>
            <w:r w:rsidRPr="00374205">
              <w:rPr>
                <w:sz w:val="22"/>
                <w:szCs w:val="22"/>
                <w:u w:val="double"/>
              </w:rPr>
              <w:t xml:space="preserve">$1,349 </w:t>
            </w:r>
          </w:p>
        </w:tc>
        <w:tc>
          <w:tcPr>
            <w:tcW w:w="534" w:type="dxa"/>
            <w:tcBorders>
              <w:top w:val="nil"/>
              <w:left w:val="nil"/>
              <w:bottom w:val="nil"/>
              <w:right w:val="single" w:sz="4" w:space="0" w:color="auto"/>
            </w:tcBorders>
            <w:shd w:val="clear" w:color="000000" w:fill="FFFFFF"/>
            <w:noWrap/>
            <w:vAlign w:val="bottom"/>
            <w:hideMark/>
          </w:tcPr>
          <w:p w14:paraId="3DC456CA" w14:textId="77777777" w:rsidR="005D7828" w:rsidRDefault="005D7828" w:rsidP="005D7828">
            <w:pPr>
              <w:rPr>
                <w:sz w:val="22"/>
                <w:szCs w:val="22"/>
                <w:u w:val="double"/>
              </w:rPr>
            </w:pPr>
          </w:p>
        </w:tc>
      </w:tr>
      <w:tr w:rsidR="005D7828" w14:paraId="47D17EDD" w14:textId="77777777" w:rsidTr="005D7828">
        <w:trPr>
          <w:trHeight w:val="300"/>
        </w:trPr>
        <w:tc>
          <w:tcPr>
            <w:tcW w:w="326" w:type="dxa"/>
            <w:tcBorders>
              <w:top w:val="nil"/>
              <w:left w:val="single" w:sz="4" w:space="0" w:color="auto"/>
              <w:bottom w:val="nil"/>
              <w:right w:val="nil"/>
            </w:tcBorders>
            <w:shd w:val="clear" w:color="000000" w:fill="FFFFFF"/>
            <w:noWrap/>
            <w:vAlign w:val="bottom"/>
            <w:hideMark/>
          </w:tcPr>
          <w:p w14:paraId="7CA049A5" w14:textId="77777777" w:rsidR="005D7828" w:rsidRDefault="005D7828" w:rsidP="005D7828">
            <w:pPr>
              <w:jc w:val="center"/>
              <w:rPr>
                <w:sz w:val="22"/>
                <w:szCs w:val="22"/>
              </w:rPr>
            </w:pPr>
            <w:r>
              <w:rPr>
                <w:sz w:val="22"/>
                <w:szCs w:val="22"/>
              </w:rPr>
              <w:t> </w:t>
            </w:r>
          </w:p>
        </w:tc>
        <w:tc>
          <w:tcPr>
            <w:tcW w:w="7199" w:type="dxa"/>
            <w:tcBorders>
              <w:top w:val="nil"/>
              <w:left w:val="nil"/>
              <w:bottom w:val="nil"/>
              <w:right w:val="nil"/>
            </w:tcBorders>
            <w:shd w:val="clear" w:color="000000" w:fill="FFFFFF"/>
            <w:noWrap/>
            <w:vAlign w:val="bottom"/>
            <w:hideMark/>
          </w:tcPr>
          <w:p w14:paraId="2C362D3D" w14:textId="77777777" w:rsidR="005D7828" w:rsidRDefault="005D7828" w:rsidP="005D7828">
            <w:pPr>
              <w:rPr>
                <w:sz w:val="22"/>
                <w:szCs w:val="22"/>
              </w:rPr>
            </w:pPr>
            <w:r>
              <w:rPr>
                <w:sz w:val="22"/>
                <w:szCs w:val="22"/>
              </w:rPr>
              <w:t> </w:t>
            </w:r>
          </w:p>
        </w:tc>
        <w:tc>
          <w:tcPr>
            <w:tcW w:w="1659" w:type="dxa"/>
            <w:tcBorders>
              <w:top w:val="nil"/>
              <w:left w:val="nil"/>
              <w:bottom w:val="nil"/>
              <w:right w:val="nil"/>
            </w:tcBorders>
            <w:shd w:val="clear" w:color="000000" w:fill="FFFFFF"/>
            <w:noWrap/>
            <w:vAlign w:val="bottom"/>
            <w:hideMark/>
          </w:tcPr>
          <w:p w14:paraId="35723F06" w14:textId="77777777" w:rsidR="005D7828" w:rsidRDefault="005D7828" w:rsidP="005D7828">
            <w:pPr>
              <w:rPr>
                <w:sz w:val="22"/>
                <w:szCs w:val="22"/>
              </w:rPr>
            </w:pPr>
            <w:r>
              <w:rPr>
                <w:sz w:val="22"/>
                <w:szCs w:val="22"/>
              </w:rPr>
              <w:t> </w:t>
            </w:r>
          </w:p>
        </w:tc>
        <w:tc>
          <w:tcPr>
            <w:tcW w:w="534" w:type="dxa"/>
            <w:tcBorders>
              <w:top w:val="nil"/>
              <w:left w:val="nil"/>
              <w:bottom w:val="nil"/>
              <w:right w:val="single" w:sz="4" w:space="0" w:color="auto"/>
            </w:tcBorders>
            <w:shd w:val="clear" w:color="000000" w:fill="FFFFFF"/>
            <w:noWrap/>
            <w:vAlign w:val="bottom"/>
            <w:hideMark/>
          </w:tcPr>
          <w:p w14:paraId="7AE8960E" w14:textId="77777777" w:rsidR="005D7828" w:rsidRDefault="005D7828" w:rsidP="005D7828">
            <w:pPr>
              <w:rPr>
                <w:sz w:val="22"/>
                <w:szCs w:val="22"/>
              </w:rPr>
            </w:pPr>
            <w:r>
              <w:rPr>
                <w:sz w:val="22"/>
                <w:szCs w:val="22"/>
              </w:rPr>
              <w:t> </w:t>
            </w:r>
          </w:p>
        </w:tc>
      </w:tr>
      <w:tr w:rsidR="005D7828" w14:paraId="38330062" w14:textId="77777777" w:rsidTr="005D7828">
        <w:trPr>
          <w:trHeight w:val="300"/>
        </w:trPr>
        <w:tc>
          <w:tcPr>
            <w:tcW w:w="326" w:type="dxa"/>
            <w:tcBorders>
              <w:top w:val="nil"/>
              <w:left w:val="single" w:sz="4" w:space="0" w:color="auto"/>
              <w:bottom w:val="nil"/>
              <w:right w:val="nil"/>
            </w:tcBorders>
            <w:shd w:val="clear" w:color="000000" w:fill="FFFFFF"/>
            <w:noWrap/>
            <w:vAlign w:val="bottom"/>
            <w:hideMark/>
          </w:tcPr>
          <w:p w14:paraId="4AFCADCA" w14:textId="77777777" w:rsidR="005D7828" w:rsidRDefault="005D7828" w:rsidP="005D7828">
            <w:pPr>
              <w:jc w:val="center"/>
              <w:rPr>
                <w:sz w:val="22"/>
                <w:szCs w:val="22"/>
              </w:rPr>
            </w:pPr>
            <w:r>
              <w:rPr>
                <w:sz w:val="22"/>
                <w:szCs w:val="22"/>
              </w:rPr>
              <w:t> </w:t>
            </w:r>
          </w:p>
        </w:tc>
        <w:tc>
          <w:tcPr>
            <w:tcW w:w="7199" w:type="dxa"/>
            <w:tcBorders>
              <w:top w:val="nil"/>
              <w:left w:val="nil"/>
              <w:bottom w:val="nil"/>
              <w:right w:val="nil"/>
            </w:tcBorders>
            <w:shd w:val="clear" w:color="000000" w:fill="FFFFFF"/>
            <w:noWrap/>
            <w:vAlign w:val="bottom"/>
            <w:hideMark/>
          </w:tcPr>
          <w:p w14:paraId="5AA3FF7D" w14:textId="77777777" w:rsidR="005D7828" w:rsidRDefault="005D7828" w:rsidP="005D7828">
            <w:pPr>
              <w:rPr>
                <w:b/>
                <w:bCs/>
                <w:sz w:val="22"/>
                <w:szCs w:val="22"/>
              </w:rPr>
            </w:pPr>
            <w:r>
              <w:rPr>
                <w:b/>
                <w:bCs/>
                <w:sz w:val="22"/>
                <w:szCs w:val="22"/>
              </w:rPr>
              <w:t>Taxes Other Than Income</w:t>
            </w:r>
          </w:p>
        </w:tc>
        <w:tc>
          <w:tcPr>
            <w:tcW w:w="1659" w:type="dxa"/>
            <w:tcBorders>
              <w:top w:val="nil"/>
              <w:left w:val="nil"/>
              <w:bottom w:val="nil"/>
              <w:right w:val="nil"/>
            </w:tcBorders>
            <w:shd w:val="clear" w:color="000000" w:fill="FFFFFF"/>
            <w:noWrap/>
            <w:vAlign w:val="bottom"/>
            <w:hideMark/>
          </w:tcPr>
          <w:p w14:paraId="608D47D5" w14:textId="77777777" w:rsidR="005D7828" w:rsidRDefault="005D7828" w:rsidP="005D7828">
            <w:pPr>
              <w:rPr>
                <w:sz w:val="22"/>
                <w:szCs w:val="22"/>
              </w:rPr>
            </w:pPr>
            <w:r>
              <w:rPr>
                <w:sz w:val="22"/>
                <w:szCs w:val="22"/>
              </w:rPr>
              <w:t> </w:t>
            </w:r>
          </w:p>
        </w:tc>
        <w:tc>
          <w:tcPr>
            <w:tcW w:w="534" w:type="dxa"/>
            <w:tcBorders>
              <w:top w:val="nil"/>
              <w:left w:val="nil"/>
              <w:bottom w:val="nil"/>
              <w:right w:val="single" w:sz="4" w:space="0" w:color="auto"/>
            </w:tcBorders>
            <w:shd w:val="clear" w:color="000000" w:fill="FFFFFF"/>
            <w:noWrap/>
            <w:vAlign w:val="bottom"/>
            <w:hideMark/>
          </w:tcPr>
          <w:p w14:paraId="2709A606" w14:textId="77777777" w:rsidR="005D7828" w:rsidRDefault="005D7828" w:rsidP="005D7828">
            <w:pPr>
              <w:rPr>
                <w:sz w:val="22"/>
                <w:szCs w:val="22"/>
              </w:rPr>
            </w:pPr>
            <w:r>
              <w:rPr>
                <w:sz w:val="22"/>
                <w:szCs w:val="22"/>
              </w:rPr>
              <w:t> </w:t>
            </w:r>
          </w:p>
        </w:tc>
      </w:tr>
      <w:tr w:rsidR="005D7828" w14:paraId="369E0AAA" w14:textId="77777777" w:rsidTr="005D7828">
        <w:trPr>
          <w:trHeight w:val="300"/>
        </w:trPr>
        <w:tc>
          <w:tcPr>
            <w:tcW w:w="326" w:type="dxa"/>
            <w:tcBorders>
              <w:top w:val="nil"/>
              <w:left w:val="single" w:sz="4" w:space="0" w:color="auto"/>
              <w:bottom w:val="nil"/>
              <w:right w:val="nil"/>
            </w:tcBorders>
            <w:shd w:val="clear" w:color="000000" w:fill="FFFFFF"/>
            <w:noWrap/>
            <w:vAlign w:val="bottom"/>
            <w:hideMark/>
          </w:tcPr>
          <w:p w14:paraId="17A27F07" w14:textId="77777777" w:rsidR="005D7828" w:rsidRDefault="005D7828" w:rsidP="005D7828">
            <w:pPr>
              <w:jc w:val="center"/>
              <w:rPr>
                <w:sz w:val="22"/>
                <w:szCs w:val="22"/>
              </w:rPr>
            </w:pPr>
          </w:p>
        </w:tc>
        <w:tc>
          <w:tcPr>
            <w:tcW w:w="7199" w:type="dxa"/>
            <w:tcBorders>
              <w:top w:val="nil"/>
              <w:left w:val="nil"/>
              <w:bottom w:val="nil"/>
              <w:right w:val="nil"/>
            </w:tcBorders>
            <w:shd w:val="clear" w:color="000000" w:fill="FFFFFF"/>
            <w:noWrap/>
            <w:vAlign w:val="bottom"/>
            <w:hideMark/>
          </w:tcPr>
          <w:p w14:paraId="4FEFF7B3" w14:textId="77777777" w:rsidR="005D7828" w:rsidRDefault="005D7828" w:rsidP="005D7828">
            <w:pPr>
              <w:rPr>
                <w:sz w:val="22"/>
                <w:szCs w:val="22"/>
              </w:rPr>
            </w:pPr>
            <w:r>
              <w:rPr>
                <w:sz w:val="22"/>
                <w:szCs w:val="22"/>
              </w:rPr>
              <w:t>To reflect the correct amount of property tax.</w:t>
            </w:r>
          </w:p>
        </w:tc>
        <w:tc>
          <w:tcPr>
            <w:tcW w:w="1659" w:type="dxa"/>
            <w:tcBorders>
              <w:top w:val="nil"/>
              <w:left w:val="nil"/>
              <w:bottom w:val="nil"/>
              <w:right w:val="nil"/>
            </w:tcBorders>
            <w:shd w:val="clear" w:color="000000" w:fill="FFFFFF"/>
            <w:noWrap/>
            <w:vAlign w:val="bottom"/>
            <w:hideMark/>
          </w:tcPr>
          <w:p w14:paraId="43FE64CB" w14:textId="77777777" w:rsidR="005D7828" w:rsidRPr="00912229" w:rsidRDefault="005D7828" w:rsidP="005D7828">
            <w:pPr>
              <w:jc w:val="right"/>
              <w:rPr>
                <w:sz w:val="22"/>
                <w:szCs w:val="22"/>
                <w:u w:val="double"/>
              </w:rPr>
            </w:pPr>
            <w:r w:rsidRPr="00912229">
              <w:rPr>
                <w:sz w:val="22"/>
                <w:szCs w:val="22"/>
                <w:u w:val="double"/>
              </w:rPr>
              <w:t xml:space="preserve">($6,335) </w:t>
            </w:r>
          </w:p>
        </w:tc>
        <w:tc>
          <w:tcPr>
            <w:tcW w:w="534" w:type="dxa"/>
            <w:tcBorders>
              <w:top w:val="nil"/>
              <w:left w:val="nil"/>
              <w:bottom w:val="nil"/>
              <w:right w:val="single" w:sz="4" w:space="0" w:color="auto"/>
            </w:tcBorders>
            <w:shd w:val="clear" w:color="000000" w:fill="FFFFFF"/>
            <w:noWrap/>
            <w:vAlign w:val="bottom"/>
            <w:hideMark/>
          </w:tcPr>
          <w:p w14:paraId="116DA6A0" w14:textId="77777777" w:rsidR="005D7828" w:rsidRDefault="005D7828" w:rsidP="005D7828">
            <w:pPr>
              <w:rPr>
                <w:sz w:val="22"/>
                <w:szCs w:val="22"/>
              </w:rPr>
            </w:pPr>
            <w:r>
              <w:rPr>
                <w:sz w:val="22"/>
                <w:szCs w:val="22"/>
              </w:rPr>
              <w:t> </w:t>
            </w:r>
          </w:p>
        </w:tc>
      </w:tr>
      <w:tr w:rsidR="005D7828" w14:paraId="675982C5" w14:textId="77777777" w:rsidTr="005D7828">
        <w:trPr>
          <w:trHeight w:val="300"/>
        </w:trPr>
        <w:tc>
          <w:tcPr>
            <w:tcW w:w="326" w:type="dxa"/>
            <w:tcBorders>
              <w:top w:val="nil"/>
              <w:left w:val="single" w:sz="4" w:space="0" w:color="auto"/>
              <w:bottom w:val="nil"/>
              <w:right w:val="nil"/>
            </w:tcBorders>
            <w:shd w:val="clear" w:color="000000" w:fill="FFFFFF"/>
            <w:noWrap/>
            <w:vAlign w:val="bottom"/>
            <w:hideMark/>
          </w:tcPr>
          <w:p w14:paraId="680BDA9F" w14:textId="77777777" w:rsidR="005D7828" w:rsidRDefault="005D7828" w:rsidP="005D7828">
            <w:pPr>
              <w:jc w:val="center"/>
              <w:rPr>
                <w:sz w:val="22"/>
                <w:szCs w:val="22"/>
              </w:rPr>
            </w:pPr>
            <w:r>
              <w:rPr>
                <w:sz w:val="22"/>
                <w:szCs w:val="22"/>
              </w:rPr>
              <w:t> </w:t>
            </w:r>
          </w:p>
        </w:tc>
        <w:tc>
          <w:tcPr>
            <w:tcW w:w="7199" w:type="dxa"/>
            <w:tcBorders>
              <w:top w:val="nil"/>
              <w:left w:val="nil"/>
              <w:bottom w:val="nil"/>
              <w:right w:val="nil"/>
            </w:tcBorders>
            <w:shd w:val="clear" w:color="000000" w:fill="FFFFFF"/>
            <w:noWrap/>
            <w:vAlign w:val="bottom"/>
            <w:hideMark/>
          </w:tcPr>
          <w:p w14:paraId="29CEEED0" w14:textId="77777777" w:rsidR="005D7828" w:rsidRDefault="005D7828" w:rsidP="005D7828">
            <w:pPr>
              <w:rPr>
                <w:b/>
                <w:bCs/>
                <w:sz w:val="22"/>
                <w:szCs w:val="22"/>
              </w:rPr>
            </w:pPr>
            <w:r>
              <w:rPr>
                <w:b/>
                <w:bCs/>
                <w:sz w:val="22"/>
                <w:szCs w:val="22"/>
              </w:rPr>
              <w:t xml:space="preserve">    </w:t>
            </w:r>
          </w:p>
        </w:tc>
        <w:tc>
          <w:tcPr>
            <w:tcW w:w="1659" w:type="dxa"/>
            <w:tcBorders>
              <w:top w:val="nil"/>
              <w:left w:val="nil"/>
              <w:bottom w:val="nil"/>
              <w:right w:val="nil"/>
            </w:tcBorders>
            <w:shd w:val="clear" w:color="000000" w:fill="FFFFFF"/>
            <w:noWrap/>
            <w:vAlign w:val="bottom"/>
            <w:hideMark/>
          </w:tcPr>
          <w:p w14:paraId="02AC6E5E" w14:textId="77777777" w:rsidR="005D7828" w:rsidRPr="00374205" w:rsidRDefault="005D7828" w:rsidP="005D7828">
            <w:pPr>
              <w:jc w:val="right"/>
              <w:rPr>
                <w:bCs/>
                <w:sz w:val="22"/>
                <w:szCs w:val="22"/>
                <w:u w:val="double"/>
              </w:rPr>
            </w:pPr>
          </w:p>
        </w:tc>
        <w:tc>
          <w:tcPr>
            <w:tcW w:w="534" w:type="dxa"/>
            <w:tcBorders>
              <w:top w:val="nil"/>
              <w:left w:val="nil"/>
              <w:bottom w:val="nil"/>
              <w:right w:val="single" w:sz="4" w:space="0" w:color="auto"/>
            </w:tcBorders>
            <w:shd w:val="clear" w:color="000000" w:fill="FFFFFF"/>
            <w:noWrap/>
            <w:vAlign w:val="bottom"/>
            <w:hideMark/>
          </w:tcPr>
          <w:p w14:paraId="2C12C698" w14:textId="77777777" w:rsidR="005D7828" w:rsidRDefault="005D7828" w:rsidP="005D7828">
            <w:pPr>
              <w:rPr>
                <w:sz w:val="22"/>
                <w:szCs w:val="22"/>
                <w:u w:val="double"/>
              </w:rPr>
            </w:pPr>
          </w:p>
        </w:tc>
      </w:tr>
      <w:tr w:rsidR="005D7828" w14:paraId="6CE8B363" w14:textId="77777777" w:rsidTr="005D7828">
        <w:trPr>
          <w:trHeight w:val="300"/>
        </w:trPr>
        <w:tc>
          <w:tcPr>
            <w:tcW w:w="326" w:type="dxa"/>
            <w:tcBorders>
              <w:top w:val="nil"/>
              <w:left w:val="single" w:sz="4" w:space="0" w:color="auto"/>
              <w:bottom w:val="single" w:sz="4" w:space="0" w:color="auto"/>
              <w:right w:val="nil"/>
            </w:tcBorders>
            <w:shd w:val="clear" w:color="000000" w:fill="FFFFFF"/>
            <w:noWrap/>
            <w:vAlign w:val="bottom"/>
            <w:hideMark/>
          </w:tcPr>
          <w:p w14:paraId="6FFAB055" w14:textId="77777777" w:rsidR="005D7828" w:rsidRDefault="005D7828" w:rsidP="005D7828">
            <w:pPr>
              <w:jc w:val="center"/>
              <w:rPr>
                <w:sz w:val="22"/>
                <w:szCs w:val="22"/>
              </w:rPr>
            </w:pPr>
            <w:r>
              <w:rPr>
                <w:sz w:val="22"/>
                <w:szCs w:val="22"/>
              </w:rPr>
              <w:t> </w:t>
            </w:r>
          </w:p>
        </w:tc>
        <w:tc>
          <w:tcPr>
            <w:tcW w:w="7199" w:type="dxa"/>
            <w:tcBorders>
              <w:top w:val="nil"/>
              <w:left w:val="nil"/>
              <w:bottom w:val="single" w:sz="4" w:space="0" w:color="auto"/>
              <w:right w:val="nil"/>
            </w:tcBorders>
            <w:shd w:val="clear" w:color="000000" w:fill="FFFFFF"/>
            <w:noWrap/>
            <w:vAlign w:val="bottom"/>
            <w:hideMark/>
          </w:tcPr>
          <w:p w14:paraId="7F4B94E0" w14:textId="77777777" w:rsidR="005D7828" w:rsidRDefault="005D7828" w:rsidP="005D7828">
            <w:pPr>
              <w:rPr>
                <w:sz w:val="22"/>
                <w:szCs w:val="22"/>
              </w:rPr>
            </w:pPr>
            <w:r>
              <w:rPr>
                <w:sz w:val="22"/>
                <w:szCs w:val="22"/>
              </w:rPr>
              <w:t> </w:t>
            </w:r>
          </w:p>
        </w:tc>
        <w:tc>
          <w:tcPr>
            <w:tcW w:w="1659" w:type="dxa"/>
            <w:tcBorders>
              <w:top w:val="nil"/>
              <w:left w:val="nil"/>
              <w:bottom w:val="single" w:sz="4" w:space="0" w:color="auto"/>
              <w:right w:val="nil"/>
            </w:tcBorders>
            <w:shd w:val="clear" w:color="000000" w:fill="FFFFFF"/>
            <w:noWrap/>
            <w:vAlign w:val="bottom"/>
            <w:hideMark/>
          </w:tcPr>
          <w:p w14:paraId="119B5A13" w14:textId="77777777" w:rsidR="005D7828" w:rsidRDefault="005D7828" w:rsidP="005D7828">
            <w:pPr>
              <w:rPr>
                <w:sz w:val="22"/>
                <w:szCs w:val="22"/>
              </w:rPr>
            </w:pPr>
            <w:r>
              <w:rPr>
                <w:sz w:val="22"/>
                <w:szCs w:val="22"/>
              </w:rPr>
              <w:t> </w:t>
            </w:r>
          </w:p>
        </w:tc>
        <w:tc>
          <w:tcPr>
            <w:tcW w:w="534" w:type="dxa"/>
            <w:tcBorders>
              <w:top w:val="nil"/>
              <w:left w:val="nil"/>
              <w:bottom w:val="single" w:sz="4" w:space="0" w:color="auto"/>
              <w:right w:val="single" w:sz="4" w:space="0" w:color="auto"/>
            </w:tcBorders>
            <w:shd w:val="clear" w:color="000000" w:fill="FFFFFF"/>
            <w:noWrap/>
            <w:vAlign w:val="bottom"/>
            <w:hideMark/>
          </w:tcPr>
          <w:p w14:paraId="0FDB58C2" w14:textId="77777777" w:rsidR="005D7828" w:rsidRDefault="005D7828" w:rsidP="005D7828">
            <w:pPr>
              <w:rPr>
                <w:sz w:val="22"/>
                <w:szCs w:val="22"/>
              </w:rPr>
            </w:pPr>
            <w:r>
              <w:rPr>
                <w:sz w:val="22"/>
                <w:szCs w:val="22"/>
              </w:rPr>
              <w:t> </w:t>
            </w:r>
          </w:p>
        </w:tc>
      </w:tr>
    </w:tbl>
    <w:p w14:paraId="3636BD8C" w14:textId="77777777" w:rsidR="005D7828" w:rsidRDefault="005D7828" w:rsidP="005D7828">
      <w:pPr>
        <w:pStyle w:val="BodyText"/>
      </w:pPr>
    </w:p>
    <w:p w14:paraId="6D1282F1" w14:textId="77777777" w:rsidR="005D7828" w:rsidRDefault="005D7828" w:rsidP="009054ED">
      <w:pPr>
        <w:pStyle w:val="BodyText"/>
      </w:pPr>
    </w:p>
    <w:p w14:paraId="7A3644A5" w14:textId="77777777" w:rsidR="005D7828" w:rsidRDefault="005D7828" w:rsidP="009054ED">
      <w:pPr>
        <w:pStyle w:val="BodyText"/>
        <w:sectPr w:rsidR="005D7828" w:rsidSect="005D7828">
          <w:headerReference w:type="default" r:id="rId19"/>
          <w:pgSz w:w="12240" w:h="15840"/>
          <w:pgMar w:top="1440" w:right="1440" w:bottom="1440" w:left="1440" w:header="720" w:footer="720" w:gutter="0"/>
          <w:cols w:space="720"/>
          <w:docGrid w:linePitch="360"/>
        </w:sectPr>
      </w:pPr>
    </w:p>
    <w:tbl>
      <w:tblPr>
        <w:tblpPr w:leftFromText="180" w:rightFromText="180" w:horzAnchor="margin" w:tblpY="495"/>
        <w:tblW w:w="9541" w:type="dxa"/>
        <w:tblLook w:val="04A0" w:firstRow="1" w:lastRow="0" w:firstColumn="1" w:lastColumn="0" w:noHBand="0" w:noVBand="1"/>
      </w:tblPr>
      <w:tblGrid>
        <w:gridCol w:w="4878"/>
        <w:gridCol w:w="257"/>
        <w:gridCol w:w="362"/>
        <w:gridCol w:w="1674"/>
        <w:gridCol w:w="2352"/>
        <w:gridCol w:w="18"/>
      </w:tblGrid>
      <w:tr w:rsidR="007801FE" w:rsidRPr="00473B1C" w14:paraId="08B07D11" w14:textId="77777777" w:rsidTr="00D646FD">
        <w:trPr>
          <w:trHeight w:val="303"/>
        </w:trPr>
        <w:tc>
          <w:tcPr>
            <w:tcW w:w="5497" w:type="dxa"/>
            <w:gridSpan w:val="3"/>
            <w:shd w:val="clear" w:color="000000" w:fill="auto"/>
            <w:noWrap/>
            <w:vAlign w:val="bottom"/>
            <w:hideMark/>
          </w:tcPr>
          <w:p w14:paraId="0EF459C4" w14:textId="77777777" w:rsidR="007801FE" w:rsidRPr="00690DF0" w:rsidRDefault="007801FE" w:rsidP="00D646FD">
            <w:pPr>
              <w:ind w:left="-90"/>
              <w:rPr>
                <w:rFonts w:ascii="Arial" w:hAnsi="Arial" w:cs="Arial"/>
                <w:b/>
                <w:bCs/>
              </w:rPr>
            </w:pPr>
            <w:r w:rsidRPr="00690DF0">
              <w:rPr>
                <w:rFonts w:ascii="Arial" w:hAnsi="Arial" w:cs="Arial"/>
                <w:b/>
                <w:bCs/>
              </w:rPr>
              <w:t> Environmental Utilities, LLC</w:t>
            </w:r>
          </w:p>
        </w:tc>
        <w:tc>
          <w:tcPr>
            <w:tcW w:w="1674" w:type="dxa"/>
            <w:shd w:val="clear" w:color="000000" w:fill="auto"/>
            <w:noWrap/>
            <w:vAlign w:val="bottom"/>
          </w:tcPr>
          <w:p w14:paraId="4F24765D" w14:textId="77777777" w:rsidR="007801FE" w:rsidRPr="00473B1C" w:rsidRDefault="007801FE" w:rsidP="00D646FD">
            <w:pPr>
              <w:jc w:val="right"/>
              <w:rPr>
                <w:rFonts w:ascii="Arial" w:hAnsi="Arial" w:cs="Arial"/>
                <w:b/>
                <w:bCs/>
                <w:color w:val="000000"/>
                <w:sz w:val="22"/>
              </w:rPr>
            </w:pPr>
          </w:p>
        </w:tc>
        <w:tc>
          <w:tcPr>
            <w:tcW w:w="2370" w:type="dxa"/>
            <w:gridSpan w:val="2"/>
            <w:shd w:val="clear" w:color="000000" w:fill="auto"/>
            <w:noWrap/>
          </w:tcPr>
          <w:p w14:paraId="44DDB689" w14:textId="77777777" w:rsidR="007801FE" w:rsidRPr="00690DF0" w:rsidRDefault="007801FE" w:rsidP="00D646FD">
            <w:pPr>
              <w:jc w:val="right"/>
              <w:rPr>
                <w:rFonts w:ascii="Arial" w:hAnsi="Arial" w:cs="Arial"/>
                <w:b/>
              </w:rPr>
            </w:pPr>
            <w:r w:rsidRPr="00690DF0">
              <w:rPr>
                <w:rFonts w:ascii="Arial" w:hAnsi="Arial" w:cs="Arial"/>
                <w:b/>
              </w:rPr>
              <w:t xml:space="preserve">Schedule No. </w:t>
            </w:r>
            <w:r>
              <w:rPr>
                <w:rFonts w:ascii="Arial" w:hAnsi="Arial" w:cs="Arial"/>
                <w:b/>
              </w:rPr>
              <w:t>4</w:t>
            </w:r>
          </w:p>
        </w:tc>
      </w:tr>
      <w:tr w:rsidR="007801FE" w:rsidRPr="00473B1C" w14:paraId="3BEA8662" w14:textId="77777777" w:rsidTr="00D646FD">
        <w:trPr>
          <w:trHeight w:val="303"/>
        </w:trPr>
        <w:tc>
          <w:tcPr>
            <w:tcW w:w="5497" w:type="dxa"/>
            <w:gridSpan w:val="3"/>
            <w:shd w:val="clear" w:color="000000" w:fill="auto"/>
            <w:noWrap/>
            <w:vAlign w:val="bottom"/>
          </w:tcPr>
          <w:p w14:paraId="75BA99BD" w14:textId="77777777" w:rsidR="007801FE" w:rsidRPr="00690DF0" w:rsidRDefault="007801FE" w:rsidP="00D646FD">
            <w:pPr>
              <w:rPr>
                <w:rFonts w:ascii="Arial" w:hAnsi="Arial" w:cs="Arial"/>
                <w:b/>
                <w:bCs/>
              </w:rPr>
            </w:pPr>
            <w:r w:rsidRPr="00690DF0">
              <w:rPr>
                <w:rFonts w:ascii="Arial" w:hAnsi="Arial" w:cs="Arial"/>
                <w:b/>
                <w:bCs/>
              </w:rPr>
              <w:t>Monthly Wastewater Rates</w:t>
            </w:r>
          </w:p>
        </w:tc>
        <w:tc>
          <w:tcPr>
            <w:tcW w:w="1674" w:type="dxa"/>
            <w:shd w:val="clear" w:color="000000" w:fill="auto"/>
            <w:noWrap/>
            <w:vAlign w:val="bottom"/>
          </w:tcPr>
          <w:p w14:paraId="12A8DA14" w14:textId="77777777" w:rsidR="007801FE" w:rsidRPr="00473B1C" w:rsidRDefault="007801FE" w:rsidP="00D646FD">
            <w:pPr>
              <w:jc w:val="right"/>
              <w:rPr>
                <w:rFonts w:ascii="Arial" w:hAnsi="Arial" w:cs="Arial"/>
                <w:b/>
                <w:bCs/>
                <w:color w:val="000000"/>
                <w:sz w:val="22"/>
              </w:rPr>
            </w:pPr>
          </w:p>
        </w:tc>
        <w:tc>
          <w:tcPr>
            <w:tcW w:w="2370" w:type="dxa"/>
            <w:gridSpan w:val="2"/>
            <w:shd w:val="clear" w:color="000000" w:fill="auto"/>
            <w:noWrap/>
          </w:tcPr>
          <w:p w14:paraId="72C2F2D3" w14:textId="77777777" w:rsidR="007801FE" w:rsidRPr="00690DF0" w:rsidRDefault="007801FE" w:rsidP="00D646FD">
            <w:pPr>
              <w:jc w:val="right"/>
              <w:rPr>
                <w:rFonts w:ascii="Arial" w:hAnsi="Arial" w:cs="Arial"/>
                <w:b/>
              </w:rPr>
            </w:pPr>
            <w:r>
              <w:rPr>
                <w:rFonts w:ascii="Arial" w:hAnsi="Arial" w:cs="Arial"/>
                <w:b/>
              </w:rPr>
              <w:t xml:space="preserve">DN </w:t>
            </w:r>
            <w:r w:rsidRPr="00690DF0">
              <w:rPr>
                <w:rFonts w:ascii="Arial" w:hAnsi="Arial" w:cs="Arial"/>
                <w:b/>
              </w:rPr>
              <w:t>202</w:t>
            </w:r>
            <w:r>
              <w:rPr>
                <w:rFonts w:ascii="Arial" w:hAnsi="Arial" w:cs="Arial"/>
                <w:b/>
              </w:rPr>
              <w:t>40032</w:t>
            </w:r>
            <w:r w:rsidRPr="00690DF0">
              <w:rPr>
                <w:rFonts w:ascii="Arial" w:hAnsi="Arial" w:cs="Arial"/>
                <w:b/>
              </w:rPr>
              <w:t>-SU</w:t>
            </w:r>
          </w:p>
        </w:tc>
      </w:tr>
      <w:tr w:rsidR="007801FE" w:rsidRPr="00473B1C" w14:paraId="249B03B9" w14:textId="77777777" w:rsidTr="00D646FD">
        <w:trPr>
          <w:trHeight w:val="405"/>
        </w:trPr>
        <w:tc>
          <w:tcPr>
            <w:tcW w:w="5497" w:type="dxa"/>
            <w:gridSpan w:val="3"/>
            <w:shd w:val="clear" w:color="000000" w:fill="auto"/>
            <w:noWrap/>
            <w:vAlign w:val="center"/>
            <w:hideMark/>
          </w:tcPr>
          <w:p w14:paraId="2F322FA6" w14:textId="77777777" w:rsidR="007801FE" w:rsidRPr="00690DF0" w:rsidRDefault="007801FE" w:rsidP="00D646FD">
            <w:pPr>
              <w:pStyle w:val="BodyText"/>
              <w:jc w:val="left"/>
              <w:rPr>
                <w:rFonts w:ascii="Arial" w:hAnsi="Arial" w:cs="Arial"/>
                <w:b/>
                <w:bCs/>
              </w:rPr>
            </w:pPr>
          </w:p>
        </w:tc>
        <w:tc>
          <w:tcPr>
            <w:tcW w:w="1674" w:type="dxa"/>
            <w:shd w:val="clear" w:color="000000" w:fill="auto"/>
            <w:noWrap/>
            <w:vAlign w:val="bottom"/>
          </w:tcPr>
          <w:p w14:paraId="335AC92C" w14:textId="77777777" w:rsidR="007801FE" w:rsidRPr="00473B1C" w:rsidRDefault="007801FE" w:rsidP="00D646FD">
            <w:pPr>
              <w:jc w:val="right"/>
              <w:rPr>
                <w:rFonts w:ascii="Arial" w:hAnsi="Arial" w:cs="Arial"/>
                <w:b/>
                <w:bCs/>
                <w:color w:val="000000"/>
                <w:sz w:val="22"/>
              </w:rPr>
            </w:pPr>
            <w:r w:rsidRPr="00473B1C">
              <w:rPr>
                <w:rFonts w:ascii="Arial" w:hAnsi="Arial" w:cs="Arial"/>
                <w:b/>
                <w:bCs/>
                <w:color w:val="000000"/>
                <w:sz w:val="22"/>
              </w:rPr>
              <w:t>UTILITY</w:t>
            </w:r>
          </w:p>
        </w:tc>
        <w:tc>
          <w:tcPr>
            <w:tcW w:w="2370" w:type="dxa"/>
            <w:gridSpan w:val="2"/>
            <w:shd w:val="clear" w:color="000000" w:fill="auto"/>
            <w:noWrap/>
            <w:vAlign w:val="bottom"/>
          </w:tcPr>
          <w:p w14:paraId="3CE47CF8" w14:textId="77777777" w:rsidR="007801FE" w:rsidRPr="00473B1C" w:rsidRDefault="007801FE" w:rsidP="00D646FD">
            <w:pPr>
              <w:jc w:val="right"/>
              <w:rPr>
                <w:rFonts w:ascii="Arial" w:hAnsi="Arial" w:cs="Arial"/>
                <w:b/>
                <w:bCs/>
                <w:color w:val="000000"/>
                <w:sz w:val="22"/>
              </w:rPr>
            </w:pPr>
            <w:r w:rsidRPr="00473B1C">
              <w:rPr>
                <w:rFonts w:ascii="Arial" w:hAnsi="Arial" w:cs="Arial"/>
                <w:b/>
                <w:bCs/>
                <w:color w:val="000000"/>
                <w:sz w:val="22"/>
              </w:rPr>
              <w:t xml:space="preserve">STAFF </w:t>
            </w:r>
          </w:p>
        </w:tc>
      </w:tr>
      <w:tr w:rsidR="007801FE" w:rsidRPr="00473B1C" w14:paraId="0B4C58AD" w14:textId="77777777" w:rsidTr="00D646FD">
        <w:trPr>
          <w:trHeight w:val="318"/>
        </w:trPr>
        <w:tc>
          <w:tcPr>
            <w:tcW w:w="5497" w:type="dxa"/>
            <w:gridSpan w:val="3"/>
            <w:shd w:val="clear" w:color="000000" w:fill="auto"/>
            <w:noWrap/>
            <w:vAlign w:val="bottom"/>
            <w:hideMark/>
          </w:tcPr>
          <w:p w14:paraId="69EA8A93" w14:textId="77777777" w:rsidR="007801FE" w:rsidRPr="00473B1C" w:rsidRDefault="007801FE" w:rsidP="00D646FD">
            <w:pPr>
              <w:rPr>
                <w:b/>
                <w:bCs/>
                <w:sz w:val="20"/>
                <w:szCs w:val="20"/>
                <w:u w:val="single"/>
              </w:rPr>
            </w:pPr>
          </w:p>
        </w:tc>
        <w:tc>
          <w:tcPr>
            <w:tcW w:w="1674" w:type="dxa"/>
            <w:shd w:val="clear" w:color="000000" w:fill="auto"/>
            <w:noWrap/>
            <w:vAlign w:val="bottom"/>
          </w:tcPr>
          <w:p w14:paraId="65D31659" w14:textId="77777777" w:rsidR="007801FE" w:rsidRPr="00473B1C" w:rsidRDefault="007801FE" w:rsidP="00D646FD">
            <w:pPr>
              <w:jc w:val="right"/>
              <w:rPr>
                <w:rFonts w:ascii="Arial" w:hAnsi="Arial" w:cs="Arial"/>
                <w:b/>
                <w:bCs/>
                <w:color w:val="000000"/>
                <w:sz w:val="22"/>
              </w:rPr>
            </w:pPr>
            <w:r w:rsidRPr="00473B1C">
              <w:rPr>
                <w:rFonts w:ascii="Arial" w:hAnsi="Arial" w:cs="Arial"/>
                <w:b/>
                <w:bCs/>
                <w:color w:val="000000"/>
                <w:sz w:val="22"/>
              </w:rPr>
              <w:t>REQUESTED</w:t>
            </w:r>
          </w:p>
        </w:tc>
        <w:tc>
          <w:tcPr>
            <w:tcW w:w="2370" w:type="dxa"/>
            <w:gridSpan w:val="2"/>
            <w:shd w:val="clear" w:color="000000" w:fill="auto"/>
            <w:noWrap/>
            <w:vAlign w:val="bottom"/>
          </w:tcPr>
          <w:p w14:paraId="6E0D3237" w14:textId="77777777" w:rsidR="007801FE" w:rsidRPr="00473B1C" w:rsidRDefault="007801FE" w:rsidP="00D646FD">
            <w:pPr>
              <w:jc w:val="right"/>
              <w:rPr>
                <w:rFonts w:ascii="Arial" w:hAnsi="Arial" w:cs="Arial"/>
                <w:b/>
                <w:bCs/>
                <w:color w:val="000000"/>
                <w:sz w:val="22"/>
              </w:rPr>
            </w:pPr>
            <w:r w:rsidRPr="00473B1C">
              <w:rPr>
                <w:rFonts w:ascii="Arial" w:hAnsi="Arial" w:cs="Arial"/>
                <w:b/>
                <w:bCs/>
                <w:color w:val="000000"/>
                <w:sz w:val="22"/>
              </w:rPr>
              <w:t>RECOMMENDED</w:t>
            </w:r>
          </w:p>
        </w:tc>
      </w:tr>
      <w:tr w:rsidR="007801FE" w:rsidRPr="00473B1C" w14:paraId="40F220B0" w14:textId="77777777" w:rsidTr="00D646FD">
        <w:trPr>
          <w:trHeight w:val="303"/>
        </w:trPr>
        <w:tc>
          <w:tcPr>
            <w:tcW w:w="5497" w:type="dxa"/>
            <w:gridSpan w:val="3"/>
            <w:tcBorders>
              <w:bottom w:val="single" w:sz="4" w:space="0" w:color="auto"/>
            </w:tcBorders>
            <w:shd w:val="clear" w:color="auto" w:fill="auto"/>
            <w:noWrap/>
            <w:vAlign w:val="bottom"/>
            <w:hideMark/>
          </w:tcPr>
          <w:p w14:paraId="0AF29F85" w14:textId="77777777" w:rsidR="007801FE" w:rsidRPr="00473B1C" w:rsidRDefault="007801FE" w:rsidP="00D646FD">
            <w:pPr>
              <w:rPr>
                <w:sz w:val="20"/>
                <w:szCs w:val="20"/>
              </w:rPr>
            </w:pPr>
            <w:r w:rsidRPr="00473B1C">
              <w:rPr>
                <w:sz w:val="20"/>
                <w:szCs w:val="20"/>
              </w:rPr>
              <w:t> </w:t>
            </w:r>
          </w:p>
        </w:tc>
        <w:tc>
          <w:tcPr>
            <w:tcW w:w="1674" w:type="dxa"/>
            <w:tcBorders>
              <w:bottom w:val="single" w:sz="4" w:space="0" w:color="auto"/>
            </w:tcBorders>
            <w:shd w:val="clear" w:color="000000" w:fill="auto"/>
            <w:noWrap/>
            <w:vAlign w:val="bottom"/>
            <w:hideMark/>
          </w:tcPr>
          <w:p w14:paraId="18DE6D69" w14:textId="0814A303" w:rsidR="007801FE" w:rsidRPr="00473B1C" w:rsidRDefault="007801FE" w:rsidP="00D646FD">
            <w:pPr>
              <w:jc w:val="right"/>
              <w:rPr>
                <w:rFonts w:ascii="Arial" w:hAnsi="Arial" w:cs="Arial"/>
                <w:b/>
                <w:bCs/>
                <w:color w:val="000000"/>
                <w:sz w:val="22"/>
              </w:rPr>
            </w:pPr>
            <w:r w:rsidRPr="00473B1C">
              <w:rPr>
                <w:rFonts w:ascii="Arial" w:hAnsi="Arial" w:cs="Arial"/>
                <w:b/>
                <w:bCs/>
                <w:color w:val="000000"/>
                <w:sz w:val="22"/>
              </w:rPr>
              <w:t>RATES</w:t>
            </w:r>
            <w:r w:rsidR="00DE43FD">
              <w:rPr>
                <w:rFonts w:ascii="Arial" w:hAnsi="Arial" w:cs="Arial"/>
                <w:b/>
                <w:bCs/>
                <w:color w:val="000000"/>
                <w:sz w:val="22"/>
              </w:rPr>
              <w:t>*</w:t>
            </w:r>
            <w:r w:rsidRPr="00473B1C">
              <w:rPr>
                <w:rFonts w:ascii="Arial" w:hAnsi="Arial" w:cs="Arial"/>
                <w:b/>
                <w:bCs/>
                <w:color w:val="000000"/>
                <w:sz w:val="22"/>
              </w:rPr>
              <w:t xml:space="preserve"> </w:t>
            </w:r>
          </w:p>
        </w:tc>
        <w:tc>
          <w:tcPr>
            <w:tcW w:w="2370" w:type="dxa"/>
            <w:gridSpan w:val="2"/>
            <w:tcBorders>
              <w:bottom w:val="single" w:sz="4" w:space="0" w:color="auto"/>
            </w:tcBorders>
            <w:shd w:val="clear" w:color="000000" w:fill="auto"/>
            <w:noWrap/>
            <w:vAlign w:val="bottom"/>
            <w:hideMark/>
          </w:tcPr>
          <w:p w14:paraId="2818228C" w14:textId="77777777" w:rsidR="007801FE" w:rsidRPr="00473B1C" w:rsidRDefault="007801FE" w:rsidP="00D646FD">
            <w:pPr>
              <w:jc w:val="right"/>
              <w:rPr>
                <w:rFonts w:ascii="Arial" w:hAnsi="Arial" w:cs="Arial"/>
                <w:b/>
                <w:bCs/>
                <w:color w:val="000000"/>
                <w:sz w:val="22"/>
              </w:rPr>
            </w:pPr>
            <w:r w:rsidRPr="00473B1C">
              <w:rPr>
                <w:rFonts w:ascii="Arial" w:hAnsi="Arial" w:cs="Arial"/>
                <w:b/>
                <w:bCs/>
                <w:color w:val="000000"/>
                <w:sz w:val="22"/>
              </w:rPr>
              <w:t>RATES</w:t>
            </w:r>
          </w:p>
        </w:tc>
      </w:tr>
      <w:tr w:rsidR="007801FE" w:rsidRPr="00473B1C" w14:paraId="373921D5" w14:textId="77777777" w:rsidTr="00D646FD">
        <w:trPr>
          <w:trHeight w:val="303"/>
        </w:trPr>
        <w:tc>
          <w:tcPr>
            <w:tcW w:w="5497" w:type="dxa"/>
            <w:gridSpan w:val="3"/>
            <w:tcBorders>
              <w:top w:val="single" w:sz="4" w:space="0" w:color="auto"/>
            </w:tcBorders>
            <w:shd w:val="clear" w:color="auto" w:fill="auto"/>
            <w:noWrap/>
            <w:vAlign w:val="bottom"/>
            <w:hideMark/>
          </w:tcPr>
          <w:p w14:paraId="23DCD2E3" w14:textId="77777777" w:rsidR="007801FE" w:rsidRPr="00071D8E" w:rsidRDefault="007801FE" w:rsidP="00D646FD">
            <w:pPr>
              <w:rPr>
                <w:b/>
                <w:bCs/>
                <w:u w:val="thick"/>
              </w:rPr>
            </w:pPr>
            <w:r w:rsidRPr="00071D8E">
              <w:rPr>
                <w:b/>
                <w:bCs/>
                <w:u w:val="thick"/>
              </w:rPr>
              <w:t xml:space="preserve">Residential Service </w:t>
            </w:r>
          </w:p>
        </w:tc>
        <w:tc>
          <w:tcPr>
            <w:tcW w:w="1674" w:type="dxa"/>
            <w:tcBorders>
              <w:top w:val="single" w:sz="4" w:space="0" w:color="auto"/>
            </w:tcBorders>
            <w:shd w:val="clear" w:color="auto" w:fill="auto"/>
            <w:noWrap/>
            <w:vAlign w:val="bottom"/>
            <w:hideMark/>
          </w:tcPr>
          <w:p w14:paraId="699304DC" w14:textId="77777777" w:rsidR="007801FE" w:rsidRPr="00473B1C" w:rsidRDefault="007801FE" w:rsidP="00D646FD">
            <w:pPr>
              <w:jc w:val="right"/>
              <w:rPr>
                <w:color w:val="000000"/>
                <w:sz w:val="22"/>
              </w:rPr>
            </w:pPr>
          </w:p>
        </w:tc>
        <w:tc>
          <w:tcPr>
            <w:tcW w:w="2370" w:type="dxa"/>
            <w:gridSpan w:val="2"/>
            <w:tcBorders>
              <w:top w:val="single" w:sz="4" w:space="0" w:color="auto"/>
            </w:tcBorders>
            <w:shd w:val="clear" w:color="auto" w:fill="auto"/>
            <w:noWrap/>
            <w:vAlign w:val="bottom"/>
            <w:hideMark/>
          </w:tcPr>
          <w:p w14:paraId="482E672E" w14:textId="77777777" w:rsidR="007801FE" w:rsidRPr="00473B1C" w:rsidRDefault="007801FE" w:rsidP="00D646FD">
            <w:pPr>
              <w:rPr>
                <w:color w:val="000000"/>
                <w:sz w:val="22"/>
              </w:rPr>
            </w:pPr>
            <w:r w:rsidRPr="00473B1C">
              <w:rPr>
                <w:color w:val="000000"/>
                <w:sz w:val="22"/>
              </w:rPr>
              <w:t> </w:t>
            </w:r>
          </w:p>
        </w:tc>
      </w:tr>
      <w:tr w:rsidR="007801FE" w:rsidRPr="00473B1C" w14:paraId="3B204ECE" w14:textId="77777777" w:rsidTr="00D646FD">
        <w:trPr>
          <w:trHeight w:val="303"/>
        </w:trPr>
        <w:tc>
          <w:tcPr>
            <w:tcW w:w="5497" w:type="dxa"/>
            <w:gridSpan w:val="3"/>
            <w:shd w:val="clear" w:color="auto" w:fill="auto"/>
            <w:noWrap/>
            <w:vAlign w:val="bottom"/>
            <w:hideMark/>
          </w:tcPr>
          <w:p w14:paraId="25D3C538" w14:textId="77777777" w:rsidR="007801FE" w:rsidRPr="00071D8E" w:rsidRDefault="007801FE" w:rsidP="00D646FD">
            <w:pPr>
              <w:rPr>
                <w:color w:val="000000"/>
              </w:rPr>
            </w:pPr>
            <w:r w:rsidRPr="00071D8E">
              <w:rPr>
                <w:color w:val="000000"/>
              </w:rPr>
              <w:t>Base Facility Charge- All Meter Sizes</w:t>
            </w:r>
          </w:p>
        </w:tc>
        <w:tc>
          <w:tcPr>
            <w:tcW w:w="1674" w:type="dxa"/>
            <w:shd w:val="clear" w:color="auto" w:fill="auto"/>
            <w:noWrap/>
            <w:vAlign w:val="bottom"/>
            <w:hideMark/>
          </w:tcPr>
          <w:p w14:paraId="4841AAD8" w14:textId="77777777" w:rsidR="007801FE" w:rsidRPr="00071D8E" w:rsidRDefault="007801FE" w:rsidP="00D646FD">
            <w:pPr>
              <w:jc w:val="right"/>
              <w:rPr>
                <w:color w:val="000000"/>
              </w:rPr>
            </w:pPr>
            <w:r w:rsidRPr="00071D8E">
              <w:rPr>
                <w:color w:val="000000"/>
              </w:rPr>
              <w:t>$109.29</w:t>
            </w:r>
          </w:p>
        </w:tc>
        <w:tc>
          <w:tcPr>
            <w:tcW w:w="2370" w:type="dxa"/>
            <w:gridSpan w:val="2"/>
            <w:shd w:val="clear" w:color="auto" w:fill="auto"/>
            <w:noWrap/>
            <w:vAlign w:val="bottom"/>
            <w:hideMark/>
          </w:tcPr>
          <w:p w14:paraId="1A43EE79" w14:textId="6DEB7115" w:rsidR="007801FE" w:rsidRPr="00473B1C" w:rsidRDefault="007801FE" w:rsidP="00D646FD">
            <w:pPr>
              <w:jc w:val="right"/>
              <w:rPr>
                <w:color w:val="000000"/>
              </w:rPr>
            </w:pPr>
            <w:r w:rsidRPr="00071D8E">
              <w:rPr>
                <w:color w:val="000000"/>
              </w:rPr>
              <w:t>$</w:t>
            </w:r>
            <w:r w:rsidR="00D22D26">
              <w:rPr>
                <w:color w:val="000000"/>
              </w:rPr>
              <w:t>110.99</w:t>
            </w:r>
          </w:p>
        </w:tc>
      </w:tr>
      <w:tr w:rsidR="007801FE" w:rsidRPr="00473B1C" w14:paraId="1BB16900" w14:textId="77777777" w:rsidTr="00D646FD">
        <w:trPr>
          <w:trHeight w:val="303"/>
        </w:trPr>
        <w:tc>
          <w:tcPr>
            <w:tcW w:w="5497" w:type="dxa"/>
            <w:gridSpan w:val="3"/>
            <w:shd w:val="clear" w:color="auto" w:fill="auto"/>
            <w:noWrap/>
            <w:vAlign w:val="bottom"/>
            <w:hideMark/>
          </w:tcPr>
          <w:p w14:paraId="617C0D2D" w14:textId="77777777" w:rsidR="007801FE" w:rsidRPr="00071D8E" w:rsidRDefault="007801FE" w:rsidP="00D646FD">
            <w:pPr>
              <w:rPr>
                <w:color w:val="000000"/>
              </w:rPr>
            </w:pPr>
            <w:r w:rsidRPr="00071D8E">
              <w:rPr>
                <w:color w:val="000000"/>
              </w:rPr>
              <w:t> </w:t>
            </w:r>
          </w:p>
        </w:tc>
        <w:tc>
          <w:tcPr>
            <w:tcW w:w="1674" w:type="dxa"/>
            <w:shd w:val="clear" w:color="auto" w:fill="auto"/>
            <w:noWrap/>
            <w:vAlign w:val="bottom"/>
            <w:hideMark/>
          </w:tcPr>
          <w:p w14:paraId="6F12571A" w14:textId="77777777" w:rsidR="007801FE" w:rsidRPr="00071D8E" w:rsidRDefault="007801FE" w:rsidP="00D646FD">
            <w:pPr>
              <w:jc w:val="right"/>
              <w:rPr>
                <w:color w:val="000000"/>
              </w:rPr>
            </w:pPr>
          </w:p>
        </w:tc>
        <w:tc>
          <w:tcPr>
            <w:tcW w:w="2370" w:type="dxa"/>
            <w:gridSpan w:val="2"/>
            <w:shd w:val="clear" w:color="auto" w:fill="auto"/>
            <w:noWrap/>
            <w:vAlign w:val="bottom"/>
            <w:hideMark/>
          </w:tcPr>
          <w:p w14:paraId="2DA485E5" w14:textId="77777777" w:rsidR="007801FE" w:rsidRPr="00473B1C" w:rsidRDefault="007801FE" w:rsidP="00D646FD">
            <w:pPr>
              <w:rPr>
                <w:color w:val="000000"/>
              </w:rPr>
            </w:pPr>
          </w:p>
        </w:tc>
      </w:tr>
      <w:tr w:rsidR="007801FE" w:rsidRPr="00473B1C" w14:paraId="568C2724" w14:textId="77777777" w:rsidTr="00D646FD">
        <w:trPr>
          <w:trHeight w:val="303"/>
        </w:trPr>
        <w:tc>
          <w:tcPr>
            <w:tcW w:w="5497" w:type="dxa"/>
            <w:gridSpan w:val="3"/>
            <w:shd w:val="clear" w:color="auto" w:fill="auto"/>
            <w:noWrap/>
            <w:vAlign w:val="bottom"/>
            <w:hideMark/>
          </w:tcPr>
          <w:p w14:paraId="0015F16E" w14:textId="77777777" w:rsidR="007801FE" w:rsidRPr="00071D8E" w:rsidRDefault="007801FE" w:rsidP="00D646FD">
            <w:pPr>
              <w:rPr>
                <w:color w:val="000000"/>
              </w:rPr>
            </w:pPr>
            <w:r w:rsidRPr="00071D8E">
              <w:rPr>
                <w:color w:val="000000"/>
              </w:rPr>
              <w:t>Charge per 1,000 gallons- Residential</w:t>
            </w:r>
          </w:p>
        </w:tc>
        <w:tc>
          <w:tcPr>
            <w:tcW w:w="1674" w:type="dxa"/>
            <w:shd w:val="clear" w:color="auto" w:fill="auto"/>
            <w:noWrap/>
            <w:vAlign w:val="bottom"/>
            <w:hideMark/>
          </w:tcPr>
          <w:p w14:paraId="64DBC6ED" w14:textId="77777777" w:rsidR="007801FE" w:rsidRPr="00071D8E" w:rsidRDefault="007801FE" w:rsidP="00D646FD">
            <w:pPr>
              <w:jc w:val="right"/>
              <w:rPr>
                <w:color w:val="000000"/>
              </w:rPr>
            </w:pPr>
            <w:r w:rsidRPr="00071D8E">
              <w:rPr>
                <w:color w:val="000000"/>
              </w:rPr>
              <w:t>$18.82</w:t>
            </w:r>
          </w:p>
        </w:tc>
        <w:tc>
          <w:tcPr>
            <w:tcW w:w="2370" w:type="dxa"/>
            <w:gridSpan w:val="2"/>
            <w:shd w:val="clear" w:color="auto" w:fill="auto"/>
            <w:noWrap/>
            <w:vAlign w:val="bottom"/>
            <w:hideMark/>
          </w:tcPr>
          <w:p w14:paraId="5E6B5441" w14:textId="7C5E292A" w:rsidR="007801FE" w:rsidRPr="00473B1C" w:rsidRDefault="007801FE" w:rsidP="00D646FD">
            <w:pPr>
              <w:jc w:val="right"/>
              <w:rPr>
                <w:color w:val="000000"/>
              </w:rPr>
            </w:pPr>
            <w:r w:rsidRPr="00071D8E">
              <w:rPr>
                <w:color w:val="000000"/>
              </w:rPr>
              <w:t>$</w:t>
            </w:r>
            <w:r w:rsidR="00D22D26">
              <w:rPr>
                <w:color w:val="000000"/>
              </w:rPr>
              <w:t>17.38</w:t>
            </w:r>
          </w:p>
        </w:tc>
      </w:tr>
      <w:tr w:rsidR="007801FE" w:rsidRPr="00473B1C" w14:paraId="3A45A1F7" w14:textId="77777777" w:rsidTr="00D646FD">
        <w:trPr>
          <w:trHeight w:val="303"/>
        </w:trPr>
        <w:tc>
          <w:tcPr>
            <w:tcW w:w="5497" w:type="dxa"/>
            <w:gridSpan w:val="3"/>
            <w:shd w:val="clear" w:color="auto" w:fill="auto"/>
            <w:noWrap/>
            <w:vAlign w:val="bottom"/>
            <w:hideMark/>
          </w:tcPr>
          <w:p w14:paraId="59C66EA3" w14:textId="77777777" w:rsidR="007801FE" w:rsidRPr="00071D8E" w:rsidRDefault="007801FE" w:rsidP="00D646FD">
            <w:pPr>
              <w:rPr>
                <w:color w:val="000000"/>
              </w:rPr>
            </w:pPr>
            <w:r w:rsidRPr="00071D8E">
              <w:rPr>
                <w:color w:val="000000"/>
              </w:rPr>
              <w:t>10,000 gallon cap</w:t>
            </w:r>
          </w:p>
        </w:tc>
        <w:tc>
          <w:tcPr>
            <w:tcW w:w="1674" w:type="dxa"/>
            <w:shd w:val="clear" w:color="auto" w:fill="auto"/>
            <w:noWrap/>
            <w:vAlign w:val="bottom"/>
            <w:hideMark/>
          </w:tcPr>
          <w:p w14:paraId="2C8F45E6" w14:textId="77777777" w:rsidR="007801FE" w:rsidRPr="00071D8E" w:rsidRDefault="007801FE" w:rsidP="00D646FD">
            <w:pPr>
              <w:jc w:val="right"/>
              <w:rPr>
                <w:color w:val="000000"/>
              </w:rPr>
            </w:pPr>
          </w:p>
        </w:tc>
        <w:tc>
          <w:tcPr>
            <w:tcW w:w="2370" w:type="dxa"/>
            <w:gridSpan w:val="2"/>
            <w:shd w:val="clear" w:color="auto" w:fill="auto"/>
            <w:noWrap/>
            <w:vAlign w:val="bottom"/>
            <w:hideMark/>
          </w:tcPr>
          <w:p w14:paraId="0F794480" w14:textId="77777777" w:rsidR="007801FE" w:rsidRPr="00473B1C" w:rsidRDefault="007801FE" w:rsidP="00D646FD">
            <w:pPr>
              <w:rPr>
                <w:color w:val="000000"/>
              </w:rPr>
            </w:pPr>
            <w:r w:rsidRPr="00473B1C">
              <w:rPr>
                <w:color w:val="000000"/>
              </w:rPr>
              <w:t> </w:t>
            </w:r>
          </w:p>
        </w:tc>
      </w:tr>
      <w:tr w:rsidR="007801FE" w:rsidRPr="00473B1C" w14:paraId="0341F0D8" w14:textId="77777777" w:rsidTr="00D646FD">
        <w:trPr>
          <w:trHeight w:val="303"/>
        </w:trPr>
        <w:tc>
          <w:tcPr>
            <w:tcW w:w="5497" w:type="dxa"/>
            <w:gridSpan w:val="3"/>
            <w:shd w:val="clear" w:color="auto" w:fill="auto"/>
            <w:noWrap/>
            <w:vAlign w:val="bottom"/>
            <w:hideMark/>
          </w:tcPr>
          <w:p w14:paraId="1C6354CD" w14:textId="77777777" w:rsidR="007801FE" w:rsidRPr="00473B1C" w:rsidRDefault="007801FE" w:rsidP="00D646FD">
            <w:pPr>
              <w:rPr>
                <w:sz w:val="22"/>
              </w:rPr>
            </w:pPr>
            <w:r w:rsidRPr="00473B1C">
              <w:rPr>
                <w:sz w:val="22"/>
              </w:rPr>
              <w:t> </w:t>
            </w:r>
          </w:p>
        </w:tc>
        <w:tc>
          <w:tcPr>
            <w:tcW w:w="1674" w:type="dxa"/>
            <w:shd w:val="clear" w:color="auto" w:fill="auto"/>
            <w:noWrap/>
            <w:vAlign w:val="bottom"/>
            <w:hideMark/>
          </w:tcPr>
          <w:p w14:paraId="29B90EAC" w14:textId="77777777" w:rsidR="007801FE" w:rsidRPr="00071D8E" w:rsidRDefault="007801FE" w:rsidP="00D646FD">
            <w:pPr>
              <w:jc w:val="right"/>
              <w:rPr>
                <w:color w:val="000000"/>
              </w:rPr>
            </w:pPr>
          </w:p>
        </w:tc>
        <w:tc>
          <w:tcPr>
            <w:tcW w:w="2370" w:type="dxa"/>
            <w:gridSpan w:val="2"/>
            <w:shd w:val="clear" w:color="auto" w:fill="auto"/>
            <w:noWrap/>
            <w:vAlign w:val="bottom"/>
            <w:hideMark/>
          </w:tcPr>
          <w:p w14:paraId="3B7499ED" w14:textId="77777777" w:rsidR="007801FE" w:rsidRPr="00473B1C" w:rsidRDefault="007801FE" w:rsidP="00D646FD">
            <w:pPr>
              <w:rPr>
                <w:color w:val="000000"/>
              </w:rPr>
            </w:pPr>
            <w:r w:rsidRPr="00473B1C">
              <w:rPr>
                <w:color w:val="000000"/>
              </w:rPr>
              <w:t> </w:t>
            </w:r>
          </w:p>
        </w:tc>
      </w:tr>
      <w:tr w:rsidR="007801FE" w:rsidRPr="00473B1C" w14:paraId="71C51EAC" w14:textId="77777777" w:rsidTr="00D646FD">
        <w:trPr>
          <w:trHeight w:val="387"/>
        </w:trPr>
        <w:tc>
          <w:tcPr>
            <w:tcW w:w="5497" w:type="dxa"/>
            <w:gridSpan w:val="3"/>
            <w:shd w:val="clear" w:color="auto" w:fill="auto"/>
            <w:noWrap/>
            <w:vAlign w:val="bottom"/>
            <w:hideMark/>
          </w:tcPr>
          <w:p w14:paraId="13C1367C" w14:textId="77777777" w:rsidR="007801FE" w:rsidRPr="00071D8E" w:rsidRDefault="007801FE" w:rsidP="00D646FD">
            <w:pPr>
              <w:rPr>
                <w:b/>
                <w:bCs/>
                <w:u w:val="single"/>
              </w:rPr>
            </w:pPr>
            <w:r w:rsidRPr="00071D8E">
              <w:rPr>
                <w:b/>
                <w:bCs/>
                <w:u w:val="single"/>
              </w:rPr>
              <w:t>General Service</w:t>
            </w:r>
          </w:p>
        </w:tc>
        <w:tc>
          <w:tcPr>
            <w:tcW w:w="1674" w:type="dxa"/>
            <w:shd w:val="clear" w:color="auto" w:fill="auto"/>
            <w:noWrap/>
            <w:vAlign w:val="bottom"/>
            <w:hideMark/>
          </w:tcPr>
          <w:p w14:paraId="7653E65F" w14:textId="77777777" w:rsidR="007801FE" w:rsidRPr="00071D8E" w:rsidRDefault="007801FE" w:rsidP="00D646FD">
            <w:pPr>
              <w:jc w:val="right"/>
              <w:rPr>
                <w:color w:val="000000"/>
              </w:rPr>
            </w:pPr>
          </w:p>
        </w:tc>
        <w:tc>
          <w:tcPr>
            <w:tcW w:w="2370" w:type="dxa"/>
            <w:gridSpan w:val="2"/>
            <w:shd w:val="clear" w:color="auto" w:fill="auto"/>
            <w:noWrap/>
            <w:vAlign w:val="bottom"/>
            <w:hideMark/>
          </w:tcPr>
          <w:p w14:paraId="0BB9CB9E" w14:textId="77777777" w:rsidR="007801FE" w:rsidRPr="00473B1C" w:rsidRDefault="007801FE" w:rsidP="00D646FD">
            <w:pPr>
              <w:rPr>
                <w:color w:val="000000"/>
              </w:rPr>
            </w:pPr>
            <w:r w:rsidRPr="00473B1C">
              <w:rPr>
                <w:color w:val="000000"/>
              </w:rPr>
              <w:t> </w:t>
            </w:r>
          </w:p>
        </w:tc>
      </w:tr>
      <w:tr w:rsidR="007801FE" w:rsidRPr="00473B1C" w14:paraId="3095D29A" w14:textId="77777777" w:rsidTr="00D646FD">
        <w:trPr>
          <w:trHeight w:val="303"/>
        </w:trPr>
        <w:tc>
          <w:tcPr>
            <w:tcW w:w="5497" w:type="dxa"/>
            <w:gridSpan w:val="3"/>
            <w:shd w:val="clear" w:color="auto" w:fill="auto"/>
            <w:noWrap/>
            <w:vAlign w:val="bottom"/>
            <w:hideMark/>
          </w:tcPr>
          <w:p w14:paraId="3236A81E" w14:textId="77777777" w:rsidR="007801FE" w:rsidRPr="00071D8E" w:rsidRDefault="007801FE" w:rsidP="00D646FD">
            <w:pPr>
              <w:rPr>
                <w:color w:val="000000"/>
              </w:rPr>
            </w:pPr>
            <w:r w:rsidRPr="00071D8E">
              <w:rPr>
                <w:color w:val="000000"/>
              </w:rPr>
              <w:t>Base Facility Charge by Meter Size</w:t>
            </w:r>
          </w:p>
        </w:tc>
        <w:tc>
          <w:tcPr>
            <w:tcW w:w="1674" w:type="dxa"/>
            <w:shd w:val="clear" w:color="auto" w:fill="auto"/>
            <w:noWrap/>
            <w:vAlign w:val="bottom"/>
            <w:hideMark/>
          </w:tcPr>
          <w:p w14:paraId="75DC55A5" w14:textId="77777777" w:rsidR="007801FE" w:rsidRPr="00071D8E" w:rsidRDefault="007801FE" w:rsidP="00D646FD">
            <w:pPr>
              <w:jc w:val="right"/>
              <w:rPr>
                <w:color w:val="000000"/>
              </w:rPr>
            </w:pPr>
          </w:p>
        </w:tc>
        <w:tc>
          <w:tcPr>
            <w:tcW w:w="2370" w:type="dxa"/>
            <w:gridSpan w:val="2"/>
            <w:shd w:val="clear" w:color="auto" w:fill="auto"/>
            <w:noWrap/>
            <w:vAlign w:val="bottom"/>
            <w:hideMark/>
          </w:tcPr>
          <w:p w14:paraId="20CE9779" w14:textId="77777777" w:rsidR="007801FE" w:rsidRPr="00473B1C" w:rsidRDefault="007801FE" w:rsidP="00D646FD">
            <w:pPr>
              <w:rPr>
                <w:color w:val="000000"/>
              </w:rPr>
            </w:pPr>
            <w:r w:rsidRPr="00473B1C">
              <w:rPr>
                <w:color w:val="000000"/>
              </w:rPr>
              <w:t> </w:t>
            </w:r>
          </w:p>
        </w:tc>
      </w:tr>
      <w:tr w:rsidR="007801FE" w:rsidRPr="00473B1C" w14:paraId="00688275" w14:textId="77777777" w:rsidTr="00D646FD">
        <w:trPr>
          <w:trHeight w:val="303"/>
        </w:trPr>
        <w:tc>
          <w:tcPr>
            <w:tcW w:w="5497" w:type="dxa"/>
            <w:gridSpan w:val="3"/>
            <w:shd w:val="clear" w:color="auto" w:fill="auto"/>
            <w:noWrap/>
            <w:vAlign w:val="bottom"/>
            <w:hideMark/>
          </w:tcPr>
          <w:p w14:paraId="7EBD2905" w14:textId="77777777" w:rsidR="007801FE" w:rsidRPr="00071D8E" w:rsidRDefault="007801FE" w:rsidP="00D646FD">
            <w:pPr>
              <w:rPr>
                <w:color w:val="000000"/>
              </w:rPr>
            </w:pPr>
            <w:r w:rsidRPr="00071D8E">
              <w:rPr>
                <w:color w:val="000000"/>
              </w:rPr>
              <w:t>5/8" x 3/4"</w:t>
            </w:r>
          </w:p>
        </w:tc>
        <w:tc>
          <w:tcPr>
            <w:tcW w:w="1674" w:type="dxa"/>
            <w:shd w:val="clear" w:color="auto" w:fill="auto"/>
            <w:noWrap/>
            <w:vAlign w:val="bottom"/>
            <w:hideMark/>
          </w:tcPr>
          <w:p w14:paraId="39DBA52B" w14:textId="435E17E2" w:rsidR="007801FE" w:rsidRPr="00071D8E" w:rsidRDefault="007801FE" w:rsidP="00D646FD">
            <w:pPr>
              <w:jc w:val="right"/>
              <w:rPr>
                <w:color w:val="000000"/>
              </w:rPr>
            </w:pPr>
            <w:r w:rsidRPr="00071D8E">
              <w:rPr>
                <w:color w:val="000000"/>
              </w:rPr>
              <w:t>$</w:t>
            </w:r>
            <w:r w:rsidR="00D22D26">
              <w:rPr>
                <w:color w:val="000000"/>
              </w:rPr>
              <w:t>109.29</w:t>
            </w:r>
          </w:p>
        </w:tc>
        <w:tc>
          <w:tcPr>
            <w:tcW w:w="2370" w:type="dxa"/>
            <w:gridSpan w:val="2"/>
            <w:shd w:val="clear" w:color="auto" w:fill="auto"/>
            <w:noWrap/>
            <w:vAlign w:val="bottom"/>
            <w:hideMark/>
          </w:tcPr>
          <w:p w14:paraId="3A5C424E" w14:textId="0BC71B09" w:rsidR="007801FE" w:rsidRPr="00473B1C" w:rsidRDefault="007801FE" w:rsidP="00D646FD">
            <w:pPr>
              <w:jc w:val="right"/>
              <w:rPr>
                <w:color w:val="000000"/>
              </w:rPr>
            </w:pPr>
            <w:r w:rsidRPr="00071D8E">
              <w:rPr>
                <w:color w:val="000000"/>
              </w:rPr>
              <w:t>$</w:t>
            </w:r>
            <w:r w:rsidR="00D22D26" w:rsidRPr="00071D8E">
              <w:rPr>
                <w:color w:val="000000"/>
              </w:rPr>
              <w:t>1</w:t>
            </w:r>
            <w:r w:rsidR="00D22D26">
              <w:rPr>
                <w:color w:val="000000"/>
              </w:rPr>
              <w:t>10.99</w:t>
            </w:r>
          </w:p>
        </w:tc>
      </w:tr>
      <w:tr w:rsidR="007801FE" w:rsidRPr="00473B1C" w14:paraId="40AAE01E" w14:textId="77777777" w:rsidTr="00D646FD">
        <w:trPr>
          <w:trHeight w:val="303"/>
        </w:trPr>
        <w:tc>
          <w:tcPr>
            <w:tcW w:w="5497" w:type="dxa"/>
            <w:gridSpan w:val="3"/>
            <w:shd w:val="clear" w:color="auto" w:fill="auto"/>
            <w:noWrap/>
            <w:vAlign w:val="bottom"/>
            <w:hideMark/>
          </w:tcPr>
          <w:p w14:paraId="446166FE" w14:textId="77777777" w:rsidR="007801FE" w:rsidRPr="00071D8E" w:rsidRDefault="007801FE" w:rsidP="00D646FD">
            <w:pPr>
              <w:rPr>
                <w:color w:val="000000"/>
              </w:rPr>
            </w:pPr>
            <w:r w:rsidRPr="00071D8E">
              <w:rPr>
                <w:color w:val="000000"/>
              </w:rPr>
              <w:t>3/4"</w:t>
            </w:r>
          </w:p>
        </w:tc>
        <w:tc>
          <w:tcPr>
            <w:tcW w:w="1674" w:type="dxa"/>
            <w:shd w:val="clear" w:color="auto" w:fill="auto"/>
            <w:noWrap/>
            <w:vAlign w:val="bottom"/>
            <w:hideMark/>
          </w:tcPr>
          <w:p w14:paraId="67B909B8" w14:textId="7064EB41" w:rsidR="007801FE" w:rsidRPr="00071D8E" w:rsidRDefault="007801FE" w:rsidP="00D646FD">
            <w:pPr>
              <w:jc w:val="right"/>
              <w:rPr>
                <w:color w:val="000000"/>
              </w:rPr>
            </w:pPr>
            <w:r w:rsidRPr="00071D8E">
              <w:rPr>
                <w:color w:val="000000"/>
              </w:rPr>
              <w:t>$</w:t>
            </w:r>
            <w:r w:rsidR="00D22D26">
              <w:rPr>
                <w:color w:val="000000"/>
              </w:rPr>
              <w:t>163.93</w:t>
            </w:r>
          </w:p>
        </w:tc>
        <w:tc>
          <w:tcPr>
            <w:tcW w:w="2370" w:type="dxa"/>
            <w:gridSpan w:val="2"/>
            <w:shd w:val="clear" w:color="auto" w:fill="auto"/>
            <w:noWrap/>
            <w:vAlign w:val="bottom"/>
            <w:hideMark/>
          </w:tcPr>
          <w:p w14:paraId="40B6D234" w14:textId="6AA20549" w:rsidR="007801FE" w:rsidRPr="00473B1C" w:rsidRDefault="007801FE" w:rsidP="00D646FD">
            <w:pPr>
              <w:jc w:val="right"/>
              <w:rPr>
                <w:color w:val="000000"/>
              </w:rPr>
            </w:pPr>
            <w:r w:rsidRPr="00071D8E">
              <w:rPr>
                <w:color w:val="000000"/>
              </w:rPr>
              <w:t>$</w:t>
            </w:r>
            <w:r w:rsidR="00D22D26" w:rsidRPr="00071D8E">
              <w:rPr>
                <w:color w:val="000000"/>
              </w:rPr>
              <w:t>1</w:t>
            </w:r>
            <w:r w:rsidR="00D22D26">
              <w:rPr>
                <w:color w:val="000000"/>
              </w:rPr>
              <w:t>66.49</w:t>
            </w:r>
          </w:p>
        </w:tc>
      </w:tr>
      <w:tr w:rsidR="007801FE" w:rsidRPr="00473B1C" w14:paraId="62502527" w14:textId="77777777" w:rsidTr="00D646FD">
        <w:trPr>
          <w:trHeight w:val="303"/>
        </w:trPr>
        <w:tc>
          <w:tcPr>
            <w:tcW w:w="5497" w:type="dxa"/>
            <w:gridSpan w:val="3"/>
            <w:shd w:val="clear" w:color="auto" w:fill="auto"/>
            <w:noWrap/>
            <w:vAlign w:val="bottom"/>
            <w:hideMark/>
          </w:tcPr>
          <w:p w14:paraId="7664C6D2" w14:textId="77777777" w:rsidR="007801FE" w:rsidRPr="00071D8E" w:rsidRDefault="007801FE" w:rsidP="00D646FD">
            <w:pPr>
              <w:rPr>
                <w:color w:val="000000"/>
              </w:rPr>
            </w:pPr>
            <w:r w:rsidRPr="00071D8E">
              <w:rPr>
                <w:color w:val="000000"/>
              </w:rPr>
              <w:t>1"</w:t>
            </w:r>
          </w:p>
        </w:tc>
        <w:tc>
          <w:tcPr>
            <w:tcW w:w="1674" w:type="dxa"/>
            <w:shd w:val="clear" w:color="auto" w:fill="auto"/>
            <w:noWrap/>
            <w:vAlign w:val="bottom"/>
            <w:hideMark/>
          </w:tcPr>
          <w:p w14:paraId="132C6406" w14:textId="64B1B847" w:rsidR="007801FE" w:rsidRPr="00071D8E" w:rsidRDefault="007801FE" w:rsidP="00D646FD">
            <w:pPr>
              <w:jc w:val="right"/>
              <w:rPr>
                <w:color w:val="000000"/>
              </w:rPr>
            </w:pPr>
            <w:r w:rsidRPr="00071D8E">
              <w:rPr>
                <w:color w:val="000000"/>
              </w:rPr>
              <w:t>$</w:t>
            </w:r>
            <w:r w:rsidR="00D22D26" w:rsidRPr="00071D8E">
              <w:rPr>
                <w:color w:val="000000"/>
              </w:rPr>
              <w:t>2</w:t>
            </w:r>
            <w:r w:rsidR="00D22D26">
              <w:rPr>
                <w:color w:val="000000"/>
              </w:rPr>
              <w:t>73.22</w:t>
            </w:r>
          </w:p>
        </w:tc>
        <w:tc>
          <w:tcPr>
            <w:tcW w:w="2370" w:type="dxa"/>
            <w:gridSpan w:val="2"/>
            <w:shd w:val="clear" w:color="auto" w:fill="auto"/>
            <w:noWrap/>
            <w:vAlign w:val="bottom"/>
            <w:hideMark/>
          </w:tcPr>
          <w:p w14:paraId="2905E5DD" w14:textId="10F7782D" w:rsidR="007801FE" w:rsidRPr="00473B1C" w:rsidRDefault="007801FE" w:rsidP="00D646FD">
            <w:pPr>
              <w:jc w:val="right"/>
              <w:rPr>
                <w:color w:val="000000"/>
              </w:rPr>
            </w:pPr>
            <w:r w:rsidRPr="00071D8E">
              <w:rPr>
                <w:color w:val="000000"/>
              </w:rPr>
              <w:t>$</w:t>
            </w:r>
            <w:r w:rsidR="00D22D26">
              <w:rPr>
                <w:color w:val="000000"/>
              </w:rPr>
              <w:t>277.48</w:t>
            </w:r>
          </w:p>
        </w:tc>
      </w:tr>
      <w:tr w:rsidR="007801FE" w:rsidRPr="00473B1C" w14:paraId="79052B43" w14:textId="77777777" w:rsidTr="00D646FD">
        <w:trPr>
          <w:trHeight w:val="303"/>
        </w:trPr>
        <w:tc>
          <w:tcPr>
            <w:tcW w:w="5497" w:type="dxa"/>
            <w:gridSpan w:val="3"/>
            <w:shd w:val="clear" w:color="auto" w:fill="auto"/>
            <w:noWrap/>
            <w:vAlign w:val="bottom"/>
            <w:hideMark/>
          </w:tcPr>
          <w:p w14:paraId="37AE2927" w14:textId="77777777" w:rsidR="007801FE" w:rsidRPr="00071D8E" w:rsidRDefault="007801FE" w:rsidP="00D646FD">
            <w:pPr>
              <w:rPr>
                <w:color w:val="000000"/>
              </w:rPr>
            </w:pPr>
            <w:r w:rsidRPr="00071D8E">
              <w:rPr>
                <w:color w:val="000000"/>
              </w:rPr>
              <w:t>1-1/2" Turbine</w:t>
            </w:r>
          </w:p>
        </w:tc>
        <w:tc>
          <w:tcPr>
            <w:tcW w:w="1674" w:type="dxa"/>
            <w:shd w:val="clear" w:color="auto" w:fill="auto"/>
            <w:noWrap/>
            <w:vAlign w:val="bottom"/>
            <w:hideMark/>
          </w:tcPr>
          <w:p w14:paraId="2F6D8ACC" w14:textId="00CA1DE9" w:rsidR="007801FE" w:rsidRPr="00071D8E" w:rsidRDefault="007801FE" w:rsidP="00D646FD">
            <w:pPr>
              <w:jc w:val="right"/>
              <w:rPr>
                <w:color w:val="000000"/>
              </w:rPr>
            </w:pPr>
            <w:r w:rsidRPr="00071D8E">
              <w:rPr>
                <w:color w:val="000000"/>
              </w:rPr>
              <w:t>$</w:t>
            </w:r>
            <w:r w:rsidR="00D22D26" w:rsidRPr="00071D8E">
              <w:rPr>
                <w:color w:val="000000"/>
              </w:rPr>
              <w:t>5</w:t>
            </w:r>
            <w:r w:rsidR="00D22D26">
              <w:rPr>
                <w:color w:val="000000"/>
              </w:rPr>
              <w:t>46.44</w:t>
            </w:r>
          </w:p>
        </w:tc>
        <w:tc>
          <w:tcPr>
            <w:tcW w:w="2370" w:type="dxa"/>
            <w:gridSpan w:val="2"/>
            <w:shd w:val="clear" w:color="auto" w:fill="auto"/>
            <w:noWrap/>
            <w:vAlign w:val="bottom"/>
            <w:hideMark/>
          </w:tcPr>
          <w:p w14:paraId="18726E7B" w14:textId="64EA12AA" w:rsidR="007801FE" w:rsidRPr="00473B1C" w:rsidRDefault="007801FE" w:rsidP="00D646FD">
            <w:pPr>
              <w:jc w:val="right"/>
              <w:rPr>
                <w:color w:val="000000"/>
              </w:rPr>
            </w:pPr>
            <w:r w:rsidRPr="00071D8E">
              <w:rPr>
                <w:color w:val="000000"/>
              </w:rPr>
              <w:t>$</w:t>
            </w:r>
            <w:r w:rsidR="00D22D26">
              <w:rPr>
                <w:color w:val="000000"/>
              </w:rPr>
              <w:t>554.95</w:t>
            </w:r>
          </w:p>
        </w:tc>
      </w:tr>
      <w:tr w:rsidR="007801FE" w:rsidRPr="00473B1C" w14:paraId="74527827" w14:textId="77777777" w:rsidTr="00D646FD">
        <w:trPr>
          <w:trHeight w:val="303"/>
        </w:trPr>
        <w:tc>
          <w:tcPr>
            <w:tcW w:w="5497" w:type="dxa"/>
            <w:gridSpan w:val="3"/>
            <w:shd w:val="clear" w:color="auto" w:fill="auto"/>
            <w:noWrap/>
            <w:vAlign w:val="bottom"/>
            <w:hideMark/>
          </w:tcPr>
          <w:p w14:paraId="5659AD96" w14:textId="77777777" w:rsidR="007801FE" w:rsidRPr="00071D8E" w:rsidRDefault="007801FE" w:rsidP="00D646FD">
            <w:pPr>
              <w:rPr>
                <w:color w:val="000000"/>
              </w:rPr>
            </w:pPr>
            <w:r w:rsidRPr="00071D8E">
              <w:rPr>
                <w:color w:val="000000"/>
              </w:rPr>
              <w:t>2" Turbine</w:t>
            </w:r>
          </w:p>
        </w:tc>
        <w:tc>
          <w:tcPr>
            <w:tcW w:w="1674" w:type="dxa"/>
            <w:shd w:val="clear" w:color="auto" w:fill="auto"/>
            <w:noWrap/>
            <w:vAlign w:val="bottom"/>
            <w:hideMark/>
          </w:tcPr>
          <w:p w14:paraId="49654442" w14:textId="02DAE53F" w:rsidR="007801FE" w:rsidRPr="00071D8E" w:rsidRDefault="007801FE" w:rsidP="00D646FD">
            <w:pPr>
              <w:jc w:val="right"/>
              <w:rPr>
                <w:color w:val="000000"/>
              </w:rPr>
            </w:pPr>
            <w:r w:rsidRPr="00071D8E">
              <w:rPr>
                <w:color w:val="000000"/>
              </w:rPr>
              <w:t>$</w:t>
            </w:r>
            <w:r w:rsidR="00D22D26">
              <w:rPr>
                <w:color w:val="000000"/>
              </w:rPr>
              <w:t>874.30</w:t>
            </w:r>
          </w:p>
        </w:tc>
        <w:tc>
          <w:tcPr>
            <w:tcW w:w="2370" w:type="dxa"/>
            <w:gridSpan w:val="2"/>
            <w:shd w:val="clear" w:color="auto" w:fill="auto"/>
            <w:noWrap/>
            <w:vAlign w:val="bottom"/>
            <w:hideMark/>
          </w:tcPr>
          <w:p w14:paraId="4CF87FFA" w14:textId="22994687" w:rsidR="007801FE" w:rsidRPr="00473B1C" w:rsidRDefault="007801FE" w:rsidP="00D646FD">
            <w:pPr>
              <w:jc w:val="right"/>
              <w:rPr>
                <w:color w:val="000000"/>
              </w:rPr>
            </w:pPr>
            <w:r w:rsidRPr="00071D8E">
              <w:rPr>
                <w:color w:val="000000"/>
              </w:rPr>
              <w:t>$</w:t>
            </w:r>
            <w:r w:rsidR="00D22D26">
              <w:rPr>
                <w:color w:val="000000"/>
              </w:rPr>
              <w:t>887.92</w:t>
            </w:r>
          </w:p>
        </w:tc>
      </w:tr>
      <w:tr w:rsidR="007801FE" w:rsidRPr="00473B1C" w14:paraId="500D08BE" w14:textId="77777777" w:rsidTr="00D646FD">
        <w:trPr>
          <w:trHeight w:val="303"/>
        </w:trPr>
        <w:tc>
          <w:tcPr>
            <w:tcW w:w="5497" w:type="dxa"/>
            <w:gridSpan w:val="3"/>
            <w:shd w:val="clear" w:color="auto" w:fill="auto"/>
            <w:noWrap/>
            <w:vAlign w:val="bottom"/>
            <w:hideMark/>
          </w:tcPr>
          <w:p w14:paraId="1AD8644F" w14:textId="77777777" w:rsidR="007801FE" w:rsidRPr="00071D8E" w:rsidRDefault="007801FE" w:rsidP="00D646FD">
            <w:pPr>
              <w:rPr>
                <w:color w:val="000000"/>
              </w:rPr>
            </w:pPr>
            <w:r w:rsidRPr="00071D8E">
              <w:rPr>
                <w:color w:val="000000"/>
              </w:rPr>
              <w:t>3" Turbine</w:t>
            </w:r>
          </w:p>
        </w:tc>
        <w:tc>
          <w:tcPr>
            <w:tcW w:w="1674" w:type="dxa"/>
            <w:shd w:val="clear" w:color="auto" w:fill="auto"/>
            <w:noWrap/>
            <w:vAlign w:val="bottom"/>
            <w:hideMark/>
          </w:tcPr>
          <w:p w14:paraId="7A8CF327" w14:textId="7198C082" w:rsidR="007801FE" w:rsidRPr="00071D8E" w:rsidRDefault="007801FE" w:rsidP="00D646FD">
            <w:pPr>
              <w:jc w:val="right"/>
              <w:rPr>
                <w:color w:val="000000"/>
              </w:rPr>
            </w:pPr>
            <w:r w:rsidRPr="00071D8E">
              <w:rPr>
                <w:color w:val="000000"/>
              </w:rPr>
              <w:t>$</w:t>
            </w:r>
            <w:r w:rsidR="00D22D26" w:rsidRPr="00071D8E">
              <w:rPr>
                <w:color w:val="000000"/>
              </w:rPr>
              <w:t>1,9</w:t>
            </w:r>
            <w:r w:rsidR="006D4257">
              <w:rPr>
                <w:color w:val="000000"/>
              </w:rPr>
              <w:t>12.5</w:t>
            </w:r>
            <w:r w:rsidR="00D22D26">
              <w:rPr>
                <w:color w:val="000000"/>
              </w:rPr>
              <w:t>3</w:t>
            </w:r>
          </w:p>
        </w:tc>
        <w:tc>
          <w:tcPr>
            <w:tcW w:w="2370" w:type="dxa"/>
            <w:gridSpan w:val="2"/>
            <w:shd w:val="clear" w:color="auto" w:fill="auto"/>
            <w:noWrap/>
            <w:vAlign w:val="bottom"/>
            <w:hideMark/>
          </w:tcPr>
          <w:p w14:paraId="0C5911D0" w14:textId="6CDC6BEF" w:rsidR="007801FE" w:rsidRPr="00473B1C" w:rsidRDefault="007801FE" w:rsidP="00074B28">
            <w:pPr>
              <w:jc w:val="right"/>
              <w:rPr>
                <w:color w:val="000000"/>
              </w:rPr>
            </w:pPr>
            <w:r w:rsidRPr="00071D8E">
              <w:rPr>
                <w:color w:val="000000"/>
              </w:rPr>
              <w:t>$</w:t>
            </w:r>
            <w:r w:rsidR="00074B28">
              <w:rPr>
                <w:color w:val="000000"/>
              </w:rPr>
              <w:t>1,942.33</w:t>
            </w:r>
          </w:p>
        </w:tc>
      </w:tr>
      <w:tr w:rsidR="007801FE" w:rsidRPr="00473B1C" w14:paraId="0D6E24A1" w14:textId="77777777" w:rsidTr="00D646FD">
        <w:trPr>
          <w:trHeight w:val="303"/>
        </w:trPr>
        <w:tc>
          <w:tcPr>
            <w:tcW w:w="5497" w:type="dxa"/>
            <w:gridSpan w:val="3"/>
            <w:shd w:val="clear" w:color="auto" w:fill="auto"/>
            <w:noWrap/>
            <w:vAlign w:val="bottom"/>
            <w:hideMark/>
          </w:tcPr>
          <w:p w14:paraId="1F1532FF" w14:textId="77777777" w:rsidR="007801FE" w:rsidRPr="00071D8E" w:rsidRDefault="007801FE" w:rsidP="00D646FD">
            <w:pPr>
              <w:rPr>
                <w:color w:val="000000"/>
              </w:rPr>
            </w:pPr>
            <w:r w:rsidRPr="00071D8E">
              <w:rPr>
                <w:color w:val="000000"/>
              </w:rPr>
              <w:t> </w:t>
            </w:r>
          </w:p>
        </w:tc>
        <w:tc>
          <w:tcPr>
            <w:tcW w:w="1674" w:type="dxa"/>
            <w:shd w:val="clear" w:color="auto" w:fill="auto"/>
            <w:noWrap/>
            <w:vAlign w:val="bottom"/>
            <w:hideMark/>
          </w:tcPr>
          <w:p w14:paraId="0B522F8A" w14:textId="77777777" w:rsidR="007801FE" w:rsidRPr="00071D8E" w:rsidRDefault="007801FE" w:rsidP="00D646FD">
            <w:pPr>
              <w:jc w:val="right"/>
              <w:rPr>
                <w:color w:val="000000"/>
              </w:rPr>
            </w:pPr>
          </w:p>
        </w:tc>
        <w:tc>
          <w:tcPr>
            <w:tcW w:w="2370" w:type="dxa"/>
            <w:gridSpan w:val="2"/>
            <w:shd w:val="clear" w:color="auto" w:fill="auto"/>
            <w:noWrap/>
            <w:vAlign w:val="bottom"/>
            <w:hideMark/>
          </w:tcPr>
          <w:p w14:paraId="6AF67EDF" w14:textId="77777777" w:rsidR="007801FE" w:rsidRPr="00473B1C" w:rsidRDefault="007801FE" w:rsidP="00D646FD">
            <w:pPr>
              <w:jc w:val="right"/>
              <w:rPr>
                <w:color w:val="000000"/>
              </w:rPr>
            </w:pPr>
            <w:r w:rsidRPr="00473B1C">
              <w:rPr>
                <w:color w:val="000000"/>
              </w:rPr>
              <w:t> </w:t>
            </w:r>
          </w:p>
        </w:tc>
      </w:tr>
      <w:tr w:rsidR="007801FE" w:rsidRPr="00473B1C" w14:paraId="013697D1" w14:textId="77777777" w:rsidTr="00D646FD">
        <w:trPr>
          <w:trHeight w:val="303"/>
        </w:trPr>
        <w:tc>
          <w:tcPr>
            <w:tcW w:w="5497" w:type="dxa"/>
            <w:gridSpan w:val="3"/>
            <w:shd w:val="clear" w:color="auto" w:fill="auto"/>
            <w:noWrap/>
            <w:vAlign w:val="bottom"/>
            <w:hideMark/>
          </w:tcPr>
          <w:p w14:paraId="557FF274" w14:textId="77777777" w:rsidR="007801FE" w:rsidRPr="00071D8E" w:rsidRDefault="007801FE" w:rsidP="00D646FD">
            <w:pPr>
              <w:rPr>
                <w:color w:val="000000"/>
              </w:rPr>
            </w:pPr>
            <w:r w:rsidRPr="00071D8E">
              <w:rPr>
                <w:color w:val="000000"/>
              </w:rPr>
              <w:t>Charge per 1,000 gallons - General Service</w:t>
            </w:r>
          </w:p>
        </w:tc>
        <w:tc>
          <w:tcPr>
            <w:tcW w:w="1674" w:type="dxa"/>
            <w:shd w:val="clear" w:color="auto" w:fill="auto"/>
            <w:noWrap/>
            <w:vAlign w:val="bottom"/>
            <w:hideMark/>
          </w:tcPr>
          <w:p w14:paraId="28852E4C" w14:textId="7BEFFEB6" w:rsidR="007801FE" w:rsidRPr="00071D8E" w:rsidRDefault="007801FE" w:rsidP="00D646FD">
            <w:pPr>
              <w:jc w:val="right"/>
              <w:rPr>
                <w:color w:val="000000"/>
              </w:rPr>
            </w:pPr>
            <w:r w:rsidRPr="00071D8E">
              <w:rPr>
                <w:color w:val="000000"/>
              </w:rPr>
              <w:t>$</w:t>
            </w:r>
            <w:r w:rsidR="00D22D26">
              <w:rPr>
                <w:color w:val="000000"/>
              </w:rPr>
              <w:t>22.59</w:t>
            </w:r>
          </w:p>
        </w:tc>
        <w:tc>
          <w:tcPr>
            <w:tcW w:w="2370" w:type="dxa"/>
            <w:gridSpan w:val="2"/>
            <w:shd w:val="clear" w:color="auto" w:fill="auto"/>
            <w:noWrap/>
            <w:vAlign w:val="bottom"/>
            <w:hideMark/>
          </w:tcPr>
          <w:p w14:paraId="184DF181" w14:textId="410B93D0" w:rsidR="007801FE" w:rsidRPr="00473B1C" w:rsidRDefault="007801FE" w:rsidP="00D646FD">
            <w:pPr>
              <w:jc w:val="right"/>
              <w:rPr>
                <w:color w:val="000000"/>
              </w:rPr>
            </w:pPr>
            <w:r w:rsidRPr="00071D8E">
              <w:rPr>
                <w:color w:val="000000"/>
              </w:rPr>
              <w:t>$</w:t>
            </w:r>
            <w:r w:rsidR="00D22D26">
              <w:rPr>
                <w:color w:val="000000"/>
              </w:rPr>
              <w:t>20.85</w:t>
            </w:r>
          </w:p>
        </w:tc>
      </w:tr>
      <w:tr w:rsidR="007801FE" w:rsidRPr="00473B1C" w14:paraId="6ECF3B29" w14:textId="77777777" w:rsidTr="00D646FD">
        <w:trPr>
          <w:trHeight w:val="303"/>
        </w:trPr>
        <w:tc>
          <w:tcPr>
            <w:tcW w:w="5497" w:type="dxa"/>
            <w:gridSpan w:val="3"/>
            <w:shd w:val="clear" w:color="auto" w:fill="auto"/>
            <w:noWrap/>
            <w:vAlign w:val="bottom"/>
            <w:hideMark/>
          </w:tcPr>
          <w:p w14:paraId="266AD803" w14:textId="77777777" w:rsidR="007801FE" w:rsidRPr="00473B1C" w:rsidRDefault="007801FE" w:rsidP="00D646FD">
            <w:pPr>
              <w:rPr>
                <w:color w:val="000000"/>
                <w:sz w:val="22"/>
              </w:rPr>
            </w:pPr>
            <w:r w:rsidRPr="00473B1C">
              <w:rPr>
                <w:color w:val="000000"/>
                <w:sz w:val="22"/>
              </w:rPr>
              <w:t> </w:t>
            </w:r>
          </w:p>
        </w:tc>
        <w:tc>
          <w:tcPr>
            <w:tcW w:w="1674" w:type="dxa"/>
            <w:shd w:val="clear" w:color="auto" w:fill="auto"/>
            <w:noWrap/>
            <w:vAlign w:val="bottom"/>
            <w:hideMark/>
          </w:tcPr>
          <w:p w14:paraId="6BEDAF93" w14:textId="77777777" w:rsidR="007801FE" w:rsidRPr="00473B1C" w:rsidRDefault="007801FE" w:rsidP="00D646FD">
            <w:pPr>
              <w:jc w:val="right"/>
              <w:rPr>
                <w:color w:val="000000"/>
                <w:sz w:val="22"/>
              </w:rPr>
            </w:pPr>
          </w:p>
        </w:tc>
        <w:tc>
          <w:tcPr>
            <w:tcW w:w="2370" w:type="dxa"/>
            <w:gridSpan w:val="2"/>
            <w:shd w:val="clear" w:color="auto" w:fill="auto"/>
            <w:noWrap/>
            <w:vAlign w:val="bottom"/>
            <w:hideMark/>
          </w:tcPr>
          <w:p w14:paraId="1875807F" w14:textId="77777777" w:rsidR="007801FE" w:rsidRPr="00473B1C" w:rsidRDefault="007801FE" w:rsidP="00D646FD">
            <w:pPr>
              <w:jc w:val="right"/>
              <w:rPr>
                <w:color w:val="000000"/>
              </w:rPr>
            </w:pPr>
            <w:r w:rsidRPr="00473B1C">
              <w:rPr>
                <w:color w:val="000000"/>
              </w:rPr>
              <w:t> </w:t>
            </w:r>
          </w:p>
        </w:tc>
      </w:tr>
      <w:tr w:rsidR="007801FE" w:rsidRPr="00473B1C" w14:paraId="4ADB18A9" w14:textId="77777777" w:rsidTr="00D646FD">
        <w:trPr>
          <w:trHeight w:val="303"/>
        </w:trPr>
        <w:tc>
          <w:tcPr>
            <w:tcW w:w="5497" w:type="dxa"/>
            <w:gridSpan w:val="3"/>
            <w:shd w:val="clear" w:color="auto" w:fill="auto"/>
            <w:noWrap/>
            <w:vAlign w:val="bottom"/>
          </w:tcPr>
          <w:p w14:paraId="1F1D887C" w14:textId="77777777" w:rsidR="007801FE" w:rsidRPr="00473B1C" w:rsidRDefault="007801FE" w:rsidP="00D646FD">
            <w:pPr>
              <w:rPr>
                <w:color w:val="000000"/>
                <w:sz w:val="22"/>
              </w:rPr>
            </w:pPr>
          </w:p>
        </w:tc>
        <w:tc>
          <w:tcPr>
            <w:tcW w:w="1674" w:type="dxa"/>
            <w:shd w:val="clear" w:color="auto" w:fill="auto"/>
            <w:noWrap/>
            <w:vAlign w:val="bottom"/>
          </w:tcPr>
          <w:p w14:paraId="4B09C8CD" w14:textId="77777777" w:rsidR="007801FE" w:rsidRPr="00473B1C" w:rsidRDefault="007801FE" w:rsidP="00D646FD">
            <w:pPr>
              <w:jc w:val="right"/>
              <w:rPr>
                <w:color w:val="000000"/>
                <w:sz w:val="22"/>
              </w:rPr>
            </w:pPr>
          </w:p>
        </w:tc>
        <w:tc>
          <w:tcPr>
            <w:tcW w:w="2370" w:type="dxa"/>
            <w:gridSpan w:val="2"/>
            <w:shd w:val="clear" w:color="auto" w:fill="auto"/>
            <w:noWrap/>
            <w:vAlign w:val="bottom"/>
          </w:tcPr>
          <w:p w14:paraId="51692C73" w14:textId="77777777" w:rsidR="007801FE" w:rsidRPr="00473B1C" w:rsidRDefault="007801FE" w:rsidP="00D646FD">
            <w:pPr>
              <w:jc w:val="right"/>
              <w:rPr>
                <w:color w:val="000000"/>
              </w:rPr>
            </w:pPr>
          </w:p>
        </w:tc>
      </w:tr>
      <w:tr w:rsidR="007801FE" w:rsidRPr="00473B1C" w14:paraId="157776C0" w14:textId="77777777" w:rsidTr="00D646FD">
        <w:trPr>
          <w:trHeight w:val="303"/>
        </w:trPr>
        <w:tc>
          <w:tcPr>
            <w:tcW w:w="7171" w:type="dxa"/>
            <w:gridSpan w:val="4"/>
            <w:shd w:val="clear" w:color="auto" w:fill="auto"/>
            <w:noWrap/>
            <w:vAlign w:val="bottom"/>
            <w:hideMark/>
          </w:tcPr>
          <w:p w14:paraId="524DDFEA" w14:textId="77777777" w:rsidR="007801FE" w:rsidRPr="00071D8E" w:rsidRDefault="007801FE" w:rsidP="00D646FD">
            <w:pPr>
              <w:rPr>
                <w:b/>
                <w:bCs/>
                <w:color w:val="000000"/>
                <w:u w:val="single"/>
              </w:rPr>
            </w:pPr>
            <w:r w:rsidRPr="00071D8E">
              <w:rPr>
                <w:b/>
                <w:bCs/>
                <w:color w:val="000000"/>
                <w:u w:val="single"/>
              </w:rPr>
              <w:t>Typical Residential 5/8" x 3/4" Meter Bill Comparison</w:t>
            </w:r>
          </w:p>
        </w:tc>
        <w:tc>
          <w:tcPr>
            <w:tcW w:w="2370" w:type="dxa"/>
            <w:gridSpan w:val="2"/>
            <w:shd w:val="clear" w:color="auto" w:fill="auto"/>
            <w:noWrap/>
            <w:vAlign w:val="bottom"/>
            <w:hideMark/>
          </w:tcPr>
          <w:p w14:paraId="1093E9A7" w14:textId="77777777" w:rsidR="007801FE" w:rsidRPr="00473B1C" w:rsidRDefault="007801FE" w:rsidP="00D646FD">
            <w:pPr>
              <w:jc w:val="right"/>
              <w:rPr>
                <w:color w:val="000000"/>
                <w:sz w:val="22"/>
              </w:rPr>
            </w:pPr>
            <w:r w:rsidRPr="00473B1C">
              <w:rPr>
                <w:color w:val="000000"/>
                <w:sz w:val="22"/>
              </w:rPr>
              <w:t> </w:t>
            </w:r>
          </w:p>
        </w:tc>
      </w:tr>
      <w:tr w:rsidR="007801FE" w:rsidRPr="00473B1C" w14:paraId="4519E023" w14:textId="77777777" w:rsidTr="00D646FD">
        <w:trPr>
          <w:trHeight w:val="303"/>
        </w:trPr>
        <w:tc>
          <w:tcPr>
            <w:tcW w:w="5497" w:type="dxa"/>
            <w:gridSpan w:val="3"/>
            <w:shd w:val="clear" w:color="auto" w:fill="auto"/>
            <w:noWrap/>
            <w:vAlign w:val="bottom"/>
            <w:hideMark/>
          </w:tcPr>
          <w:p w14:paraId="23135761" w14:textId="77777777" w:rsidR="007801FE" w:rsidRPr="00071D8E" w:rsidRDefault="007801FE" w:rsidP="00D646FD">
            <w:pPr>
              <w:rPr>
                <w:color w:val="000000"/>
              </w:rPr>
            </w:pPr>
            <w:r w:rsidRPr="00071D8E">
              <w:rPr>
                <w:color w:val="000000"/>
              </w:rPr>
              <w:t>3,000 Gallons</w:t>
            </w:r>
          </w:p>
        </w:tc>
        <w:tc>
          <w:tcPr>
            <w:tcW w:w="1674" w:type="dxa"/>
            <w:shd w:val="clear" w:color="auto" w:fill="auto"/>
            <w:noWrap/>
            <w:vAlign w:val="bottom"/>
            <w:hideMark/>
          </w:tcPr>
          <w:p w14:paraId="380BDD7C" w14:textId="77777777" w:rsidR="007801FE" w:rsidRPr="00071D8E" w:rsidRDefault="007801FE" w:rsidP="00D646FD">
            <w:pPr>
              <w:jc w:val="right"/>
              <w:rPr>
                <w:color w:val="000000"/>
              </w:rPr>
            </w:pPr>
            <w:r w:rsidRPr="00071D8E">
              <w:rPr>
                <w:color w:val="000000"/>
              </w:rPr>
              <w:t>$</w:t>
            </w:r>
            <w:r>
              <w:rPr>
                <w:color w:val="000000"/>
              </w:rPr>
              <w:t>165.75</w:t>
            </w:r>
            <w:r w:rsidRPr="00071D8E">
              <w:rPr>
                <w:color w:val="000000"/>
              </w:rPr>
              <w:t xml:space="preserve"> </w:t>
            </w:r>
          </w:p>
        </w:tc>
        <w:tc>
          <w:tcPr>
            <w:tcW w:w="2370" w:type="dxa"/>
            <w:gridSpan w:val="2"/>
            <w:shd w:val="clear" w:color="auto" w:fill="auto"/>
            <w:noWrap/>
            <w:vAlign w:val="bottom"/>
            <w:hideMark/>
          </w:tcPr>
          <w:p w14:paraId="3A3CAF32" w14:textId="74326A9A" w:rsidR="007801FE" w:rsidRPr="00473B1C" w:rsidRDefault="007801FE" w:rsidP="00D646FD">
            <w:pPr>
              <w:jc w:val="right"/>
              <w:rPr>
                <w:color w:val="000000"/>
              </w:rPr>
            </w:pPr>
            <w:r w:rsidRPr="00071D8E">
              <w:rPr>
                <w:color w:val="000000"/>
              </w:rPr>
              <w:t>$</w:t>
            </w:r>
            <w:r w:rsidR="00D22D26">
              <w:rPr>
                <w:color w:val="000000"/>
              </w:rPr>
              <w:t>163.13</w:t>
            </w:r>
            <w:r w:rsidRPr="00071D8E">
              <w:rPr>
                <w:color w:val="000000"/>
              </w:rPr>
              <w:t xml:space="preserve"> </w:t>
            </w:r>
          </w:p>
        </w:tc>
      </w:tr>
      <w:tr w:rsidR="007801FE" w:rsidRPr="00473B1C" w14:paraId="2F909503" w14:textId="77777777" w:rsidTr="00D646FD">
        <w:trPr>
          <w:trHeight w:val="303"/>
        </w:trPr>
        <w:tc>
          <w:tcPr>
            <w:tcW w:w="5497" w:type="dxa"/>
            <w:gridSpan w:val="3"/>
            <w:shd w:val="clear" w:color="auto" w:fill="auto"/>
            <w:noWrap/>
            <w:vAlign w:val="bottom"/>
            <w:hideMark/>
          </w:tcPr>
          <w:p w14:paraId="0CB889CA" w14:textId="77777777" w:rsidR="007801FE" w:rsidRPr="00071D8E" w:rsidRDefault="007801FE" w:rsidP="00D646FD">
            <w:pPr>
              <w:rPr>
                <w:color w:val="000000"/>
              </w:rPr>
            </w:pPr>
            <w:r w:rsidRPr="00071D8E">
              <w:rPr>
                <w:color w:val="000000"/>
              </w:rPr>
              <w:t>6,000 Gallons</w:t>
            </w:r>
          </w:p>
        </w:tc>
        <w:tc>
          <w:tcPr>
            <w:tcW w:w="1674" w:type="dxa"/>
            <w:shd w:val="clear" w:color="auto" w:fill="auto"/>
            <w:noWrap/>
            <w:vAlign w:val="bottom"/>
            <w:hideMark/>
          </w:tcPr>
          <w:p w14:paraId="1E8AD384" w14:textId="77777777" w:rsidR="007801FE" w:rsidRPr="00071D8E" w:rsidRDefault="007801FE" w:rsidP="00D646FD">
            <w:pPr>
              <w:jc w:val="right"/>
              <w:rPr>
                <w:color w:val="000000"/>
              </w:rPr>
            </w:pPr>
            <w:r w:rsidRPr="00071D8E">
              <w:rPr>
                <w:color w:val="000000"/>
              </w:rPr>
              <w:t>$</w:t>
            </w:r>
            <w:r>
              <w:rPr>
                <w:color w:val="000000"/>
              </w:rPr>
              <w:t>222.21</w:t>
            </w:r>
            <w:r w:rsidRPr="00071D8E">
              <w:rPr>
                <w:color w:val="000000"/>
              </w:rPr>
              <w:t xml:space="preserve"> </w:t>
            </w:r>
          </w:p>
        </w:tc>
        <w:tc>
          <w:tcPr>
            <w:tcW w:w="2370" w:type="dxa"/>
            <w:gridSpan w:val="2"/>
            <w:shd w:val="clear" w:color="auto" w:fill="auto"/>
            <w:noWrap/>
            <w:vAlign w:val="bottom"/>
            <w:hideMark/>
          </w:tcPr>
          <w:p w14:paraId="4EE12D38" w14:textId="4D308031" w:rsidR="007801FE" w:rsidRPr="00473B1C" w:rsidRDefault="007801FE" w:rsidP="00D646FD">
            <w:pPr>
              <w:jc w:val="right"/>
              <w:rPr>
                <w:color w:val="000000"/>
              </w:rPr>
            </w:pPr>
            <w:r w:rsidRPr="00071D8E">
              <w:rPr>
                <w:color w:val="000000"/>
              </w:rPr>
              <w:t>$</w:t>
            </w:r>
            <w:r w:rsidR="00D22D26">
              <w:rPr>
                <w:color w:val="000000"/>
              </w:rPr>
              <w:t>215.27</w:t>
            </w:r>
            <w:r w:rsidRPr="00071D8E">
              <w:rPr>
                <w:color w:val="000000"/>
              </w:rPr>
              <w:t xml:space="preserve"> </w:t>
            </w:r>
          </w:p>
        </w:tc>
      </w:tr>
      <w:tr w:rsidR="007801FE" w:rsidRPr="00473B1C" w14:paraId="475B3F5E" w14:textId="77777777" w:rsidTr="00D646FD">
        <w:trPr>
          <w:trHeight w:val="303"/>
        </w:trPr>
        <w:tc>
          <w:tcPr>
            <w:tcW w:w="5497" w:type="dxa"/>
            <w:gridSpan w:val="3"/>
            <w:shd w:val="clear" w:color="auto" w:fill="auto"/>
            <w:noWrap/>
            <w:vAlign w:val="bottom"/>
            <w:hideMark/>
          </w:tcPr>
          <w:p w14:paraId="58B15B7F" w14:textId="77777777" w:rsidR="007801FE" w:rsidRPr="00071D8E" w:rsidRDefault="007801FE" w:rsidP="00D646FD">
            <w:pPr>
              <w:rPr>
                <w:color w:val="000000"/>
              </w:rPr>
            </w:pPr>
            <w:r w:rsidRPr="00071D8E">
              <w:rPr>
                <w:color w:val="000000"/>
              </w:rPr>
              <w:t>10,000 Gallons</w:t>
            </w:r>
          </w:p>
        </w:tc>
        <w:tc>
          <w:tcPr>
            <w:tcW w:w="1674" w:type="dxa"/>
            <w:shd w:val="clear" w:color="auto" w:fill="auto"/>
            <w:noWrap/>
            <w:vAlign w:val="bottom"/>
            <w:hideMark/>
          </w:tcPr>
          <w:p w14:paraId="270FF4F3" w14:textId="77777777" w:rsidR="007801FE" w:rsidRPr="00071D8E" w:rsidRDefault="007801FE" w:rsidP="00D646FD">
            <w:pPr>
              <w:jc w:val="right"/>
              <w:rPr>
                <w:color w:val="000000"/>
              </w:rPr>
            </w:pPr>
            <w:r w:rsidRPr="00071D8E">
              <w:rPr>
                <w:color w:val="000000"/>
              </w:rPr>
              <w:t>$</w:t>
            </w:r>
            <w:r>
              <w:rPr>
                <w:color w:val="000000"/>
              </w:rPr>
              <w:t>297.49</w:t>
            </w:r>
            <w:r w:rsidRPr="00071D8E">
              <w:rPr>
                <w:color w:val="000000"/>
              </w:rPr>
              <w:t xml:space="preserve"> </w:t>
            </w:r>
          </w:p>
        </w:tc>
        <w:tc>
          <w:tcPr>
            <w:tcW w:w="2370" w:type="dxa"/>
            <w:gridSpan w:val="2"/>
            <w:shd w:val="clear" w:color="auto" w:fill="auto"/>
            <w:noWrap/>
            <w:vAlign w:val="bottom"/>
            <w:hideMark/>
          </w:tcPr>
          <w:p w14:paraId="2A34D1A4" w14:textId="58B2C785" w:rsidR="007801FE" w:rsidRPr="00473B1C" w:rsidRDefault="007801FE" w:rsidP="00D646FD">
            <w:pPr>
              <w:jc w:val="right"/>
              <w:rPr>
                <w:color w:val="000000"/>
              </w:rPr>
            </w:pPr>
            <w:r w:rsidRPr="00071D8E">
              <w:rPr>
                <w:color w:val="000000"/>
              </w:rPr>
              <w:t>$</w:t>
            </w:r>
            <w:r w:rsidR="00D22D26">
              <w:rPr>
                <w:color w:val="000000"/>
              </w:rPr>
              <w:t>284.79</w:t>
            </w:r>
            <w:r w:rsidRPr="00071D8E">
              <w:rPr>
                <w:color w:val="000000"/>
              </w:rPr>
              <w:t xml:space="preserve"> </w:t>
            </w:r>
          </w:p>
        </w:tc>
      </w:tr>
      <w:tr w:rsidR="007801FE" w:rsidRPr="00473B1C" w14:paraId="7D2D7E7D" w14:textId="77777777" w:rsidTr="00D646FD">
        <w:tblPrEx>
          <w:tblLook w:val="01E0" w:firstRow="1" w:lastRow="1" w:firstColumn="1" w:lastColumn="1" w:noHBand="0" w:noVBand="0"/>
        </w:tblPrEx>
        <w:trPr>
          <w:gridAfter w:val="1"/>
          <w:wAfter w:w="18" w:type="dxa"/>
        </w:trPr>
        <w:tc>
          <w:tcPr>
            <w:tcW w:w="9523" w:type="dxa"/>
            <w:gridSpan w:val="5"/>
            <w:hideMark/>
          </w:tcPr>
          <w:p w14:paraId="129ADB3C"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p w14:paraId="59D9375B"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473B1C">
              <w:rPr>
                <w:rFonts w:ascii="Arial" w:hAnsi="Arial" w:cs="Arial"/>
                <w:b/>
              </w:rPr>
              <w:t>Initial Customer Deposits</w:t>
            </w:r>
          </w:p>
        </w:tc>
      </w:tr>
      <w:tr w:rsidR="007801FE" w:rsidRPr="00473B1C" w14:paraId="0ADAE4FE" w14:textId="77777777" w:rsidTr="00D646FD">
        <w:tblPrEx>
          <w:tblLook w:val="01E0" w:firstRow="1" w:lastRow="1" w:firstColumn="1" w:lastColumn="1" w:noHBand="0" w:noVBand="0"/>
        </w:tblPrEx>
        <w:trPr>
          <w:gridAfter w:val="1"/>
          <w:wAfter w:w="18" w:type="dxa"/>
        </w:trPr>
        <w:tc>
          <w:tcPr>
            <w:tcW w:w="9523" w:type="dxa"/>
            <w:gridSpan w:val="5"/>
          </w:tcPr>
          <w:p w14:paraId="555A78D8"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rPr>
            </w:pPr>
          </w:p>
        </w:tc>
      </w:tr>
      <w:tr w:rsidR="007801FE" w:rsidRPr="00473B1C" w14:paraId="45905A09" w14:textId="77777777" w:rsidTr="00D646FD">
        <w:tblPrEx>
          <w:tblLook w:val="01E0" w:firstRow="1" w:lastRow="1" w:firstColumn="1" w:lastColumn="1" w:noHBand="0" w:noVBand="0"/>
        </w:tblPrEx>
        <w:trPr>
          <w:gridAfter w:val="1"/>
          <w:wAfter w:w="18" w:type="dxa"/>
        </w:trPr>
        <w:tc>
          <w:tcPr>
            <w:tcW w:w="4878" w:type="dxa"/>
          </w:tcPr>
          <w:p w14:paraId="0A8F94AE"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57" w:type="dxa"/>
          </w:tcPr>
          <w:p w14:paraId="414797B9"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388" w:type="dxa"/>
            <w:gridSpan w:val="3"/>
          </w:tcPr>
          <w:p w14:paraId="72947D1B"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801FE" w:rsidRPr="00473B1C" w14:paraId="25557E83" w14:textId="77777777" w:rsidTr="00D646FD">
        <w:tblPrEx>
          <w:tblLook w:val="01E0" w:firstRow="1" w:lastRow="1" w:firstColumn="1" w:lastColumn="1" w:noHBand="0" w:noVBand="0"/>
        </w:tblPrEx>
        <w:trPr>
          <w:gridAfter w:val="1"/>
          <w:wAfter w:w="18" w:type="dxa"/>
        </w:trPr>
        <w:tc>
          <w:tcPr>
            <w:tcW w:w="4878" w:type="dxa"/>
            <w:hideMark/>
          </w:tcPr>
          <w:p w14:paraId="4DDAF465"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473B1C">
              <w:rPr>
                <w:rFonts w:ascii="Arial" w:hAnsi="Arial" w:cs="Arial"/>
                <w:b/>
              </w:rPr>
              <w:t>Residential Service and General Service</w:t>
            </w:r>
          </w:p>
        </w:tc>
        <w:tc>
          <w:tcPr>
            <w:tcW w:w="257" w:type="dxa"/>
          </w:tcPr>
          <w:p w14:paraId="63DE9A76"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388" w:type="dxa"/>
            <w:gridSpan w:val="3"/>
          </w:tcPr>
          <w:p w14:paraId="6DD87D8D"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801FE" w:rsidRPr="00473B1C" w14:paraId="24166905" w14:textId="77777777" w:rsidTr="00D646FD">
        <w:tblPrEx>
          <w:tblLook w:val="01E0" w:firstRow="1" w:lastRow="1" w:firstColumn="1" w:lastColumn="1" w:noHBand="0" w:noVBand="0"/>
        </w:tblPrEx>
        <w:trPr>
          <w:gridAfter w:val="1"/>
          <w:wAfter w:w="18" w:type="dxa"/>
        </w:trPr>
        <w:tc>
          <w:tcPr>
            <w:tcW w:w="4878" w:type="dxa"/>
            <w:hideMark/>
          </w:tcPr>
          <w:p w14:paraId="5BE33DD5"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473B1C">
              <w:t>5/8” x 3/4”</w:t>
            </w:r>
          </w:p>
        </w:tc>
        <w:tc>
          <w:tcPr>
            <w:tcW w:w="257" w:type="dxa"/>
          </w:tcPr>
          <w:p w14:paraId="37C7F0D7"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388" w:type="dxa"/>
            <w:gridSpan w:val="3"/>
            <w:hideMark/>
          </w:tcPr>
          <w:p w14:paraId="0C6F477E" w14:textId="6CF4E2B6"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w:t>
            </w:r>
            <w:r w:rsidR="00D22D26">
              <w:t>318</w:t>
            </w:r>
            <w:r w:rsidR="00D22D26" w:rsidRPr="00473B1C">
              <w:t>.00</w:t>
            </w:r>
          </w:p>
        </w:tc>
      </w:tr>
      <w:tr w:rsidR="007801FE" w:rsidRPr="00473B1C" w14:paraId="46D5111F" w14:textId="77777777" w:rsidTr="00D646FD">
        <w:tblPrEx>
          <w:tblLook w:val="01E0" w:firstRow="1" w:lastRow="1" w:firstColumn="1" w:lastColumn="1" w:noHBand="0" w:noVBand="0"/>
        </w:tblPrEx>
        <w:trPr>
          <w:gridAfter w:val="1"/>
          <w:wAfter w:w="18" w:type="dxa"/>
        </w:trPr>
        <w:tc>
          <w:tcPr>
            <w:tcW w:w="4878" w:type="dxa"/>
          </w:tcPr>
          <w:p w14:paraId="0AC799CB"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473B1C">
              <w:t>All over 5/8” x 3/4”</w:t>
            </w:r>
          </w:p>
        </w:tc>
        <w:tc>
          <w:tcPr>
            <w:tcW w:w="257" w:type="dxa"/>
          </w:tcPr>
          <w:p w14:paraId="2663C455"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388" w:type="dxa"/>
            <w:gridSpan w:val="3"/>
          </w:tcPr>
          <w:p w14:paraId="5C6FC493"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73B1C">
              <w:t>2x Average Estimated Bill</w:t>
            </w:r>
          </w:p>
        </w:tc>
      </w:tr>
    </w:tbl>
    <w:p w14:paraId="76FEA44E" w14:textId="3C876D3A" w:rsidR="007801FE" w:rsidRDefault="00DE43FD" w:rsidP="009054ED">
      <w:pPr>
        <w:pStyle w:val="BodyText"/>
      </w:pPr>
      <w:r>
        <w:t>*Utility requested rates as shown in witness Swain’s rebuttal testimony.</w:t>
      </w:r>
    </w:p>
    <w:p w14:paraId="21F24092" w14:textId="77777777" w:rsidR="007801FE" w:rsidRDefault="007801FE" w:rsidP="009054ED">
      <w:pPr>
        <w:pStyle w:val="BodyText"/>
      </w:pPr>
    </w:p>
    <w:p w14:paraId="65A3DACF" w14:textId="77777777" w:rsidR="007801FE" w:rsidRDefault="007801FE" w:rsidP="009054ED">
      <w:pPr>
        <w:pStyle w:val="BodyText"/>
        <w:sectPr w:rsidR="007801FE">
          <w:headerReference w:type="default" r:id="rId20"/>
          <w:pgSz w:w="12240" w:h="15840"/>
          <w:pgMar w:top="1440" w:right="1440" w:bottom="1440" w:left="1440" w:header="720" w:footer="720" w:gutter="0"/>
          <w:cols w:space="720"/>
          <w:docGrid w:linePitch="360"/>
        </w:sectPr>
      </w:pPr>
    </w:p>
    <w:p w14:paraId="5A0E12C3" w14:textId="77777777" w:rsidR="00E06484" w:rsidRDefault="00E06484" w:rsidP="009054ED">
      <w:pPr>
        <w:pStyle w:val="BodyText"/>
      </w:pPr>
    </w:p>
    <w:tbl>
      <w:tblPr>
        <w:tblW w:w="9896" w:type="dxa"/>
        <w:jc w:val="center"/>
        <w:tblLook w:val="01E0" w:firstRow="1" w:lastRow="1" w:firstColumn="1" w:lastColumn="1" w:noHBand="0" w:noVBand="0"/>
      </w:tblPr>
      <w:tblGrid>
        <w:gridCol w:w="180"/>
        <w:gridCol w:w="2970"/>
        <w:gridCol w:w="1440"/>
        <w:gridCol w:w="1879"/>
        <w:gridCol w:w="3179"/>
        <w:gridCol w:w="248"/>
      </w:tblGrid>
      <w:tr w:rsidR="007801FE" w:rsidRPr="00473B1C" w14:paraId="0287EAF3" w14:textId="77777777" w:rsidTr="00D646FD">
        <w:trPr>
          <w:gridBefore w:val="1"/>
          <w:wBefore w:w="180" w:type="dxa"/>
          <w:jc w:val="center"/>
        </w:trPr>
        <w:tc>
          <w:tcPr>
            <w:tcW w:w="9716" w:type="dxa"/>
            <w:gridSpan w:val="5"/>
            <w:hideMark/>
          </w:tcPr>
          <w:p w14:paraId="68F29B54" w14:textId="77777777" w:rsidR="007801FE" w:rsidRPr="00690DF0" w:rsidRDefault="007801FE" w:rsidP="00D646FD">
            <w:pPr>
              <w:rPr>
                <w:rFonts w:ascii="Arial" w:hAnsi="Arial" w:cs="Arial"/>
                <w:b/>
              </w:rPr>
            </w:pPr>
            <w:r w:rsidRPr="00690DF0">
              <w:rPr>
                <w:rFonts w:ascii="Arial" w:hAnsi="Arial" w:cs="Arial"/>
                <w:b/>
              </w:rPr>
              <w:t>Environmental Utilities, LLC</w:t>
            </w:r>
            <w:r>
              <w:rPr>
                <w:rFonts w:ascii="Arial" w:hAnsi="Arial" w:cs="Arial"/>
                <w:b/>
              </w:rPr>
              <w:t xml:space="preserve">                                                                  Schedule No. 5</w:t>
            </w:r>
          </w:p>
          <w:p w14:paraId="3E3DD336" w14:textId="77777777" w:rsidR="007801FE" w:rsidRPr="00690DF0" w:rsidRDefault="007801FE" w:rsidP="00D646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left="3675" w:hanging="3675"/>
              <w:rPr>
                <w:rFonts w:ascii="Arial" w:hAnsi="Arial" w:cs="Arial"/>
                <w:b/>
              </w:rPr>
            </w:pPr>
            <w:r>
              <w:rPr>
                <w:rFonts w:ascii="Arial" w:hAnsi="Arial" w:cs="Arial"/>
                <w:b/>
              </w:rPr>
              <w:t xml:space="preserve">                                                                                                               DN 20240032-SU</w:t>
            </w:r>
          </w:p>
          <w:p w14:paraId="64DC9575" w14:textId="77777777" w:rsidR="007801FE"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u w:val="single"/>
              </w:rPr>
            </w:pPr>
            <w:r w:rsidRPr="00A30BB4">
              <w:rPr>
                <w:rFonts w:ascii="Arial" w:hAnsi="Arial" w:cs="Arial"/>
                <w:b/>
                <w:u w:val="single"/>
              </w:rPr>
              <w:t>Service Availability Charges</w:t>
            </w:r>
          </w:p>
          <w:p w14:paraId="7D5E9758" w14:textId="77777777" w:rsidR="007801FE" w:rsidRPr="00690DF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0"/>
              <w:gridCol w:w="2845"/>
              <w:gridCol w:w="2985"/>
            </w:tblGrid>
            <w:tr w:rsidR="007801FE" w14:paraId="305CFAF5" w14:textId="77777777" w:rsidTr="00D646FD">
              <w:tc>
                <w:tcPr>
                  <w:tcW w:w="3670" w:type="dxa"/>
                </w:tcPr>
                <w:p w14:paraId="30E1161D" w14:textId="77777777" w:rsidR="007801FE"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845" w:type="dxa"/>
                </w:tcPr>
                <w:p w14:paraId="461A15D9"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b/>
                    </w:rPr>
                  </w:pPr>
                  <w:r>
                    <w:rPr>
                      <w:rFonts w:ascii="Arial" w:hAnsi="Arial" w:cs="Arial"/>
                      <w:b/>
                    </w:rPr>
                    <w:t>Utility</w:t>
                  </w:r>
                </w:p>
              </w:tc>
              <w:tc>
                <w:tcPr>
                  <w:tcW w:w="2985" w:type="dxa"/>
                </w:tcPr>
                <w:p w14:paraId="71C51253"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b/>
                    </w:rPr>
                  </w:pPr>
                  <w:r w:rsidRPr="00DB7A50">
                    <w:rPr>
                      <w:rFonts w:ascii="Arial" w:hAnsi="Arial" w:cs="Arial"/>
                      <w:b/>
                    </w:rPr>
                    <w:t>Staff</w:t>
                  </w:r>
                </w:p>
              </w:tc>
            </w:tr>
            <w:tr w:rsidR="007801FE" w14:paraId="3E301AF6" w14:textId="77777777" w:rsidTr="00D646FD">
              <w:tc>
                <w:tcPr>
                  <w:tcW w:w="3670" w:type="dxa"/>
                </w:tcPr>
                <w:p w14:paraId="7A1445C4" w14:textId="77777777" w:rsidR="007801FE"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845" w:type="dxa"/>
                </w:tcPr>
                <w:p w14:paraId="76C57C51"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b/>
                    </w:rPr>
                  </w:pPr>
                  <w:r w:rsidRPr="00DB7A50">
                    <w:rPr>
                      <w:rFonts w:ascii="Arial" w:hAnsi="Arial" w:cs="Arial"/>
                      <w:b/>
                    </w:rPr>
                    <w:t>Requested</w:t>
                  </w:r>
                </w:p>
              </w:tc>
              <w:tc>
                <w:tcPr>
                  <w:tcW w:w="2985" w:type="dxa"/>
                </w:tcPr>
                <w:p w14:paraId="113F230B"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b/>
                    </w:rPr>
                  </w:pPr>
                  <w:r w:rsidRPr="00DB7A50">
                    <w:rPr>
                      <w:rFonts w:ascii="Arial" w:hAnsi="Arial" w:cs="Arial"/>
                      <w:b/>
                    </w:rPr>
                    <w:t xml:space="preserve">Recommended </w:t>
                  </w:r>
                </w:p>
              </w:tc>
            </w:tr>
            <w:tr w:rsidR="007801FE" w14:paraId="7FC83824" w14:textId="77777777" w:rsidTr="00D646FD">
              <w:tc>
                <w:tcPr>
                  <w:tcW w:w="3670" w:type="dxa"/>
                </w:tcPr>
                <w:p w14:paraId="56873186" w14:textId="77777777" w:rsidR="007801FE"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845" w:type="dxa"/>
                </w:tcPr>
                <w:p w14:paraId="1B83B993"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b/>
                    </w:rPr>
                  </w:pPr>
                  <w:r w:rsidRPr="00DB7A50">
                    <w:rPr>
                      <w:rFonts w:ascii="Arial" w:hAnsi="Arial" w:cs="Arial"/>
                      <w:b/>
                    </w:rPr>
                    <w:t>Rates</w:t>
                  </w:r>
                </w:p>
              </w:tc>
              <w:tc>
                <w:tcPr>
                  <w:tcW w:w="2985" w:type="dxa"/>
                </w:tcPr>
                <w:p w14:paraId="2772F25A"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b/>
                    </w:rPr>
                  </w:pPr>
                  <w:r w:rsidRPr="00DB7A50">
                    <w:rPr>
                      <w:rFonts w:ascii="Arial" w:hAnsi="Arial" w:cs="Arial"/>
                      <w:b/>
                    </w:rPr>
                    <w:t>Rates</w:t>
                  </w:r>
                </w:p>
              </w:tc>
            </w:tr>
            <w:tr w:rsidR="007801FE" w14:paraId="2896B800" w14:textId="77777777" w:rsidTr="00D646FD">
              <w:tc>
                <w:tcPr>
                  <w:tcW w:w="3670" w:type="dxa"/>
                </w:tcPr>
                <w:p w14:paraId="3F1EA7ED"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p>
              </w:tc>
              <w:tc>
                <w:tcPr>
                  <w:tcW w:w="2845" w:type="dxa"/>
                </w:tcPr>
                <w:p w14:paraId="161D09D7"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985" w:type="dxa"/>
                </w:tcPr>
                <w:p w14:paraId="730F2F4E"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801FE" w14:paraId="18E139BE" w14:textId="77777777" w:rsidTr="00D646FD">
              <w:tc>
                <w:tcPr>
                  <w:tcW w:w="3670" w:type="dxa"/>
                </w:tcPr>
                <w:p w14:paraId="391DAACC"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both"/>
                  </w:pPr>
                  <w:r w:rsidRPr="00DB7A50">
                    <w:t>Main Capacity Charge</w:t>
                  </w:r>
                </w:p>
              </w:tc>
              <w:tc>
                <w:tcPr>
                  <w:tcW w:w="2845" w:type="dxa"/>
                </w:tcPr>
                <w:p w14:paraId="422E22EF"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p>
              </w:tc>
              <w:tc>
                <w:tcPr>
                  <w:tcW w:w="2985" w:type="dxa"/>
                </w:tcPr>
                <w:p w14:paraId="7EFF07F5"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p>
              </w:tc>
            </w:tr>
            <w:tr w:rsidR="007801FE" w14:paraId="04983EC1" w14:textId="77777777" w:rsidTr="00D646FD">
              <w:tc>
                <w:tcPr>
                  <w:tcW w:w="3670" w:type="dxa"/>
                </w:tcPr>
                <w:p w14:paraId="1370EBB1"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both"/>
                  </w:pPr>
                </w:p>
              </w:tc>
              <w:tc>
                <w:tcPr>
                  <w:tcW w:w="2845" w:type="dxa"/>
                </w:tcPr>
                <w:p w14:paraId="6E0EAB95"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p>
              </w:tc>
              <w:tc>
                <w:tcPr>
                  <w:tcW w:w="2985" w:type="dxa"/>
                </w:tcPr>
                <w:p w14:paraId="43D95B81"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p>
              </w:tc>
            </w:tr>
            <w:tr w:rsidR="007801FE" w14:paraId="6EBDE1F7" w14:textId="77777777" w:rsidTr="00D646FD">
              <w:tc>
                <w:tcPr>
                  <w:tcW w:w="3670" w:type="dxa"/>
                </w:tcPr>
                <w:p w14:paraId="5FAC3240"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both"/>
                  </w:pPr>
                  <w:r w:rsidRPr="00DB7A50">
                    <w:t>Residential per ERC</w:t>
                  </w:r>
                </w:p>
              </w:tc>
              <w:tc>
                <w:tcPr>
                  <w:tcW w:w="2845" w:type="dxa"/>
                </w:tcPr>
                <w:p w14:paraId="6C10ADAB"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$15,587.00</w:t>
                  </w:r>
                </w:p>
              </w:tc>
              <w:tc>
                <w:tcPr>
                  <w:tcW w:w="2985" w:type="dxa"/>
                </w:tcPr>
                <w:p w14:paraId="56E372F4"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$15,587.00</w:t>
                  </w:r>
                </w:p>
              </w:tc>
            </w:tr>
            <w:tr w:rsidR="007801FE" w14:paraId="44508651" w14:textId="77777777" w:rsidTr="00D646FD">
              <w:tc>
                <w:tcPr>
                  <w:tcW w:w="3670" w:type="dxa"/>
                </w:tcPr>
                <w:p w14:paraId="0592AD15"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both"/>
                  </w:pPr>
                  <w:r w:rsidRPr="00DB7A50">
                    <w:t>All others per gallons</w:t>
                  </w:r>
                </w:p>
              </w:tc>
              <w:tc>
                <w:tcPr>
                  <w:tcW w:w="2845" w:type="dxa"/>
                </w:tcPr>
                <w:p w14:paraId="6706A4EA"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$72.16</w:t>
                  </w:r>
                </w:p>
              </w:tc>
              <w:tc>
                <w:tcPr>
                  <w:tcW w:w="2985" w:type="dxa"/>
                </w:tcPr>
                <w:p w14:paraId="04F19E3F"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$72.16</w:t>
                  </w:r>
                </w:p>
              </w:tc>
            </w:tr>
            <w:tr w:rsidR="007801FE" w14:paraId="19F341B3" w14:textId="77777777" w:rsidTr="00D646FD">
              <w:tc>
                <w:tcPr>
                  <w:tcW w:w="3670" w:type="dxa"/>
                </w:tcPr>
                <w:p w14:paraId="603DAA70"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both"/>
                  </w:pPr>
                </w:p>
              </w:tc>
              <w:tc>
                <w:tcPr>
                  <w:tcW w:w="2845" w:type="dxa"/>
                </w:tcPr>
                <w:p w14:paraId="38C082CC"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985" w:type="dxa"/>
                </w:tcPr>
                <w:p w14:paraId="4C66AC77"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801FE" w14:paraId="132CC7D5" w14:textId="77777777" w:rsidTr="00D646FD">
              <w:tc>
                <w:tcPr>
                  <w:tcW w:w="3670" w:type="dxa"/>
                </w:tcPr>
                <w:p w14:paraId="242C3C28" w14:textId="09AA4F04" w:rsidR="007801FE" w:rsidRPr="00DB7A50" w:rsidRDefault="007801FE" w:rsidP="00611B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both"/>
                  </w:pPr>
                  <w:r w:rsidRPr="00DB7A50">
                    <w:t xml:space="preserve">Sewer Lateral Installation </w:t>
                  </w:r>
                  <w:r w:rsidR="00611BD5">
                    <w:t>Charge</w:t>
                  </w:r>
                </w:p>
              </w:tc>
              <w:tc>
                <w:tcPr>
                  <w:tcW w:w="2845" w:type="dxa"/>
                </w:tcPr>
                <w:p w14:paraId="500C92FC"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$1,414.25</w:t>
                  </w:r>
                </w:p>
              </w:tc>
              <w:tc>
                <w:tcPr>
                  <w:tcW w:w="2985" w:type="dxa"/>
                </w:tcPr>
                <w:p w14:paraId="0D6FC031"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$1,414.25</w:t>
                  </w:r>
                </w:p>
              </w:tc>
            </w:tr>
            <w:tr w:rsidR="007801FE" w14:paraId="512921B0" w14:textId="77777777" w:rsidTr="00D646FD">
              <w:tc>
                <w:tcPr>
                  <w:tcW w:w="3670" w:type="dxa"/>
                </w:tcPr>
                <w:p w14:paraId="37FAFA6A"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p>
              </w:tc>
              <w:tc>
                <w:tcPr>
                  <w:tcW w:w="2845" w:type="dxa"/>
                </w:tcPr>
                <w:p w14:paraId="32658BA7"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985" w:type="dxa"/>
                </w:tcPr>
                <w:p w14:paraId="7CAB42A8" w14:textId="77777777" w:rsidR="007801FE" w:rsidRPr="00DB7A50"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14:paraId="31FE441D"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r>
      <w:tr w:rsidR="007801FE" w:rsidRPr="00473B1C" w14:paraId="30048995" w14:textId="77777777" w:rsidTr="00D646FD">
        <w:trPr>
          <w:gridBefore w:val="1"/>
          <w:wBefore w:w="180" w:type="dxa"/>
          <w:jc w:val="center"/>
        </w:trPr>
        <w:tc>
          <w:tcPr>
            <w:tcW w:w="9716" w:type="dxa"/>
            <w:gridSpan w:val="5"/>
          </w:tcPr>
          <w:p w14:paraId="334D1AA9"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Pr>
                <w:rFonts w:ascii="Arial" w:hAnsi="Arial" w:cs="Arial"/>
                <w:b/>
              </w:rPr>
              <w:t xml:space="preserve"> </w:t>
            </w:r>
          </w:p>
        </w:tc>
      </w:tr>
      <w:tr w:rsidR="007801FE" w:rsidRPr="00473B1C" w14:paraId="72BDCCE0" w14:textId="77777777" w:rsidTr="00D646FD">
        <w:trPr>
          <w:gridBefore w:val="1"/>
          <w:wBefore w:w="180" w:type="dxa"/>
          <w:jc w:val="center"/>
        </w:trPr>
        <w:tc>
          <w:tcPr>
            <w:tcW w:w="9716" w:type="dxa"/>
            <w:gridSpan w:val="5"/>
          </w:tcPr>
          <w:p w14:paraId="391EEED9"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rPr>
            </w:pPr>
            <w:r w:rsidRPr="00473B1C">
              <w:rPr>
                <w:rFonts w:ascii="Arial" w:hAnsi="Arial" w:cs="Arial"/>
                <w:b/>
              </w:rPr>
              <w:t>Utility Requested</w:t>
            </w:r>
          </w:p>
        </w:tc>
      </w:tr>
      <w:tr w:rsidR="007801FE" w:rsidRPr="00473B1C" w14:paraId="4E9C7F71" w14:textId="77777777" w:rsidTr="00D646FD">
        <w:tblPrEx>
          <w:jc w:val="left"/>
        </w:tblPrEx>
        <w:trPr>
          <w:gridAfter w:val="1"/>
          <w:wAfter w:w="248" w:type="dxa"/>
        </w:trPr>
        <w:tc>
          <w:tcPr>
            <w:tcW w:w="9648" w:type="dxa"/>
            <w:gridSpan w:val="5"/>
            <w:hideMark/>
          </w:tcPr>
          <w:p w14:paraId="7669A99A"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473B1C">
              <w:rPr>
                <w:rFonts w:ascii="Arial" w:hAnsi="Arial" w:cs="Arial"/>
                <w:b/>
              </w:rPr>
              <w:t>Miscellaneous Service Charges</w:t>
            </w:r>
          </w:p>
        </w:tc>
      </w:tr>
      <w:tr w:rsidR="007801FE" w:rsidRPr="00473B1C" w14:paraId="3AA47BEC" w14:textId="77777777" w:rsidTr="00D646FD">
        <w:tblPrEx>
          <w:jc w:val="left"/>
        </w:tblPrEx>
        <w:trPr>
          <w:gridAfter w:val="1"/>
          <w:wAfter w:w="248" w:type="dxa"/>
        </w:trPr>
        <w:tc>
          <w:tcPr>
            <w:tcW w:w="4590" w:type="dxa"/>
            <w:gridSpan w:val="3"/>
          </w:tcPr>
          <w:p w14:paraId="64D1EDB0"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879" w:type="dxa"/>
          </w:tcPr>
          <w:p w14:paraId="64985865"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179" w:type="dxa"/>
          </w:tcPr>
          <w:p w14:paraId="43840444"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801FE" w:rsidRPr="00473B1C" w14:paraId="666C1943" w14:textId="77777777" w:rsidTr="00D646FD">
        <w:tblPrEx>
          <w:jc w:val="left"/>
        </w:tblPrEx>
        <w:trPr>
          <w:gridAfter w:val="1"/>
          <w:wAfter w:w="248" w:type="dxa"/>
        </w:trPr>
        <w:tc>
          <w:tcPr>
            <w:tcW w:w="4590" w:type="dxa"/>
            <w:gridSpan w:val="3"/>
          </w:tcPr>
          <w:p w14:paraId="5332D0B2"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879" w:type="dxa"/>
            <w:hideMark/>
          </w:tcPr>
          <w:p w14:paraId="5F7D0CD6"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r w:rsidRPr="00473B1C">
              <w:rPr>
                <w:u w:val="single"/>
              </w:rPr>
              <w:t xml:space="preserve">Normal Hours </w:t>
            </w:r>
          </w:p>
        </w:tc>
        <w:tc>
          <w:tcPr>
            <w:tcW w:w="3179" w:type="dxa"/>
            <w:hideMark/>
          </w:tcPr>
          <w:p w14:paraId="5B625538"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r w:rsidRPr="00473B1C">
              <w:rPr>
                <w:u w:val="single"/>
              </w:rPr>
              <w:t>After Hours</w:t>
            </w:r>
          </w:p>
        </w:tc>
      </w:tr>
      <w:tr w:rsidR="007801FE" w:rsidRPr="00473B1C" w14:paraId="18E336EC" w14:textId="77777777" w:rsidTr="00D646FD">
        <w:tblPrEx>
          <w:jc w:val="left"/>
        </w:tblPrEx>
        <w:trPr>
          <w:gridAfter w:val="1"/>
          <w:wAfter w:w="248" w:type="dxa"/>
        </w:trPr>
        <w:tc>
          <w:tcPr>
            <w:tcW w:w="4590" w:type="dxa"/>
            <w:gridSpan w:val="3"/>
          </w:tcPr>
          <w:p w14:paraId="5C1209F6"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879" w:type="dxa"/>
          </w:tcPr>
          <w:p w14:paraId="3B150E6A"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179" w:type="dxa"/>
          </w:tcPr>
          <w:p w14:paraId="31D6CF80"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801FE" w:rsidRPr="00473B1C" w14:paraId="16061EF5" w14:textId="77777777" w:rsidTr="00D646FD">
        <w:tblPrEx>
          <w:jc w:val="left"/>
        </w:tblPrEx>
        <w:trPr>
          <w:gridAfter w:val="1"/>
          <w:wAfter w:w="248" w:type="dxa"/>
        </w:trPr>
        <w:tc>
          <w:tcPr>
            <w:tcW w:w="4590" w:type="dxa"/>
            <w:gridSpan w:val="3"/>
            <w:hideMark/>
          </w:tcPr>
          <w:p w14:paraId="5FBEB1E8" w14:textId="77777777" w:rsidR="007801FE" w:rsidRPr="00473B1C" w:rsidRDefault="007801FE" w:rsidP="00D646FD">
            <w:pPr>
              <w:tabs>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ind w:firstLine="90"/>
            </w:pPr>
            <w:r w:rsidRPr="00473B1C">
              <w:t>Initial Connection Charge</w:t>
            </w:r>
          </w:p>
        </w:tc>
        <w:tc>
          <w:tcPr>
            <w:tcW w:w="1879" w:type="dxa"/>
            <w:hideMark/>
          </w:tcPr>
          <w:p w14:paraId="31BBF7A2"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73B1C">
              <w:t>$30.00</w:t>
            </w:r>
          </w:p>
        </w:tc>
        <w:tc>
          <w:tcPr>
            <w:tcW w:w="3179" w:type="dxa"/>
            <w:hideMark/>
          </w:tcPr>
          <w:p w14:paraId="1317E057"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73B1C">
              <w:t>N/A</w:t>
            </w:r>
          </w:p>
        </w:tc>
      </w:tr>
      <w:tr w:rsidR="007801FE" w:rsidRPr="00473B1C" w14:paraId="5BDA8811" w14:textId="77777777" w:rsidTr="00D646FD">
        <w:tblPrEx>
          <w:jc w:val="left"/>
        </w:tblPrEx>
        <w:trPr>
          <w:gridAfter w:val="1"/>
          <w:wAfter w:w="248" w:type="dxa"/>
        </w:trPr>
        <w:tc>
          <w:tcPr>
            <w:tcW w:w="4590" w:type="dxa"/>
            <w:gridSpan w:val="3"/>
            <w:hideMark/>
          </w:tcPr>
          <w:p w14:paraId="03DE5D12" w14:textId="77777777" w:rsidR="007801FE" w:rsidRPr="00473B1C" w:rsidRDefault="007801FE" w:rsidP="00D646FD">
            <w:pPr>
              <w:tabs>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ind w:firstLine="90"/>
            </w:pPr>
            <w:r w:rsidRPr="00473B1C">
              <w:t>Normal Reconnection Charge</w:t>
            </w:r>
          </w:p>
        </w:tc>
        <w:tc>
          <w:tcPr>
            <w:tcW w:w="1879" w:type="dxa"/>
            <w:hideMark/>
          </w:tcPr>
          <w:p w14:paraId="04A53AA2"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73B1C">
              <w:t>$30.00</w:t>
            </w:r>
          </w:p>
        </w:tc>
        <w:tc>
          <w:tcPr>
            <w:tcW w:w="3179" w:type="dxa"/>
            <w:hideMark/>
          </w:tcPr>
          <w:p w14:paraId="51C70A14"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73B1C">
              <w:t>N/A</w:t>
            </w:r>
          </w:p>
        </w:tc>
      </w:tr>
      <w:tr w:rsidR="007801FE" w:rsidRPr="00473B1C" w14:paraId="78CC3793" w14:textId="77777777" w:rsidTr="00D646FD">
        <w:tblPrEx>
          <w:jc w:val="left"/>
        </w:tblPrEx>
        <w:trPr>
          <w:gridAfter w:val="1"/>
          <w:wAfter w:w="248" w:type="dxa"/>
        </w:trPr>
        <w:tc>
          <w:tcPr>
            <w:tcW w:w="4590" w:type="dxa"/>
            <w:gridSpan w:val="3"/>
            <w:hideMark/>
          </w:tcPr>
          <w:p w14:paraId="69A2D61B" w14:textId="77777777" w:rsidR="007801FE" w:rsidRPr="00473B1C" w:rsidRDefault="007801FE" w:rsidP="00D646FD">
            <w:pPr>
              <w:tabs>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ind w:firstLine="90"/>
            </w:pPr>
            <w:r w:rsidRPr="00473B1C">
              <w:t>Violation Reconnection Charge</w:t>
            </w:r>
          </w:p>
        </w:tc>
        <w:tc>
          <w:tcPr>
            <w:tcW w:w="1879" w:type="dxa"/>
            <w:hideMark/>
          </w:tcPr>
          <w:p w14:paraId="26FCB329"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73B1C">
              <w:t>Actual Cost</w:t>
            </w:r>
          </w:p>
        </w:tc>
        <w:tc>
          <w:tcPr>
            <w:tcW w:w="3179" w:type="dxa"/>
            <w:hideMark/>
          </w:tcPr>
          <w:p w14:paraId="4771EE35"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73B1C">
              <w:t>Actual Cost</w:t>
            </w:r>
          </w:p>
        </w:tc>
      </w:tr>
      <w:tr w:rsidR="007801FE" w:rsidRPr="00473B1C" w14:paraId="00C1AD53" w14:textId="77777777" w:rsidTr="00D646FD">
        <w:tblPrEx>
          <w:jc w:val="left"/>
        </w:tblPrEx>
        <w:trPr>
          <w:gridAfter w:val="1"/>
          <w:wAfter w:w="248" w:type="dxa"/>
        </w:trPr>
        <w:tc>
          <w:tcPr>
            <w:tcW w:w="4590" w:type="dxa"/>
            <w:gridSpan w:val="3"/>
          </w:tcPr>
          <w:p w14:paraId="4D7CF7D1" w14:textId="77777777" w:rsidR="007801FE" w:rsidRPr="00473B1C" w:rsidRDefault="007801FE" w:rsidP="00D646FD">
            <w:pPr>
              <w:tabs>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ind w:firstLine="90"/>
            </w:pPr>
            <w:r w:rsidRPr="00473B1C">
              <w:t>Premises Visit Charge</w:t>
            </w:r>
          </w:p>
        </w:tc>
        <w:tc>
          <w:tcPr>
            <w:tcW w:w="1879" w:type="dxa"/>
          </w:tcPr>
          <w:p w14:paraId="4E3BD8AE"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73B1C">
              <w:t>$30.00</w:t>
            </w:r>
          </w:p>
        </w:tc>
        <w:tc>
          <w:tcPr>
            <w:tcW w:w="3179" w:type="dxa"/>
          </w:tcPr>
          <w:p w14:paraId="68F45730"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73B1C">
              <w:t>N/A</w:t>
            </w:r>
          </w:p>
        </w:tc>
      </w:tr>
      <w:tr w:rsidR="007801FE" w:rsidRPr="00473B1C" w14:paraId="2D7BF076" w14:textId="77777777" w:rsidTr="00D646FD">
        <w:tblPrEx>
          <w:jc w:val="left"/>
        </w:tblPrEx>
        <w:trPr>
          <w:gridAfter w:val="1"/>
          <w:wAfter w:w="248" w:type="dxa"/>
          <w:trHeight w:val="225"/>
        </w:trPr>
        <w:tc>
          <w:tcPr>
            <w:tcW w:w="4590" w:type="dxa"/>
            <w:gridSpan w:val="3"/>
            <w:hideMark/>
          </w:tcPr>
          <w:p w14:paraId="2122F74F" w14:textId="5208DCAF" w:rsidR="007801FE" w:rsidRPr="00473B1C" w:rsidRDefault="007801FE" w:rsidP="00D646FD">
            <w:pPr>
              <w:tabs>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firstLine="90"/>
            </w:pPr>
            <w:r w:rsidRPr="00473B1C">
              <w:t xml:space="preserve">Late Payment Charge </w:t>
            </w:r>
          </w:p>
        </w:tc>
        <w:tc>
          <w:tcPr>
            <w:tcW w:w="1879" w:type="dxa"/>
            <w:hideMark/>
          </w:tcPr>
          <w:p w14:paraId="55766758"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73B1C">
              <w:t xml:space="preserve">      </w:t>
            </w:r>
          </w:p>
        </w:tc>
        <w:tc>
          <w:tcPr>
            <w:tcW w:w="3179" w:type="dxa"/>
            <w:hideMark/>
          </w:tcPr>
          <w:p w14:paraId="3A67718D"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473B1C">
              <w:t xml:space="preserve">                </w:t>
            </w:r>
            <w:r>
              <w:t xml:space="preserve">                       </w:t>
            </w:r>
            <w:r w:rsidRPr="00473B1C">
              <w:t>$7.50</w:t>
            </w:r>
          </w:p>
        </w:tc>
      </w:tr>
      <w:tr w:rsidR="007801FE" w:rsidRPr="00473B1C" w14:paraId="762F340A" w14:textId="77777777" w:rsidTr="00D646FD">
        <w:tblPrEx>
          <w:jc w:val="left"/>
        </w:tblPrEx>
        <w:trPr>
          <w:gridAfter w:val="1"/>
          <w:wAfter w:w="248" w:type="dxa"/>
          <w:trHeight w:val="315"/>
        </w:trPr>
        <w:tc>
          <w:tcPr>
            <w:tcW w:w="4590" w:type="dxa"/>
            <w:gridSpan w:val="3"/>
            <w:hideMark/>
          </w:tcPr>
          <w:p w14:paraId="06C4A83A" w14:textId="77777777" w:rsidR="007801FE" w:rsidRPr="00473B1C" w:rsidRDefault="007801FE" w:rsidP="00D646FD">
            <w:pPr>
              <w:tabs>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firstLine="90"/>
            </w:pPr>
            <w:r w:rsidRPr="00473B1C">
              <w:t>NSF Check Charge</w:t>
            </w:r>
          </w:p>
        </w:tc>
        <w:tc>
          <w:tcPr>
            <w:tcW w:w="5058" w:type="dxa"/>
            <w:gridSpan w:val="2"/>
            <w:hideMark/>
          </w:tcPr>
          <w:p w14:paraId="417665E1"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473B1C">
              <w:t xml:space="preserve">                            Pursuant to Section 68.065, F.S.</w:t>
            </w:r>
          </w:p>
        </w:tc>
      </w:tr>
      <w:tr w:rsidR="007801FE" w:rsidRPr="00473B1C" w14:paraId="174FFFF2" w14:textId="77777777" w:rsidTr="00D646FD">
        <w:tblPrEx>
          <w:jc w:val="left"/>
        </w:tblPrEx>
        <w:trPr>
          <w:gridAfter w:val="1"/>
          <w:wAfter w:w="248" w:type="dxa"/>
          <w:trHeight w:val="315"/>
        </w:trPr>
        <w:tc>
          <w:tcPr>
            <w:tcW w:w="3150" w:type="dxa"/>
            <w:gridSpan w:val="2"/>
          </w:tcPr>
          <w:p w14:paraId="0BEC5288"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6498" w:type="dxa"/>
            <w:gridSpan w:val="3"/>
          </w:tcPr>
          <w:p w14:paraId="0426D84B"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rPr>
            </w:pPr>
          </w:p>
          <w:p w14:paraId="61446127"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r w:rsidRPr="00473B1C">
              <w:rPr>
                <w:rFonts w:ascii="Arial" w:hAnsi="Arial" w:cs="Arial"/>
                <w:b/>
              </w:rPr>
              <w:t xml:space="preserve">        Staff Recommended</w:t>
            </w:r>
          </w:p>
        </w:tc>
      </w:tr>
      <w:tr w:rsidR="007801FE" w:rsidRPr="00473B1C" w14:paraId="3D7B448A" w14:textId="77777777" w:rsidTr="00D646FD">
        <w:tblPrEx>
          <w:jc w:val="left"/>
        </w:tblPrEx>
        <w:trPr>
          <w:gridAfter w:val="1"/>
          <w:wAfter w:w="248" w:type="dxa"/>
          <w:trHeight w:val="315"/>
        </w:trPr>
        <w:tc>
          <w:tcPr>
            <w:tcW w:w="3150" w:type="dxa"/>
            <w:gridSpan w:val="2"/>
          </w:tcPr>
          <w:p w14:paraId="731A942B"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6498" w:type="dxa"/>
            <w:gridSpan w:val="3"/>
          </w:tcPr>
          <w:p w14:paraId="5DB32ABC"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rPr>
            </w:pPr>
            <w:r w:rsidRPr="00473B1C">
              <w:rPr>
                <w:rFonts w:ascii="Arial" w:hAnsi="Arial" w:cs="Arial"/>
                <w:b/>
              </w:rPr>
              <w:t>Miscellaneous Service Charges</w:t>
            </w:r>
          </w:p>
        </w:tc>
      </w:tr>
      <w:tr w:rsidR="007801FE" w:rsidRPr="00473B1C" w14:paraId="547AF28D" w14:textId="77777777" w:rsidTr="00D646FD">
        <w:tblPrEx>
          <w:jc w:val="left"/>
        </w:tblPrEx>
        <w:trPr>
          <w:gridAfter w:val="1"/>
          <w:wAfter w:w="248" w:type="dxa"/>
          <w:trHeight w:val="315"/>
        </w:trPr>
        <w:tc>
          <w:tcPr>
            <w:tcW w:w="4590" w:type="dxa"/>
            <w:gridSpan w:val="3"/>
          </w:tcPr>
          <w:p w14:paraId="3D013E98"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5058" w:type="dxa"/>
            <w:gridSpan w:val="2"/>
          </w:tcPr>
          <w:p w14:paraId="73CB2C9A"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r>
    </w:tbl>
    <w:p w14:paraId="0BB7E690" w14:textId="77777777" w:rsidR="007801FE" w:rsidRPr="00473B1C" w:rsidRDefault="007801FE" w:rsidP="007801FE">
      <w:pPr>
        <w:rPr>
          <w:vanish/>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
        <w:gridCol w:w="9"/>
        <w:gridCol w:w="4416"/>
        <w:gridCol w:w="102"/>
        <w:gridCol w:w="1047"/>
        <w:gridCol w:w="832"/>
        <w:gridCol w:w="1586"/>
        <w:gridCol w:w="1593"/>
        <w:gridCol w:w="36"/>
        <w:gridCol w:w="18"/>
      </w:tblGrid>
      <w:tr w:rsidR="007801FE" w:rsidRPr="00473B1C" w14:paraId="5D309424" w14:textId="77777777" w:rsidTr="00D646FD">
        <w:trPr>
          <w:gridBefore w:val="2"/>
          <w:gridAfter w:val="1"/>
          <w:wBefore w:w="72" w:type="dxa"/>
          <w:wAfter w:w="18" w:type="dxa"/>
          <w:jc w:val="center"/>
        </w:trPr>
        <w:tc>
          <w:tcPr>
            <w:tcW w:w="4416" w:type="dxa"/>
            <w:tcBorders>
              <w:top w:val="nil"/>
              <w:left w:val="nil"/>
              <w:bottom w:val="nil"/>
              <w:right w:val="nil"/>
            </w:tcBorders>
            <w:shd w:val="clear" w:color="auto" w:fill="auto"/>
          </w:tcPr>
          <w:p w14:paraId="2914E5E6" w14:textId="77777777" w:rsidR="007801FE" w:rsidRPr="00473B1C" w:rsidRDefault="007801FE" w:rsidP="00D646FD">
            <w:pPr>
              <w:rPr>
                <w:rFonts w:eastAsia="Calibri"/>
              </w:rPr>
            </w:pPr>
          </w:p>
        </w:tc>
        <w:tc>
          <w:tcPr>
            <w:tcW w:w="3567" w:type="dxa"/>
            <w:gridSpan w:val="4"/>
            <w:tcBorders>
              <w:top w:val="nil"/>
              <w:left w:val="nil"/>
              <w:bottom w:val="nil"/>
              <w:right w:val="nil"/>
            </w:tcBorders>
            <w:shd w:val="clear" w:color="auto" w:fill="auto"/>
          </w:tcPr>
          <w:p w14:paraId="21C47C40" w14:textId="77777777" w:rsidR="007801FE" w:rsidRPr="00473B1C" w:rsidRDefault="007801FE" w:rsidP="00D646FD">
            <w:pPr>
              <w:jc w:val="center"/>
              <w:rPr>
                <w:rFonts w:eastAsia="Calibri"/>
                <w:u w:val="single"/>
              </w:rPr>
            </w:pPr>
            <w:r w:rsidRPr="00473B1C">
              <w:rPr>
                <w:rFonts w:eastAsia="Calibri"/>
                <w:u w:val="single"/>
              </w:rPr>
              <w:t>Normal Hours</w:t>
            </w:r>
          </w:p>
        </w:tc>
        <w:tc>
          <w:tcPr>
            <w:tcW w:w="1629" w:type="dxa"/>
            <w:gridSpan w:val="2"/>
            <w:tcBorders>
              <w:top w:val="nil"/>
              <w:left w:val="nil"/>
              <w:bottom w:val="nil"/>
              <w:right w:val="nil"/>
            </w:tcBorders>
            <w:shd w:val="clear" w:color="auto" w:fill="auto"/>
          </w:tcPr>
          <w:p w14:paraId="09DF78F9" w14:textId="77777777" w:rsidR="007801FE" w:rsidRPr="00473B1C" w:rsidRDefault="007801FE" w:rsidP="00D646FD">
            <w:pPr>
              <w:jc w:val="center"/>
              <w:rPr>
                <w:rFonts w:eastAsia="Calibri"/>
                <w:u w:val="single"/>
              </w:rPr>
            </w:pPr>
            <w:r w:rsidRPr="00473B1C">
              <w:rPr>
                <w:rFonts w:eastAsia="Calibri"/>
                <w:u w:val="single"/>
              </w:rPr>
              <w:t>After Hours</w:t>
            </w:r>
          </w:p>
        </w:tc>
      </w:tr>
      <w:tr w:rsidR="007801FE" w:rsidRPr="00473B1C" w14:paraId="6FC94771" w14:textId="77777777" w:rsidTr="00D646FD">
        <w:trPr>
          <w:gridBefore w:val="2"/>
          <w:gridAfter w:val="1"/>
          <w:wBefore w:w="72" w:type="dxa"/>
          <w:wAfter w:w="18" w:type="dxa"/>
          <w:jc w:val="center"/>
        </w:trPr>
        <w:tc>
          <w:tcPr>
            <w:tcW w:w="4416" w:type="dxa"/>
            <w:tcBorders>
              <w:top w:val="nil"/>
              <w:left w:val="nil"/>
              <w:bottom w:val="nil"/>
              <w:right w:val="nil"/>
            </w:tcBorders>
            <w:shd w:val="clear" w:color="auto" w:fill="auto"/>
          </w:tcPr>
          <w:p w14:paraId="2BAFFEF3" w14:textId="77777777" w:rsidR="007801FE" w:rsidRPr="00473B1C" w:rsidRDefault="007801FE" w:rsidP="00D646FD">
            <w:pPr>
              <w:ind w:left="180"/>
              <w:rPr>
                <w:rFonts w:eastAsia="Calibri"/>
              </w:rPr>
            </w:pPr>
            <w:r w:rsidRPr="00473B1C">
              <w:rPr>
                <w:rFonts w:eastAsia="Calibri"/>
              </w:rPr>
              <w:t>Premises Visit Charge</w:t>
            </w:r>
          </w:p>
        </w:tc>
        <w:tc>
          <w:tcPr>
            <w:tcW w:w="3567" w:type="dxa"/>
            <w:gridSpan w:val="4"/>
            <w:tcBorders>
              <w:top w:val="nil"/>
              <w:left w:val="nil"/>
              <w:bottom w:val="nil"/>
              <w:right w:val="nil"/>
            </w:tcBorders>
            <w:shd w:val="clear" w:color="auto" w:fill="auto"/>
          </w:tcPr>
          <w:p w14:paraId="19D469E6" w14:textId="77777777" w:rsidR="007801FE" w:rsidRPr="00473B1C" w:rsidRDefault="007801FE" w:rsidP="00D646FD">
            <w:pPr>
              <w:jc w:val="center"/>
              <w:rPr>
                <w:rFonts w:eastAsia="Calibri"/>
              </w:rPr>
            </w:pPr>
            <w:r w:rsidRPr="00473B1C">
              <w:rPr>
                <w:rFonts w:eastAsia="Calibri"/>
              </w:rPr>
              <w:t>$30.00</w:t>
            </w:r>
          </w:p>
        </w:tc>
        <w:tc>
          <w:tcPr>
            <w:tcW w:w="1629" w:type="dxa"/>
            <w:gridSpan w:val="2"/>
            <w:tcBorders>
              <w:top w:val="nil"/>
              <w:left w:val="nil"/>
              <w:bottom w:val="nil"/>
              <w:right w:val="nil"/>
            </w:tcBorders>
            <w:shd w:val="clear" w:color="auto" w:fill="auto"/>
          </w:tcPr>
          <w:p w14:paraId="04EF6A2F" w14:textId="77777777" w:rsidR="007801FE" w:rsidRPr="00473B1C" w:rsidRDefault="007801FE" w:rsidP="00D646FD">
            <w:pPr>
              <w:jc w:val="center"/>
              <w:rPr>
                <w:rFonts w:eastAsia="Calibri"/>
              </w:rPr>
            </w:pPr>
            <w:r w:rsidRPr="00473B1C">
              <w:rPr>
                <w:rFonts w:eastAsia="Calibri"/>
              </w:rPr>
              <w:t>N/A</w:t>
            </w:r>
          </w:p>
        </w:tc>
      </w:tr>
      <w:tr w:rsidR="007801FE" w:rsidRPr="00473B1C" w14:paraId="2B14F68B" w14:textId="77777777" w:rsidTr="00D646FD">
        <w:trPr>
          <w:gridBefore w:val="2"/>
          <w:gridAfter w:val="1"/>
          <w:wBefore w:w="72" w:type="dxa"/>
          <w:wAfter w:w="18" w:type="dxa"/>
          <w:jc w:val="center"/>
        </w:trPr>
        <w:tc>
          <w:tcPr>
            <w:tcW w:w="4416" w:type="dxa"/>
            <w:tcBorders>
              <w:top w:val="nil"/>
              <w:left w:val="nil"/>
              <w:bottom w:val="nil"/>
              <w:right w:val="nil"/>
            </w:tcBorders>
            <w:shd w:val="clear" w:color="auto" w:fill="auto"/>
          </w:tcPr>
          <w:p w14:paraId="17C6A700"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ind w:left="180"/>
              <w:rPr>
                <w:rFonts w:eastAsia="Calibri"/>
              </w:rPr>
            </w:pPr>
            <w:r w:rsidRPr="00473B1C">
              <w:rPr>
                <w:rFonts w:eastAsia="Calibri"/>
              </w:rPr>
              <w:t>Violation Reconnection Charge</w:t>
            </w:r>
            <w:r w:rsidRPr="00473B1C">
              <w:rPr>
                <w:rFonts w:eastAsia="Calibri"/>
                <w:sz w:val="22"/>
              </w:rPr>
              <w:t xml:space="preserve"> </w:t>
            </w:r>
          </w:p>
        </w:tc>
        <w:tc>
          <w:tcPr>
            <w:tcW w:w="3567" w:type="dxa"/>
            <w:gridSpan w:val="4"/>
            <w:tcBorders>
              <w:top w:val="nil"/>
              <w:left w:val="nil"/>
              <w:bottom w:val="nil"/>
              <w:right w:val="nil"/>
            </w:tcBorders>
            <w:shd w:val="clear" w:color="auto" w:fill="auto"/>
          </w:tcPr>
          <w:p w14:paraId="3B0162AC" w14:textId="77777777" w:rsidR="007801FE" w:rsidRPr="00473B1C" w:rsidRDefault="007801FE" w:rsidP="00D646FD">
            <w:pPr>
              <w:rPr>
                <w:rFonts w:eastAsia="Calibri"/>
              </w:rPr>
            </w:pPr>
            <w:r w:rsidRPr="00473B1C">
              <w:rPr>
                <w:rFonts w:eastAsia="Calibri"/>
              </w:rPr>
              <w:t xml:space="preserve">                 Actual Cost</w:t>
            </w:r>
          </w:p>
        </w:tc>
        <w:tc>
          <w:tcPr>
            <w:tcW w:w="1629" w:type="dxa"/>
            <w:gridSpan w:val="2"/>
            <w:tcBorders>
              <w:top w:val="nil"/>
              <w:left w:val="nil"/>
              <w:bottom w:val="nil"/>
              <w:right w:val="nil"/>
            </w:tcBorders>
            <w:shd w:val="clear" w:color="auto" w:fill="auto"/>
          </w:tcPr>
          <w:p w14:paraId="3F3338C0" w14:textId="77777777" w:rsidR="007801FE" w:rsidRPr="00473B1C" w:rsidRDefault="007801FE" w:rsidP="00D646FD">
            <w:pPr>
              <w:rPr>
                <w:rFonts w:eastAsia="Calibri"/>
              </w:rPr>
            </w:pPr>
            <w:r w:rsidRPr="00473B1C">
              <w:rPr>
                <w:rFonts w:eastAsia="Calibri"/>
              </w:rPr>
              <w:t>Actual Cost</w:t>
            </w:r>
          </w:p>
        </w:tc>
      </w:tr>
      <w:tr w:rsidR="007801FE" w:rsidRPr="00473B1C" w14:paraId="45A46ACF" w14:textId="77777777" w:rsidTr="00D646F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54" w:type="dxa"/>
          <w:trHeight w:val="225"/>
        </w:trPr>
        <w:tc>
          <w:tcPr>
            <w:tcW w:w="4590" w:type="dxa"/>
            <w:gridSpan w:val="4"/>
            <w:hideMark/>
          </w:tcPr>
          <w:p w14:paraId="5E42EF56"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left="180"/>
            </w:pPr>
            <w:r w:rsidRPr="00473B1C">
              <w:t xml:space="preserve">Late Payment Charge </w:t>
            </w:r>
          </w:p>
        </w:tc>
        <w:tc>
          <w:tcPr>
            <w:tcW w:w="1879" w:type="dxa"/>
            <w:gridSpan w:val="2"/>
            <w:hideMark/>
          </w:tcPr>
          <w:p w14:paraId="48E4A2F7"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73B1C">
              <w:t xml:space="preserve">      </w:t>
            </w:r>
          </w:p>
        </w:tc>
        <w:tc>
          <w:tcPr>
            <w:tcW w:w="3179" w:type="dxa"/>
            <w:gridSpan w:val="2"/>
            <w:hideMark/>
          </w:tcPr>
          <w:p w14:paraId="064CA6B7" w14:textId="77777777" w:rsidR="007801FE" w:rsidRPr="00473B1C" w:rsidRDefault="007801FE" w:rsidP="00D646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473B1C">
              <w:t xml:space="preserve">         </w:t>
            </w:r>
            <w:r>
              <w:t xml:space="preserve">                       </w:t>
            </w:r>
            <w:r w:rsidRPr="00473B1C">
              <w:t xml:space="preserve">       $7.50</w:t>
            </w:r>
          </w:p>
        </w:tc>
      </w:tr>
      <w:tr w:rsidR="007801FE" w:rsidRPr="00473B1C" w14:paraId="3AB4A0DF" w14:textId="77777777" w:rsidTr="00D646FD">
        <w:trPr>
          <w:gridBefore w:val="1"/>
          <w:wBefore w:w="63" w:type="dxa"/>
          <w:jc w:val="center"/>
        </w:trPr>
        <w:tc>
          <w:tcPr>
            <w:tcW w:w="5574" w:type="dxa"/>
            <w:gridSpan w:val="4"/>
            <w:tcBorders>
              <w:top w:val="nil"/>
              <w:left w:val="nil"/>
              <w:bottom w:val="nil"/>
              <w:right w:val="nil"/>
            </w:tcBorders>
            <w:shd w:val="clear" w:color="auto" w:fill="auto"/>
          </w:tcPr>
          <w:p w14:paraId="4FA2671B" w14:textId="77777777" w:rsidR="007801FE" w:rsidRPr="00473B1C" w:rsidRDefault="007801FE" w:rsidP="00D646FD">
            <w:pPr>
              <w:ind w:left="180"/>
              <w:rPr>
                <w:rFonts w:eastAsia="Calibri"/>
              </w:rPr>
            </w:pPr>
            <w:r w:rsidRPr="00473B1C">
              <w:rPr>
                <w:rFonts w:eastAsia="Calibri"/>
              </w:rPr>
              <w:t>NSF Charges</w:t>
            </w:r>
          </w:p>
        </w:tc>
        <w:tc>
          <w:tcPr>
            <w:tcW w:w="4065" w:type="dxa"/>
            <w:gridSpan w:val="5"/>
            <w:tcBorders>
              <w:top w:val="nil"/>
              <w:left w:val="nil"/>
              <w:bottom w:val="nil"/>
              <w:right w:val="nil"/>
            </w:tcBorders>
            <w:shd w:val="clear" w:color="auto" w:fill="auto"/>
          </w:tcPr>
          <w:p w14:paraId="245A63D5" w14:textId="77777777" w:rsidR="007801FE" w:rsidRPr="00473B1C" w:rsidRDefault="007801FE" w:rsidP="00D646FD">
            <w:pPr>
              <w:jc w:val="center"/>
              <w:rPr>
                <w:rFonts w:eastAsia="Calibri"/>
              </w:rPr>
            </w:pPr>
            <w:r w:rsidRPr="00473B1C">
              <w:rPr>
                <w:rFonts w:eastAsia="Calibri"/>
              </w:rPr>
              <w:t>Pursuant to Section 68.065, F.S.</w:t>
            </w:r>
          </w:p>
        </w:tc>
      </w:tr>
    </w:tbl>
    <w:p w14:paraId="3E8C5138" w14:textId="77777777" w:rsidR="007801FE" w:rsidRDefault="007801FE" w:rsidP="009054ED">
      <w:pPr>
        <w:pStyle w:val="BodyText"/>
      </w:pPr>
    </w:p>
    <w:sectPr w:rsidR="007801FE">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6C50F" w14:textId="77777777" w:rsidR="00601AF8" w:rsidRDefault="00601AF8">
      <w:r>
        <w:separator/>
      </w:r>
    </w:p>
  </w:endnote>
  <w:endnote w:type="continuationSeparator" w:id="0">
    <w:p w14:paraId="0FEFC567" w14:textId="77777777" w:rsidR="00601AF8" w:rsidRDefault="0060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WISS">
    <w:altName w:val="MV Bol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8AD16" w14:textId="7821A42F" w:rsidR="00601AF8" w:rsidRDefault="00601AF8">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36DD6">
      <w:rPr>
        <w:rStyle w:val="PageNumber"/>
        <w:noProof/>
      </w:rPr>
      <w:t>21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22409" w14:textId="77777777" w:rsidR="00601AF8" w:rsidRDefault="00601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321EC" w14:textId="77777777" w:rsidR="00601AF8" w:rsidRDefault="00601AF8">
      <w:r>
        <w:separator/>
      </w:r>
    </w:p>
  </w:footnote>
  <w:footnote w:type="continuationSeparator" w:id="0">
    <w:p w14:paraId="4EA41BA8" w14:textId="77777777" w:rsidR="00601AF8" w:rsidRDefault="00601AF8">
      <w:r>
        <w:continuationSeparator/>
      </w:r>
    </w:p>
  </w:footnote>
  <w:footnote w:id="1">
    <w:p w14:paraId="4F4BDECA" w14:textId="77777777" w:rsidR="00601AF8" w:rsidRDefault="00601AF8" w:rsidP="007A1D00">
      <w:pPr>
        <w:pStyle w:val="FootnoteText"/>
      </w:pPr>
      <w:r>
        <w:rPr>
          <w:rStyle w:val="FootnoteReference"/>
        </w:rPr>
        <w:footnoteRef/>
      </w:r>
      <w:r>
        <w:t xml:space="preserve"> Order No. PSC-2022-0267-FOF-SU, dated July 8, 2022, in Docket No. 20200226-SU, </w:t>
      </w:r>
      <w:r w:rsidRPr="008B7BE9">
        <w:rPr>
          <w:i/>
        </w:rPr>
        <w:t>In re: Application for certificate to provide wastewater service in Charlotte County, by Environmental Utilities, LLC.</w:t>
      </w:r>
    </w:p>
  </w:footnote>
  <w:footnote w:id="2">
    <w:p w14:paraId="69716DD5" w14:textId="48008B6C" w:rsidR="00601AF8" w:rsidRDefault="00601AF8">
      <w:pPr>
        <w:pStyle w:val="FootnoteText"/>
      </w:pPr>
      <w:r>
        <w:rPr>
          <w:rStyle w:val="FootnoteReference"/>
        </w:rPr>
        <w:footnoteRef/>
      </w:r>
      <w:r>
        <w:t xml:space="preserve"> “…A utility must obtain a certificate of authorization from the commission prior to being issued a permit by the Department of Environmental Protection for the construction of a new water or wastewater facility or prior to being issued a consumptive use or drilling permit by a water management district.” Section 367.031, F.S.</w:t>
      </w:r>
    </w:p>
  </w:footnote>
  <w:footnote w:id="3">
    <w:p w14:paraId="29792729" w14:textId="6DABBE1C" w:rsidR="00601AF8" w:rsidRPr="0064479E" w:rsidRDefault="00601AF8">
      <w:pPr>
        <w:pStyle w:val="FootnoteText"/>
        <w:rPr>
          <w:i/>
        </w:rPr>
      </w:pPr>
      <w:r>
        <w:rPr>
          <w:rStyle w:val="FootnoteReference"/>
        </w:rPr>
        <w:footnoteRef/>
      </w:r>
      <w:r>
        <w:t xml:space="preserve"> Order No. PSC-17-0059-PAA-WS, issued February 24, 2017, in Docket No. 160220-WS, </w:t>
      </w:r>
      <w:r w:rsidRPr="0064479E">
        <w:rPr>
          <w:i/>
        </w:rPr>
        <w:t>In re: Application for original water and wastewater certificates in Sumter County, by South Sumter Utility Company, LLC.</w:t>
      </w:r>
    </w:p>
  </w:footnote>
  <w:footnote w:id="4">
    <w:p w14:paraId="1DA45E42" w14:textId="6A37766F" w:rsidR="00601AF8" w:rsidRPr="0092060B" w:rsidRDefault="00601AF8" w:rsidP="00B75AF0">
      <w:pPr>
        <w:pStyle w:val="FootnoteText"/>
        <w:rPr>
          <w:i/>
        </w:rPr>
      </w:pPr>
      <w:r>
        <w:rPr>
          <w:rStyle w:val="FootnoteReference"/>
        </w:rPr>
        <w:footnoteRef/>
      </w:r>
      <w:r>
        <w:t xml:space="preserve"> </w:t>
      </w:r>
      <w:r>
        <w:rPr>
          <w:i/>
        </w:rPr>
        <w:t>See</w:t>
      </w:r>
      <w:r>
        <w:t xml:space="preserve"> Order No. </w:t>
      </w:r>
      <w:r w:rsidRPr="00851836">
        <w:t>PSC-13-0484-FOF-WS</w:t>
      </w:r>
      <w:r>
        <w:t xml:space="preserve">, issued October 15, 2013, in Docket No. 130105-WS, </w:t>
      </w:r>
      <w:r>
        <w:rPr>
          <w:i/>
        </w:rPr>
        <w:t xml:space="preserve">In re: </w:t>
      </w:r>
      <w:r w:rsidRPr="0092060B">
        <w:rPr>
          <w:i/>
        </w:rPr>
        <w:t>Application for certificates to provide water and wastewater service in Hendry and Collier Counties, by Consolidated Services of Hendry &amp; Collier, LLC</w:t>
      </w:r>
      <w:r>
        <w:t xml:space="preserve">; Order No. </w:t>
      </w:r>
      <w:bookmarkStart w:id="16" w:name="OrderNo0059"/>
      <w:r w:rsidRPr="00851836">
        <w:t>PSC-17-0059-PAA-WS</w:t>
      </w:r>
      <w:bookmarkEnd w:id="16"/>
      <w:r>
        <w:t xml:space="preserve">, issued February 24, 2017, in Docket No. 160220-WS, </w:t>
      </w:r>
      <w:r w:rsidRPr="0092060B">
        <w:rPr>
          <w:i/>
        </w:rPr>
        <w:t xml:space="preserve">In re: </w:t>
      </w:r>
      <w:bookmarkStart w:id="17" w:name="SSInRe"/>
      <w:bookmarkEnd w:id="17"/>
      <w:r w:rsidRPr="0092060B">
        <w:rPr>
          <w:i/>
        </w:rPr>
        <w:t>Application for original water and wastewater certificates in Sumter County, by South Sumter Utility Company, LLC</w:t>
      </w:r>
      <w:r>
        <w:t xml:space="preserve">; Order No. </w:t>
      </w:r>
      <w:bookmarkStart w:id="18" w:name="OrderNo0193"/>
      <w:r w:rsidRPr="00851836">
        <w:t>PSC-2022-0193-FOF-WS</w:t>
      </w:r>
      <w:bookmarkEnd w:id="18"/>
      <w:r>
        <w:t xml:space="preserve">, issued May 25, 2022, in Docket No. 20190168-WS, </w:t>
      </w:r>
      <w:r w:rsidRPr="0092060B">
        <w:rPr>
          <w:i/>
        </w:rPr>
        <w:t>In re: Application for water and wastewater service in Duval, Baker, and Nassau Counties, by First Coast Regional Utilities, Inc.</w:t>
      </w:r>
      <w:r>
        <w:t xml:space="preserve">; Order No. </w:t>
      </w:r>
      <w:bookmarkStart w:id="19" w:name="OrderNo0435"/>
      <w:r w:rsidRPr="00851836">
        <w:t>PSC-2022-0437-PAA-WS</w:t>
      </w:r>
      <w:bookmarkEnd w:id="19"/>
      <w:r>
        <w:t xml:space="preserve">, issued December 27, 2022, in Docket No. 20220088-WS, </w:t>
      </w:r>
      <w:r w:rsidRPr="0092060B">
        <w:rPr>
          <w:i/>
        </w:rPr>
        <w:t>In re: Application for certificates to provide water and wastewater service and approval of initial rates and charges in Sumter County, by Middleton Utility Company, LLC</w:t>
      </w:r>
      <w:r>
        <w:t xml:space="preserve">; and Order No. </w:t>
      </w:r>
      <w:bookmarkStart w:id="20" w:name="OrderNo0380"/>
      <w:r w:rsidRPr="00851836">
        <w:t>PSC-2024-0380-PAA-WS</w:t>
      </w:r>
      <w:bookmarkEnd w:id="20"/>
      <w:r>
        <w:t xml:space="preserve">, issued August 28, 2024, in Docket No. 20240023-WS, </w:t>
      </w:r>
      <w:r w:rsidRPr="0092060B">
        <w:rPr>
          <w:i/>
        </w:rPr>
        <w:t>In re: Application for certificates to provide water and wastewater service and approval of initial rates and charges in Lake County, by North Lake County Water &amp; Sewer Company LLC</w:t>
      </w:r>
      <w:r>
        <w:t>.</w:t>
      </w:r>
    </w:p>
  </w:footnote>
  <w:footnote w:id="5">
    <w:p w14:paraId="45C0DB0D" w14:textId="4D6277D3" w:rsidR="00601AF8" w:rsidRDefault="00601AF8" w:rsidP="00B75AF0">
      <w:pPr>
        <w:pStyle w:val="FootnoteText"/>
      </w:pPr>
      <w:r>
        <w:rPr>
          <w:rStyle w:val="FootnoteReference"/>
        </w:rPr>
        <w:footnoteRef/>
      </w:r>
      <w:r>
        <w:t xml:space="preserve"> </w:t>
      </w:r>
      <w:r w:rsidRPr="00DC706B">
        <w:t xml:space="preserve">Order No. PSC-2022-0267-FOF-SU, dated July 8, 2022, in Docket No. 20200226-SU, </w:t>
      </w:r>
      <w:r w:rsidRPr="00DC706B">
        <w:rPr>
          <w:i/>
        </w:rPr>
        <w:t>In re: Application for certificate to provide wastewater service in Charlotte County, by Environmental Utilities, LLC</w:t>
      </w:r>
      <w:r>
        <w:t>, pp. 10-11</w:t>
      </w:r>
      <w:r w:rsidRPr="00DC706B">
        <w:rPr>
          <w:i/>
        </w:rPr>
        <w:t>.</w:t>
      </w:r>
    </w:p>
  </w:footnote>
  <w:footnote w:id="6">
    <w:p w14:paraId="6FBE7535" w14:textId="77777777" w:rsidR="00601AF8" w:rsidRPr="0026380F" w:rsidRDefault="00601AF8" w:rsidP="00912D77">
      <w:pPr>
        <w:pStyle w:val="FootnoteText"/>
      </w:pPr>
      <w:r>
        <w:rPr>
          <w:rStyle w:val="FootnoteReference"/>
        </w:rPr>
        <w:footnoteRef/>
      </w:r>
      <w:r>
        <w:t xml:space="preserve"> See Order No. PSC-2022-0193-FOF-WS, issued May 25, 2022, in Docket No. 20190168-WS, </w:t>
      </w:r>
      <w:r>
        <w:rPr>
          <w:i/>
        </w:rPr>
        <w:t xml:space="preserve">In re: </w:t>
      </w:r>
      <w:r w:rsidRPr="00F5506D">
        <w:rPr>
          <w:i/>
        </w:rPr>
        <w:t>Application for water and wastewater service in Duval, Baker, and Nassau Counties, by First Coast Regional Utilities, Inc.</w:t>
      </w:r>
      <w:r>
        <w:t xml:space="preserve"> (2 letters, one from the applicant’s parent company, a developer with over 8,000 acres to develop, the other from a mining company requesting service for over 3,000 acres it owned which would soon be ready for development); Order No. PSC-17-0059-PAA-WS, issued February 24, 2017, in Docket No. 160220-WS, </w:t>
      </w:r>
      <w:r>
        <w:rPr>
          <w:i/>
        </w:rPr>
        <w:t xml:space="preserve">In re: </w:t>
      </w:r>
      <w:r w:rsidRPr="00F5506D">
        <w:rPr>
          <w:i/>
        </w:rPr>
        <w:t>Application for original water and wastewater certificates in Sumter County, by South Sumter Utility Company, LLC.</w:t>
      </w:r>
      <w:r>
        <w:t xml:space="preserve"> (1 request from the developer (the Villages), an affiliated company)</w:t>
      </w:r>
    </w:p>
  </w:footnote>
  <w:footnote w:id="7">
    <w:p w14:paraId="2A3953C4" w14:textId="77777777" w:rsidR="00601AF8" w:rsidRDefault="00601AF8" w:rsidP="00B75AF0">
      <w:pPr>
        <w:pStyle w:val="FootnoteText"/>
      </w:pPr>
      <w:r>
        <w:rPr>
          <w:rStyle w:val="FootnoteReference"/>
        </w:rPr>
        <w:footnoteRef/>
      </w:r>
      <w:r>
        <w:t xml:space="preserve"> The Utility also provided evidence that Charlotte County previously supported the Utility’s septic-to-sewer conversion project in 2002. (EXH 66)</w:t>
      </w:r>
    </w:p>
  </w:footnote>
  <w:footnote w:id="8">
    <w:p w14:paraId="02A3828A" w14:textId="77777777" w:rsidR="00601AF8" w:rsidRDefault="00601AF8" w:rsidP="00F66CF9">
      <w:pPr>
        <w:pStyle w:val="FootnoteText"/>
      </w:pPr>
      <w:r>
        <w:rPr>
          <w:rStyle w:val="FootnoteReference"/>
        </w:rPr>
        <w:footnoteRef/>
      </w:r>
      <w:r>
        <w:rPr>
          <w:i/>
        </w:rPr>
        <w:t xml:space="preserve"> </w:t>
      </w:r>
      <w:r w:rsidRPr="009C5C0A">
        <w:rPr>
          <w:i/>
        </w:rPr>
        <w:t>City of Oviedo v. Clark</w:t>
      </w:r>
      <w:r>
        <w:t xml:space="preserve">, 699 So. 2d 316, 318 (Fla. 1st DCA 1997) </w:t>
      </w:r>
      <w:r w:rsidRPr="000E25A4">
        <w:t xml:space="preserve">(“The plain language of the statute only requires the </w:t>
      </w:r>
      <w:r>
        <w:t>Commission</w:t>
      </w:r>
      <w:r w:rsidRPr="000E25A4">
        <w:t xml:space="preserve"> to consider the comprehensive plan. The </w:t>
      </w:r>
      <w:r>
        <w:t>Commission</w:t>
      </w:r>
      <w:r w:rsidRPr="000E25A4">
        <w:t xml:space="preserve"> is expressly granted discretion in the decision of whether to defer to the plan.”)</w:t>
      </w:r>
    </w:p>
  </w:footnote>
  <w:footnote w:id="9">
    <w:p w14:paraId="55D38C06" w14:textId="77777777" w:rsidR="00601AF8" w:rsidRDefault="00601AF8" w:rsidP="00F66CF9">
      <w:pPr>
        <w:pStyle w:val="FootnoteText"/>
      </w:pPr>
      <w:r w:rsidRPr="001F14D1">
        <w:rPr>
          <w:rStyle w:val="FootnoteReference"/>
        </w:rPr>
        <w:footnoteRef/>
      </w:r>
      <w:r>
        <w:t xml:space="preserve"> </w:t>
      </w:r>
      <w:r w:rsidRPr="001F14D1">
        <w:t xml:space="preserve">The </w:t>
      </w:r>
      <w:r>
        <w:t>Sewer Master Plan</w:t>
      </w:r>
      <w:r w:rsidRPr="001F14D1">
        <w:t xml:space="preserve"> used an environmental impact</w:t>
      </w:r>
      <w:r>
        <w:t xml:space="preserve"> level</w:t>
      </w:r>
      <w:r w:rsidRPr="001F14D1">
        <w:t xml:space="preserve"> scoring criteria to identify project areas as part of its methodology to prioritize areas for future </w:t>
      </w:r>
      <w:r>
        <w:t xml:space="preserve">capital </w:t>
      </w:r>
      <w:r w:rsidRPr="001F14D1">
        <w:t xml:space="preserve">improvement plans, </w:t>
      </w:r>
      <w:r>
        <w:t>which also considered</w:t>
      </w:r>
      <w:r w:rsidRPr="001F14D1">
        <w:t xml:space="preserve"> infrastructure sequencing, utility input, cost considerations, and other factors. The</w:t>
      </w:r>
      <w:r>
        <w:t xml:space="preserve"> environmental</w:t>
      </w:r>
      <w:r w:rsidRPr="001F14D1">
        <w:t xml:space="preserve"> impact </w:t>
      </w:r>
      <w:r>
        <w:t xml:space="preserve">level </w:t>
      </w:r>
      <w:r w:rsidRPr="001F14D1">
        <w:t>score is an average of three factors</w:t>
      </w:r>
      <w:r>
        <w:t>,</w:t>
      </w:r>
      <w:r w:rsidRPr="001F14D1">
        <w:t xml:space="preserve"> which are each given a score between 1 and 5. Those factors are</w:t>
      </w:r>
      <w:r>
        <w:t>:</w:t>
      </w:r>
      <w:r w:rsidRPr="001F14D1">
        <w:t xml:space="preserve"> (1) proximity to surface waters</w:t>
      </w:r>
      <w:r>
        <w:t>;</w:t>
      </w:r>
      <w:r w:rsidRPr="001F14D1">
        <w:t xml:space="preserve"> (2) age of septic tanks</w:t>
      </w:r>
      <w:r>
        <w:t>;</w:t>
      </w:r>
      <w:r w:rsidRPr="001F14D1">
        <w:t xml:space="preserve"> and (3) nitrogen loading.</w:t>
      </w:r>
      <w:r>
        <w:t xml:space="preserve"> The impact scores of the areas addressed in this docket are those that range from 4 to 5. (EXH 5 BSP C2-144, C2-152)</w:t>
      </w:r>
    </w:p>
  </w:footnote>
  <w:footnote w:id="10">
    <w:p w14:paraId="2FAF9C3F" w14:textId="77777777" w:rsidR="00601AF8" w:rsidRDefault="00601AF8" w:rsidP="00F66CF9">
      <w:pPr>
        <w:pStyle w:val="FootnoteText"/>
      </w:pPr>
      <w:r>
        <w:rPr>
          <w:rStyle w:val="FootnoteReference"/>
        </w:rPr>
        <w:footnoteRef/>
      </w:r>
      <w:r>
        <w:rPr>
          <w:color w:val="000000"/>
        </w:rPr>
        <w:t xml:space="preserve"> The Sewer Master Plan prioritizes conversion for more than 30 areas with an average impact score of 4 to 5. </w:t>
      </w:r>
      <w:r w:rsidRPr="00D73366">
        <w:rPr>
          <w:color w:val="000000"/>
        </w:rPr>
        <w:t xml:space="preserve">(EXH 5 BSP </w:t>
      </w:r>
      <w:r>
        <w:rPr>
          <w:color w:val="000000"/>
        </w:rPr>
        <w:t>C2-</w:t>
      </w:r>
      <w:r w:rsidRPr="00D73366">
        <w:rPr>
          <w:color w:val="000000"/>
        </w:rPr>
        <w:t>144</w:t>
      </w:r>
      <w:r>
        <w:rPr>
          <w:color w:val="000000"/>
        </w:rPr>
        <w:t>) Only 14 are included in the 5-year plan. (EXH 5 BSP C2-152)</w:t>
      </w:r>
    </w:p>
  </w:footnote>
  <w:footnote w:id="11">
    <w:p w14:paraId="7F09F41A" w14:textId="77777777" w:rsidR="00601AF8" w:rsidRDefault="00601AF8" w:rsidP="00F66CF9">
      <w:pPr>
        <w:pStyle w:val="FootnoteText"/>
      </w:pPr>
      <w:r>
        <w:rPr>
          <w:rStyle w:val="FootnoteReference"/>
        </w:rPr>
        <w:footnoteRef/>
      </w:r>
      <w:r>
        <w:t xml:space="preserve"> The proposed service area is entirely within the Rural Service Area as defined by the Comp Plan.</w:t>
      </w:r>
    </w:p>
  </w:footnote>
  <w:footnote w:id="12">
    <w:p w14:paraId="1C77C325" w14:textId="3A06DB52" w:rsidR="00601AF8" w:rsidRPr="008A6ECE" w:rsidRDefault="00601AF8" w:rsidP="006254B5">
      <w:pPr>
        <w:pStyle w:val="FootnoteText"/>
      </w:pPr>
      <w:r>
        <w:rPr>
          <w:rStyle w:val="FootnoteReference"/>
        </w:rPr>
        <w:footnoteRef/>
      </w:r>
      <w:r>
        <w:t xml:space="preserve"> Order No. </w:t>
      </w:r>
      <w:r w:rsidRPr="00054DC9">
        <w:t>PSC-2022-0267-FOF-SU</w:t>
      </w:r>
      <w:r>
        <w:t xml:space="preserve">, issued July 8, 2022, in Docket No. 20200226-SU, </w:t>
      </w:r>
      <w:r>
        <w:rPr>
          <w:i/>
        </w:rPr>
        <w:t xml:space="preserve">In re: </w:t>
      </w:r>
      <w:r w:rsidRPr="00DC1EF0">
        <w:rPr>
          <w:i/>
        </w:rPr>
        <w:t>Application for certificate to provide wastewater service in Charlotte County, by Environmental Utilities, LLC.</w:t>
      </w:r>
      <w:r>
        <w:t xml:space="preserve"> By Order No. PSC-2022-0033-FOF-SU, issued September 27, 2022, the Commission denied EU’s Motion for Reconsideration, finding that EU failed to demonstrate that the Commission erred in finding EU’s application to be inconsistent with the County Comp Plan and that </w:t>
      </w:r>
      <w:r w:rsidRPr="00181383">
        <w:t xml:space="preserve">the Sewer Master Plan </w:t>
      </w:r>
      <w:r>
        <w:t xml:space="preserve">was not </w:t>
      </w:r>
      <w:r w:rsidRPr="00181383">
        <w:t>compelling evidence towards the demonstration of need.</w:t>
      </w:r>
    </w:p>
  </w:footnote>
  <w:footnote w:id="13">
    <w:p w14:paraId="2BD2448C" w14:textId="10AA5772" w:rsidR="00601AF8" w:rsidRDefault="00601AF8" w:rsidP="009D014E">
      <w:pPr>
        <w:pStyle w:val="FootnoteText"/>
      </w:pPr>
      <w:r>
        <w:rPr>
          <w:rStyle w:val="FootnoteReference"/>
        </w:rPr>
        <w:footnoteRef/>
      </w:r>
      <w:r>
        <w:t xml:space="preserve"> Order No. PSC-2022-0193-FOF-WS, issued May 25, 2022, in Docket No. 20190168-WS, </w:t>
      </w:r>
      <w:r w:rsidRPr="00881CCD">
        <w:rPr>
          <w:i/>
        </w:rPr>
        <w:t>In re: Application for water and wastewater service in Duval, Baker, and Nassau Counties, by First Coast Regional Utilities, Inc.</w:t>
      </w:r>
      <w:r>
        <w:t xml:space="preserve">; Order No. PSC-2022-0267-FOF-SU, issued July 8, 2022, in Docket No. 20200226-SU, </w:t>
      </w:r>
      <w:r>
        <w:rPr>
          <w:i/>
        </w:rPr>
        <w:t>In re: Application for certificate to provide wastewater service in Charlotte County, by Environmental Utilities, LLC.</w:t>
      </w:r>
    </w:p>
  </w:footnote>
  <w:footnote w:id="14">
    <w:p w14:paraId="16CCB511" w14:textId="360ADF72" w:rsidR="00601AF8" w:rsidRDefault="00601AF8" w:rsidP="00F66CF9">
      <w:pPr>
        <w:pStyle w:val="FootnoteText"/>
      </w:pPr>
      <w:r>
        <w:rPr>
          <w:rStyle w:val="FootnoteReference"/>
        </w:rPr>
        <w:footnoteRef/>
      </w:r>
      <w:r>
        <w:t xml:space="preserve"> Order No. PSC-2022-0267-FOF-SU, pp. 16-17.</w:t>
      </w:r>
    </w:p>
  </w:footnote>
  <w:footnote w:id="15">
    <w:p w14:paraId="464AFA49" w14:textId="77777777" w:rsidR="00601AF8" w:rsidRDefault="00601AF8" w:rsidP="00F66CF9">
      <w:pPr>
        <w:pStyle w:val="FootnoteText"/>
      </w:pPr>
      <w:r>
        <w:rPr>
          <w:rStyle w:val="FootnoteReference"/>
        </w:rPr>
        <w:footnoteRef/>
      </w:r>
      <w:r>
        <w:t xml:space="preserve"> PIE adopted the positions taken by LGIPA and LC on this issue, but provided no additional argument in its brief.</w:t>
      </w:r>
    </w:p>
  </w:footnote>
  <w:footnote w:id="16">
    <w:p w14:paraId="5323E094" w14:textId="1F9638D1" w:rsidR="00601AF8" w:rsidRPr="007C1E60" w:rsidRDefault="00601AF8" w:rsidP="00B35322">
      <w:pPr>
        <w:pStyle w:val="FootnoteText"/>
      </w:pPr>
      <w:r>
        <w:rPr>
          <w:rStyle w:val="FootnoteReference"/>
        </w:rPr>
        <w:footnoteRef/>
      </w:r>
      <w:r>
        <w:t xml:space="preserve"> </w:t>
      </w:r>
      <w:r w:rsidRPr="00917E0B">
        <w:rPr>
          <w:i/>
        </w:rPr>
        <w:t>See</w:t>
      </w:r>
      <w:r>
        <w:t xml:space="preserve"> Order No. PSC-08-0243-FOF-WS, issued April 16, 2008, in Docket No. 070109-WS, </w:t>
      </w:r>
      <w:r w:rsidRPr="00CE6C6D">
        <w:rPr>
          <w:i/>
        </w:rPr>
        <w:t>In re: Application for amendment of Certificates 611-W and 527-S to extend water and wastewater service areas to include certain land in Charlotte County by Sun River Utilities, Inc. (f/k/a MSM Utilities, LLC)</w:t>
      </w:r>
      <w:r>
        <w:t xml:space="preserve">, pp. 11-13; Order No. PSC-04-0980-FOF-WU, issued October 8, 2004, in Docket </w:t>
      </w:r>
      <w:proofErr w:type="gramStart"/>
      <w:r>
        <w:t>No</w:t>
      </w:r>
      <w:proofErr w:type="gramEnd"/>
      <w:r>
        <w:t xml:space="preserve">. 021256-WU, </w:t>
      </w:r>
      <w:r w:rsidRPr="00CE6C6D">
        <w:rPr>
          <w:i/>
        </w:rPr>
        <w:t xml:space="preserve">In re: Application for certificate to provide water service in Volusia and Brevard Counties by </w:t>
      </w:r>
      <w:proofErr w:type="spellStart"/>
      <w:r w:rsidRPr="00CE6C6D">
        <w:rPr>
          <w:i/>
        </w:rPr>
        <w:t>Farmton</w:t>
      </w:r>
      <w:proofErr w:type="spellEnd"/>
      <w:r w:rsidRPr="00CE6C6D">
        <w:rPr>
          <w:i/>
        </w:rPr>
        <w:t xml:space="preserve"> Water Resources LLC</w:t>
      </w:r>
      <w:r>
        <w:t>, p. 26; Order No.</w:t>
      </w:r>
      <w:r w:rsidRPr="00A855DB">
        <w:t xml:space="preserve"> PSC-92-0104-FOF-WU, issued March 27, 1992, in Docket No. </w:t>
      </w:r>
      <w:r>
        <w:t>910114-WU,</w:t>
      </w:r>
      <w:r w:rsidRPr="000C2F48">
        <w:rPr>
          <w:i/>
        </w:rPr>
        <w:t xml:space="preserve"> In re: Application for water certificate in Brevard, Orange and Osceola Counties by </w:t>
      </w:r>
      <w:r>
        <w:rPr>
          <w:i/>
        </w:rPr>
        <w:t>East Central Florida Services, Inc.</w:t>
      </w:r>
      <w:r>
        <w:t>, pp. 33-34.</w:t>
      </w:r>
    </w:p>
  </w:footnote>
  <w:footnote w:id="17">
    <w:p w14:paraId="292EA5EA" w14:textId="0E6AA244" w:rsidR="00601AF8" w:rsidRPr="00387B50" w:rsidRDefault="00601AF8" w:rsidP="00601AF8">
      <w:pPr>
        <w:pStyle w:val="FootnoteText"/>
      </w:pPr>
      <w:r>
        <w:rPr>
          <w:rStyle w:val="FootnoteReference"/>
        </w:rPr>
        <w:footnoteRef/>
      </w:r>
      <w:r>
        <w:t xml:space="preserve"> </w:t>
      </w:r>
      <w:r>
        <w:rPr>
          <w:i/>
        </w:rPr>
        <w:t xml:space="preserve">See generally </w:t>
      </w:r>
      <w:r>
        <w:t xml:space="preserve">Order No. PSC-2024-0380-PAA-WS, issued August 28, 2024, in Docket No. 20240023-WS, </w:t>
      </w:r>
      <w:r>
        <w:rPr>
          <w:i/>
        </w:rPr>
        <w:t>In re: Application for certificates to provide water and wastewater service and approval of initial rates and charges in Lake County, by North Lake County Water &amp; Sewer Company LLC</w:t>
      </w:r>
      <w:r>
        <w:t xml:space="preserve">; Order No. PSC-2020-0263-PAA-WS, issued July 27, 2020, in Docket No. 20190194-WS, </w:t>
      </w:r>
      <w:r>
        <w:rPr>
          <w:i/>
        </w:rPr>
        <w:t>In re: Application for original water and wastewater certificates and approval of initial rates, charges, and standard service agreements in Lee County, by CPI Citrus Park Utility TRS, LLC</w:t>
      </w:r>
      <w:r>
        <w:t>; and Order No. PSC-01-1916-FOF-WS, issued September 24, 2001</w:t>
      </w:r>
      <w:r w:rsidR="002C0491">
        <w:t xml:space="preserve">, in Docket No. </w:t>
      </w:r>
      <w:r>
        <w:t xml:space="preserve">990696-WS, </w:t>
      </w:r>
      <w:r>
        <w:rPr>
          <w:i/>
        </w:rPr>
        <w:t xml:space="preserve">In re: Application for original certificates to operate a water and wastewater utility in Duval and St. Johns Counties by </w:t>
      </w:r>
      <w:proofErr w:type="spellStart"/>
      <w:r>
        <w:rPr>
          <w:i/>
        </w:rPr>
        <w:t>Nocatee</w:t>
      </w:r>
      <w:proofErr w:type="spellEnd"/>
      <w:r>
        <w:rPr>
          <w:i/>
        </w:rPr>
        <w:t xml:space="preserve"> Utility Corporation</w:t>
      </w:r>
      <w:r>
        <w:t>.</w:t>
      </w:r>
    </w:p>
  </w:footnote>
  <w:footnote w:id="18">
    <w:p w14:paraId="4282252E" w14:textId="7E8D8C37" w:rsidR="00601AF8" w:rsidRDefault="00601AF8" w:rsidP="004F1814">
      <w:pPr>
        <w:pStyle w:val="FootnoteText"/>
      </w:pPr>
      <w:r>
        <w:rPr>
          <w:rStyle w:val="FootnoteReference"/>
        </w:rPr>
        <w:footnoteRef/>
      </w:r>
      <w:r>
        <w:t xml:space="preserve"> Order No. PSC-2024-0165-PAA-WS, issued May, 22, 2024, in Docket No. 20240006-WS, </w:t>
      </w:r>
      <w:r>
        <w:rPr>
          <w:i/>
          <w:iCs/>
        </w:rPr>
        <w:t>In re:</w:t>
      </w:r>
      <w:r>
        <w:t xml:space="preserve"> </w:t>
      </w:r>
      <w:r>
        <w:rPr>
          <w:i/>
          <w:iCs/>
        </w:rPr>
        <w:t>Water and wastewater industry annual reestablishment of authorized range of return on common equity for water and wastewater utilities pursuant to Section 367.081(4</w:t>
      </w:r>
      <w:proofErr w:type="gramStart"/>
      <w:r>
        <w:rPr>
          <w:i/>
          <w:iCs/>
        </w:rPr>
        <w:t>)(</w:t>
      </w:r>
      <w:proofErr w:type="gramEnd"/>
      <w:r>
        <w:rPr>
          <w:i/>
          <w:iCs/>
        </w:rPr>
        <w:t>f), F.S.</w:t>
      </w:r>
      <w:r w:rsidR="002C0491">
        <w:rPr>
          <w:i/>
          <w:iCs/>
        </w:rPr>
        <w:t>,</w:t>
      </w:r>
      <w:r>
        <w:rPr>
          <w:i/>
          <w:iCs/>
        </w:rPr>
        <w:t xml:space="preserve"> p. 5.</w:t>
      </w:r>
    </w:p>
  </w:footnote>
  <w:footnote w:id="19">
    <w:p w14:paraId="37E22C9B" w14:textId="77777777" w:rsidR="002C0491" w:rsidRDefault="002C0491" w:rsidP="002C0491">
      <w:pPr>
        <w:pStyle w:val="FootnoteText"/>
      </w:pPr>
      <w:r>
        <w:rPr>
          <w:rStyle w:val="FootnoteReference"/>
        </w:rPr>
        <w:footnoteRef/>
      </w:r>
      <w:r>
        <w:t xml:space="preserve"> </w:t>
      </w:r>
      <w:r w:rsidRPr="00C8104D">
        <w:rPr>
          <w:i/>
        </w:rPr>
        <w:t>Id.</w:t>
      </w:r>
    </w:p>
  </w:footnote>
  <w:footnote w:id="20">
    <w:p w14:paraId="2DF1B2EF" w14:textId="77777777" w:rsidR="00601AF8" w:rsidRPr="002859AE" w:rsidRDefault="00601AF8" w:rsidP="004F1814">
      <w:pPr>
        <w:pStyle w:val="FootnoteText"/>
        <w:rPr>
          <w:i/>
        </w:rPr>
      </w:pPr>
      <w:r>
        <w:rPr>
          <w:rStyle w:val="FootnoteReference"/>
        </w:rPr>
        <w:footnoteRef/>
      </w:r>
      <w:r>
        <w:t xml:space="preserve"> Order No. PSC-2024-0380-PAA-WS, issued August 28, 2024, in Docket No. 20240023-WS, </w:t>
      </w:r>
      <w:r>
        <w:rPr>
          <w:i/>
        </w:rPr>
        <w:t>In re: Application for certificates to provide water and wastewater service and approval of initial rates and charges in Lake County, by North Lake County Water &amp; Sewer Company LLC.</w:t>
      </w:r>
    </w:p>
  </w:footnote>
  <w:footnote w:id="21">
    <w:p w14:paraId="6B2C3150" w14:textId="77777777" w:rsidR="00601AF8" w:rsidRDefault="00601AF8" w:rsidP="00240846">
      <w:pPr>
        <w:pStyle w:val="FootnoteText"/>
      </w:pPr>
      <w:r>
        <w:rPr>
          <w:rStyle w:val="FootnoteReference"/>
        </w:rPr>
        <w:footnoteRef/>
      </w:r>
      <w:r>
        <w:t xml:space="preserve"> Order No. PSC-2020-0118-PAA-WS, issued April 20, 2020, in Docket No. 20190071-WS, </w:t>
      </w:r>
      <w:r w:rsidRPr="00660D9D">
        <w:rPr>
          <w:i/>
        </w:rPr>
        <w:t xml:space="preserve">In re: Application for staff-assisted rate case in Polk County by </w:t>
      </w:r>
      <w:r>
        <w:rPr>
          <w:i/>
        </w:rPr>
        <w:t>Deer Creek RV Golf &amp; Country Club, Inc.</w:t>
      </w:r>
    </w:p>
  </w:footnote>
  <w:footnote w:id="22">
    <w:p w14:paraId="196CB24A" w14:textId="77777777" w:rsidR="00601AF8" w:rsidRDefault="00601AF8" w:rsidP="00240846">
      <w:pPr>
        <w:pStyle w:val="FootnoteText"/>
      </w:pPr>
      <w:r>
        <w:rPr>
          <w:rStyle w:val="FootnoteReference"/>
        </w:rPr>
        <w:footnoteRef/>
      </w:r>
      <w:r w:rsidRPr="006B134E">
        <w:rPr>
          <w:sz w:val="10"/>
          <w:szCs w:val="10"/>
        </w:rPr>
        <w:t xml:space="preserve"> </w:t>
      </w:r>
      <w:r>
        <w:t xml:space="preserve">Order No. PSC-2017-0459-PAA-WS, issued November 30, 2017, in Docket No. 160176-WS, </w:t>
      </w:r>
      <w:r w:rsidRPr="003C692B">
        <w:rPr>
          <w:i/>
        </w:rPr>
        <w:t>In re: Application for staff-assisted rate case in Polk County by Four Lakes Golf Club, Ltd.</w:t>
      </w:r>
    </w:p>
  </w:footnote>
  <w:footnote w:id="23">
    <w:p w14:paraId="7A008DD5" w14:textId="4EF8295F" w:rsidR="00601AF8" w:rsidRDefault="00601AF8" w:rsidP="00240846">
      <w:pPr>
        <w:pStyle w:val="FootnoteText"/>
      </w:pPr>
      <w:r>
        <w:rPr>
          <w:rStyle w:val="FootnoteReference"/>
        </w:rPr>
        <w:footnoteRef/>
      </w:r>
      <w:r>
        <w:t xml:space="preserve"> </w:t>
      </w:r>
      <w:r w:rsidRPr="00B30703">
        <w:rPr>
          <w:rFonts w:eastAsiaTheme="minorHAnsi" w:cstheme="minorBidi"/>
        </w:rPr>
        <w:t>Order No. PSC-</w:t>
      </w:r>
      <w:r>
        <w:rPr>
          <w:rFonts w:eastAsiaTheme="minorHAnsi" w:cstheme="minorBidi"/>
        </w:rPr>
        <w:t>20</w:t>
      </w:r>
      <w:r w:rsidRPr="00B30703">
        <w:rPr>
          <w:rFonts w:eastAsiaTheme="minorHAnsi" w:cstheme="minorBidi"/>
        </w:rPr>
        <w:t xml:space="preserve">17-0459-PAA-WS, </w:t>
      </w:r>
      <w:r>
        <w:rPr>
          <w:rFonts w:eastAsiaTheme="minorHAnsi" w:cstheme="minorBidi"/>
        </w:rPr>
        <w:t xml:space="preserve">issued November 30, 2017, </w:t>
      </w:r>
      <w:r w:rsidRPr="00B30703">
        <w:rPr>
          <w:rFonts w:eastAsiaTheme="minorHAnsi" w:cstheme="minorBidi"/>
        </w:rPr>
        <w:t xml:space="preserve">in Docket No. 160176-WS, </w:t>
      </w:r>
      <w:r w:rsidRPr="00B30703">
        <w:rPr>
          <w:rFonts w:eastAsiaTheme="minorHAnsi" w:cstheme="minorBidi"/>
          <w:i/>
        </w:rPr>
        <w:t>In re: Application for staff-assisted rate case in Polk County by Four Lakes Golf Club, Ltd.</w:t>
      </w:r>
    </w:p>
  </w:footnote>
  <w:footnote w:id="24">
    <w:p w14:paraId="2C6A526B" w14:textId="77777777" w:rsidR="00601AF8" w:rsidRDefault="00601AF8" w:rsidP="00570A0E">
      <w:pPr>
        <w:pStyle w:val="FootnoteText"/>
      </w:pPr>
      <w:r>
        <w:rPr>
          <w:rStyle w:val="FootnoteReference"/>
        </w:rPr>
        <w:footnoteRef/>
      </w:r>
      <w:r>
        <w:t xml:space="preserve"> Order No. PSC-2020-0059-PAA-WS, issued February 24, 2020, in Docket No. 20190147-WS, </w:t>
      </w:r>
      <w:r w:rsidRPr="004D5A30">
        <w:rPr>
          <w:i/>
        </w:rPr>
        <w:t>In re: Application for certificates to provide water and wastewater service in Brevard County by River Grove Utilities, Inc</w:t>
      </w:r>
      <w:r>
        <w:t>.</w:t>
      </w:r>
    </w:p>
  </w:footnote>
  <w:footnote w:id="25">
    <w:p w14:paraId="05E89350" w14:textId="77777777" w:rsidR="00601AF8" w:rsidRDefault="00601AF8" w:rsidP="00DF7FAA">
      <w:pPr>
        <w:pStyle w:val="FootnoteText"/>
      </w:pPr>
      <w:r>
        <w:rPr>
          <w:rStyle w:val="FootnoteReference"/>
        </w:rPr>
        <w:footnoteRef/>
      </w:r>
      <w:r>
        <w:t xml:space="preserve"> Order No. PSC-2020-0059-PAA-WS, issued February 24, 2020, in Docket No. 20190147-WS, </w:t>
      </w:r>
      <w:r w:rsidRPr="004D5A30">
        <w:rPr>
          <w:i/>
        </w:rPr>
        <w:t>In re: Application for certificates to provide water and wastewater service in Brevard County by River Grove Utilities, Inc</w:t>
      </w:r>
      <w:r>
        <w:t>.</w:t>
      </w:r>
    </w:p>
  </w:footnote>
  <w:footnote w:id="26">
    <w:p w14:paraId="46681FA1" w14:textId="77777777" w:rsidR="00601AF8" w:rsidRDefault="00601AF8" w:rsidP="00DF7FAA">
      <w:pPr>
        <w:pStyle w:val="FootnoteText"/>
      </w:pPr>
      <w:r>
        <w:rPr>
          <w:rStyle w:val="FootnoteReference"/>
        </w:rPr>
        <w:footnoteRef/>
      </w:r>
      <w:r>
        <w:t xml:space="preserve"> Order No. PSC-2024-0100-PAA-WU, issued April 17, 2024, in Docket No. 20230071-WU, </w:t>
      </w:r>
      <w:r w:rsidRPr="004D5A30">
        <w:rPr>
          <w:i/>
        </w:rPr>
        <w:t xml:space="preserve">In re: </w:t>
      </w:r>
      <w:r w:rsidRPr="00777026">
        <w:rPr>
          <w:i/>
        </w:rPr>
        <w:t xml:space="preserve">Application for staff-assisted rate case in Polk County by </w:t>
      </w:r>
      <w:proofErr w:type="spellStart"/>
      <w:r w:rsidRPr="00777026">
        <w:rPr>
          <w:i/>
        </w:rPr>
        <w:t>Pinecrest</w:t>
      </w:r>
      <w:proofErr w:type="spellEnd"/>
      <w:r w:rsidRPr="00777026">
        <w:rPr>
          <w:i/>
        </w:rPr>
        <w:t xml:space="preserve"> Utilities, LLC.</w:t>
      </w:r>
    </w:p>
  </w:footnote>
  <w:footnote w:id="27">
    <w:p w14:paraId="23924CD7" w14:textId="77777777" w:rsidR="00601AF8" w:rsidRPr="00AE1EDC" w:rsidRDefault="00601AF8" w:rsidP="00DF7FAA">
      <w:pPr>
        <w:pStyle w:val="FootnoteText"/>
      </w:pPr>
      <w:r w:rsidRPr="00E6023C">
        <w:rPr>
          <w:rStyle w:val="FootnoteReference"/>
        </w:rPr>
        <w:footnoteRef/>
      </w:r>
      <w:r w:rsidRPr="00E6023C">
        <w:t xml:space="preserve"> </w:t>
      </w:r>
      <w:r>
        <w:t xml:space="preserve">Order No. </w:t>
      </w:r>
      <w:r w:rsidRPr="00777026">
        <w:t>PSC-2022-0193-FOF-WS</w:t>
      </w:r>
      <w:r>
        <w:t xml:space="preserve">, issued May 25, 2022, in Docket No. </w:t>
      </w:r>
      <w:r w:rsidRPr="00307920">
        <w:rPr>
          <w:rFonts w:cs="Arial"/>
        </w:rPr>
        <w:t>20190168-WS</w:t>
      </w:r>
      <w:r>
        <w:t xml:space="preserve">, </w:t>
      </w:r>
      <w:r w:rsidRPr="004D5A30">
        <w:rPr>
          <w:i/>
        </w:rPr>
        <w:t xml:space="preserve">In re: </w:t>
      </w:r>
      <w:r w:rsidRPr="00777026">
        <w:rPr>
          <w:i/>
        </w:rPr>
        <w:t>Application for water and wastewater service in Duval, Baker, and Nassau Counties, by First Coast Regional Utilities,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D2CA" w14:textId="77777777" w:rsidR="00601AF8" w:rsidRDefault="00601AF8"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20240032-SU</w:t>
    </w:r>
    <w:bookmarkEnd w:id="14"/>
  </w:p>
  <w:p w14:paraId="2E26524C" w14:textId="77777777" w:rsidR="00601AF8" w:rsidRDefault="00601AF8">
    <w:pPr>
      <w:pStyle w:val="Header"/>
    </w:pPr>
    <w:r>
      <w:t xml:space="preserve">Date: </w:t>
    </w:r>
    <w:fldSimple w:instr=" REF FilingDate ">
      <w:r>
        <w:t>March 20, 2025</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9192B" w14:textId="77777777" w:rsidR="00601AF8" w:rsidRDefault="00601AF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20240032-SU</w:t>
    </w:r>
    <w:r>
      <w:fldChar w:fldCharType="end"/>
    </w:r>
    <w:r>
      <w:tab/>
      <w:t>Schedule No. 4</w:t>
    </w:r>
  </w:p>
  <w:p w14:paraId="22E746C3" w14:textId="77777777" w:rsidR="00601AF8" w:rsidRDefault="00601AF8" w:rsidP="009054ED">
    <w:pPr>
      <w:pStyle w:val="Header"/>
      <w:tabs>
        <w:tab w:val="clear" w:pos="4320"/>
        <w:tab w:val="clear" w:pos="8640"/>
        <w:tab w:val="left" w:pos="8010"/>
      </w:tabs>
    </w:pPr>
    <w:r>
      <w:t xml:space="preserve">Date: </w:t>
    </w:r>
    <w:fldSimple w:instr=" REF FilingDate ">
      <w:r>
        <w:t>March 20, 2025</w:t>
      </w:r>
    </w:fldSimple>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88707" w14:textId="77777777" w:rsidR="00601AF8" w:rsidRDefault="00601AF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20240032-SU</w:t>
    </w:r>
    <w:r>
      <w:fldChar w:fldCharType="end"/>
    </w:r>
    <w:r>
      <w:tab/>
      <w:t>Schedule No. 5</w:t>
    </w:r>
  </w:p>
  <w:p w14:paraId="6610D85B" w14:textId="77777777" w:rsidR="00601AF8" w:rsidRDefault="00601AF8" w:rsidP="009054ED">
    <w:pPr>
      <w:pStyle w:val="Header"/>
      <w:tabs>
        <w:tab w:val="clear" w:pos="4320"/>
        <w:tab w:val="clear" w:pos="8640"/>
        <w:tab w:val="left" w:pos="8010"/>
      </w:tabs>
    </w:pPr>
    <w:r>
      <w:t xml:space="preserve">Date: </w:t>
    </w:r>
    <w:fldSimple w:instr=" REF FilingDate ">
      <w:r>
        <w:t>March 20, 2025</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4B651" w14:textId="5DF0A731" w:rsidR="00601AF8" w:rsidRDefault="00601AF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20240032-SU</w:t>
    </w:r>
    <w:r>
      <w:fldChar w:fldCharType="end"/>
    </w:r>
    <w:r>
      <w:tab/>
      <w:t xml:space="preserve">Issue </w:t>
    </w:r>
    <w:fldSimple w:instr=" Seq Issue \c \* Arabic ">
      <w:r w:rsidR="00A36DD6">
        <w:rPr>
          <w:noProof/>
        </w:rPr>
        <w:t>8</w:t>
      </w:r>
    </w:fldSimple>
  </w:p>
  <w:p w14:paraId="3FB34167" w14:textId="77777777" w:rsidR="00601AF8" w:rsidRDefault="00601AF8">
    <w:pPr>
      <w:pStyle w:val="Header"/>
    </w:pPr>
    <w:r>
      <w:t xml:space="preserve">Date: </w:t>
    </w:r>
    <w:fldSimple w:instr=" REF FilingDate ">
      <w:r>
        <w:t>March 20,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2B39E" w14:textId="77777777" w:rsidR="00601AF8" w:rsidRDefault="00601A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078CE" w14:textId="77777777" w:rsidR="00601AF8" w:rsidRDefault="00601AF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20240032-SU</w:t>
    </w:r>
    <w:r>
      <w:fldChar w:fldCharType="end"/>
    </w:r>
    <w:r>
      <w:tab/>
      <w:t>Attachment A</w:t>
    </w:r>
  </w:p>
  <w:p w14:paraId="5BA73447" w14:textId="7EF8D8F9" w:rsidR="00601AF8" w:rsidRDefault="00601AF8" w:rsidP="009054ED">
    <w:pPr>
      <w:pStyle w:val="Header"/>
      <w:tabs>
        <w:tab w:val="clear" w:pos="4320"/>
        <w:tab w:val="clear" w:pos="8640"/>
        <w:tab w:val="left" w:pos="8010"/>
      </w:tabs>
    </w:pPr>
    <w:r>
      <w:t xml:space="preserve">Date: </w:t>
    </w:r>
    <w:fldSimple w:instr=" REF FilingDate ">
      <w:r>
        <w:t>March 20, 2025</w:t>
      </w:r>
    </w:fldSimple>
    <w:r>
      <w:tab/>
      <w:t xml:space="preserve">Page </w:t>
    </w:r>
    <w:r>
      <w:fldChar w:fldCharType="begin"/>
    </w:r>
    <w:r>
      <w:instrText xml:space="preserve"> =</w:instrText>
    </w:r>
    <w:r>
      <w:fldChar w:fldCharType="begin"/>
    </w:r>
    <w:r>
      <w:instrText xml:space="preserve">page </w:instrText>
    </w:r>
    <w:r>
      <w:fldChar w:fldCharType="separate"/>
    </w:r>
    <w:r w:rsidR="00A36DD6">
      <w:rPr>
        <w:noProof/>
      </w:rPr>
      <w:instrText>43</w:instrText>
    </w:r>
    <w:r>
      <w:fldChar w:fldCharType="end"/>
    </w:r>
    <w:r>
      <w:instrText xml:space="preserve">-40 </w:instrText>
    </w:r>
    <w:r>
      <w:fldChar w:fldCharType="separate"/>
    </w:r>
    <w:r w:rsidR="00A36DD6">
      <w:rPr>
        <w:noProof/>
      </w:rPr>
      <w:t>3</w:t>
    </w:r>
    <w:r>
      <w:fldChar w:fldCharType="end"/>
    </w:r>
    <w:r>
      <w:t xml:space="preserve"> of 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6E49C" w14:textId="77777777" w:rsidR="00601AF8" w:rsidRDefault="00601AF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20240032-SU</w:t>
    </w:r>
    <w:r>
      <w:fldChar w:fldCharType="end"/>
    </w:r>
    <w:r>
      <w:tab/>
      <w:t>Schedule No. 1-A</w:t>
    </w:r>
  </w:p>
  <w:p w14:paraId="11CD0659" w14:textId="77777777" w:rsidR="00601AF8" w:rsidRDefault="00601AF8" w:rsidP="009054ED">
    <w:pPr>
      <w:pStyle w:val="Header"/>
      <w:tabs>
        <w:tab w:val="clear" w:pos="4320"/>
        <w:tab w:val="clear" w:pos="8640"/>
        <w:tab w:val="left" w:pos="8010"/>
      </w:tabs>
    </w:pPr>
    <w:r>
      <w:t xml:space="preserve">Date: </w:t>
    </w:r>
    <w:fldSimple w:instr=" REF FilingDate ">
      <w:r>
        <w:t>March 20, 2025</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D92A6" w14:textId="77777777" w:rsidR="00601AF8" w:rsidRDefault="00601AF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20240032-SU</w:t>
    </w:r>
    <w:r>
      <w:fldChar w:fldCharType="end"/>
    </w:r>
    <w:r>
      <w:tab/>
      <w:t>Schedule No. 1-B</w:t>
    </w:r>
  </w:p>
  <w:p w14:paraId="14FFB610" w14:textId="77777777" w:rsidR="00601AF8" w:rsidRDefault="00601AF8" w:rsidP="009054ED">
    <w:pPr>
      <w:pStyle w:val="Header"/>
      <w:tabs>
        <w:tab w:val="clear" w:pos="4320"/>
        <w:tab w:val="clear" w:pos="8640"/>
        <w:tab w:val="left" w:pos="8010"/>
      </w:tabs>
    </w:pPr>
    <w:r>
      <w:t xml:space="preserve">Date: </w:t>
    </w:r>
    <w:fldSimple w:instr=" REF FilingDate ">
      <w:r>
        <w:t>March 20, 2025</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357A1" w14:textId="77777777" w:rsidR="00601AF8" w:rsidRDefault="00601AF8" w:rsidP="005D7828">
    <w:pPr>
      <w:pStyle w:val="Header"/>
      <w:tabs>
        <w:tab w:val="clear" w:pos="4320"/>
        <w:tab w:val="clear" w:pos="8640"/>
        <w:tab w:val="right" w:pos="1260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20240032-SU</w:t>
    </w:r>
    <w:r>
      <w:fldChar w:fldCharType="end"/>
    </w:r>
    <w:r>
      <w:tab/>
      <w:t>Schedule No. 2</w:t>
    </w:r>
  </w:p>
  <w:p w14:paraId="2A15906C" w14:textId="77777777" w:rsidR="00601AF8" w:rsidRDefault="00601AF8" w:rsidP="009054ED">
    <w:pPr>
      <w:pStyle w:val="Header"/>
      <w:tabs>
        <w:tab w:val="clear" w:pos="4320"/>
        <w:tab w:val="clear" w:pos="8640"/>
        <w:tab w:val="left" w:pos="8010"/>
      </w:tabs>
    </w:pPr>
    <w:r>
      <w:t xml:space="preserve">Date: </w:t>
    </w:r>
    <w:fldSimple w:instr=" REF FilingDate ">
      <w:r>
        <w:t>March 20, 2025</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C480E" w14:textId="77777777" w:rsidR="00601AF8" w:rsidRDefault="00601AF8" w:rsidP="005D7828">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20240032-SU</w:t>
    </w:r>
    <w:r>
      <w:fldChar w:fldCharType="end"/>
    </w:r>
    <w:r>
      <w:tab/>
      <w:t>Schedule No. 3-A</w:t>
    </w:r>
  </w:p>
  <w:p w14:paraId="3A550C04" w14:textId="77777777" w:rsidR="00601AF8" w:rsidRDefault="00601AF8" w:rsidP="005D7828">
    <w:pPr>
      <w:pStyle w:val="Header"/>
      <w:tabs>
        <w:tab w:val="clear" w:pos="4320"/>
        <w:tab w:val="clear" w:pos="8640"/>
        <w:tab w:val="left" w:pos="8010"/>
      </w:tabs>
    </w:pPr>
    <w:r>
      <w:t xml:space="preserve">Date: </w:t>
    </w:r>
    <w:fldSimple w:instr=" REF FilingDate ">
      <w:r>
        <w:t>March 20, 2025</w:t>
      </w:r>
    </w:fldSimple>
  </w:p>
  <w:p w14:paraId="6BBAC181" w14:textId="77777777" w:rsidR="00601AF8" w:rsidRPr="005D7828" w:rsidRDefault="00601AF8" w:rsidP="005D782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49208" w14:textId="77777777" w:rsidR="00601AF8" w:rsidRDefault="00601AF8" w:rsidP="005D7828">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20240032-SU</w:t>
    </w:r>
    <w:r>
      <w:fldChar w:fldCharType="end"/>
    </w:r>
    <w:r>
      <w:tab/>
      <w:t>Schedule No. 3-B</w:t>
    </w:r>
  </w:p>
  <w:p w14:paraId="62C2FA92" w14:textId="77777777" w:rsidR="00601AF8" w:rsidRDefault="00601AF8" w:rsidP="005D7828">
    <w:pPr>
      <w:pStyle w:val="Header"/>
      <w:tabs>
        <w:tab w:val="clear" w:pos="4320"/>
        <w:tab w:val="clear" w:pos="8640"/>
        <w:tab w:val="left" w:pos="8010"/>
      </w:tabs>
    </w:pPr>
    <w:r>
      <w:t xml:space="preserve">Date: </w:t>
    </w:r>
    <w:fldSimple w:instr=" REF FilingDate ">
      <w:r>
        <w:t>March 20, 2025</w:t>
      </w:r>
    </w:fldSimple>
  </w:p>
  <w:p w14:paraId="6D139FAF" w14:textId="77777777" w:rsidR="00601AF8" w:rsidRPr="005D7828" w:rsidRDefault="00601AF8" w:rsidP="005D7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150783"/>
    <w:multiLevelType w:val="hybridMultilevel"/>
    <w:tmpl w:val="DAE2BA92"/>
    <w:lvl w:ilvl="0" w:tplc="29DA1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814405"/>
    <w:multiLevelType w:val="hybridMultilevel"/>
    <w:tmpl w:val="4E7C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120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8338D"/>
    <w:rsid w:val="000043D5"/>
    <w:rsid w:val="00006170"/>
    <w:rsid w:val="00010E37"/>
    <w:rsid w:val="00014C24"/>
    <w:rsid w:val="000172DA"/>
    <w:rsid w:val="00022337"/>
    <w:rsid w:val="00023A0E"/>
    <w:rsid w:val="000247C5"/>
    <w:rsid w:val="00025E3F"/>
    <w:rsid w:val="00026DC6"/>
    <w:rsid w:val="000277C2"/>
    <w:rsid w:val="00035B48"/>
    <w:rsid w:val="00036CE2"/>
    <w:rsid w:val="00040864"/>
    <w:rsid w:val="000437FE"/>
    <w:rsid w:val="000513BE"/>
    <w:rsid w:val="00051573"/>
    <w:rsid w:val="0005451B"/>
    <w:rsid w:val="00065A06"/>
    <w:rsid w:val="000666F3"/>
    <w:rsid w:val="00070DCB"/>
    <w:rsid w:val="00071388"/>
    <w:rsid w:val="00072CCA"/>
    <w:rsid w:val="00073120"/>
    <w:rsid w:val="00074B28"/>
    <w:rsid w:val="000764D0"/>
    <w:rsid w:val="00076A15"/>
    <w:rsid w:val="000828D3"/>
    <w:rsid w:val="00082B3C"/>
    <w:rsid w:val="00097613"/>
    <w:rsid w:val="000A2B57"/>
    <w:rsid w:val="000A418B"/>
    <w:rsid w:val="000B0ACE"/>
    <w:rsid w:val="000C36E0"/>
    <w:rsid w:val="000C4431"/>
    <w:rsid w:val="000C6607"/>
    <w:rsid w:val="000C683F"/>
    <w:rsid w:val="000D1C06"/>
    <w:rsid w:val="000D3043"/>
    <w:rsid w:val="000D4319"/>
    <w:rsid w:val="000E24FA"/>
    <w:rsid w:val="000E338A"/>
    <w:rsid w:val="000E365D"/>
    <w:rsid w:val="000E4392"/>
    <w:rsid w:val="000F374A"/>
    <w:rsid w:val="000F4DAF"/>
    <w:rsid w:val="000F5C7C"/>
    <w:rsid w:val="00100036"/>
    <w:rsid w:val="00105BA1"/>
    <w:rsid w:val="001076AF"/>
    <w:rsid w:val="001109F6"/>
    <w:rsid w:val="00110E0A"/>
    <w:rsid w:val="001116A0"/>
    <w:rsid w:val="00113E49"/>
    <w:rsid w:val="001162D7"/>
    <w:rsid w:val="00116C6B"/>
    <w:rsid w:val="00117C8C"/>
    <w:rsid w:val="001239F0"/>
    <w:rsid w:val="00124C38"/>
    <w:rsid w:val="00124E2E"/>
    <w:rsid w:val="00125ED4"/>
    <w:rsid w:val="001303BF"/>
    <w:rsid w:val="001305E9"/>
    <w:rsid w:val="001307AF"/>
    <w:rsid w:val="0013347E"/>
    <w:rsid w:val="00135687"/>
    <w:rsid w:val="00136BD1"/>
    <w:rsid w:val="001410C7"/>
    <w:rsid w:val="001439AD"/>
    <w:rsid w:val="001466AF"/>
    <w:rsid w:val="00146B5D"/>
    <w:rsid w:val="001502E4"/>
    <w:rsid w:val="00150ECE"/>
    <w:rsid w:val="00154699"/>
    <w:rsid w:val="0015506E"/>
    <w:rsid w:val="00163031"/>
    <w:rsid w:val="001654C4"/>
    <w:rsid w:val="00171A90"/>
    <w:rsid w:val="00180254"/>
    <w:rsid w:val="00184879"/>
    <w:rsid w:val="00186B2F"/>
    <w:rsid w:val="00191E1F"/>
    <w:rsid w:val="00191EE8"/>
    <w:rsid w:val="00192943"/>
    <w:rsid w:val="00193BAF"/>
    <w:rsid w:val="00194791"/>
    <w:rsid w:val="001A4D1C"/>
    <w:rsid w:val="001A7406"/>
    <w:rsid w:val="001A7AE4"/>
    <w:rsid w:val="001B1EDC"/>
    <w:rsid w:val="001B3642"/>
    <w:rsid w:val="001B4053"/>
    <w:rsid w:val="001B4FEE"/>
    <w:rsid w:val="001B51C5"/>
    <w:rsid w:val="001B672A"/>
    <w:rsid w:val="001B6F3F"/>
    <w:rsid w:val="001C52B5"/>
    <w:rsid w:val="001D0C4D"/>
    <w:rsid w:val="001D0D3E"/>
    <w:rsid w:val="001D2817"/>
    <w:rsid w:val="001D2899"/>
    <w:rsid w:val="001E14A3"/>
    <w:rsid w:val="001E390F"/>
    <w:rsid w:val="001E6916"/>
    <w:rsid w:val="001E6D16"/>
    <w:rsid w:val="001E7FF4"/>
    <w:rsid w:val="001F2245"/>
    <w:rsid w:val="001F2C63"/>
    <w:rsid w:val="001F38D0"/>
    <w:rsid w:val="001F48C7"/>
    <w:rsid w:val="001F6DA1"/>
    <w:rsid w:val="00200178"/>
    <w:rsid w:val="00202509"/>
    <w:rsid w:val="00204200"/>
    <w:rsid w:val="002044E6"/>
    <w:rsid w:val="00205C82"/>
    <w:rsid w:val="00205DC2"/>
    <w:rsid w:val="00212B17"/>
    <w:rsid w:val="00216352"/>
    <w:rsid w:val="002163B6"/>
    <w:rsid w:val="00217215"/>
    <w:rsid w:val="00220732"/>
    <w:rsid w:val="0022121F"/>
    <w:rsid w:val="00221D32"/>
    <w:rsid w:val="00222AC1"/>
    <w:rsid w:val="00225C3F"/>
    <w:rsid w:val="00240846"/>
    <w:rsid w:val="00263D44"/>
    <w:rsid w:val="002702AD"/>
    <w:rsid w:val="00281EB4"/>
    <w:rsid w:val="00292D82"/>
    <w:rsid w:val="00293EE7"/>
    <w:rsid w:val="002963CB"/>
    <w:rsid w:val="002A1F55"/>
    <w:rsid w:val="002B2DAC"/>
    <w:rsid w:val="002B4A01"/>
    <w:rsid w:val="002B7919"/>
    <w:rsid w:val="002B7ABC"/>
    <w:rsid w:val="002C0491"/>
    <w:rsid w:val="002C291B"/>
    <w:rsid w:val="002C6611"/>
    <w:rsid w:val="002C746A"/>
    <w:rsid w:val="002C7E4E"/>
    <w:rsid w:val="002D226D"/>
    <w:rsid w:val="002D253B"/>
    <w:rsid w:val="002D73C6"/>
    <w:rsid w:val="002D74E3"/>
    <w:rsid w:val="002E7829"/>
    <w:rsid w:val="002F6030"/>
    <w:rsid w:val="003001AC"/>
    <w:rsid w:val="003037E1"/>
    <w:rsid w:val="0030726F"/>
    <w:rsid w:val="00307920"/>
    <w:rsid w:val="00307E51"/>
    <w:rsid w:val="003103EC"/>
    <w:rsid w:val="00312132"/>
    <w:rsid w:val="003130BA"/>
    <w:rsid w:val="003144EF"/>
    <w:rsid w:val="0031480E"/>
    <w:rsid w:val="00316877"/>
    <w:rsid w:val="00322F74"/>
    <w:rsid w:val="00325E15"/>
    <w:rsid w:val="003267E4"/>
    <w:rsid w:val="00330377"/>
    <w:rsid w:val="00330728"/>
    <w:rsid w:val="00340073"/>
    <w:rsid w:val="003411D8"/>
    <w:rsid w:val="003445B0"/>
    <w:rsid w:val="00347C71"/>
    <w:rsid w:val="00353B66"/>
    <w:rsid w:val="0035512F"/>
    <w:rsid w:val="00355934"/>
    <w:rsid w:val="00357928"/>
    <w:rsid w:val="003632FD"/>
    <w:rsid w:val="00363E2B"/>
    <w:rsid w:val="00370F78"/>
    <w:rsid w:val="00372805"/>
    <w:rsid w:val="00373180"/>
    <w:rsid w:val="00375AB9"/>
    <w:rsid w:val="0037691E"/>
    <w:rsid w:val="003821A0"/>
    <w:rsid w:val="00385B04"/>
    <w:rsid w:val="003864CF"/>
    <w:rsid w:val="003948AE"/>
    <w:rsid w:val="00394DF1"/>
    <w:rsid w:val="003A08C0"/>
    <w:rsid w:val="003A22A6"/>
    <w:rsid w:val="003A32EB"/>
    <w:rsid w:val="003A5494"/>
    <w:rsid w:val="003B2510"/>
    <w:rsid w:val="003B4355"/>
    <w:rsid w:val="003B6387"/>
    <w:rsid w:val="003C1939"/>
    <w:rsid w:val="003C2CC4"/>
    <w:rsid w:val="003C3710"/>
    <w:rsid w:val="003C42A3"/>
    <w:rsid w:val="003C48F7"/>
    <w:rsid w:val="003D663A"/>
    <w:rsid w:val="003E0027"/>
    <w:rsid w:val="003E0463"/>
    <w:rsid w:val="003E0EFC"/>
    <w:rsid w:val="003E1E95"/>
    <w:rsid w:val="003E4A2B"/>
    <w:rsid w:val="003E6FE9"/>
    <w:rsid w:val="003E76C2"/>
    <w:rsid w:val="003F1367"/>
    <w:rsid w:val="003F1679"/>
    <w:rsid w:val="003F21EB"/>
    <w:rsid w:val="003F4A35"/>
    <w:rsid w:val="003F5F03"/>
    <w:rsid w:val="003F7FDD"/>
    <w:rsid w:val="00402101"/>
    <w:rsid w:val="00402481"/>
    <w:rsid w:val="004042B4"/>
    <w:rsid w:val="0040593B"/>
    <w:rsid w:val="00410DC4"/>
    <w:rsid w:val="00412DAE"/>
    <w:rsid w:val="0041302D"/>
    <w:rsid w:val="004242E6"/>
    <w:rsid w:val="00427B35"/>
    <w:rsid w:val="00431598"/>
    <w:rsid w:val="004319AD"/>
    <w:rsid w:val="00433F0A"/>
    <w:rsid w:val="00437EEF"/>
    <w:rsid w:val="00442574"/>
    <w:rsid w:val="004426B8"/>
    <w:rsid w:val="00444432"/>
    <w:rsid w:val="00447D5C"/>
    <w:rsid w:val="00450202"/>
    <w:rsid w:val="004502B2"/>
    <w:rsid w:val="00455499"/>
    <w:rsid w:val="004649A7"/>
    <w:rsid w:val="004708E3"/>
    <w:rsid w:val="00471860"/>
    <w:rsid w:val="00477026"/>
    <w:rsid w:val="00477730"/>
    <w:rsid w:val="0048338D"/>
    <w:rsid w:val="004A744D"/>
    <w:rsid w:val="004B60BD"/>
    <w:rsid w:val="004C3150"/>
    <w:rsid w:val="004C3641"/>
    <w:rsid w:val="004C3873"/>
    <w:rsid w:val="004C4390"/>
    <w:rsid w:val="004C4AF7"/>
    <w:rsid w:val="004C7501"/>
    <w:rsid w:val="004D020C"/>
    <w:rsid w:val="004D2575"/>
    <w:rsid w:val="004D2881"/>
    <w:rsid w:val="004D2D7D"/>
    <w:rsid w:val="004D385F"/>
    <w:rsid w:val="004D5B39"/>
    <w:rsid w:val="004D7976"/>
    <w:rsid w:val="004E0CEA"/>
    <w:rsid w:val="004E330D"/>
    <w:rsid w:val="004E4985"/>
    <w:rsid w:val="004E5147"/>
    <w:rsid w:val="004E69B5"/>
    <w:rsid w:val="004F1814"/>
    <w:rsid w:val="004F50D1"/>
    <w:rsid w:val="004F5C43"/>
    <w:rsid w:val="005050A2"/>
    <w:rsid w:val="00506030"/>
    <w:rsid w:val="0050652D"/>
    <w:rsid w:val="00506C03"/>
    <w:rsid w:val="00511A11"/>
    <w:rsid w:val="00516496"/>
    <w:rsid w:val="00522E7D"/>
    <w:rsid w:val="00523B11"/>
    <w:rsid w:val="0052455B"/>
    <w:rsid w:val="0052572A"/>
    <w:rsid w:val="00532246"/>
    <w:rsid w:val="00532DFB"/>
    <w:rsid w:val="00536F0C"/>
    <w:rsid w:val="00543CB3"/>
    <w:rsid w:val="005442E4"/>
    <w:rsid w:val="00547652"/>
    <w:rsid w:val="0055118C"/>
    <w:rsid w:val="0055529B"/>
    <w:rsid w:val="005555C8"/>
    <w:rsid w:val="00560FF0"/>
    <w:rsid w:val="005614BD"/>
    <w:rsid w:val="005624CF"/>
    <w:rsid w:val="00570A0E"/>
    <w:rsid w:val="0057154F"/>
    <w:rsid w:val="00580F69"/>
    <w:rsid w:val="005810C0"/>
    <w:rsid w:val="00581CA3"/>
    <w:rsid w:val="00585031"/>
    <w:rsid w:val="00586E8B"/>
    <w:rsid w:val="00587090"/>
    <w:rsid w:val="00587A44"/>
    <w:rsid w:val="00597730"/>
    <w:rsid w:val="005977EC"/>
    <w:rsid w:val="00597DE7"/>
    <w:rsid w:val="005A1CD3"/>
    <w:rsid w:val="005A221A"/>
    <w:rsid w:val="005A4AA2"/>
    <w:rsid w:val="005B34B6"/>
    <w:rsid w:val="005B606A"/>
    <w:rsid w:val="005B6700"/>
    <w:rsid w:val="005B6C8F"/>
    <w:rsid w:val="005B6EC3"/>
    <w:rsid w:val="005C17D7"/>
    <w:rsid w:val="005C33CE"/>
    <w:rsid w:val="005C53E6"/>
    <w:rsid w:val="005D0F74"/>
    <w:rsid w:val="005D1430"/>
    <w:rsid w:val="005D2E7D"/>
    <w:rsid w:val="005D413B"/>
    <w:rsid w:val="005D4A8F"/>
    <w:rsid w:val="005D561B"/>
    <w:rsid w:val="005D578F"/>
    <w:rsid w:val="005D5ECF"/>
    <w:rsid w:val="005D7828"/>
    <w:rsid w:val="005E2EDA"/>
    <w:rsid w:val="005F468D"/>
    <w:rsid w:val="005F69A3"/>
    <w:rsid w:val="00601AF8"/>
    <w:rsid w:val="00604CC7"/>
    <w:rsid w:val="00611BD5"/>
    <w:rsid w:val="00612E43"/>
    <w:rsid w:val="00613441"/>
    <w:rsid w:val="00615423"/>
    <w:rsid w:val="006165B2"/>
    <w:rsid w:val="00617276"/>
    <w:rsid w:val="00622195"/>
    <w:rsid w:val="0062527B"/>
    <w:rsid w:val="006254B5"/>
    <w:rsid w:val="00625D97"/>
    <w:rsid w:val="00625F1C"/>
    <w:rsid w:val="0062658E"/>
    <w:rsid w:val="006279E1"/>
    <w:rsid w:val="00630CEB"/>
    <w:rsid w:val="00632264"/>
    <w:rsid w:val="006355F2"/>
    <w:rsid w:val="0064479E"/>
    <w:rsid w:val="00646E5C"/>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1F06"/>
    <w:rsid w:val="00693EA1"/>
    <w:rsid w:val="0069636F"/>
    <w:rsid w:val="00696F5D"/>
    <w:rsid w:val="00697249"/>
    <w:rsid w:val="006A06F3"/>
    <w:rsid w:val="006A1A67"/>
    <w:rsid w:val="006A6634"/>
    <w:rsid w:val="006B09C4"/>
    <w:rsid w:val="006B3947"/>
    <w:rsid w:val="006B4293"/>
    <w:rsid w:val="006B624F"/>
    <w:rsid w:val="006C0C95"/>
    <w:rsid w:val="006C31E3"/>
    <w:rsid w:val="006D18D3"/>
    <w:rsid w:val="006D1EE9"/>
    <w:rsid w:val="006D3BD1"/>
    <w:rsid w:val="006D4257"/>
    <w:rsid w:val="006D7E29"/>
    <w:rsid w:val="006E010E"/>
    <w:rsid w:val="006E08CB"/>
    <w:rsid w:val="006E598D"/>
    <w:rsid w:val="0070437D"/>
    <w:rsid w:val="00704CF1"/>
    <w:rsid w:val="0070514A"/>
    <w:rsid w:val="00705B04"/>
    <w:rsid w:val="0071040E"/>
    <w:rsid w:val="00717EE9"/>
    <w:rsid w:val="00721A09"/>
    <w:rsid w:val="00724992"/>
    <w:rsid w:val="00724F64"/>
    <w:rsid w:val="00727F90"/>
    <w:rsid w:val="00734820"/>
    <w:rsid w:val="007349DC"/>
    <w:rsid w:val="00735927"/>
    <w:rsid w:val="0074365E"/>
    <w:rsid w:val="0074383B"/>
    <w:rsid w:val="00744B55"/>
    <w:rsid w:val="00747339"/>
    <w:rsid w:val="007515FD"/>
    <w:rsid w:val="00760D80"/>
    <w:rsid w:val="00761CB4"/>
    <w:rsid w:val="007642F4"/>
    <w:rsid w:val="007758A0"/>
    <w:rsid w:val="007801FE"/>
    <w:rsid w:val="00780C09"/>
    <w:rsid w:val="00780DDF"/>
    <w:rsid w:val="007834E9"/>
    <w:rsid w:val="00787DBC"/>
    <w:rsid w:val="0079019A"/>
    <w:rsid w:val="00792935"/>
    <w:rsid w:val="007A04A1"/>
    <w:rsid w:val="007A1840"/>
    <w:rsid w:val="007A1D00"/>
    <w:rsid w:val="007A3A53"/>
    <w:rsid w:val="007B730C"/>
    <w:rsid w:val="007B7D73"/>
    <w:rsid w:val="007C0528"/>
    <w:rsid w:val="007C08EA"/>
    <w:rsid w:val="007C3D38"/>
    <w:rsid w:val="007C7243"/>
    <w:rsid w:val="007D0F35"/>
    <w:rsid w:val="007D1783"/>
    <w:rsid w:val="007D4546"/>
    <w:rsid w:val="007D4FEB"/>
    <w:rsid w:val="007D6146"/>
    <w:rsid w:val="007E0CE7"/>
    <w:rsid w:val="007F1193"/>
    <w:rsid w:val="007F417F"/>
    <w:rsid w:val="007F4F02"/>
    <w:rsid w:val="007F7644"/>
    <w:rsid w:val="008042BD"/>
    <w:rsid w:val="00804E17"/>
    <w:rsid w:val="008050B3"/>
    <w:rsid w:val="00812283"/>
    <w:rsid w:val="00816624"/>
    <w:rsid w:val="00822427"/>
    <w:rsid w:val="00822562"/>
    <w:rsid w:val="00823663"/>
    <w:rsid w:val="00823664"/>
    <w:rsid w:val="008305B7"/>
    <w:rsid w:val="00832DDC"/>
    <w:rsid w:val="00834321"/>
    <w:rsid w:val="008426B0"/>
    <w:rsid w:val="008431BB"/>
    <w:rsid w:val="00845E34"/>
    <w:rsid w:val="00850BAC"/>
    <w:rsid w:val="00854A3E"/>
    <w:rsid w:val="00855D08"/>
    <w:rsid w:val="008618A4"/>
    <w:rsid w:val="0086304E"/>
    <w:rsid w:val="008731AB"/>
    <w:rsid w:val="00874344"/>
    <w:rsid w:val="0087505D"/>
    <w:rsid w:val="00877703"/>
    <w:rsid w:val="00882155"/>
    <w:rsid w:val="0088233B"/>
    <w:rsid w:val="0088599E"/>
    <w:rsid w:val="008859EF"/>
    <w:rsid w:val="00886C37"/>
    <w:rsid w:val="008915FC"/>
    <w:rsid w:val="00892D99"/>
    <w:rsid w:val="00893315"/>
    <w:rsid w:val="00894C09"/>
    <w:rsid w:val="008B5C68"/>
    <w:rsid w:val="008B62AE"/>
    <w:rsid w:val="008C0246"/>
    <w:rsid w:val="008C04B5"/>
    <w:rsid w:val="008C14FA"/>
    <w:rsid w:val="008C7B0B"/>
    <w:rsid w:val="008D4057"/>
    <w:rsid w:val="008D44E5"/>
    <w:rsid w:val="008D4847"/>
    <w:rsid w:val="008E1F19"/>
    <w:rsid w:val="008F2262"/>
    <w:rsid w:val="008F4D2B"/>
    <w:rsid w:val="008F5B91"/>
    <w:rsid w:val="008F6E98"/>
    <w:rsid w:val="008F7736"/>
    <w:rsid w:val="0090019E"/>
    <w:rsid w:val="00900435"/>
    <w:rsid w:val="00901086"/>
    <w:rsid w:val="00901C8A"/>
    <w:rsid w:val="009026A8"/>
    <w:rsid w:val="00902F66"/>
    <w:rsid w:val="00904F3B"/>
    <w:rsid w:val="009054ED"/>
    <w:rsid w:val="00905886"/>
    <w:rsid w:val="009070D6"/>
    <w:rsid w:val="009076C6"/>
    <w:rsid w:val="0091019E"/>
    <w:rsid w:val="009106F1"/>
    <w:rsid w:val="00912404"/>
    <w:rsid w:val="00912D77"/>
    <w:rsid w:val="00912E26"/>
    <w:rsid w:val="00913EC8"/>
    <w:rsid w:val="009145D6"/>
    <w:rsid w:val="00915541"/>
    <w:rsid w:val="00920E64"/>
    <w:rsid w:val="00922002"/>
    <w:rsid w:val="009225CB"/>
    <w:rsid w:val="00924020"/>
    <w:rsid w:val="00924BF4"/>
    <w:rsid w:val="009271A7"/>
    <w:rsid w:val="0092762F"/>
    <w:rsid w:val="0093396B"/>
    <w:rsid w:val="0093658B"/>
    <w:rsid w:val="009429FF"/>
    <w:rsid w:val="009444D1"/>
    <w:rsid w:val="00945BD6"/>
    <w:rsid w:val="009479FB"/>
    <w:rsid w:val="00951C45"/>
    <w:rsid w:val="00951DD8"/>
    <w:rsid w:val="009656F2"/>
    <w:rsid w:val="00966A08"/>
    <w:rsid w:val="009701B7"/>
    <w:rsid w:val="00971207"/>
    <w:rsid w:val="00975CB4"/>
    <w:rsid w:val="00977B0C"/>
    <w:rsid w:val="00981AAD"/>
    <w:rsid w:val="009863B0"/>
    <w:rsid w:val="00987DE1"/>
    <w:rsid w:val="00990571"/>
    <w:rsid w:val="00991905"/>
    <w:rsid w:val="009926B2"/>
    <w:rsid w:val="00994122"/>
    <w:rsid w:val="0099673A"/>
    <w:rsid w:val="009A22A4"/>
    <w:rsid w:val="009A3291"/>
    <w:rsid w:val="009A3330"/>
    <w:rsid w:val="009A3E0E"/>
    <w:rsid w:val="009A409C"/>
    <w:rsid w:val="009A548F"/>
    <w:rsid w:val="009A7C96"/>
    <w:rsid w:val="009B3A88"/>
    <w:rsid w:val="009B61BF"/>
    <w:rsid w:val="009B7653"/>
    <w:rsid w:val="009C3253"/>
    <w:rsid w:val="009C3DB9"/>
    <w:rsid w:val="009C5968"/>
    <w:rsid w:val="009C6B8C"/>
    <w:rsid w:val="009D014E"/>
    <w:rsid w:val="009D0436"/>
    <w:rsid w:val="009D40CD"/>
    <w:rsid w:val="009D46E5"/>
    <w:rsid w:val="009D568A"/>
    <w:rsid w:val="009E36A0"/>
    <w:rsid w:val="009E4E86"/>
    <w:rsid w:val="009F04EC"/>
    <w:rsid w:val="009F2A7C"/>
    <w:rsid w:val="009F3B36"/>
    <w:rsid w:val="00A019B9"/>
    <w:rsid w:val="00A03157"/>
    <w:rsid w:val="00A11756"/>
    <w:rsid w:val="00A11F62"/>
    <w:rsid w:val="00A12497"/>
    <w:rsid w:val="00A12508"/>
    <w:rsid w:val="00A1282B"/>
    <w:rsid w:val="00A13A27"/>
    <w:rsid w:val="00A15B7C"/>
    <w:rsid w:val="00A175B6"/>
    <w:rsid w:val="00A21835"/>
    <w:rsid w:val="00A2374B"/>
    <w:rsid w:val="00A23AAB"/>
    <w:rsid w:val="00A27D6E"/>
    <w:rsid w:val="00A328EC"/>
    <w:rsid w:val="00A33A51"/>
    <w:rsid w:val="00A36DD6"/>
    <w:rsid w:val="00A41CA6"/>
    <w:rsid w:val="00A42419"/>
    <w:rsid w:val="00A431ED"/>
    <w:rsid w:val="00A47927"/>
    <w:rsid w:val="00A47FFC"/>
    <w:rsid w:val="00A51CA9"/>
    <w:rsid w:val="00A53D58"/>
    <w:rsid w:val="00A5442F"/>
    <w:rsid w:val="00A54FF9"/>
    <w:rsid w:val="00A56765"/>
    <w:rsid w:val="00A57404"/>
    <w:rsid w:val="00A62AFE"/>
    <w:rsid w:val="00A65759"/>
    <w:rsid w:val="00A675AC"/>
    <w:rsid w:val="00A7097D"/>
    <w:rsid w:val="00A7581F"/>
    <w:rsid w:val="00A81274"/>
    <w:rsid w:val="00A8322C"/>
    <w:rsid w:val="00A86ACA"/>
    <w:rsid w:val="00A92439"/>
    <w:rsid w:val="00A92FB1"/>
    <w:rsid w:val="00A95980"/>
    <w:rsid w:val="00A95A0C"/>
    <w:rsid w:val="00A96E52"/>
    <w:rsid w:val="00AA2765"/>
    <w:rsid w:val="00AA77B5"/>
    <w:rsid w:val="00AB514C"/>
    <w:rsid w:val="00AB6C5D"/>
    <w:rsid w:val="00AC3401"/>
    <w:rsid w:val="00AC51A7"/>
    <w:rsid w:val="00AC603B"/>
    <w:rsid w:val="00AD0E89"/>
    <w:rsid w:val="00AD175B"/>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4A29"/>
    <w:rsid w:val="00B0580E"/>
    <w:rsid w:val="00B05B51"/>
    <w:rsid w:val="00B143D8"/>
    <w:rsid w:val="00B14E5A"/>
    <w:rsid w:val="00B15370"/>
    <w:rsid w:val="00B16DA4"/>
    <w:rsid w:val="00B17BEB"/>
    <w:rsid w:val="00B21A3C"/>
    <w:rsid w:val="00B223C0"/>
    <w:rsid w:val="00B22901"/>
    <w:rsid w:val="00B234ED"/>
    <w:rsid w:val="00B249B2"/>
    <w:rsid w:val="00B25CA3"/>
    <w:rsid w:val="00B2765A"/>
    <w:rsid w:val="00B303D5"/>
    <w:rsid w:val="00B3109A"/>
    <w:rsid w:val="00B32D37"/>
    <w:rsid w:val="00B35322"/>
    <w:rsid w:val="00B41AA8"/>
    <w:rsid w:val="00B42B45"/>
    <w:rsid w:val="00B43AA9"/>
    <w:rsid w:val="00B516ED"/>
    <w:rsid w:val="00B565DA"/>
    <w:rsid w:val="00B57A6A"/>
    <w:rsid w:val="00B61E0C"/>
    <w:rsid w:val="00B62D0D"/>
    <w:rsid w:val="00B63518"/>
    <w:rsid w:val="00B72E42"/>
    <w:rsid w:val="00B75215"/>
    <w:rsid w:val="00B75AF0"/>
    <w:rsid w:val="00B760F1"/>
    <w:rsid w:val="00B7669E"/>
    <w:rsid w:val="00B76EBB"/>
    <w:rsid w:val="00B77DA1"/>
    <w:rsid w:val="00B822A0"/>
    <w:rsid w:val="00B82F85"/>
    <w:rsid w:val="00B858AE"/>
    <w:rsid w:val="00B85964"/>
    <w:rsid w:val="00B91104"/>
    <w:rsid w:val="00B92735"/>
    <w:rsid w:val="00B96250"/>
    <w:rsid w:val="00BA0D55"/>
    <w:rsid w:val="00BA1B96"/>
    <w:rsid w:val="00BA37B3"/>
    <w:rsid w:val="00BA4CC6"/>
    <w:rsid w:val="00BA53D7"/>
    <w:rsid w:val="00BA7F46"/>
    <w:rsid w:val="00BB0F1D"/>
    <w:rsid w:val="00BB3493"/>
    <w:rsid w:val="00BB6E4C"/>
    <w:rsid w:val="00BB7468"/>
    <w:rsid w:val="00BC0514"/>
    <w:rsid w:val="00BC188A"/>
    <w:rsid w:val="00BC402E"/>
    <w:rsid w:val="00BC5236"/>
    <w:rsid w:val="00BC70C6"/>
    <w:rsid w:val="00BD0F48"/>
    <w:rsid w:val="00BD14E5"/>
    <w:rsid w:val="00BE0E50"/>
    <w:rsid w:val="00BE4997"/>
    <w:rsid w:val="00BE6DDB"/>
    <w:rsid w:val="00BE736B"/>
    <w:rsid w:val="00BE7F28"/>
    <w:rsid w:val="00BF03E0"/>
    <w:rsid w:val="00BF5010"/>
    <w:rsid w:val="00C03009"/>
    <w:rsid w:val="00C03D5F"/>
    <w:rsid w:val="00C13791"/>
    <w:rsid w:val="00C13FFD"/>
    <w:rsid w:val="00C210BD"/>
    <w:rsid w:val="00C21533"/>
    <w:rsid w:val="00C23765"/>
    <w:rsid w:val="00C2575A"/>
    <w:rsid w:val="00C31BB3"/>
    <w:rsid w:val="00C36977"/>
    <w:rsid w:val="00C37BDF"/>
    <w:rsid w:val="00C403A1"/>
    <w:rsid w:val="00C46628"/>
    <w:rsid w:val="00C467DA"/>
    <w:rsid w:val="00C477D9"/>
    <w:rsid w:val="00C5415F"/>
    <w:rsid w:val="00C57869"/>
    <w:rsid w:val="00C60BA3"/>
    <w:rsid w:val="00C623F7"/>
    <w:rsid w:val="00C62A81"/>
    <w:rsid w:val="00C67CD7"/>
    <w:rsid w:val="00C71E00"/>
    <w:rsid w:val="00C75BC5"/>
    <w:rsid w:val="00C75F91"/>
    <w:rsid w:val="00C8104D"/>
    <w:rsid w:val="00C81670"/>
    <w:rsid w:val="00C81773"/>
    <w:rsid w:val="00C82861"/>
    <w:rsid w:val="00C86896"/>
    <w:rsid w:val="00C907A8"/>
    <w:rsid w:val="00C91670"/>
    <w:rsid w:val="00C92F03"/>
    <w:rsid w:val="00C93211"/>
    <w:rsid w:val="00C93DB8"/>
    <w:rsid w:val="00C942EC"/>
    <w:rsid w:val="00C96047"/>
    <w:rsid w:val="00C979D0"/>
    <w:rsid w:val="00CA0818"/>
    <w:rsid w:val="00CA15C8"/>
    <w:rsid w:val="00CA2C8F"/>
    <w:rsid w:val="00CA30DA"/>
    <w:rsid w:val="00CA3A24"/>
    <w:rsid w:val="00CB1777"/>
    <w:rsid w:val="00CB33E9"/>
    <w:rsid w:val="00CC10A9"/>
    <w:rsid w:val="00CC5A6D"/>
    <w:rsid w:val="00CD0655"/>
    <w:rsid w:val="00CE126D"/>
    <w:rsid w:val="00CE2BF8"/>
    <w:rsid w:val="00CE484E"/>
    <w:rsid w:val="00CE4D20"/>
    <w:rsid w:val="00CE656F"/>
    <w:rsid w:val="00CF0DA8"/>
    <w:rsid w:val="00CF2E25"/>
    <w:rsid w:val="00CF4453"/>
    <w:rsid w:val="00CF5589"/>
    <w:rsid w:val="00CF5D94"/>
    <w:rsid w:val="00CF7E0F"/>
    <w:rsid w:val="00D00893"/>
    <w:rsid w:val="00D027BB"/>
    <w:rsid w:val="00D034D7"/>
    <w:rsid w:val="00D04BE4"/>
    <w:rsid w:val="00D06FC7"/>
    <w:rsid w:val="00D07847"/>
    <w:rsid w:val="00D102BA"/>
    <w:rsid w:val="00D10820"/>
    <w:rsid w:val="00D12565"/>
    <w:rsid w:val="00D12EEE"/>
    <w:rsid w:val="00D140C1"/>
    <w:rsid w:val="00D14127"/>
    <w:rsid w:val="00D22D26"/>
    <w:rsid w:val="00D2418A"/>
    <w:rsid w:val="00D27652"/>
    <w:rsid w:val="00D43E83"/>
    <w:rsid w:val="00D457CD"/>
    <w:rsid w:val="00D479AE"/>
    <w:rsid w:val="00D50FCD"/>
    <w:rsid w:val="00D533E3"/>
    <w:rsid w:val="00D56503"/>
    <w:rsid w:val="00D57C7C"/>
    <w:rsid w:val="00D60B16"/>
    <w:rsid w:val="00D60F02"/>
    <w:rsid w:val="00D646FD"/>
    <w:rsid w:val="00D66E49"/>
    <w:rsid w:val="00D6777E"/>
    <w:rsid w:val="00D70D71"/>
    <w:rsid w:val="00D72F74"/>
    <w:rsid w:val="00D72FD8"/>
    <w:rsid w:val="00D75077"/>
    <w:rsid w:val="00D81563"/>
    <w:rsid w:val="00D837C1"/>
    <w:rsid w:val="00D85907"/>
    <w:rsid w:val="00D860AC"/>
    <w:rsid w:val="00D86E8C"/>
    <w:rsid w:val="00D9073E"/>
    <w:rsid w:val="00D9221D"/>
    <w:rsid w:val="00D9253C"/>
    <w:rsid w:val="00D958DF"/>
    <w:rsid w:val="00D96DA1"/>
    <w:rsid w:val="00DA51E7"/>
    <w:rsid w:val="00DB0260"/>
    <w:rsid w:val="00DB1C78"/>
    <w:rsid w:val="00DB7D96"/>
    <w:rsid w:val="00DC08D6"/>
    <w:rsid w:val="00DC23FE"/>
    <w:rsid w:val="00DC59E6"/>
    <w:rsid w:val="00DC5A0F"/>
    <w:rsid w:val="00DC7D32"/>
    <w:rsid w:val="00DD150B"/>
    <w:rsid w:val="00DD3356"/>
    <w:rsid w:val="00DD5025"/>
    <w:rsid w:val="00DD5464"/>
    <w:rsid w:val="00DD5ACD"/>
    <w:rsid w:val="00DD6F85"/>
    <w:rsid w:val="00DE106C"/>
    <w:rsid w:val="00DE254E"/>
    <w:rsid w:val="00DE32C0"/>
    <w:rsid w:val="00DE43FD"/>
    <w:rsid w:val="00DE76A7"/>
    <w:rsid w:val="00DF1510"/>
    <w:rsid w:val="00DF5843"/>
    <w:rsid w:val="00DF7FAA"/>
    <w:rsid w:val="00E013F3"/>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42014"/>
    <w:rsid w:val="00E420CD"/>
    <w:rsid w:val="00E5364F"/>
    <w:rsid w:val="00E53CDE"/>
    <w:rsid w:val="00E54531"/>
    <w:rsid w:val="00E567E8"/>
    <w:rsid w:val="00E6023C"/>
    <w:rsid w:val="00E61A85"/>
    <w:rsid w:val="00E62975"/>
    <w:rsid w:val="00E63766"/>
    <w:rsid w:val="00E64679"/>
    <w:rsid w:val="00E65EBC"/>
    <w:rsid w:val="00E6602E"/>
    <w:rsid w:val="00E677FE"/>
    <w:rsid w:val="00E73432"/>
    <w:rsid w:val="00E77B0C"/>
    <w:rsid w:val="00E77FB8"/>
    <w:rsid w:val="00E838B0"/>
    <w:rsid w:val="00E86A7C"/>
    <w:rsid w:val="00E878E1"/>
    <w:rsid w:val="00E87D28"/>
    <w:rsid w:val="00E87F2C"/>
    <w:rsid w:val="00E91CD0"/>
    <w:rsid w:val="00E92C8B"/>
    <w:rsid w:val="00E95278"/>
    <w:rsid w:val="00E95E15"/>
    <w:rsid w:val="00E96A42"/>
    <w:rsid w:val="00EA2273"/>
    <w:rsid w:val="00EA3484"/>
    <w:rsid w:val="00EA7C3C"/>
    <w:rsid w:val="00EB2DB3"/>
    <w:rsid w:val="00EC3FBB"/>
    <w:rsid w:val="00EC4CE0"/>
    <w:rsid w:val="00EC5C25"/>
    <w:rsid w:val="00EC6B7A"/>
    <w:rsid w:val="00ED3A87"/>
    <w:rsid w:val="00ED5B67"/>
    <w:rsid w:val="00EE1A5C"/>
    <w:rsid w:val="00EE2A0B"/>
    <w:rsid w:val="00EE5F5A"/>
    <w:rsid w:val="00EF264C"/>
    <w:rsid w:val="00EF3FEE"/>
    <w:rsid w:val="00EF6B41"/>
    <w:rsid w:val="00EF7C92"/>
    <w:rsid w:val="00F011D5"/>
    <w:rsid w:val="00F04155"/>
    <w:rsid w:val="00F04B59"/>
    <w:rsid w:val="00F07B69"/>
    <w:rsid w:val="00F11741"/>
    <w:rsid w:val="00F117B0"/>
    <w:rsid w:val="00F125BD"/>
    <w:rsid w:val="00F12B1C"/>
    <w:rsid w:val="00F13CF5"/>
    <w:rsid w:val="00F13CF8"/>
    <w:rsid w:val="00F15855"/>
    <w:rsid w:val="00F200B2"/>
    <w:rsid w:val="00F227DC"/>
    <w:rsid w:val="00F263B9"/>
    <w:rsid w:val="00F2753F"/>
    <w:rsid w:val="00F30701"/>
    <w:rsid w:val="00F32978"/>
    <w:rsid w:val="00F37B52"/>
    <w:rsid w:val="00F45CB2"/>
    <w:rsid w:val="00F511F3"/>
    <w:rsid w:val="00F544C0"/>
    <w:rsid w:val="00F55332"/>
    <w:rsid w:val="00F55C46"/>
    <w:rsid w:val="00F6156E"/>
    <w:rsid w:val="00F62213"/>
    <w:rsid w:val="00F63710"/>
    <w:rsid w:val="00F6504A"/>
    <w:rsid w:val="00F65519"/>
    <w:rsid w:val="00F66CF9"/>
    <w:rsid w:val="00F66D9F"/>
    <w:rsid w:val="00F713C0"/>
    <w:rsid w:val="00F75DDC"/>
    <w:rsid w:val="00F7792F"/>
    <w:rsid w:val="00F80B0A"/>
    <w:rsid w:val="00F84161"/>
    <w:rsid w:val="00F842AA"/>
    <w:rsid w:val="00F8476F"/>
    <w:rsid w:val="00F853E1"/>
    <w:rsid w:val="00F85604"/>
    <w:rsid w:val="00F92EC0"/>
    <w:rsid w:val="00F93809"/>
    <w:rsid w:val="00F94B7A"/>
    <w:rsid w:val="00F97B0D"/>
    <w:rsid w:val="00FA0F37"/>
    <w:rsid w:val="00FA17AC"/>
    <w:rsid w:val="00FA32DE"/>
    <w:rsid w:val="00FA3382"/>
    <w:rsid w:val="00FA59CD"/>
    <w:rsid w:val="00FB0CDC"/>
    <w:rsid w:val="00FB1740"/>
    <w:rsid w:val="00FB4235"/>
    <w:rsid w:val="00FC0B88"/>
    <w:rsid w:val="00FC4446"/>
    <w:rsid w:val="00FC5469"/>
    <w:rsid w:val="00FC6D7D"/>
    <w:rsid w:val="00FC7614"/>
    <w:rsid w:val="00FD01ED"/>
    <w:rsid w:val="00FD16B0"/>
    <w:rsid w:val="00FD4FED"/>
    <w:rsid w:val="00FE00C8"/>
    <w:rsid w:val="00FE0577"/>
    <w:rsid w:val="00FE18BF"/>
    <w:rsid w:val="00FE2FF8"/>
    <w:rsid w:val="00FE30E7"/>
    <w:rsid w:val="00FE59EC"/>
    <w:rsid w:val="00FE5B67"/>
    <w:rsid w:val="00FE60D6"/>
    <w:rsid w:val="00FE7079"/>
    <w:rsid w:val="00FF1E01"/>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EE2E836"/>
  <w15:docId w15:val="{3C4F45B6-E977-4F3D-BC45-D53BC22D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erChar">
    <w:name w:val="Footer Char"/>
    <w:basedOn w:val="DefaultParagraphFont"/>
    <w:link w:val="Footer"/>
    <w:uiPriority w:val="99"/>
    <w:rsid w:val="00184879"/>
    <w:rPr>
      <w:sz w:val="24"/>
      <w:szCs w:val="24"/>
    </w:rPr>
  </w:style>
  <w:style w:type="character" w:styleId="FootnoteReference">
    <w:name w:val="footnote reference"/>
    <w:basedOn w:val="DefaultParagraphFont"/>
    <w:semiHidden/>
    <w:unhideWhenUsed/>
    <w:rsid w:val="0074383B"/>
    <w:rPr>
      <w:vertAlign w:val="superscript"/>
    </w:rPr>
  </w:style>
  <w:style w:type="character" w:customStyle="1" w:styleId="FootnoteTextChar">
    <w:name w:val="Footnote Text Char"/>
    <w:basedOn w:val="DefaultParagraphFont"/>
    <w:link w:val="FootnoteText"/>
    <w:uiPriority w:val="99"/>
    <w:rsid w:val="0074383B"/>
  </w:style>
  <w:style w:type="table" w:customStyle="1" w:styleId="TableGrid11">
    <w:name w:val="Table Grid11"/>
    <w:basedOn w:val="TableNormal"/>
    <w:next w:val="TableGrid"/>
    <w:rsid w:val="00DF7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054ED"/>
    <w:rPr>
      <w:sz w:val="24"/>
      <w:szCs w:val="24"/>
    </w:rPr>
  </w:style>
  <w:style w:type="character" w:styleId="CommentReference">
    <w:name w:val="annotation reference"/>
    <w:basedOn w:val="DefaultParagraphFont"/>
    <w:semiHidden/>
    <w:unhideWhenUsed/>
    <w:rsid w:val="00363E2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3A5B9-B9E0-4A38-9C9C-54751545E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50</Pages>
  <Words>16157</Words>
  <Characters>90144</Characters>
  <Application>Microsoft Office Word</Application>
  <DocSecurity>0</DocSecurity>
  <Lines>2372</Lines>
  <Paragraphs>900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2025-03-20T13:21:00Z</dcterms:created>
  <dcterms:modified xsi:type="dcterms:W3CDTF">2025-03-20T13:21:00Z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20240032-SU</vt:lpwstr>
  </property>
  <property fmtid="{D5CDD505-2E9C-101B-9397-08002B2CF9AE}" pid="3" name="MasterDocument">
    <vt:bool>false</vt:bool>
  </property>
</Properties>
</file>