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C3B2A" w:rsidP="000C3B2A">
      <w:pPr>
        <w:pStyle w:val="OrderHeading"/>
      </w:pPr>
      <w:r>
        <w:t>BEFORE THE FLORIDA PUBLIC SERVICE COMMISSION</w:t>
      </w:r>
    </w:p>
    <w:p w:rsidR="003A09B8" w:rsidRDefault="003A09B8" w:rsidP="000C3B2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C3B2A" w:rsidRPr="00C63FCF" w:rsidTr="00C63FCF">
        <w:trPr>
          <w:trHeight w:val="828"/>
        </w:trPr>
        <w:tc>
          <w:tcPr>
            <w:tcW w:w="4788" w:type="dxa"/>
            <w:tcBorders>
              <w:bottom w:val="single" w:sz="8" w:space="0" w:color="auto"/>
              <w:right w:val="double" w:sz="6" w:space="0" w:color="auto"/>
            </w:tcBorders>
            <w:shd w:val="clear" w:color="auto" w:fill="auto"/>
          </w:tcPr>
          <w:p w:rsidR="000C3B2A" w:rsidRDefault="000C3B2A" w:rsidP="00C63FCF">
            <w:pPr>
              <w:pStyle w:val="OrderBody"/>
              <w:tabs>
                <w:tab w:val="center" w:pos="4320"/>
                <w:tab w:val="right" w:pos="8640"/>
              </w:tabs>
              <w:jc w:val="left"/>
            </w:pPr>
            <w:r>
              <w:t xml:space="preserve">In re: </w:t>
            </w:r>
            <w:bookmarkStart w:id="0" w:name="SSInRe"/>
            <w:bookmarkEnd w:id="0"/>
            <w:r>
              <w:t>Petition for rate increase by Florida Public Utilities Company.</w:t>
            </w:r>
          </w:p>
        </w:tc>
        <w:tc>
          <w:tcPr>
            <w:tcW w:w="4788" w:type="dxa"/>
            <w:tcBorders>
              <w:left w:val="double" w:sz="6" w:space="0" w:color="auto"/>
            </w:tcBorders>
            <w:shd w:val="clear" w:color="auto" w:fill="auto"/>
          </w:tcPr>
          <w:p w:rsidR="000C3B2A" w:rsidRDefault="000C3B2A" w:rsidP="000C3B2A">
            <w:pPr>
              <w:pStyle w:val="OrderBody"/>
            </w:pPr>
            <w:r>
              <w:t xml:space="preserve">DOCKET NO. </w:t>
            </w:r>
            <w:bookmarkStart w:id="1" w:name="SSDocketNo"/>
            <w:bookmarkEnd w:id="1"/>
            <w:r>
              <w:t>20240099-EI</w:t>
            </w:r>
          </w:p>
          <w:p w:rsidR="000C3B2A" w:rsidRDefault="000C3B2A" w:rsidP="00C63FCF">
            <w:pPr>
              <w:pStyle w:val="OrderBody"/>
              <w:tabs>
                <w:tab w:val="center" w:pos="4320"/>
                <w:tab w:val="right" w:pos="8640"/>
              </w:tabs>
              <w:jc w:val="left"/>
            </w:pPr>
            <w:r>
              <w:t xml:space="preserve">ORDER NO. </w:t>
            </w:r>
            <w:bookmarkStart w:id="2" w:name="OrderNo0189"/>
            <w:r w:rsidR="003D7C6B">
              <w:t>PSC-2025-0189-PCO-EI</w:t>
            </w:r>
            <w:bookmarkEnd w:id="2"/>
          </w:p>
          <w:p w:rsidR="000C3B2A" w:rsidRDefault="000C3B2A" w:rsidP="00C63FCF">
            <w:pPr>
              <w:pStyle w:val="OrderBody"/>
              <w:tabs>
                <w:tab w:val="center" w:pos="4320"/>
                <w:tab w:val="right" w:pos="8640"/>
              </w:tabs>
              <w:jc w:val="left"/>
            </w:pPr>
            <w:r>
              <w:t xml:space="preserve">ISSUED: </w:t>
            </w:r>
            <w:r w:rsidR="003D7C6B">
              <w:t>June 5, 2025</w:t>
            </w:r>
          </w:p>
        </w:tc>
      </w:tr>
    </w:tbl>
    <w:p w:rsidR="000C3B2A" w:rsidRDefault="000C3B2A" w:rsidP="000C3B2A"/>
    <w:p w:rsidR="00CB5276" w:rsidRDefault="000C3B2A" w:rsidP="000C3B2A">
      <w:pPr>
        <w:pStyle w:val="CenterUnderline"/>
      </w:pPr>
      <w:bookmarkStart w:id="3" w:name="Commissioners"/>
      <w:bookmarkStart w:id="4" w:name="OrderTitle"/>
      <w:bookmarkEnd w:id="3"/>
      <w:r>
        <w:t xml:space="preserve">ORDER ESTABLISHING PROCEDURE </w:t>
      </w:r>
      <w:bookmarkEnd w:id="4"/>
    </w:p>
    <w:p w:rsidR="000C3B2A" w:rsidRDefault="000C3B2A" w:rsidP="000C3B2A">
      <w:pPr>
        <w:pStyle w:val="CenterUnderline"/>
      </w:pPr>
    </w:p>
    <w:p w:rsidR="000C3B2A" w:rsidRPr="00D606D9" w:rsidRDefault="000C3B2A" w:rsidP="000C3B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D606D9">
        <w:rPr>
          <w:b/>
          <w:bCs/>
        </w:rPr>
        <w:t>I.</w:t>
      </w:r>
      <w:r w:rsidRPr="00D606D9">
        <w:rPr>
          <w:b/>
          <w:bCs/>
        </w:rPr>
        <w:tab/>
      </w:r>
      <w:r w:rsidRPr="00D606D9">
        <w:rPr>
          <w:b/>
          <w:bCs/>
          <w:u w:val="single"/>
        </w:rPr>
        <w:t>Case Background</w:t>
      </w:r>
    </w:p>
    <w:p w:rsidR="000C3B2A" w:rsidRPr="00D606D9" w:rsidRDefault="000C3B2A" w:rsidP="000C3B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F5402" w:rsidRDefault="000C3B2A" w:rsidP="000C3B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pPr>
      <w:r>
        <w:t>Florida Public Utilities Company (FPUC or Company) filed a test year notification letter with the Florida Public Service Commission (Commission) on June 18, 2024, in which the Company indicated its intent to seek a permanent increase in its rates and charges based on a test year ending December 31, 2025, and a request for an interim rate increase.  On August 22, 2024, FPUC filed its petition for an increase in base rates, as well as minimum filing requirements schedules (MFRs) and direct testimony of 10 witnesses.</w:t>
      </w:r>
      <w:r w:rsidR="00FF5402">
        <w:t xml:space="preserve">  At that time FPUC requested that its petition for rate increase be processed using the proposed agency action process in Section 366.06(4), F.S.</w:t>
      </w:r>
    </w:p>
    <w:p w:rsidR="00FF5402" w:rsidRDefault="00FF5402" w:rsidP="000C3B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pPr>
    </w:p>
    <w:p w:rsidR="00A57532" w:rsidRDefault="001024EF" w:rsidP="000C3B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pPr>
      <w:r>
        <w:t>Order No. PSC-2024-0441-PCO-EI, issued October 14, 2024, suspended the final rates and approved interim rates</w:t>
      </w:r>
      <w:r w:rsidR="001123F6">
        <w:t>.</w:t>
      </w:r>
      <w:r>
        <w:rPr>
          <w:rStyle w:val="FootnoteReference"/>
        </w:rPr>
        <w:footnoteReference w:id="1"/>
      </w:r>
      <w:r w:rsidR="00FF5402">
        <w:t xml:space="preserve">  </w:t>
      </w:r>
      <w:r w:rsidR="001929E3">
        <w:t xml:space="preserve">On September 5, 2024, the Office of Public Counsel (OPC) filed its Notice of Intervention which was acknowledged by Order No. PSC-2024-0408-PCO-EI, issued on </w:t>
      </w:r>
      <w:r w:rsidR="00474D29">
        <w:t>September 5</w:t>
      </w:r>
      <w:r w:rsidR="001929E3">
        <w:t>, 2024.</w:t>
      </w:r>
      <w:r w:rsidR="00A57532">
        <w:t xml:space="preserve">  </w:t>
      </w:r>
      <w:r w:rsidR="00C71B7D">
        <w:t>Order No. PSC-2025-0114-PAA-EI</w:t>
      </w:r>
      <w:r w:rsidR="001123F6">
        <w:t>,</w:t>
      </w:r>
      <w:r w:rsidR="009D7BC1">
        <w:rPr>
          <w:rStyle w:val="FootnoteReference"/>
        </w:rPr>
        <w:footnoteReference w:id="2"/>
      </w:r>
      <w:r w:rsidR="00C71B7D">
        <w:t xml:space="preserve"> granting in part and denying in part FPUC’s rate increase</w:t>
      </w:r>
      <w:r>
        <w:t>,</w:t>
      </w:r>
      <w:r w:rsidR="00C71B7D">
        <w:t xml:space="preserve"> was issued on April 7, 2025.  A </w:t>
      </w:r>
      <w:r w:rsidR="001123F6">
        <w:t xml:space="preserve">timely request for hearing </w:t>
      </w:r>
      <w:r w:rsidR="00C71B7D">
        <w:t>o</w:t>
      </w:r>
      <w:r w:rsidR="001123F6">
        <w:t>n</w:t>
      </w:r>
      <w:r w:rsidR="00C71B7D">
        <w:t xml:space="preserve"> </w:t>
      </w:r>
      <w:r w:rsidR="009D7BC1">
        <w:t xml:space="preserve">Order No. PSC-2025-0114-PAA-EI was filed by the City of Marianna, Jackson County, and the Jackson County School Board </w:t>
      </w:r>
      <w:r w:rsidR="00A57532">
        <w:t xml:space="preserve">(Jackson County) </w:t>
      </w:r>
      <w:r w:rsidR="009D7BC1">
        <w:t xml:space="preserve">on April 21, 2025.  </w:t>
      </w:r>
      <w:r w:rsidR="00FF5402">
        <w:t xml:space="preserve">OPC filed its </w:t>
      </w:r>
      <w:r w:rsidR="001123F6">
        <w:t xml:space="preserve">request for hearing on </w:t>
      </w:r>
      <w:r w:rsidR="00FF5402">
        <w:t xml:space="preserve">Order No. PSC-2025-0114-PAA-EI on April 24, 2025. </w:t>
      </w:r>
      <w:r w:rsidR="00A57532">
        <w:t xml:space="preserve"> On May 7, 2025, FPUC, OPC and Jackson County filed a Joint Motion for Approval of Stipulation and Settlement</w:t>
      </w:r>
      <w:r w:rsidR="00474D29">
        <w:t>,</w:t>
      </w:r>
      <w:r w:rsidR="002B5CA0">
        <w:t xml:space="preserve"> a unanimous settlement </w:t>
      </w:r>
      <w:r w:rsidR="00DB55E4">
        <w:t>which resolve</w:t>
      </w:r>
      <w:r w:rsidR="002B5CA0">
        <w:t>s</w:t>
      </w:r>
      <w:r w:rsidR="00DB55E4">
        <w:t xml:space="preserve"> all of the issues in this case</w:t>
      </w:r>
      <w:r w:rsidR="00680E0B">
        <w:t xml:space="preserve"> (2025 Settlement)</w:t>
      </w:r>
      <w:r w:rsidR="00DB55E4">
        <w:t>.</w:t>
      </w:r>
      <w:r w:rsidR="001123F6">
        <w:t xml:space="preserve">  </w:t>
      </w:r>
      <w:r w:rsidR="003A09B8">
        <w:t>A hearing is scheduled for July 1, 2025, to address the proposed 2025 Settlement.</w:t>
      </w:r>
    </w:p>
    <w:p w:rsidR="00BD0FFE" w:rsidRDefault="00BD0FFE" w:rsidP="000C3B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pPr>
    </w:p>
    <w:p w:rsidR="000C3B2A" w:rsidRPr="00D606D9" w:rsidRDefault="000C3B2A" w:rsidP="00BD0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pPr>
      <w:r w:rsidRPr="00223117">
        <w:t>This Order sets forth the procedural requirements for all parties to this docket.  Jurisdiction over these matters is vested in the Commission through several provisions of Chapter 366, Florida Statutes, including Sections 366.04, 366.05, and 366.06, F.S.</w:t>
      </w:r>
      <w:r w:rsidR="00BD0FFE">
        <w:t xml:space="preserve">  </w:t>
      </w:r>
      <w:r w:rsidRPr="00D606D9">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0C3B2A" w:rsidRPr="00D606D9" w:rsidRDefault="000C3B2A" w:rsidP="000C3B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3A09B8" w:rsidRDefault="003A09B8">
      <w:pPr>
        <w:rPr>
          <w:b/>
          <w:bCs/>
        </w:rPr>
      </w:pPr>
      <w:r>
        <w:rPr>
          <w:b/>
          <w:bCs/>
        </w:rPr>
        <w:br w:type="page"/>
      </w:r>
    </w:p>
    <w:p w:rsidR="003E1169" w:rsidRPr="00680E0B" w:rsidRDefault="000C3B2A" w:rsidP="005955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6D9">
        <w:rPr>
          <w:b/>
          <w:bCs/>
        </w:rPr>
        <w:lastRenderedPageBreak/>
        <w:t>II.</w:t>
      </w:r>
      <w:r w:rsidRPr="00D606D9">
        <w:rPr>
          <w:b/>
          <w:bCs/>
        </w:rPr>
        <w:tab/>
      </w:r>
      <w:r w:rsidR="00680E0B" w:rsidRPr="00680E0B">
        <w:rPr>
          <w:b/>
          <w:bCs/>
          <w:u w:val="single"/>
        </w:rPr>
        <w:t>Settlement Orders</w:t>
      </w:r>
    </w:p>
    <w:p w:rsidR="003A09B8" w:rsidRDefault="003A09B8" w:rsidP="001513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80E0B" w:rsidRDefault="00680E0B" w:rsidP="001513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EC5600">
        <w:t>The Commission has a long history of considering settlements as a means of resolving litigated matters.  In particular, the complex nature of litigated matters before the Commission incentivizes parties to work together, in the spirit of compromise, towards a resolution that can be offered for consideration.</w:t>
      </w:r>
      <w:r>
        <w:t xml:space="preserve">   The parties have agreed on the proposed major elements of the 2025 Settlement</w:t>
      </w:r>
      <w:r w:rsidR="00151328">
        <w:t xml:space="preserve"> which are contained in Attachment A to this order.  These major elements will be considered by the Commission in determining whether the 2025 Settlement is in the public interest.</w:t>
      </w:r>
      <w:r w:rsidR="00151328">
        <w:rPr>
          <w:rStyle w:val="FootnoteReference"/>
        </w:rPr>
        <w:footnoteReference w:id="3"/>
      </w:r>
    </w:p>
    <w:p w:rsidR="00151328" w:rsidRDefault="00151328" w:rsidP="001513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51328" w:rsidRDefault="00151328" w:rsidP="001513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u w:val="single"/>
        </w:rPr>
      </w:pPr>
      <w:r>
        <w:rPr>
          <w:b/>
        </w:rPr>
        <w:t>III.</w:t>
      </w:r>
      <w:r>
        <w:rPr>
          <w:b/>
        </w:rPr>
        <w:tab/>
      </w:r>
      <w:r w:rsidRPr="00151328">
        <w:rPr>
          <w:b/>
          <w:u w:val="single"/>
        </w:rPr>
        <w:t>Testimony and Exhibits</w:t>
      </w:r>
    </w:p>
    <w:p w:rsidR="00151328" w:rsidRDefault="00151328" w:rsidP="001513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u w:val="single"/>
        </w:rPr>
      </w:pPr>
    </w:p>
    <w:p w:rsidR="002A0B0B" w:rsidRDefault="00151328" w:rsidP="001513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The parties have agreed to stipulate the direct testimony of </w:t>
      </w:r>
      <w:r w:rsidR="002A0B0B">
        <w:t>Michael Galtman, Noah Russell, Nicholas Crowley, Kim Estrada, Vikrant Gadgil, Devon Rudloff-Daffinson, Wraye Grimard</w:t>
      </w:r>
      <w:r w:rsidR="00F27737">
        <w:t xml:space="preserve">, William Haffecke, Michelle Napier, </w:t>
      </w:r>
      <w:r w:rsidR="002A0B0B">
        <w:t>and John Taylor into the record.  The parties have also agreed to stipulate Minimum Filing Requirements Schedules A-G, Staff Data Requests 1-37, OPC First Set of Interrogatories No. 1</w:t>
      </w:r>
      <w:r w:rsidR="001123F6">
        <w:t>,</w:t>
      </w:r>
      <w:r w:rsidR="002A0B0B">
        <w:t xml:space="preserve"> and the 2025 Stipulation and Settlement with implementing rates and tariffs into the record as reflected on the Comprehensive Exhibit List.  </w:t>
      </w:r>
    </w:p>
    <w:p w:rsidR="002A0B0B" w:rsidRDefault="002A0B0B" w:rsidP="001513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81EF8" w:rsidRPr="00681EF8" w:rsidRDefault="00681EF8" w:rsidP="00681EF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u w:val="single"/>
        </w:rPr>
      </w:pPr>
      <w:r w:rsidRPr="00681EF8">
        <w:rPr>
          <w:b/>
        </w:rPr>
        <w:t>IV.</w:t>
      </w:r>
      <w:r>
        <w:rPr>
          <w:b/>
        </w:rPr>
        <w:tab/>
      </w:r>
      <w:r w:rsidRPr="00681EF8">
        <w:rPr>
          <w:b/>
          <w:u w:val="single"/>
        </w:rPr>
        <w:t>Hearing Procedures</w:t>
      </w:r>
    </w:p>
    <w:p w:rsidR="00681EF8" w:rsidRDefault="00681EF8" w:rsidP="001513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81EF8" w:rsidRDefault="00681EF8" w:rsidP="001513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A.</w:t>
      </w:r>
      <w:r>
        <w:tab/>
      </w:r>
      <w:r w:rsidR="00474D29" w:rsidRPr="00681EF8">
        <w:rPr>
          <w:u w:val="single"/>
        </w:rPr>
        <w:t>Attendance</w:t>
      </w:r>
      <w:r w:rsidRPr="00681EF8">
        <w:rPr>
          <w:u w:val="single"/>
        </w:rPr>
        <w:t xml:space="preserve"> at Hearing</w:t>
      </w:r>
    </w:p>
    <w:p w:rsidR="00681EF8" w:rsidRDefault="00681EF8" w:rsidP="001513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E528D7" w:rsidRDefault="00681EF8" w:rsidP="001513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E528D7">
        <w:t xml:space="preserve">Unless excused by the Prehearing Officer for good </w:t>
      </w:r>
      <w:r w:rsidR="00474D29">
        <w:t>cause</w:t>
      </w:r>
      <w:r w:rsidR="00E528D7">
        <w:t xml:space="preserve"> shown, each party shall personally appear at the hearing.  Failure of a party, or that party’s representative, to appear shall constitute waiver of that party’s issues, and that party may be dismissed from the proceeding.</w:t>
      </w:r>
    </w:p>
    <w:p w:rsidR="00681EF8" w:rsidRDefault="00681EF8" w:rsidP="001513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528D7" w:rsidRDefault="00E528D7" w:rsidP="001513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B.</w:t>
      </w:r>
      <w:r>
        <w:tab/>
      </w:r>
      <w:r>
        <w:rPr>
          <w:u w:val="single"/>
        </w:rPr>
        <w:t>Witness Panel</w:t>
      </w:r>
    </w:p>
    <w:p w:rsidR="00E528D7" w:rsidRPr="00E528D7" w:rsidRDefault="00E528D7" w:rsidP="001513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1123F6" w:rsidRDefault="002A0B0B" w:rsidP="001513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Jackson County and FPUC will produce witnesses at the final hearing, sitting as a panel,  who will address the major elements in the 2025 Settlement and why the 2025 Settlement is in the public interest.</w:t>
      </w:r>
      <w:r w:rsidR="00681EF8">
        <w:t xml:space="preserve">  </w:t>
      </w:r>
    </w:p>
    <w:p w:rsidR="001123F6" w:rsidRDefault="001123F6" w:rsidP="001513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528D7" w:rsidRDefault="00E528D7" w:rsidP="001513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C.</w:t>
      </w:r>
      <w:r>
        <w:tab/>
      </w:r>
      <w:r>
        <w:rPr>
          <w:u w:val="single"/>
        </w:rPr>
        <w:t>Cross-Examination</w:t>
      </w:r>
    </w:p>
    <w:p w:rsidR="00E528D7" w:rsidRDefault="00E528D7" w:rsidP="001513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681EF8" w:rsidRDefault="00E528D7" w:rsidP="001513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The parties shall avoid duplicative or repetitious cross-examination.  </w:t>
      </w:r>
    </w:p>
    <w:p w:rsidR="003A09B8" w:rsidRDefault="003A09B8">
      <w:pPr>
        <w:rPr>
          <w:b/>
        </w:rPr>
      </w:pPr>
    </w:p>
    <w:p w:rsidR="00E528D7" w:rsidRDefault="00E528D7" w:rsidP="001513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u w:val="single"/>
        </w:rPr>
      </w:pPr>
      <w:r>
        <w:rPr>
          <w:b/>
        </w:rPr>
        <w:t>V.</w:t>
      </w:r>
      <w:r>
        <w:rPr>
          <w:b/>
        </w:rPr>
        <w:tab/>
      </w:r>
      <w:r>
        <w:rPr>
          <w:b/>
          <w:u w:val="single"/>
        </w:rPr>
        <w:t>Post-Hearing Procedures</w:t>
      </w:r>
    </w:p>
    <w:p w:rsidR="00E528D7" w:rsidRDefault="00E528D7" w:rsidP="001513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u w:val="single"/>
        </w:rPr>
      </w:pPr>
    </w:p>
    <w:p w:rsidR="00E528D7" w:rsidRDefault="00E528D7" w:rsidP="001513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ab/>
      </w:r>
      <w:r>
        <w:t xml:space="preserve">If the Commission (or assigned panel) does not render a bench decision at the hearing, it may allow each party to file a post-hearing statement of issues and positions pursuant to the </w:t>
      </w:r>
      <w:r>
        <w:lastRenderedPageBreak/>
        <w:t>schedule set forth in Section VI o</w:t>
      </w:r>
      <w:r w:rsidR="00F27737">
        <w:t>f</w:t>
      </w:r>
      <w:r>
        <w:t xml:space="preserve"> this Order.  In such event</w:t>
      </w:r>
      <w:r w:rsidR="00F27737">
        <w:t>,</w:t>
      </w:r>
      <w:r>
        <w:t xml:space="preserve"> a summary of each position</w:t>
      </w:r>
      <w:r w:rsidR="00F27737">
        <w:t>,</w:t>
      </w:r>
      <w:r>
        <w:t xml:space="preserve"> set off with asterisk</w:t>
      </w:r>
      <w:r w:rsidR="00CD5156">
        <w:t>s</w:t>
      </w:r>
      <w:r>
        <w:t>, shall be included in that sta</w:t>
      </w:r>
      <w:r w:rsidR="0074045C">
        <w:t>t</w:t>
      </w:r>
      <w:r>
        <w:t>emen</w:t>
      </w:r>
      <w:r w:rsidR="0074045C">
        <w:t>t</w:t>
      </w:r>
      <w:r>
        <w:t xml:space="preserve">.  </w:t>
      </w:r>
      <w:r w:rsidR="0074045C">
        <w:t>If a post-hearing statement is required and a party fails to file in conformance with Rule 28-106.215, F.A.C., that party shall have waived all issues and may be dismissed from the proceeding.</w:t>
      </w:r>
    </w:p>
    <w:p w:rsidR="0074045C" w:rsidRDefault="0074045C" w:rsidP="001513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4045C" w:rsidRDefault="0074045C" w:rsidP="001513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Further, pursuant to Rule 28-106.215, F.A.C., a party’s proposed findings of fact and conclusions of law, if any, statement of issues and positions, and brief, shall together total no more than 40 pages and shall be filed at the same time, unless modified by the Presiding Officer.</w:t>
      </w:r>
    </w:p>
    <w:p w:rsidR="0074045C" w:rsidRDefault="0074045C" w:rsidP="001513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4045C" w:rsidRDefault="0074045C" w:rsidP="001513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u w:val="single"/>
        </w:rPr>
      </w:pPr>
      <w:r w:rsidRPr="0074045C">
        <w:rPr>
          <w:b/>
        </w:rPr>
        <w:t>VI.</w:t>
      </w:r>
      <w:r>
        <w:tab/>
      </w:r>
      <w:r w:rsidRPr="0074045C">
        <w:rPr>
          <w:b/>
          <w:u w:val="single"/>
        </w:rPr>
        <w:t>Controlling Dates</w:t>
      </w:r>
    </w:p>
    <w:p w:rsidR="0074045C" w:rsidRDefault="0074045C" w:rsidP="001513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u w:val="single"/>
        </w:rPr>
      </w:pPr>
    </w:p>
    <w:p w:rsidR="0074045C" w:rsidRDefault="0074045C" w:rsidP="0074045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pPr>
      <w:r>
        <w:t>The following dates are established for Commission consideration of the Joint Motion for Approval of Stipulation and Settlement:</w:t>
      </w:r>
    </w:p>
    <w:p w:rsidR="0074045C" w:rsidRDefault="0074045C" w:rsidP="0074045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pPr>
    </w:p>
    <w:p w:rsidR="0074045C" w:rsidRDefault="0074045C" w:rsidP="0074045C">
      <w:pPr>
        <w:ind w:firstLine="720"/>
        <w:jc w:val="both"/>
      </w:pPr>
      <w:r>
        <w:t>Intervention deadline</w:t>
      </w:r>
      <w:r>
        <w:tab/>
      </w:r>
      <w:r>
        <w:tab/>
      </w:r>
      <w:r>
        <w:tab/>
      </w:r>
      <w:r>
        <w:tab/>
        <w:t>June 17, 2025</w:t>
      </w:r>
    </w:p>
    <w:p w:rsidR="0074045C" w:rsidRDefault="0074045C" w:rsidP="0074045C">
      <w:pPr>
        <w:ind w:firstLine="720"/>
        <w:jc w:val="both"/>
      </w:pPr>
    </w:p>
    <w:p w:rsidR="0074045C" w:rsidRDefault="0074045C" w:rsidP="0074045C">
      <w:pPr>
        <w:ind w:firstLine="720"/>
        <w:jc w:val="both"/>
      </w:pPr>
      <w:r>
        <w:t>Final Hearing</w:t>
      </w:r>
      <w:r>
        <w:tab/>
      </w:r>
      <w:r>
        <w:tab/>
      </w:r>
      <w:r>
        <w:tab/>
      </w:r>
      <w:r>
        <w:tab/>
      </w:r>
      <w:r>
        <w:tab/>
        <w:t>July 1, 2025</w:t>
      </w:r>
    </w:p>
    <w:p w:rsidR="0074045C" w:rsidRDefault="0074045C" w:rsidP="0074045C">
      <w:pPr>
        <w:ind w:firstLine="720"/>
        <w:jc w:val="both"/>
      </w:pPr>
    </w:p>
    <w:p w:rsidR="0074045C" w:rsidRDefault="0074045C" w:rsidP="0074045C">
      <w:pPr>
        <w:ind w:firstLine="720"/>
        <w:jc w:val="both"/>
      </w:pPr>
      <w:r>
        <w:t>Post-Hearing Briefs</w:t>
      </w:r>
      <w:r w:rsidR="001123F6">
        <w:t>, if any</w:t>
      </w:r>
      <w:r>
        <w:tab/>
      </w:r>
      <w:r>
        <w:tab/>
      </w:r>
      <w:r>
        <w:tab/>
      </w:r>
      <w:r w:rsidR="005D6A69">
        <w:t>July 11, 2025</w:t>
      </w:r>
    </w:p>
    <w:p w:rsidR="005D6A69" w:rsidRDefault="005D6A69" w:rsidP="0074045C">
      <w:pPr>
        <w:ind w:firstLine="720"/>
        <w:jc w:val="both"/>
      </w:pPr>
    </w:p>
    <w:p w:rsidR="005D6A69" w:rsidRDefault="005D6A69" w:rsidP="0074045C">
      <w:pPr>
        <w:ind w:firstLine="720"/>
        <w:jc w:val="both"/>
      </w:pPr>
      <w:r>
        <w:t>Based on the foregoing, it is</w:t>
      </w:r>
    </w:p>
    <w:p w:rsidR="005D6A69" w:rsidRDefault="005D6A69" w:rsidP="0074045C">
      <w:pPr>
        <w:ind w:firstLine="720"/>
        <w:jc w:val="both"/>
      </w:pPr>
    </w:p>
    <w:p w:rsidR="003A09B8" w:rsidRDefault="005D6A69" w:rsidP="003A09B8">
      <w:pPr>
        <w:jc w:val="both"/>
      </w:pPr>
      <w:r>
        <w:tab/>
        <w:t>ORDERED by Commissioner Gabriella Passidomo</w:t>
      </w:r>
      <w:r w:rsidR="00F27737">
        <w:t xml:space="preserve"> Smith</w:t>
      </w:r>
      <w:r>
        <w:t>, as Prehearing Officer, that the provisions of this Order shall govern this proceeding unless modified by the Commission.</w:t>
      </w:r>
    </w:p>
    <w:p w:rsidR="003A09B8" w:rsidRDefault="003A09B8" w:rsidP="003A09B8">
      <w:pPr>
        <w:jc w:val="both"/>
      </w:pPr>
    </w:p>
    <w:p w:rsidR="001123F6" w:rsidRDefault="003A09B8" w:rsidP="003D7C6B">
      <w:pPr>
        <w:ind w:firstLine="720"/>
        <w:jc w:val="both"/>
      </w:pPr>
      <w:r>
        <w:t>B</w:t>
      </w:r>
      <w:r w:rsidR="005D6A69">
        <w:t xml:space="preserve">y ORDER of Commissioner Gabriella Passidomo Smith, as Prehearing Officer, this </w:t>
      </w:r>
      <w:bookmarkStart w:id="5" w:name="replaceDate"/>
      <w:bookmarkEnd w:id="5"/>
      <w:r w:rsidR="003D7C6B">
        <w:rPr>
          <w:u w:val="single"/>
        </w:rPr>
        <w:t>5th</w:t>
      </w:r>
      <w:r w:rsidR="003D7C6B">
        <w:t xml:space="preserve"> day of </w:t>
      </w:r>
      <w:r w:rsidR="003D7C6B">
        <w:rPr>
          <w:u w:val="single"/>
        </w:rPr>
        <w:t>June</w:t>
      </w:r>
      <w:r w:rsidR="003D7C6B">
        <w:t xml:space="preserve">, </w:t>
      </w:r>
      <w:r w:rsidR="003D7C6B">
        <w:rPr>
          <w:u w:val="single"/>
        </w:rPr>
        <w:t>2025</w:t>
      </w:r>
      <w:r w:rsidR="003D7C6B">
        <w:t>.</w:t>
      </w:r>
    </w:p>
    <w:p w:rsidR="003D7C6B" w:rsidRPr="003D7C6B" w:rsidRDefault="003D7C6B" w:rsidP="003D7C6B">
      <w:pPr>
        <w:ind w:firstLine="720"/>
        <w:jc w:val="both"/>
      </w:pPr>
    </w:p>
    <w:p w:rsidR="001123F6" w:rsidRDefault="001123F6" w:rsidP="005D6A69">
      <w:pPr>
        <w:keepNext/>
        <w:keepLines/>
        <w:jc w:val="both"/>
      </w:pPr>
    </w:p>
    <w:p w:rsidR="001123F6" w:rsidRDefault="001123F6" w:rsidP="005D6A6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5D6A69" w:rsidTr="005D6A69">
        <w:tc>
          <w:tcPr>
            <w:tcW w:w="720" w:type="dxa"/>
            <w:shd w:val="clear" w:color="auto" w:fill="auto"/>
          </w:tcPr>
          <w:p w:rsidR="003A09B8" w:rsidRDefault="003A09B8" w:rsidP="005D6A69">
            <w:pPr>
              <w:keepNext/>
              <w:keepLines/>
              <w:jc w:val="both"/>
            </w:pPr>
            <w:bookmarkStart w:id="6" w:name="bkmrkSignature" w:colFirst="0" w:colLast="0"/>
          </w:p>
        </w:tc>
        <w:tc>
          <w:tcPr>
            <w:tcW w:w="4320" w:type="dxa"/>
            <w:tcBorders>
              <w:bottom w:val="single" w:sz="4" w:space="0" w:color="auto"/>
            </w:tcBorders>
            <w:shd w:val="clear" w:color="auto" w:fill="auto"/>
          </w:tcPr>
          <w:p w:rsidR="005D6A69" w:rsidRDefault="003D7C6B" w:rsidP="005D6A69">
            <w:pPr>
              <w:keepNext/>
              <w:keepLines/>
              <w:jc w:val="both"/>
            </w:pPr>
            <w:r>
              <w:t>/s/ Gabriella Passidomo Smith</w:t>
            </w:r>
            <w:bookmarkStart w:id="7" w:name="_GoBack"/>
            <w:bookmarkEnd w:id="7"/>
          </w:p>
        </w:tc>
      </w:tr>
      <w:bookmarkEnd w:id="6"/>
      <w:tr w:rsidR="005D6A69" w:rsidTr="005D6A69">
        <w:tc>
          <w:tcPr>
            <w:tcW w:w="720" w:type="dxa"/>
            <w:shd w:val="clear" w:color="auto" w:fill="auto"/>
          </w:tcPr>
          <w:p w:rsidR="005D6A69" w:rsidRDefault="005D6A69" w:rsidP="005D6A69">
            <w:pPr>
              <w:keepNext/>
              <w:keepLines/>
              <w:jc w:val="both"/>
            </w:pPr>
          </w:p>
        </w:tc>
        <w:tc>
          <w:tcPr>
            <w:tcW w:w="4320" w:type="dxa"/>
            <w:tcBorders>
              <w:top w:val="single" w:sz="4" w:space="0" w:color="auto"/>
            </w:tcBorders>
            <w:shd w:val="clear" w:color="auto" w:fill="auto"/>
          </w:tcPr>
          <w:p w:rsidR="005D6A69" w:rsidRDefault="005D6A69" w:rsidP="005D6A69">
            <w:pPr>
              <w:keepNext/>
              <w:keepLines/>
              <w:jc w:val="both"/>
            </w:pPr>
            <w:r>
              <w:t>Gabriella Passidomo Smith</w:t>
            </w:r>
          </w:p>
          <w:p w:rsidR="005D6A69" w:rsidRDefault="005D6A69" w:rsidP="005D6A69">
            <w:pPr>
              <w:keepNext/>
              <w:keepLines/>
              <w:jc w:val="both"/>
            </w:pPr>
            <w:r>
              <w:t>Commissioner and Prehearing Officer</w:t>
            </w:r>
          </w:p>
        </w:tc>
      </w:tr>
    </w:tbl>
    <w:p w:rsidR="005D6A69" w:rsidRDefault="005D6A69" w:rsidP="005D6A69">
      <w:pPr>
        <w:pStyle w:val="OrderSigInfo"/>
        <w:keepNext/>
        <w:keepLines/>
      </w:pPr>
      <w:r>
        <w:t>Florida Public Service Commission</w:t>
      </w:r>
    </w:p>
    <w:p w:rsidR="005D6A69" w:rsidRDefault="005D6A69" w:rsidP="005D6A69">
      <w:pPr>
        <w:pStyle w:val="OrderSigInfo"/>
        <w:keepNext/>
        <w:keepLines/>
      </w:pPr>
      <w:r>
        <w:t>2540 Shumard Oak Boulevard</w:t>
      </w:r>
    </w:p>
    <w:p w:rsidR="005D6A69" w:rsidRDefault="005D6A69" w:rsidP="005D6A69">
      <w:pPr>
        <w:pStyle w:val="OrderSigInfo"/>
        <w:keepNext/>
        <w:keepLines/>
      </w:pPr>
      <w:r>
        <w:t>Tallahassee, Florida 32399</w:t>
      </w:r>
    </w:p>
    <w:p w:rsidR="005D6A69" w:rsidRDefault="005D6A69" w:rsidP="005D6A69">
      <w:pPr>
        <w:pStyle w:val="OrderSigInfo"/>
        <w:keepNext/>
        <w:keepLines/>
      </w:pPr>
      <w:r>
        <w:t>(850) 413</w:t>
      </w:r>
      <w:r>
        <w:noBreakHyphen/>
        <w:t>6770</w:t>
      </w:r>
    </w:p>
    <w:p w:rsidR="005D6A69" w:rsidRDefault="005D6A69" w:rsidP="005D6A69">
      <w:pPr>
        <w:pStyle w:val="OrderSigInfo"/>
        <w:keepNext/>
        <w:keepLines/>
      </w:pPr>
      <w:r>
        <w:t>www.floridapsc.com</w:t>
      </w:r>
    </w:p>
    <w:p w:rsidR="005D6A69" w:rsidRDefault="005D6A69" w:rsidP="005D6A69">
      <w:pPr>
        <w:pStyle w:val="OrderSigInfo"/>
        <w:keepNext/>
        <w:keepLines/>
      </w:pPr>
    </w:p>
    <w:p w:rsidR="005D6A69" w:rsidRDefault="005D6A69" w:rsidP="005D6A69">
      <w:pPr>
        <w:pStyle w:val="OrderSigInfo"/>
        <w:keepNext/>
        <w:keepLines/>
      </w:pPr>
      <w:r>
        <w:t>Copies furnished:  A copy of this document is provided to the parties of record at the time of issuance and, if applicable, interested persons.</w:t>
      </w:r>
    </w:p>
    <w:p w:rsidR="005D6A69" w:rsidRDefault="005D6A69" w:rsidP="005D6A69">
      <w:pPr>
        <w:jc w:val="both"/>
      </w:pPr>
      <w:r>
        <w:t>SBr</w:t>
      </w:r>
    </w:p>
    <w:p w:rsidR="005D6A69" w:rsidRPr="003A09B8" w:rsidRDefault="003A09B8" w:rsidP="003A09B8">
      <w:pPr>
        <w:jc w:val="center"/>
        <w:rPr>
          <w:u w:val="single"/>
        </w:rPr>
      </w:pPr>
      <w:r>
        <w:br w:type="page"/>
      </w:r>
      <w:r w:rsidR="005D6A69" w:rsidRPr="003A09B8">
        <w:rPr>
          <w:u w:val="single"/>
        </w:rPr>
        <w:lastRenderedPageBreak/>
        <w:t>NOTICE OF FURTHER PROCEEDINGS OR JUDICIAL REVIEW</w:t>
      </w:r>
    </w:p>
    <w:p w:rsidR="005D6A69" w:rsidRDefault="005D6A69" w:rsidP="005D6A69">
      <w:pPr>
        <w:pStyle w:val="CenterUnderline"/>
        <w:rPr>
          <w:u w:val="none"/>
        </w:rPr>
      </w:pPr>
    </w:p>
    <w:p w:rsidR="005D6A69" w:rsidRDefault="005D6A69" w:rsidP="005D6A6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D6A69" w:rsidRDefault="005D6A69" w:rsidP="005D6A69">
      <w:pPr>
        <w:pStyle w:val="OrderBody"/>
      </w:pPr>
    </w:p>
    <w:p w:rsidR="005D6A69" w:rsidRDefault="005D6A69" w:rsidP="005D6A69">
      <w:pPr>
        <w:pStyle w:val="OrderBody"/>
      </w:pPr>
      <w:r>
        <w:tab/>
        <w:t>Mediation may be available on a case-by-case basis.  If mediation is conducted, it does not affect a substantially interested person's right to a hearing.</w:t>
      </w:r>
    </w:p>
    <w:p w:rsidR="005D6A69" w:rsidRDefault="005D6A69" w:rsidP="005D6A69">
      <w:pPr>
        <w:pStyle w:val="OrderBody"/>
      </w:pPr>
    </w:p>
    <w:p w:rsidR="005D6A69" w:rsidRDefault="005D6A69" w:rsidP="005D6A6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D6A69" w:rsidRDefault="005D6A69" w:rsidP="005D6A69">
      <w:pPr>
        <w:pStyle w:val="OrderBody"/>
      </w:pPr>
    </w:p>
    <w:p w:rsidR="005D6A69" w:rsidRDefault="005D6A69" w:rsidP="005D6A69">
      <w:pPr>
        <w:pStyle w:val="OrderBody"/>
      </w:pPr>
    </w:p>
    <w:p w:rsidR="00474D29" w:rsidRDefault="00474D29">
      <w:r>
        <w:br w:type="page"/>
      </w:r>
    </w:p>
    <w:p w:rsidR="005D6A69" w:rsidRDefault="00474D29" w:rsidP="00474D29">
      <w:pPr>
        <w:pStyle w:val="OrderBody"/>
        <w:jc w:val="right"/>
      </w:pPr>
      <w:r>
        <w:lastRenderedPageBreak/>
        <w:t>ATTACHMENT A</w:t>
      </w:r>
    </w:p>
    <w:p w:rsidR="00474D29" w:rsidRDefault="00474D29" w:rsidP="00474D29">
      <w:pPr>
        <w:pStyle w:val="OrderBody"/>
        <w:jc w:val="right"/>
      </w:pPr>
    </w:p>
    <w:p w:rsidR="00474D29" w:rsidRDefault="00474D29" w:rsidP="00474D29">
      <w:pPr>
        <w:jc w:val="center"/>
      </w:pPr>
      <w:r>
        <w:t>DOCKET 20240099-EI</w:t>
      </w:r>
    </w:p>
    <w:p w:rsidR="00474D29" w:rsidRDefault="00474D29" w:rsidP="00474D29">
      <w:pPr>
        <w:jc w:val="center"/>
      </w:pPr>
      <w:r>
        <w:t>FPUC RATE CASE</w:t>
      </w:r>
    </w:p>
    <w:p w:rsidR="00474D29" w:rsidRPr="005947F1" w:rsidRDefault="00474D29" w:rsidP="00474D29">
      <w:pPr>
        <w:jc w:val="center"/>
        <w:rPr>
          <w:u w:val="single"/>
        </w:rPr>
      </w:pPr>
      <w:r w:rsidRPr="005947F1">
        <w:rPr>
          <w:u w:val="single"/>
        </w:rPr>
        <w:t>KEY ELEMENTS</w:t>
      </w:r>
    </w:p>
    <w:p w:rsidR="00474D29" w:rsidRDefault="00474D29" w:rsidP="00474D29">
      <w:pPr>
        <w:jc w:val="both"/>
        <w:rPr>
          <w:u w:val="single"/>
        </w:rPr>
      </w:pPr>
    </w:p>
    <w:p w:rsidR="00474D29" w:rsidRDefault="00474D29" w:rsidP="00474D29">
      <w:pPr>
        <w:jc w:val="both"/>
      </w:pPr>
      <w:r>
        <w:t>1.</w:t>
      </w:r>
      <w:r>
        <w:tab/>
        <w:t>Base revenue increase.</w:t>
      </w:r>
    </w:p>
    <w:p w:rsidR="00474D29" w:rsidRDefault="00474D29" w:rsidP="00474D29">
      <w:pPr>
        <w:jc w:val="both"/>
      </w:pPr>
      <w:r>
        <w:t>2.</w:t>
      </w:r>
      <w:r>
        <w:tab/>
        <w:t>Miscellaneous fees and charges increase</w:t>
      </w:r>
    </w:p>
    <w:p w:rsidR="00474D29" w:rsidRDefault="00474D29" w:rsidP="00474D29">
      <w:pPr>
        <w:jc w:val="both"/>
      </w:pPr>
      <w:r>
        <w:t>3.</w:t>
      </w:r>
      <w:r>
        <w:tab/>
        <w:t>Effective date of tariffs</w:t>
      </w:r>
    </w:p>
    <w:p w:rsidR="00474D29" w:rsidRDefault="00474D29" w:rsidP="00474D29">
      <w:pPr>
        <w:jc w:val="both"/>
      </w:pPr>
      <w:r>
        <w:t>4.</w:t>
      </w:r>
      <w:r>
        <w:tab/>
        <w:t>Substations and transmission assets step increase</w:t>
      </w:r>
    </w:p>
    <w:p w:rsidR="00474D29" w:rsidRDefault="00474D29" w:rsidP="00474D29">
      <w:pPr>
        <w:jc w:val="both"/>
      </w:pPr>
      <w:r>
        <w:t>5.</w:t>
      </w:r>
      <w:r>
        <w:tab/>
        <w:t>Midpoint ROE and ROE range</w:t>
      </w:r>
    </w:p>
    <w:p w:rsidR="00474D29" w:rsidRDefault="00474D29" w:rsidP="00474D29">
      <w:pPr>
        <w:jc w:val="both"/>
      </w:pPr>
      <w:r>
        <w:t>6.</w:t>
      </w:r>
      <w:r>
        <w:tab/>
        <w:t>Equity ratio</w:t>
      </w:r>
    </w:p>
    <w:p w:rsidR="00474D29" w:rsidRDefault="00474D29" w:rsidP="00474D29">
      <w:pPr>
        <w:jc w:val="both"/>
      </w:pPr>
      <w:r>
        <w:t>7.</w:t>
      </w:r>
      <w:r>
        <w:tab/>
        <w:t>General liability reserve accrual increase</w:t>
      </w:r>
    </w:p>
    <w:p w:rsidR="00474D29" w:rsidRDefault="00474D29" w:rsidP="00474D29">
      <w:pPr>
        <w:jc w:val="both"/>
      </w:pPr>
      <w:r>
        <w:t>8.</w:t>
      </w:r>
      <w:r>
        <w:tab/>
        <w:t>Rate case expense</w:t>
      </w:r>
    </w:p>
    <w:p w:rsidR="00474D29" w:rsidRDefault="00474D29" w:rsidP="00474D29">
      <w:pPr>
        <w:jc w:val="both"/>
      </w:pPr>
      <w:r>
        <w:t>9.</w:t>
      </w:r>
      <w:r>
        <w:tab/>
        <w:t>Annual storm reseve accrual</w:t>
      </w:r>
    </w:p>
    <w:p w:rsidR="00474D29" w:rsidRDefault="00474D29" w:rsidP="00474D29">
      <w:pPr>
        <w:jc w:val="both"/>
      </w:pPr>
      <w:r>
        <w:t>10.</w:t>
      </w:r>
      <w:r>
        <w:tab/>
        <w:t>Next base rate increase</w:t>
      </w:r>
    </w:p>
    <w:p w:rsidR="00474D29" w:rsidRDefault="00474D29" w:rsidP="00474D29">
      <w:pPr>
        <w:jc w:val="both"/>
      </w:pPr>
      <w:r>
        <w:t>11.</w:t>
      </w:r>
      <w:r>
        <w:tab/>
        <w:t>Enhanced customer service measures</w:t>
      </w:r>
    </w:p>
    <w:p w:rsidR="00474D29" w:rsidRDefault="00474D29" w:rsidP="00474D29">
      <w:pPr>
        <w:jc w:val="both"/>
      </w:pPr>
      <w:r>
        <w:t>12.</w:t>
      </w:r>
      <w:r>
        <w:tab/>
        <w:t>Minimum term of 2025 Agreement</w:t>
      </w:r>
    </w:p>
    <w:p w:rsidR="00474D29" w:rsidRDefault="00474D29" w:rsidP="00474D29">
      <w:pPr>
        <w:jc w:val="both"/>
      </w:pPr>
      <w:r>
        <w:t>13.</w:t>
      </w:r>
      <w:r>
        <w:tab/>
        <w:t>March 20, 2026 and substation and transmission assets step increase tariffs</w:t>
      </w:r>
    </w:p>
    <w:p w:rsidR="00474D29" w:rsidRDefault="00474D29" w:rsidP="00474D29">
      <w:pPr>
        <w:jc w:val="both"/>
      </w:pPr>
      <w:r>
        <w:tab/>
        <w:t>(Giving staff the ability to approve step increase tariffs.)</w:t>
      </w:r>
    </w:p>
    <w:p w:rsidR="00474D29" w:rsidRDefault="00474D29" w:rsidP="00474D29">
      <w:pPr>
        <w:jc w:val="both"/>
      </w:pPr>
    </w:p>
    <w:p w:rsidR="00474D29" w:rsidRPr="005D6A69" w:rsidRDefault="00474D29" w:rsidP="00474D29">
      <w:pPr>
        <w:pStyle w:val="OrderBody"/>
      </w:pPr>
    </w:p>
    <w:sectPr w:rsidR="00474D29" w:rsidRPr="005D6A69">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B2A" w:rsidRDefault="000C3B2A">
      <w:r>
        <w:separator/>
      </w:r>
    </w:p>
  </w:endnote>
  <w:endnote w:type="continuationSeparator" w:id="0">
    <w:p w:rsidR="000C3B2A" w:rsidRDefault="000C3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B2A" w:rsidRDefault="000C3B2A">
      <w:r>
        <w:separator/>
      </w:r>
    </w:p>
  </w:footnote>
  <w:footnote w:type="continuationSeparator" w:id="0">
    <w:p w:rsidR="000C3B2A" w:rsidRDefault="000C3B2A">
      <w:r>
        <w:continuationSeparator/>
      </w:r>
    </w:p>
  </w:footnote>
  <w:footnote w:id="1">
    <w:p w:rsidR="001024EF" w:rsidRDefault="001024EF">
      <w:pPr>
        <w:pStyle w:val="FootnoteText"/>
      </w:pPr>
      <w:r>
        <w:rPr>
          <w:rStyle w:val="FootnoteReference"/>
        </w:rPr>
        <w:footnoteRef/>
      </w:r>
      <w:r>
        <w:t xml:space="preserve"> Order No. PSC-2024-0441-PCO-EI, issued October 4, 2024, in Docket No. 20240099-EI, </w:t>
      </w:r>
      <w:r>
        <w:rPr>
          <w:i/>
        </w:rPr>
        <w:t>In re: Petition for rate increase by Florida Public Utilities Company.</w:t>
      </w:r>
    </w:p>
  </w:footnote>
  <w:footnote w:id="2">
    <w:p w:rsidR="009D7BC1" w:rsidRDefault="009D7BC1">
      <w:pPr>
        <w:pStyle w:val="FootnoteText"/>
      </w:pPr>
      <w:r>
        <w:rPr>
          <w:rStyle w:val="FootnoteReference"/>
        </w:rPr>
        <w:footnoteRef/>
      </w:r>
      <w:r>
        <w:t xml:space="preserve"> Order No. PSC-2025-0114-PAA-EI, issued April 7, 2025, in Docket No. 20240099-EI, </w:t>
      </w:r>
      <w:r>
        <w:rPr>
          <w:i/>
        </w:rPr>
        <w:t>In re: Petition for rate increase by Florida Public Utilities Company.</w:t>
      </w:r>
    </w:p>
  </w:footnote>
  <w:footnote w:id="3">
    <w:p w:rsidR="00151328" w:rsidRPr="00151328" w:rsidRDefault="00151328">
      <w:pPr>
        <w:pStyle w:val="FootnoteText"/>
      </w:pPr>
      <w:r>
        <w:rPr>
          <w:rStyle w:val="FootnoteReference"/>
        </w:rPr>
        <w:footnoteRef/>
      </w:r>
      <w:r>
        <w:t xml:space="preserve"> “[W]hile the Commission need not resolve every issue independently in its final order when it is reviewing a settlement agreement, it must nonetheless discuss the major elements of the settlement agreement and explain why it is in the public interest.”  </w:t>
      </w:r>
      <w:r>
        <w:rPr>
          <w:i/>
        </w:rPr>
        <w:t xml:space="preserve">Floridians Against Increased Rates v. Clark, </w:t>
      </w:r>
      <w:r>
        <w:t>371 So.3d 905, 912 (Fla. 2023) (internal quotations marks and citations omitted).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89 ">
      <w:r w:rsidR="003D7C6B">
        <w:t>PSC-2025-0189-PCO-EI</w:t>
      </w:r>
    </w:fldSimple>
  </w:p>
  <w:p w:rsidR="00FA6EFD" w:rsidRDefault="000C3B2A">
    <w:pPr>
      <w:pStyle w:val="OrderHeader"/>
    </w:pPr>
    <w:bookmarkStart w:id="8" w:name="HeaderDocketNo"/>
    <w:bookmarkEnd w:id="8"/>
    <w:r>
      <w:t>DOCKET NO. 20240099-EI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D7C6B">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22F6D97"/>
    <w:multiLevelType w:val="hybridMultilevel"/>
    <w:tmpl w:val="FC6C86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99-EI"/>
  </w:docVars>
  <w:rsids>
    <w:rsidRoot w:val="000C3B2A"/>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3B2A"/>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24EF"/>
    <w:rsid w:val="00103190"/>
    <w:rsid w:val="00104333"/>
    <w:rsid w:val="001052BA"/>
    <w:rsid w:val="001107B3"/>
    <w:rsid w:val="001114B1"/>
    <w:rsid w:val="001123F6"/>
    <w:rsid w:val="001139D8"/>
    <w:rsid w:val="00116AD3"/>
    <w:rsid w:val="00121957"/>
    <w:rsid w:val="0012387E"/>
    <w:rsid w:val="001259EC"/>
    <w:rsid w:val="00126593"/>
    <w:rsid w:val="00134177"/>
    <w:rsid w:val="00136087"/>
    <w:rsid w:val="00142A96"/>
    <w:rsid w:val="00151328"/>
    <w:rsid w:val="001513DE"/>
    <w:rsid w:val="00154A71"/>
    <w:rsid w:val="001655D4"/>
    <w:rsid w:val="00165803"/>
    <w:rsid w:val="00187E32"/>
    <w:rsid w:val="001918FF"/>
    <w:rsid w:val="001929E3"/>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0B0B"/>
    <w:rsid w:val="002A11AC"/>
    <w:rsid w:val="002A1B95"/>
    <w:rsid w:val="002A6F30"/>
    <w:rsid w:val="002A7884"/>
    <w:rsid w:val="002B3111"/>
    <w:rsid w:val="002B5CA0"/>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1F7E"/>
    <w:rsid w:val="00382C6A"/>
    <w:rsid w:val="003875A9"/>
    <w:rsid w:val="00387BDE"/>
    <w:rsid w:val="00390DD8"/>
    <w:rsid w:val="00394DC6"/>
    <w:rsid w:val="00397C3E"/>
    <w:rsid w:val="003A09B8"/>
    <w:rsid w:val="003B1A09"/>
    <w:rsid w:val="003B6F02"/>
    <w:rsid w:val="003C0431"/>
    <w:rsid w:val="003C29BB"/>
    <w:rsid w:val="003D3989"/>
    <w:rsid w:val="003D4CCA"/>
    <w:rsid w:val="003D52A6"/>
    <w:rsid w:val="003D6416"/>
    <w:rsid w:val="003D7C6B"/>
    <w:rsid w:val="003E1169"/>
    <w:rsid w:val="003E1D48"/>
    <w:rsid w:val="003E6FC0"/>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4D29"/>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556B"/>
    <w:rsid w:val="005963C2"/>
    <w:rsid w:val="005A0D69"/>
    <w:rsid w:val="005A31F4"/>
    <w:rsid w:val="005A73EA"/>
    <w:rsid w:val="005B45F7"/>
    <w:rsid w:val="005B63EA"/>
    <w:rsid w:val="005C1A88"/>
    <w:rsid w:val="005C5033"/>
    <w:rsid w:val="005D4E1B"/>
    <w:rsid w:val="005D6A69"/>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80E0B"/>
    <w:rsid w:val="00681EF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1E93"/>
    <w:rsid w:val="00703F2A"/>
    <w:rsid w:val="00704C5D"/>
    <w:rsid w:val="007072BC"/>
    <w:rsid w:val="00715275"/>
    <w:rsid w:val="00721B44"/>
    <w:rsid w:val="007232A2"/>
    <w:rsid w:val="00726366"/>
    <w:rsid w:val="00731AB6"/>
    <w:rsid w:val="00733B6B"/>
    <w:rsid w:val="0074045C"/>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D6E02"/>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D7BC1"/>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57532"/>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0FF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1B7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5156"/>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29B0"/>
    <w:rsid w:val="00D70752"/>
    <w:rsid w:val="00D80E2D"/>
    <w:rsid w:val="00D84D5E"/>
    <w:rsid w:val="00D8560E"/>
    <w:rsid w:val="00D8758F"/>
    <w:rsid w:val="00DA4EDD"/>
    <w:rsid w:val="00DA6B78"/>
    <w:rsid w:val="00DB122B"/>
    <w:rsid w:val="00DB55E4"/>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528D7"/>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C208C"/>
    <w:rsid w:val="00ED6A79"/>
    <w:rsid w:val="00EE17DF"/>
    <w:rsid w:val="00EF1482"/>
    <w:rsid w:val="00EF4621"/>
    <w:rsid w:val="00EF4D52"/>
    <w:rsid w:val="00EF6312"/>
    <w:rsid w:val="00F00C4B"/>
    <w:rsid w:val="00F038B0"/>
    <w:rsid w:val="00F05F34"/>
    <w:rsid w:val="00F22B27"/>
    <w:rsid w:val="00F234A7"/>
    <w:rsid w:val="00F2773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 w:val="00FF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BD0FFE"/>
    <w:pPr>
      <w:ind w:left="720"/>
      <w:contextualSpacing/>
    </w:pPr>
  </w:style>
  <w:style w:type="paragraph" w:styleId="BalloonText">
    <w:name w:val="Balloon Text"/>
    <w:basedOn w:val="Normal"/>
    <w:link w:val="BalloonTextChar"/>
    <w:semiHidden/>
    <w:unhideWhenUsed/>
    <w:rsid w:val="00DB55E4"/>
    <w:rPr>
      <w:rFonts w:ascii="Segoe UI" w:hAnsi="Segoe UI" w:cs="Segoe UI"/>
      <w:sz w:val="18"/>
      <w:szCs w:val="18"/>
    </w:rPr>
  </w:style>
  <w:style w:type="character" w:customStyle="1" w:styleId="BalloonTextChar">
    <w:name w:val="Balloon Text Char"/>
    <w:basedOn w:val="DefaultParagraphFont"/>
    <w:link w:val="BalloonText"/>
    <w:semiHidden/>
    <w:rsid w:val="00DB55E4"/>
    <w:rPr>
      <w:rFonts w:ascii="Segoe UI" w:hAnsi="Segoe UI" w:cs="Segoe UI"/>
      <w:sz w:val="18"/>
      <w:szCs w:val="18"/>
    </w:rPr>
  </w:style>
  <w:style w:type="paragraph" w:customStyle="1" w:styleId="Level2">
    <w:name w:val="Level 2"/>
    <w:rsid w:val="00680E0B"/>
    <w:pPr>
      <w:autoSpaceDE w:val="0"/>
      <w:autoSpaceDN w:val="0"/>
      <w:adjustRightInd w:val="0"/>
      <w:ind w:left="144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F13A2-443F-4210-881D-5446191C9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5</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2025-06-05T13:33:00Z</dcterms:created>
  <dcterms:modified xsi:type="dcterms:W3CDTF">2025-06-05T13:48:00Z</dcterms:modified>
</cp:coreProperties>
</file>