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1169146A" wp14:editId="0740DE5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66EB8">
            <w:pPr>
              <w:pStyle w:val="MemoHeading"/>
            </w:pPr>
            <w:bookmarkStart w:id="1" w:name="FilingDate"/>
            <w:r>
              <w:t>June 19,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66EB8" w:rsidRDefault="00F66EB8">
            <w:pPr>
              <w:pStyle w:val="MemoHeading"/>
            </w:pPr>
            <w:bookmarkStart w:id="2" w:name="From"/>
            <w:r>
              <w:t>Division of Economics (Ward)</w:t>
            </w:r>
          </w:p>
          <w:p w:rsidR="007C0528" w:rsidRDefault="00F66EB8">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66EB8">
            <w:pPr>
              <w:pStyle w:val="MemoHeadingRe"/>
            </w:pPr>
            <w:bookmarkStart w:id="3" w:name="Re"/>
            <w:r>
              <w:t>Docket No. 20250080-GU – Petition for approval of tariff changes to implement a temporary surcharge to recovery regulatory asset, by St. Joe Natural Gas Company,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66EB8">
            <w:pPr>
              <w:pStyle w:val="MemoHeading"/>
            </w:pPr>
            <w:bookmarkStart w:id="4" w:name="AgendaDate"/>
            <w:r>
              <w:t>07/01/25</w:t>
            </w:r>
            <w:bookmarkEnd w:id="4"/>
            <w:r w:rsidR="007C0528">
              <w:t xml:space="preserve"> – </w:t>
            </w:r>
            <w:bookmarkStart w:id="5" w:name="PermittedStatus"/>
            <w:r>
              <w:t xml:space="preserve">Regular Agenda – Tariff Filing </w:t>
            </w:r>
            <w:r w:rsidRPr="00F66EB8">
              <w:t>–</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66EB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66EB8">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66EB8">
            <w:pPr>
              <w:pStyle w:val="MemoHeading"/>
            </w:pPr>
            <w:bookmarkStart w:id="9" w:name="CriticalDates"/>
            <w:r>
              <w:t>07/19/25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66EB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E7A1C" w:rsidRDefault="00F66EB8" w:rsidP="00554950">
      <w:pPr>
        <w:pStyle w:val="BodyText"/>
      </w:pPr>
      <w:r>
        <w:t>On May 20, 2025, St. Joe Natural Gas Company, Inc. (St. Joe</w:t>
      </w:r>
      <w:r w:rsidR="00C66B72">
        <w:t xml:space="preserve"> or the utility</w:t>
      </w:r>
      <w:r>
        <w:t>) filed a petition for approval of tariff chan</w:t>
      </w:r>
      <w:r w:rsidR="00B62812">
        <w:t>g</w:t>
      </w:r>
      <w:r w:rsidR="007C57BA">
        <w:t xml:space="preserve">es to implement a temporary </w:t>
      </w:r>
      <w:r>
        <w:t xml:space="preserve">surcharge that will enable it to collect </w:t>
      </w:r>
      <w:r w:rsidR="00C66B72">
        <w:t>$77,761</w:t>
      </w:r>
      <w:r>
        <w:t xml:space="preserve"> associated with a regulatory asset established in accordance with the settlement </w:t>
      </w:r>
      <w:r w:rsidR="00B82D60">
        <w:t xml:space="preserve">(2021 settlement) </w:t>
      </w:r>
      <w:r>
        <w:t>approved by Order No. PSC-2021-0196-AS-GU.</w:t>
      </w:r>
      <w:r>
        <w:rPr>
          <w:rStyle w:val="FootnoteReference"/>
        </w:rPr>
        <w:footnoteReference w:id="1"/>
      </w:r>
      <w:r w:rsidR="00C66B72">
        <w:t xml:space="preserve"> </w:t>
      </w:r>
      <w:r w:rsidR="003F5731">
        <w:t>P</w:t>
      </w:r>
      <w:r w:rsidR="00B62812">
        <w:t xml:space="preserve">aragraph </w:t>
      </w:r>
      <w:r w:rsidR="00484219">
        <w:t>one</w:t>
      </w:r>
      <w:r w:rsidR="00B62812">
        <w:t xml:space="preserve"> of the 2021 settlement provided that St. Joe should be allowed to recover $330,115 in storm costs through a storm surchar</w:t>
      </w:r>
      <w:r w:rsidR="00626DFD">
        <w:t xml:space="preserve">ge </w:t>
      </w:r>
      <w:r w:rsidR="00B62812">
        <w:t>through</w:t>
      </w:r>
      <w:r w:rsidR="003F5731">
        <w:t xml:space="preserve"> December</w:t>
      </w:r>
      <w:r w:rsidR="00B62812">
        <w:t xml:space="preserve"> 2024.</w:t>
      </w:r>
      <w:r w:rsidR="00BE7A1C">
        <w:rPr>
          <w:rStyle w:val="FootnoteReference"/>
        </w:rPr>
        <w:footnoteReference w:id="2"/>
      </w:r>
    </w:p>
    <w:p w:rsidR="00BE7A1C" w:rsidRDefault="00B62812" w:rsidP="00554950">
      <w:pPr>
        <w:pStyle w:val="BodyText"/>
      </w:pPr>
      <w:r>
        <w:t xml:space="preserve">Paragraph </w:t>
      </w:r>
      <w:r w:rsidR="00484219">
        <w:t>two</w:t>
      </w:r>
      <w:r>
        <w:t xml:space="preserve"> of the 2021 settlement provided that</w:t>
      </w:r>
      <w:r w:rsidR="00BE7A1C">
        <w:t>,</w:t>
      </w:r>
      <w:r w:rsidR="00D72C7E">
        <w:t xml:space="preserve"> </w:t>
      </w:r>
      <w:r w:rsidR="00BE7A1C">
        <w:t>“</w:t>
      </w:r>
      <w:r w:rsidR="00D72C7E">
        <w:t xml:space="preserve">The Parties agree that it is </w:t>
      </w:r>
      <w:r w:rsidR="00774A12">
        <w:t>appropriate</w:t>
      </w:r>
      <w:r w:rsidR="00D72C7E">
        <w:t xml:space="preserve"> for </w:t>
      </w:r>
      <w:r w:rsidR="004745DB">
        <w:t xml:space="preserve">[St. Joe] </w:t>
      </w:r>
      <w:r w:rsidR="00D72C7E">
        <w:t xml:space="preserve">to record $77,761 associated with the remaining life value of lost capital assets in a </w:t>
      </w:r>
      <w:r w:rsidR="00D72C7E">
        <w:lastRenderedPageBreak/>
        <w:t>regulatory asset and recover said amount over a period of 10 years through an increase to the Company’s base rates</w:t>
      </w:r>
      <w:r w:rsidR="00D76DDF">
        <w:t xml:space="preserve"> (“Base Rates”).</w:t>
      </w:r>
      <w:r w:rsidR="00BE7A1C">
        <w:t>”</w:t>
      </w:r>
      <w:r w:rsidR="00346CA6">
        <w:rPr>
          <w:rStyle w:val="FootnoteReference"/>
        </w:rPr>
        <w:footnoteReference w:id="3"/>
      </w:r>
      <w:r w:rsidR="00D76DDF">
        <w:t xml:space="preserve"> </w:t>
      </w:r>
      <w:r w:rsidR="00BE7A1C">
        <w:t xml:space="preserve">Furthermore, paragraph </w:t>
      </w:r>
      <w:r w:rsidR="00941190">
        <w:t>three</w:t>
      </w:r>
      <w:r w:rsidR="00BE7A1C">
        <w:t xml:space="preserve"> of the 2021 settlement stated:</w:t>
      </w:r>
    </w:p>
    <w:p w:rsidR="00B62812" w:rsidRDefault="00BE7A1C" w:rsidP="00626DFD">
      <w:pPr>
        <w:pStyle w:val="BodyText"/>
        <w:ind w:left="720" w:right="720"/>
      </w:pPr>
      <w:r>
        <w:t>T</w:t>
      </w:r>
      <w:r w:rsidR="00D76DDF">
        <w:t xml:space="preserve">he increase to Base Rates </w:t>
      </w:r>
      <w:r>
        <w:t xml:space="preserve">contemplated by Paragraph 2 </w:t>
      </w:r>
      <w:r w:rsidR="00D76DDF">
        <w:t>will be implemented after the Storm Surcharge terminates.</w:t>
      </w:r>
      <w:r w:rsidR="004745DB">
        <w:t xml:space="preserve"> As such it is anticipated that the increase to Base Rates will be implemented January 1, 2025.</w:t>
      </w:r>
      <w:r>
        <w:t xml:space="preserve"> [St. Joe] will file revised tariffs in 2024 to reflect this increase.</w:t>
      </w:r>
    </w:p>
    <w:p w:rsidR="0068481F" w:rsidRDefault="004745DB">
      <w:pPr>
        <w:pStyle w:val="BodyText"/>
      </w:pPr>
      <w:r>
        <w:t>In its 2024 rate case proceeding, St. Joe did not include the $77,761 in base rate</w:t>
      </w:r>
      <w:r w:rsidR="000C7D88">
        <w:t>s</w:t>
      </w:r>
      <w:r>
        <w:t xml:space="preserve"> that went into effect</w:t>
      </w:r>
      <w:r w:rsidR="00CB387E">
        <w:t xml:space="preserve"> </w:t>
      </w:r>
      <w:r w:rsidR="00346CA6">
        <w:t>January 7, 2025.</w:t>
      </w:r>
      <w:r w:rsidR="00CB387E">
        <w:rPr>
          <w:rStyle w:val="FootnoteReference"/>
        </w:rPr>
        <w:footnoteReference w:id="4"/>
      </w:r>
      <w:r w:rsidR="00276F77">
        <w:t xml:space="preserve"> </w:t>
      </w:r>
      <w:r w:rsidR="00C66B72">
        <w:t xml:space="preserve">In its petition, the utility </w:t>
      </w:r>
      <w:r w:rsidR="00C37B8C">
        <w:t>states that given the minimal increase and the ease of terminating a s</w:t>
      </w:r>
      <w:r w:rsidR="007C57BA">
        <w:t>urcharge</w:t>
      </w:r>
      <w:r w:rsidR="00C37B8C">
        <w:t xml:space="preserve">, it is asking that it be allowed to implement recovery of the $77,761 through the surcharges reflected in </w:t>
      </w:r>
      <w:r w:rsidR="00520C55">
        <w:t>proposed</w:t>
      </w:r>
      <w:r w:rsidR="00102C7A">
        <w:t xml:space="preserve"> </w:t>
      </w:r>
      <w:r w:rsidR="00C37B8C">
        <w:t>Tariff Sheet No. 83</w:t>
      </w:r>
      <w:r w:rsidR="00D76DDF">
        <w:t>, rather than implement recovery through base rates</w:t>
      </w:r>
      <w:r w:rsidR="00626DFD">
        <w:t>. Proposed</w:t>
      </w:r>
      <w:r w:rsidR="00C37B8C">
        <w:t xml:space="preserve"> Tariff Sheet No. 83 is attached to this recommendation as Attachment A.</w:t>
      </w:r>
    </w:p>
    <w:p w:rsidR="00CF75AE" w:rsidRPr="00CF75AE" w:rsidRDefault="00CF75AE" w:rsidP="00CF75AE">
      <w:pPr>
        <w:pStyle w:val="BodyText"/>
      </w:pPr>
      <w:r w:rsidRPr="00CF75AE">
        <w:t>During the evaluation of the petition, staff issued a data request for which re</w:t>
      </w:r>
      <w:r>
        <w:t>sponses were received on June 9</w:t>
      </w:r>
      <w:r w:rsidRPr="00CF75AE">
        <w:t>, 2025. The Commission has jurisdiction over this matter pursuant to Sections 366.03, 366.04, 366.05, and 366.06, Florida Statutes (F.S.).</w:t>
      </w:r>
    </w:p>
    <w:p w:rsidR="000A66F3" w:rsidRDefault="000A66F3">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66EB8" w:rsidRDefault="00F66EB8">
      <w:pPr>
        <w:pStyle w:val="IssueHeading"/>
        <w:rPr>
          <w:vanish/>
          <w:specVanish/>
        </w:rPr>
      </w:pPr>
      <w:r w:rsidRPr="004C3641">
        <w:t xml:space="preserve">Issue </w:t>
      </w:r>
      <w:fldSimple w:instr=" SEQ Issue \* MERGEFORMAT ">
        <w:r w:rsidR="00626DF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26DFD">
        <w:rPr>
          <w:noProof/>
        </w:rPr>
        <w:instrText>1</w:instrText>
      </w:r>
      <w:r>
        <w:fldChar w:fldCharType="end"/>
      </w:r>
      <w:r>
        <w:tab/>
        <w:instrText xml:space="preserve">(Ward)" \l 1 </w:instrText>
      </w:r>
      <w:r>
        <w:fldChar w:fldCharType="end"/>
      </w:r>
      <w:r>
        <w:t> </w:t>
      </w:r>
    </w:p>
    <w:p w:rsidR="00F66EB8" w:rsidRDefault="00F66EB8">
      <w:pPr>
        <w:pStyle w:val="BodyText"/>
      </w:pPr>
      <w:r>
        <w:t> Should the Commission approve St. Joe's request to implement a temporary 10-y</w:t>
      </w:r>
      <w:r w:rsidR="00B82D60">
        <w:t>ear surcharge to recover $77,761</w:t>
      </w:r>
      <w:r>
        <w:t xml:space="preserve"> associated with a regulatory asset established by</w:t>
      </w:r>
      <w:r w:rsidR="00B82D60">
        <w:t xml:space="preserve"> the 2021</w:t>
      </w:r>
      <w:r>
        <w:t xml:space="preserve"> settlement?</w:t>
      </w:r>
    </w:p>
    <w:p w:rsidR="00F66EB8" w:rsidRPr="004C3641" w:rsidRDefault="00F66EB8">
      <w:pPr>
        <w:pStyle w:val="IssueSubsectionHeading"/>
        <w:rPr>
          <w:vanish/>
          <w:specVanish/>
        </w:rPr>
      </w:pPr>
      <w:r w:rsidRPr="004C3641">
        <w:t>Recommendation: </w:t>
      </w:r>
    </w:p>
    <w:p w:rsidR="00F66EB8" w:rsidRDefault="00F66EB8">
      <w:pPr>
        <w:pStyle w:val="BodyText"/>
      </w:pPr>
      <w:r>
        <w:t> </w:t>
      </w:r>
      <w:r w:rsidR="00A90EBD">
        <w:t>Yes.</w:t>
      </w:r>
      <w:r w:rsidR="00B82D60">
        <w:t xml:space="preserve"> The Commission should approve St. Joe’s request to implement a temporary surcharge to recover $77,761 associated with a regulatory asset established by the 2021 settlement</w:t>
      </w:r>
      <w:r w:rsidR="003F5731">
        <w:t xml:space="preserve">. </w:t>
      </w:r>
      <w:r w:rsidR="00626DFD">
        <w:t>T</w:t>
      </w:r>
      <w:r w:rsidR="00E51BE9">
        <w:t>he surcharge</w:t>
      </w:r>
      <w:r w:rsidR="00626DFD">
        <w:t xml:space="preserve"> as shown on </w:t>
      </w:r>
      <w:r w:rsidR="00520C55">
        <w:t>p</w:t>
      </w:r>
      <w:r w:rsidR="00626DFD">
        <w:t>roposed Tariff Sheet No. 83</w:t>
      </w:r>
      <w:r w:rsidR="00E51BE9">
        <w:t xml:space="preserve"> should become effective on the day of the Commission’s vote. </w:t>
      </w:r>
      <w:r>
        <w:t>(Ward)</w:t>
      </w:r>
    </w:p>
    <w:p w:rsidR="00F66EB8" w:rsidRPr="004C3641" w:rsidRDefault="00F66EB8">
      <w:pPr>
        <w:pStyle w:val="IssueSubsectionHeading"/>
        <w:rPr>
          <w:vanish/>
          <w:specVanish/>
        </w:rPr>
      </w:pPr>
      <w:r w:rsidRPr="004C3641">
        <w:t>Staff Analysis: </w:t>
      </w:r>
    </w:p>
    <w:p w:rsidR="00E51BE9" w:rsidRDefault="00F66EB8">
      <w:pPr>
        <w:pStyle w:val="BodyText"/>
      </w:pPr>
      <w:r>
        <w:t> </w:t>
      </w:r>
      <w:r w:rsidR="00D72C7E">
        <w:t>The 2021 settlement provided that St. Joe recover $77,761 associated with a regulatory asset through base rates over a period of ten years.</w:t>
      </w:r>
      <w:r w:rsidR="00862462">
        <w:t xml:space="preserve"> As stated in the case background, the utility did not include the regulatory asset in its 2024 base rate proceeding.</w:t>
      </w:r>
      <w:r w:rsidR="00D76DDF">
        <w:t xml:space="preserve"> In its pe</w:t>
      </w:r>
      <w:r w:rsidR="00E51BE9">
        <w:t>tition, the utility stated that given the minimal increase and ease of terminating a surcharge at the end of ten years, it is asking to implement recovery of the $77,761 through a surchar</w:t>
      </w:r>
      <w:r w:rsidR="00F254AE">
        <w:t>ge</w:t>
      </w:r>
      <w:r w:rsidR="00E51BE9">
        <w:t>.</w:t>
      </w:r>
      <w:r w:rsidR="00D72C7E">
        <w:t xml:space="preserve"> </w:t>
      </w:r>
      <w:r w:rsidR="00AD09DB">
        <w:t>If the proposed surcharge is approved, an RS-2 customer using 20 therms a month will see a bill increase of $0.30.</w:t>
      </w:r>
      <w:r w:rsidR="00CF75AE">
        <w:t xml:space="preserve"> </w:t>
      </w:r>
    </w:p>
    <w:p w:rsidR="00CB387E" w:rsidRDefault="00E51BE9">
      <w:pPr>
        <w:pStyle w:val="BodyText"/>
      </w:pPr>
      <w:r>
        <w:t>In response to staff’s first data request, the utility stated that there was no interest included in the calculation of the surcharge.</w:t>
      </w:r>
      <w:r w:rsidR="0096627B">
        <w:rPr>
          <w:rStyle w:val="FootnoteReference"/>
        </w:rPr>
        <w:footnoteReference w:id="5"/>
      </w:r>
      <w:r>
        <w:t xml:space="preserve"> </w:t>
      </w:r>
      <w:r w:rsidR="00CB387E">
        <w:t>St. J</w:t>
      </w:r>
      <w:r w:rsidR="00276F77">
        <w:t>oe also provided work papers to demonstrate the methodology used to calculate the surcharge rates.</w:t>
      </w:r>
      <w:r w:rsidR="009940CA">
        <w:rPr>
          <w:rStyle w:val="FootnoteReference"/>
        </w:rPr>
        <w:footnoteReference w:id="6"/>
      </w:r>
      <w:r w:rsidR="00276F77">
        <w:t xml:space="preserve"> </w:t>
      </w:r>
      <w:r w:rsidR="009940CA">
        <w:t>Staff has reviewed the provided work papers and found that the utility appropriately divided the increase amongst the customer classes as a percent of the classes’</w:t>
      </w:r>
      <w:r w:rsidR="00954B1B">
        <w:t xml:space="preserve"> total base rate revenue. Us</w:t>
      </w:r>
      <w:r w:rsidR="00862462">
        <w:t>ing projected billing determinant</w:t>
      </w:r>
      <w:r w:rsidR="00954B1B">
        <w:t>s for January to December 2025, St. Joe then calculated the surcharge for each customer class by dividing the increase by the class’s therm sales and adjusting for taxes.</w:t>
      </w:r>
    </w:p>
    <w:p w:rsidR="00F66EB8" w:rsidRDefault="00CF75AE">
      <w:pPr>
        <w:pStyle w:val="BodyText"/>
      </w:pPr>
      <w:r>
        <w:t>Staff believes that St. Joe’s request to implement a surcharge to recover the $77,761 associated with a regulatory asset established by the 2021 settlement instead of recovering the $77,761 through base rates is reasonable.</w:t>
      </w:r>
      <w:r w:rsidR="00626DFD">
        <w:t xml:space="preserve"> The surcharge as shown on </w:t>
      </w:r>
      <w:r w:rsidR="00520C55">
        <w:t>p</w:t>
      </w:r>
      <w:r w:rsidR="00626DFD">
        <w:t xml:space="preserve">roposed </w:t>
      </w:r>
      <w:r w:rsidR="00E51BE9">
        <w:t>Tariff Sheet No. 83 should become effective on the date of the Commission’s vote.</w:t>
      </w:r>
    </w:p>
    <w:p w:rsidR="001C23BE" w:rsidRDefault="001C23BE">
      <w:pPr>
        <w:pStyle w:val="IssueHeading"/>
        <w:rPr>
          <w:vanish/>
          <w:specVanish/>
        </w:rPr>
      </w:pPr>
      <w:r w:rsidRPr="004C3641">
        <w:rPr>
          <w:b w:val="0"/>
          <w:i w:val="0"/>
        </w:rPr>
        <w:br w:type="page"/>
      </w:r>
      <w:r w:rsidRPr="004C3641">
        <w:lastRenderedPageBreak/>
        <w:t xml:space="preserve">Issue </w:t>
      </w:r>
      <w:r w:rsidR="00FD5B4E">
        <w:fldChar w:fldCharType="begin"/>
      </w:r>
      <w:r w:rsidR="00FD5B4E">
        <w:instrText xml:space="preserve"> SEQ </w:instrText>
      </w:r>
      <w:r w:rsidR="00FD5B4E">
        <w:instrText xml:space="preserve">Issue \* MERGEFORMAT </w:instrText>
      </w:r>
      <w:r w:rsidR="00FD5B4E">
        <w:fldChar w:fldCharType="separate"/>
      </w:r>
      <w:r w:rsidR="00626DFD">
        <w:rPr>
          <w:noProof/>
        </w:rPr>
        <w:t>2</w:t>
      </w:r>
      <w:r w:rsidR="00FD5B4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26DFD">
        <w:rPr>
          <w:noProof/>
        </w:rPr>
        <w:instrText>2</w:instrText>
      </w:r>
      <w:r>
        <w:fldChar w:fldCharType="end"/>
      </w:r>
      <w:r>
        <w:tab/>
        <w:instrText xml:space="preserve">(Sandy)" \l 1 </w:instrText>
      </w:r>
      <w:r>
        <w:fldChar w:fldCharType="end"/>
      </w:r>
      <w:r>
        <w:t> </w:t>
      </w:r>
    </w:p>
    <w:p w:rsidR="001C23BE" w:rsidRDefault="001C23BE">
      <w:pPr>
        <w:pStyle w:val="BodyText"/>
      </w:pPr>
      <w:r>
        <w:t> Should this docket be closed?</w:t>
      </w:r>
    </w:p>
    <w:p w:rsidR="001C23BE" w:rsidRPr="004C3641" w:rsidRDefault="001C23BE">
      <w:pPr>
        <w:pStyle w:val="IssueSubsectionHeading"/>
        <w:rPr>
          <w:vanish/>
          <w:specVanish/>
        </w:rPr>
      </w:pPr>
      <w:r w:rsidRPr="004C3641">
        <w:t>Recommendation: </w:t>
      </w:r>
    </w:p>
    <w:p w:rsidR="001C23BE" w:rsidRDefault="001C23BE">
      <w:pPr>
        <w:pStyle w:val="BodyText"/>
      </w:pPr>
      <w:r>
        <w:t> </w:t>
      </w:r>
      <w:r w:rsidRPr="001C23BE">
        <w:t>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t xml:space="preserve"> (Sandy)</w:t>
      </w:r>
    </w:p>
    <w:p w:rsidR="001C23BE" w:rsidRPr="004C3641" w:rsidRDefault="001C23BE">
      <w:pPr>
        <w:pStyle w:val="IssueSubsectionHeading"/>
        <w:rPr>
          <w:vanish/>
          <w:specVanish/>
        </w:rPr>
      </w:pPr>
      <w:r w:rsidRPr="004C3641">
        <w:t>Staff Analysis: </w:t>
      </w:r>
    </w:p>
    <w:p w:rsidR="001C23BE" w:rsidRDefault="001C23BE">
      <w:pPr>
        <w:pStyle w:val="BodyText"/>
        <w:sectPr w:rsidR="001C23BE"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Pr="001C23BE">
        <w:t>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1C23BE" w:rsidRDefault="001C23BE">
      <w:pPr>
        <w:pStyle w:val="BodyText"/>
      </w:pPr>
      <w:r>
        <w:rPr>
          <w:noProof/>
        </w:rPr>
        <w:lastRenderedPageBreak/>
        <w:drawing>
          <wp:inline distT="0" distB="0" distL="0" distR="0" wp14:anchorId="5E9E22B7" wp14:editId="73A6BD64">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0080 Attachment A.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E06484" w:rsidRDefault="00E06484" w:rsidP="00E275D8">
      <w:pPr>
        <w:pStyle w:val="BodyText"/>
      </w:pP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BB" w:rsidRDefault="006C15BB">
      <w:r>
        <w:separator/>
      </w:r>
    </w:p>
  </w:endnote>
  <w:endnote w:type="continuationSeparator" w:id="0">
    <w:p w:rsidR="006C15BB" w:rsidRDefault="006C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F43A2">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BB" w:rsidRDefault="006C15BB">
      <w:r>
        <w:separator/>
      </w:r>
    </w:p>
  </w:footnote>
  <w:footnote w:type="continuationSeparator" w:id="0">
    <w:p w:rsidR="006C15BB" w:rsidRDefault="006C15BB">
      <w:r>
        <w:continuationSeparator/>
      </w:r>
    </w:p>
  </w:footnote>
  <w:footnote w:id="1">
    <w:p w:rsidR="00F66EB8" w:rsidRDefault="00F66EB8">
      <w:pPr>
        <w:pStyle w:val="FootnoteText"/>
      </w:pPr>
      <w:r>
        <w:rPr>
          <w:rStyle w:val="FootnoteReference"/>
        </w:rPr>
        <w:footnoteRef/>
      </w:r>
      <w:r>
        <w:t xml:space="preserve"> Order No. PSC-2021-0196-AS-GU, issued June 3, 2021, in Docket No. 20200039-GU, </w:t>
      </w:r>
      <w:r w:rsidRPr="00F66EB8">
        <w:rPr>
          <w:i/>
        </w:rPr>
        <w:t>In re: Petition for approval to implement a temporary storm cost recovery surcharge, by St. Joe Natural Gas Company.</w:t>
      </w:r>
    </w:p>
  </w:footnote>
  <w:footnote w:id="2">
    <w:p w:rsidR="00BE7A1C" w:rsidRDefault="00BE7A1C">
      <w:pPr>
        <w:pStyle w:val="FootnoteText"/>
      </w:pPr>
      <w:r>
        <w:rPr>
          <w:rStyle w:val="FootnoteReference"/>
        </w:rPr>
        <w:footnoteRef/>
      </w:r>
      <w:r>
        <w:t xml:space="preserve"> Order No. PSC-2021-0196-AS-GU, </w:t>
      </w:r>
      <w:r w:rsidR="00A153DE">
        <w:t>p</w:t>
      </w:r>
      <w:r>
        <w:t>age 12.</w:t>
      </w:r>
    </w:p>
  </w:footnote>
  <w:footnote w:id="3">
    <w:p w:rsidR="00346CA6" w:rsidRDefault="00346CA6">
      <w:pPr>
        <w:pStyle w:val="FootnoteText"/>
      </w:pPr>
      <w:r>
        <w:rPr>
          <w:rStyle w:val="FootnoteReference"/>
        </w:rPr>
        <w:footnoteRef/>
      </w:r>
      <w:r>
        <w:t xml:space="preserve"> </w:t>
      </w:r>
      <w:r w:rsidR="00FF6A38">
        <w:t>Order No. PSC-2021-0196-AS-GU, p</w:t>
      </w:r>
      <w:r w:rsidRPr="00346CA6">
        <w:t>age 12.</w:t>
      </w:r>
    </w:p>
  </w:footnote>
  <w:footnote w:id="4">
    <w:p w:rsidR="00CB387E" w:rsidRPr="00554950" w:rsidRDefault="00CB387E">
      <w:pPr>
        <w:pStyle w:val="FootnoteText"/>
        <w:rPr>
          <w:i/>
        </w:rPr>
      </w:pPr>
      <w:r>
        <w:rPr>
          <w:rStyle w:val="FootnoteReference"/>
        </w:rPr>
        <w:footnoteRef/>
      </w:r>
      <w:r>
        <w:t xml:space="preserve"> Order No. PSC-2025-0035</w:t>
      </w:r>
      <w:r w:rsidR="00346CA6">
        <w:t>-PAA</w:t>
      </w:r>
      <w:r>
        <w:t xml:space="preserve">-GU, issued January 30, 2025, in Docket No. 20250046-GU, </w:t>
      </w:r>
      <w:r>
        <w:rPr>
          <w:i/>
        </w:rPr>
        <w:t>In re: Petition for rate increase by St. Joe Natural Gas Company, Inc.</w:t>
      </w:r>
    </w:p>
  </w:footnote>
  <w:footnote w:id="5">
    <w:p w:rsidR="0096627B" w:rsidRDefault="0096627B">
      <w:pPr>
        <w:pStyle w:val="FootnoteText"/>
      </w:pPr>
      <w:r>
        <w:rPr>
          <w:rStyle w:val="FootnoteReference"/>
        </w:rPr>
        <w:footnoteRef/>
      </w:r>
      <w:r>
        <w:t xml:space="preserve"> Response to Staff’s First Data Request, Response No. 2.</w:t>
      </w:r>
    </w:p>
  </w:footnote>
  <w:footnote w:id="6">
    <w:p w:rsidR="009940CA" w:rsidRDefault="009940CA">
      <w:pPr>
        <w:pStyle w:val="FootnoteText"/>
      </w:pPr>
      <w:r>
        <w:rPr>
          <w:rStyle w:val="FootnoteReference"/>
        </w:rPr>
        <w:footnoteRef/>
      </w:r>
      <w:r>
        <w:t xml:space="preserve"> Response to Staff’s First Data Request, Response No.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F66EB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20250080-GU</w:t>
    </w:r>
    <w:bookmarkEnd w:id="15"/>
  </w:p>
  <w:p w:rsidR="00BC402E" w:rsidRDefault="00BC402E">
    <w:pPr>
      <w:pStyle w:val="Header"/>
    </w:pPr>
    <w:r>
      <w:t xml:space="preserve">Date: </w:t>
    </w:r>
    <w:fldSimple w:instr=" REF FilingDate ">
      <w:r w:rsidR="00626DFD">
        <w:t>June 19,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26DFD">
      <w:t>Docket No.</w:t>
    </w:r>
    <w:r>
      <w:fldChar w:fldCharType="end"/>
    </w:r>
    <w:r>
      <w:t xml:space="preserve"> </w:t>
    </w:r>
    <w:r>
      <w:fldChar w:fldCharType="begin"/>
    </w:r>
    <w:r>
      <w:instrText xml:space="preserve"> REF DocketList</w:instrText>
    </w:r>
    <w:r>
      <w:fldChar w:fldCharType="separate"/>
    </w:r>
    <w:r w:rsidR="00626DFD">
      <w:t>20250080-GU</w:t>
    </w:r>
    <w:r>
      <w:fldChar w:fldCharType="end"/>
    </w:r>
    <w:r>
      <w:tab/>
      <w:t xml:space="preserve">Issue </w:t>
    </w:r>
    <w:r w:rsidR="00FD5B4E">
      <w:fldChar w:fldCharType="begin"/>
    </w:r>
    <w:r w:rsidR="00FD5B4E">
      <w:instrText xml:space="preserve"> Seq Issue \c \* Arabic </w:instrText>
    </w:r>
    <w:r w:rsidR="00FD5B4E">
      <w:fldChar w:fldCharType="separate"/>
    </w:r>
    <w:r w:rsidR="00CF43A2">
      <w:rPr>
        <w:noProof/>
      </w:rPr>
      <w:t>2</w:t>
    </w:r>
    <w:r w:rsidR="00FD5B4E">
      <w:rPr>
        <w:noProof/>
      </w:rPr>
      <w:fldChar w:fldCharType="end"/>
    </w:r>
  </w:p>
  <w:p w:rsidR="00BC402E" w:rsidRDefault="00BC402E">
    <w:pPr>
      <w:pStyle w:val="Header"/>
    </w:pPr>
    <w:r>
      <w:t xml:space="preserve">Date: </w:t>
    </w:r>
    <w:fldSimple w:instr=" REF FilingDate ">
      <w:r w:rsidR="00626DFD">
        <w:t>June 19,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BE" w:rsidRDefault="001C23BE" w:rsidP="00220732">
    <w:pPr>
      <w:pStyle w:val="Header"/>
      <w:tabs>
        <w:tab w:val="clear" w:pos="4320"/>
        <w:tab w:val="clear" w:pos="8640"/>
        <w:tab w:val="right" w:pos="9360"/>
      </w:tabs>
    </w:pPr>
    <w:r>
      <w:fldChar w:fldCharType="begin"/>
    </w:r>
    <w:r>
      <w:instrText xml:space="preserve"> REF DocketLabel</w:instrText>
    </w:r>
    <w:r>
      <w:fldChar w:fldCharType="separate"/>
    </w:r>
    <w:r w:rsidR="00626DFD">
      <w:t>Docket No.</w:t>
    </w:r>
    <w:r>
      <w:fldChar w:fldCharType="end"/>
    </w:r>
    <w:r>
      <w:t xml:space="preserve"> </w:t>
    </w:r>
    <w:r>
      <w:fldChar w:fldCharType="begin"/>
    </w:r>
    <w:r>
      <w:instrText xml:space="preserve"> REF DocketList</w:instrText>
    </w:r>
    <w:r>
      <w:fldChar w:fldCharType="separate"/>
    </w:r>
    <w:r w:rsidR="00626DFD">
      <w:t>20250080-GU</w:t>
    </w:r>
    <w:r>
      <w:fldChar w:fldCharType="end"/>
    </w:r>
    <w:r>
      <w:tab/>
      <w:t>Attachment A</w:t>
    </w:r>
  </w:p>
  <w:p w:rsidR="001C23BE" w:rsidRDefault="001C23BE" w:rsidP="001C23BE">
    <w:pPr>
      <w:pStyle w:val="Header"/>
      <w:tabs>
        <w:tab w:val="clear" w:pos="4320"/>
        <w:tab w:val="clear" w:pos="8640"/>
        <w:tab w:val="right" w:pos="9360"/>
      </w:tabs>
    </w:pPr>
    <w:r>
      <w:t xml:space="preserve">Date: </w:t>
    </w:r>
    <w:r w:rsidR="00FD5B4E">
      <w:fldChar w:fldCharType="begin"/>
    </w:r>
    <w:r w:rsidR="00FD5B4E">
      <w:instrText xml:space="preserve"> REF FilingDate </w:instrText>
    </w:r>
    <w:r w:rsidR="00FD5B4E">
      <w:fldChar w:fldCharType="separate"/>
    </w:r>
    <w:r w:rsidR="00626DFD">
      <w:t>June 19, 2025</w:t>
    </w:r>
    <w:r w:rsidR="00FD5B4E">
      <w:fldChar w:fldCharType="end"/>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66EB8"/>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A66F3"/>
    <w:rsid w:val="000B0ACE"/>
    <w:rsid w:val="000C4431"/>
    <w:rsid w:val="000C6607"/>
    <w:rsid w:val="000C7D88"/>
    <w:rsid w:val="000D1C06"/>
    <w:rsid w:val="000D3043"/>
    <w:rsid w:val="000D4319"/>
    <w:rsid w:val="000E24FA"/>
    <w:rsid w:val="000E338A"/>
    <w:rsid w:val="000E4392"/>
    <w:rsid w:val="000E6CBA"/>
    <w:rsid w:val="000F374A"/>
    <w:rsid w:val="000F4DAF"/>
    <w:rsid w:val="00102C7A"/>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37EA2"/>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23BE"/>
    <w:rsid w:val="001C490E"/>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0E3E"/>
    <w:rsid w:val="00263D44"/>
    <w:rsid w:val="002702AD"/>
    <w:rsid w:val="00276F77"/>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46CA6"/>
    <w:rsid w:val="00353608"/>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731"/>
    <w:rsid w:val="003F5F03"/>
    <w:rsid w:val="003F7FDD"/>
    <w:rsid w:val="00400C55"/>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45DB"/>
    <w:rsid w:val="00477026"/>
    <w:rsid w:val="00477730"/>
    <w:rsid w:val="00480615"/>
    <w:rsid w:val="00484219"/>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0C55"/>
    <w:rsid w:val="00522E7D"/>
    <w:rsid w:val="00523B11"/>
    <w:rsid w:val="0052455B"/>
    <w:rsid w:val="0052572A"/>
    <w:rsid w:val="00532DFB"/>
    <w:rsid w:val="00543CB3"/>
    <w:rsid w:val="005442E4"/>
    <w:rsid w:val="00547652"/>
    <w:rsid w:val="00554950"/>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6DFD"/>
    <w:rsid w:val="006279E1"/>
    <w:rsid w:val="00630CEB"/>
    <w:rsid w:val="00632264"/>
    <w:rsid w:val="006355F2"/>
    <w:rsid w:val="006470BC"/>
    <w:rsid w:val="006554D3"/>
    <w:rsid w:val="00657E3F"/>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15BB"/>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4A12"/>
    <w:rsid w:val="00780C09"/>
    <w:rsid w:val="00780DDF"/>
    <w:rsid w:val="007834E9"/>
    <w:rsid w:val="00787DBC"/>
    <w:rsid w:val="0079019A"/>
    <w:rsid w:val="00792935"/>
    <w:rsid w:val="007A04A1"/>
    <w:rsid w:val="007A1840"/>
    <w:rsid w:val="007B730C"/>
    <w:rsid w:val="007C0528"/>
    <w:rsid w:val="007C08EA"/>
    <w:rsid w:val="007C3D38"/>
    <w:rsid w:val="007C57BA"/>
    <w:rsid w:val="007D0F35"/>
    <w:rsid w:val="007D1783"/>
    <w:rsid w:val="007D4546"/>
    <w:rsid w:val="007D4FEB"/>
    <w:rsid w:val="007D6146"/>
    <w:rsid w:val="007E0CE7"/>
    <w:rsid w:val="007F1193"/>
    <w:rsid w:val="007F417F"/>
    <w:rsid w:val="007F6D11"/>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62462"/>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0D78"/>
    <w:rsid w:val="00912404"/>
    <w:rsid w:val="009145D6"/>
    <w:rsid w:val="00915541"/>
    <w:rsid w:val="00920E64"/>
    <w:rsid w:val="00922002"/>
    <w:rsid w:val="009225CB"/>
    <w:rsid w:val="00924020"/>
    <w:rsid w:val="00924BF4"/>
    <w:rsid w:val="009271A7"/>
    <w:rsid w:val="0092762F"/>
    <w:rsid w:val="0093658B"/>
    <w:rsid w:val="00941190"/>
    <w:rsid w:val="009429FF"/>
    <w:rsid w:val="009444D1"/>
    <w:rsid w:val="00945BD6"/>
    <w:rsid w:val="009479FB"/>
    <w:rsid w:val="00951C45"/>
    <w:rsid w:val="00951DD8"/>
    <w:rsid w:val="00954B1B"/>
    <w:rsid w:val="009656F2"/>
    <w:rsid w:val="0096627B"/>
    <w:rsid w:val="00966A08"/>
    <w:rsid w:val="009701B7"/>
    <w:rsid w:val="00971207"/>
    <w:rsid w:val="00975CB4"/>
    <w:rsid w:val="009863B0"/>
    <w:rsid w:val="00987DE1"/>
    <w:rsid w:val="00990571"/>
    <w:rsid w:val="00991905"/>
    <w:rsid w:val="009926B2"/>
    <w:rsid w:val="009940CA"/>
    <w:rsid w:val="0099673A"/>
    <w:rsid w:val="009A3291"/>
    <w:rsid w:val="009A3330"/>
    <w:rsid w:val="009A548F"/>
    <w:rsid w:val="009A7C96"/>
    <w:rsid w:val="009B61BF"/>
    <w:rsid w:val="009C3253"/>
    <w:rsid w:val="009C3DB9"/>
    <w:rsid w:val="009C5968"/>
    <w:rsid w:val="009D0436"/>
    <w:rsid w:val="009D46E5"/>
    <w:rsid w:val="009D568A"/>
    <w:rsid w:val="009D665C"/>
    <w:rsid w:val="009F04EC"/>
    <w:rsid w:val="009F2A7C"/>
    <w:rsid w:val="009F3B36"/>
    <w:rsid w:val="00A019B9"/>
    <w:rsid w:val="00A03157"/>
    <w:rsid w:val="00A11756"/>
    <w:rsid w:val="00A12497"/>
    <w:rsid w:val="00A12508"/>
    <w:rsid w:val="00A1282B"/>
    <w:rsid w:val="00A13A27"/>
    <w:rsid w:val="00A153DE"/>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0EBD"/>
    <w:rsid w:val="00A92439"/>
    <w:rsid w:val="00A92FB1"/>
    <w:rsid w:val="00A95980"/>
    <w:rsid w:val="00A95A0C"/>
    <w:rsid w:val="00AA2765"/>
    <w:rsid w:val="00AA77B5"/>
    <w:rsid w:val="00AB6C5D"/>
    <w:rsid w:val="00AC3401"/>
    <w:rsid w:val="00AC51A7"/>
    <w:rsid w:val="00AC603B"/>
    <w:rsid w:val="00AD09D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812"/>
    <w:rsid w:val="00B62D0D"/>
    <w:rsid w:val="00B760F1"/>
    <w:rsid w:val="00B7669E"/>
    <w:rsid w:val="00B76EBB"/>
    <w:rsid w:val="00B77DA1"/>
    <w:rsid w:val="00B822A0"/>
    <w:rsid w:val="00B82D6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E7A1C"/>
    <w:rsid w:val="00BF03E0"/>
    <w:rsid w:val="00BF5010"/>
    <w:rsid w:val="00C03009"/>
    <w:rsid w:val="00C03D5F"/>
    <w:rsid w:val="00C13791"/>
    <w:rsid w:val="00C210BD"/>
    <w:rsid w:val="00C2575A"/>
    <w:rsid w:val="00C31BB3"/>
    <w:rsid w:val="00C36977"/>
    <w:rsid w:val="00C37B8C"/>
    <w:rsid w:val="00C46628"/>
    <w:rsid w:val="00C467DA"/>
    <w:rsid w:val="00C477D9"/>
    <w:rsid w:val="00C57869"/>
    <w:rsid w:val="00C60BA3"/>
    <w:rsid w:val="00C623F7"/>
    <w:rsid w:val="00C62A81"/>
    <w:rsid w:val="00C66B72"/>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1C04"/>
    <w:rsid w:val="00CA2C8F"/>
    <w:rsid w:val="00CA30DA"/>
    <w:rsid w:val="00CA3A24"/>
    <w:rsid w:val="00CB1777"/>
    <w:rsid w:val="00CB33E9"/>
    <w:rsid w:val="00CB387E"/>
    <w:rsid w:val="00CC10A9"/>
    <w:rsid w:val="00CD0655"/>
    <w:rsid w:val="00CE2BF8"/>
    <w:rsid w:val="00CE484E"/>
    <w:rsid w:val="00CE4D20"/>
    <w:rsid w:val="00CE656F"/>
    <w:rsid w:val="00CF0DA8"/>
    <w:rsid w:val="00CF2E25"/>
    <w:rsid w:val="00CF43A2"/>
    <w:rsid w:val="00CF4453"/>
    <w:rsid w:val="00CF5589"/>
    <w:rsid w:val="00CF5D94"/>
    <w:rsid w:val="00CF75AE"/>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C7E"/>
    <w:rsid w:val="00D72F74"/>
    <w:rsid w:val="00D76DDF"/>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1BE9"/>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54AE"/>
    <w:rsid w:val="00F263B9"/>
    <w:rsid w:val="00F30701"/>
    <w:rsid w:val="00F32978"/>
    <w:rsid w:val="00F45CB2"/>
    <w:rsid w:val="00F511F3"/>
    <w:rsid w:val="00F544C0"/>
    <w:rsid w:val="00F55332"/>
    <w:rsid w:val="00F6156E"/>
    <w:rsid w:val="00F6504A"/>
    <w:rsid w:val="00F65519"/>
    <w:rsid w:val="00F66D9F"/>
    <w:rsid w:val="00F66EB8"/>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1158"/>
    <w:rsid w:val="00FF4046"/>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2BA8257-7886-444D-83B4-1D858F2F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66EB8"/>
    <w:rPr>
      <w:vertAlign w:val="superscript"/>
    </w:rPr>
  </w:style>
  <w:style w:type="character" w:styleId="CommentReference">
    <w:name w:val="annotation reference"/>
    <w:basedOn w:val="DefaultParagraphFont"/>
    <w:semiHidden/>
    <w:unhideWhenUsed/>
    <w:rsid w:val="00276F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08EE-CD99-4608-9641-612F0B3A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5</Pages>
  <Words>861</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Oakley Ward</cp:lastModifiedBy>
  <cp:revision>2</cp:revision>
  <cp:lastPrinted>2025-06-13T15:14:00Z</cp:lastPrinted>
  <dcterms:created xsi:type="dcterms:W3CDTF">2025-06-19T13:50:00Z</dcterms:created>
  <dcterms:modified xsi:type="dcterms:W3CDTF">2025-06-19T13:50:00Z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20250080-GU</vt:lpwstr>
  </property>
  <property fmtid="{D5CDD505-2E9C-101B-9397-08002B2CF9AE}" pid="3" name="MasterDocument">
    <vt:bool>false</vt:bool>
  </property>
</Properties>
</file>