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65CF9" w:rsidP="00C65CF9">
      <w:pPr>
        <w:pStyle w:val="OrderHeading"/>
      </w:pPr>
      <w:r>
        <w:t>BEFORE THE FLORIDA PUBLIC SERVICE COMMISSION</w:t>
      </w:r>
    </w:p>
    <w:p w:rsidR="00C65CF9" w:rsidRDefault="00C65CF9" w:rsidP="00C65CF9">
      <w:pPr>
        <w:pStyle w:val="OrderBody"/>
      </w:pPr>
    </w:p>
    <w:p w:rsidR="00C65CF9" w:rsidRDefault="00C65CF9" w:rsidP="00C65CF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65CF9" w:rsidRPr="00C63FCF" w:rsidTr="00C63FCF">
        <w:trPr>
          <w:trHeight w:val="828"/>
        </w:trPr>
        <w:tc>
          <w:tcPr>
            <w:tcW w:w="4788" w:type="dxa"/>
            <w:tcBorders>
              <w:bottom w:val="single" w:sz="8" w:space="0" w:color="auto"/>
              <w:right w:val="double" w:sz="6" w:space="0" w:color="auto"/>
            </w:tcBorders>
            <w:shd w:val="clear" w:color="auto" w:fill="auto"/>
          </w:tcPr>
          <w:p w:rsidR="00C65CF9" w:rsidRDefault="00C65CF9" w:rsidP="00C63FCF">
            <w:pPr>
              <w:pStyle w:val="OrderBody"/>
              <w:tabs>
                <w:tab w:val="center" w:pos="4320"/>
                <w:tab w:val="right" w:pos="8640"/>
              </w:tabs>
              <w:jc w:val="left"/>
            </w:pPr>
            <w:r>
              <w:t xml:space="preserve">In re: </w:t>
            </w:r>
            <w:bookmarkStart w:id="0" w:name="SSInRe"/>
            <w:bookmarkEnd w:id="0"/>
            <w:r>
              <w:t>Petition for determination of need for DeLand West</w:t>
            </w:r>
            <w:r w:rsidR="006735E8">
              <w:t xml:space="preserve"> </w:t>
            </w:r>
            <w:r>
              <w:t>-</w:t>
            </w:r>
            <w:r w:rsidR="006735E8">
              <w:t xml:space="preserve"> </w:t>
            </w:r>
            <w:r>
              <w:t>Dona Vista Transmission Line in Volusia and Lake Counties, by Duke Energy Florida, LLC.</w:t>
            </w:r>
          </w:p>
        </w:tc>
        <w:tc>
          <w:tcPr>
            <w:tcW w:w="4788" w:type="dxa"/>
            <w:tcBorders>
              <w:left w:val="double" w:sz="6" w:space="0" w:color="auto"/>
            </w:tcBorders>
            <w:shd w:val="clear" w:color="auto" w:fill="auto"/>
          </w:tcPr>
          <w:p w:rsidR="00C65CF9" w:rsidRDefault="00C65CF9" w:rsidP="00C65CF9">
            <w:pPr>
              <w:pStyle w:val="OrderBody"/>
            </w:pPr>
            <w:r>
              <w:t xml:space="preserve">DOCKET NO. </w:t>
            </w:r>
            <w:bookmarkStart w:id="1" w:name="SSDocketNo"/>
            <w:bookmarkEnd w:id="1"/>
            <w:r>
              <w:t>20250078-EI</w:t>
            </w:r>
          </w:p>
          <w:p w:rsidR="00C65CF9" w:rsidRDefault="00C65CF9" w:rsidP="00C63FCF">
            <w:pPr>
              <w:pStyle w:val="OrderBody"/>
              <w:tabs>
                <w:tab w:val="center" w:pos="4320"/>
                <w:tab w:val="right" w:pos="8640"/>
              </w:tabs>
              <w:jc w:val="left"/>
            </w:pPr>
            <w:r>
              <w:t xml:space="preserve">ORDER NO. </w:t>
            </w:r>
            <w:bookmarkStart w:id="2" w:name="OrderNo0276"/>
            <w:r w:rsidR="005414BE">
              <w:t>PSC-2025-0276-PHO-EI</w:t>
            </w:r>
            <w:bookmarkEnd w:id="2"/>
          </w:p>
          <w:p w:rsidR="00C65CF9" w:rsidRDefault="00C65CF9" w:rsidP="00C63FCF">
            <w:pPr>
              <w:pStyle w:val="OrderBody"/>
              <w:tabs>
                <w:tab w:val="center" w:pos="4320"/>
                <w:tab w:val="right" w:pos="8640"/>
              </w:tabs>
              <w:jc w:val="left"/>
            </w:pPr>
            <w:r>
              <w:t xml:space="preserve">ISSUED: </w:t>
            </w:r>
            <w:r w:rsidR="005414BE">
              <w:t>July 15, 2025</w:t>
            </w:r>
          </w:p>
        </w:tc>
      </w:tr>
    </w:tbl>
    <w:p w:rsidR="00C65CF9" w:rsidRDefault="00C65CF9" w:rsidP="00C65CF9"/>
    <w:p w:rsidR="00C65CF9" w:rsidRDefault="00C65CF9" w:rsidP="00C65CF9"/>
    <w:p w:rsidR="00C65CF9" w:rsidRPr="00701945" w:rsidRDefault="00C65CF9" w:rsidP="00C65CF9">
      <w:pPr>
        <w:jc w:val="center"/>
      </w:pPr>
      <w:bookmarkStart w:id="3" w:name="Commissioners"/>
      <w:bookmarkEnd w:id="3"/>
      <w:r w:rsidRPr="00701945">
        <w:rPr>
          <w:b/>
          <w:bCs/>
          <w:u w:val="single"/>
        </w:rPr>
        <w:t>PREHEARING ORDER</w:t>
      </w:r>
    </w:p>
    <w:p w:rsidR="00C65CF9" w:rsidRDefault="00C65CF9" w:rsidP="00C65CF9">
      <w:pPr>
        <w:jc w:val="center"/>
      </w:pPr>
    </w:p>
    <w:p w:rsidR="00C65CF9" w:rsidRDefault="00C65CF9" w:rsidP="00C65CF9"/>
    <w:p w:rsidR="00C65CF9" w:rsidRPr="00701945" w:rsidRDefault="00C65CF9" w:rsidP="00C65CF9">
      <w:pPr>
        <w:ind w:firstLine="720"/>
        <w:jc w:val="both"/>
      </w:pPr>
      <w:r w:rsidRPr="00701945">
        <w:t xml:space="preserve">Pursuant to Notice and in accordance with Rule 28-106.209, </w:t>
      </w:r>
      <w:r>
        <w:t>Florida Administrative Code (F.A.C.)</w:t>
      </w:r>
      <w:r w:rsidRPr="00701945">
        <w:t>, a Prehearing Conference was held on</w:t>
      </w:r>
      <w:r w:rsidR="005516D3">
        <w:rPr>
          <w:color w:val="FF0000"/>
        </w:rPr>
        <w:t xml:space="preserve"> </w:t>
      </w:r>
      <w:r w:rsidR="005516D3" w:rsidRPr="005516D3">
        <w:t>July 14, 2025</w:t>
      </w:r>
      <w:r w:rsidRPr="00701945">
        <w:t xml:space="preserve">, in </w:t>
      </w:r>
      <w:smartTag w:uri="urn:schemas-microsoft-com:office:smarttags" w:element="place">
        <w:smartTag w:uri="urn:schemas-microsoft-com:office:smarttags" w:element="City">
          <w:r w:rsidRPr="00701945">
            <w:t>Tallahassee</w:t>
          </w:r>
        </w:smartTag>
        <w:r w:rsidRPr="00701945">
          <w:t xml:space="preserve">, </w:t>
        </w:r>
        <w:smartTag w:uri="urn:schemas-microsoft-com:office:smarttags" w:element="State">
          <w:r w:rsidRPr="00701945">
            <w:t>Florida</w:t>
          </w:r>
        </w:smartTag>
      </w:smartTag>
      <w:r w:rsidRPr="00701945">
        <w:t xml:space="preserve">, before Commissioner </w:t>
      </w:r>
      <w:r w:rsidR="005516D3">
        <w:t>Art Graham</w:t>
      </w:r>
      <w:r w:rsidRPr="00701945">
        <w:t>, as Prehearing Officer.</w:t>
      </w:r>
    </w:p>
    <w:p w:rsidR="00C65CF9" w:rsidRPr="00701945" w:rsidRDefault="00C65CF9" w:rsidP="00C65CF9">
      <w:pPr>
        <w:jc w:val="both"/>
      </w:pPr>
    </w:p>
    <w:p w:rsidR="00C65CF9" w:rsidRPr="00701945" w:rsidRDefault="00C65CF9" w:rsidP="00C65CF9">
      <w:pPr>
        <w:jc w:val="both"/>
      </w:pPr>
      <w:r w:rsidRPr="00701945">
        <w:t>APPEARANCES:</w:t>
      </w:r>
    </w:p>
    <w:p w:rsidR="00C65CF9" w:rsidRPr="00701945" w:rsidRDefault="00C65CF9" w:rsidP="00C65CF9">
      <w:pPr>
        <w:jc w:val="both"/>
      </w:pPr>
    </w:p>
    <w:p w:rsidR="005516D3" w:rsidRDefault="005516D3" w:rsidP="005516D3">
      <w:pPr>
        <w:ind w:left="1440"/>
        <w:jc w:val="both"/>
      </w:pPr>
      <w:r>
        <w:t>DIANNE M. TRIPLETT, MATTHEW R. BERNIER and STEPHANIE A. CUELLO</w:t>
      </w:r>
      <w:r w:rsidRPr="00701945">
        <w:t>, ESQUIRE</w:t>
      </w:r>
      <w:r>
        <w:t>S</w:t>
      </w:r>
      <w:r w:rsidRPr="00701945">
        <w:t xml:space="preserve">, </w:t>
      </w:r>
      <w:r>
        <w:t>299 First Avenue North, St. Petersburg, Florida  33701</w:t>
      </w:r>
    </w:p>
    <w:p w:rsidR="00C65CF9" w:rsidRPr="00701945" w:rsidRDefault="005516D3" w:rsidP="005516D3">
      <w:pPr>
        <w:ind w:left="720" w:firstLine="720"/>
        <w:jc w:val="both"/>
      </w:pPr>
      <w:r w:rsidRPr="002F0E60">
        <w:rPr>
          <w:u w:val="single"/>
        </w:rPr>
        <w:t>On behalf of Duke Energy Florida, LLC (DEF)</w:t>
      </w:r>
      <w:r w:rsidR="00C65CF9" w:rsidRPr="00701945">
        <w:t>.</w:t>
      </w:r>
    </w:p>
    <w:p w:rsidR="00C65CF9" w:rsidRPr="00701945" w:rsidRDefault="00C65CF9" w:rsidP="00C65CF9">
      <w:pPr>
        <w:jc w:val="both"/>
      </w:pPr>
    </w:p>
    <w:p w:rsidR="00C65CF9" w:rsidRPr="00701945" w:rsidRDefault="005516D3" w:rsidP="00C65CF9">
      <w:pPr>
        <w:ind w:left="1440"/>
        <w:jc w:val="both"/>
      </w:pPr>
      <w:r>
        <w:t>JENNIFER AUGSPURGER</w:t>
      </w:r>
      <w:r w:rsidR="00ED25BF">
        <w:t xml:space="preserve"> and ADRIA HARPER, ESQUIRES</w:t>
      </w:r>
      <w:r w:rsidR="00C65CF9" w:rsidRPr="00701945">
        <w:t xml:space="preserve">, </w:t>
      </w:r>
      <w:smartTag w:uri="urn:schemas-microsoft-com:office:smarttags" w:element="State">
        <w:smartTag w:uri="urn:schemas-microsoft-com:office:smarttags" w:element="place">
          <w:r w:rsidR="00C65CF9" w:rsidRPr="00701945">
            <w:t>Florida</w:t>
          </w:r>
        </w:smartTag>
      </w:smartTag>
      <w:r w:rsidR="00C65CF9" w:rsidRPr="00701945">
        <w:t xml:space="preserve"> Public Service Commission, </w:t>
      </w:r>
      <w:smartTag w:uri="urn:schemas-microsoft-com:office:smarttags" w:element="address">
        <w:smartTag w:uri="urn:schemas-microsoft-com:office:smarttags" w:element="Street">
          <w:r w:rsidR="00C65CF9" w:rsidRPr="00701945">
            <w:t>2540 Shumard Oak Boulevard</w:t>
          </w:r>
        </w:smartTag>
        <w:r w:rsidR="00C65CF9" w:rsidRPr="00701945">
          <w:t xml:space="preserve">, </w:t>
        </w:r>
        <w:smartTag w:uri="urn:schemas-microsoft-com:office:smarttags" w:element="City">
          <w:r w:rsidR="00C65CF9" w:rsidRPr="00701945">
            <w:t>Tallahassee</w:t>
          </w:r>
        </w:smartTag>
        <w:r w:rsidR="00C65CF9" w:rsidRPr="00701945">
          <w:t xml:space="preserve">, </w:t>
        </w:r>
        <w:smartTag w:uri="urn:schemas-microsoft-com:office:smarttags" w:element="State">
          <w:r w:rsidR="00C65CF9" w:rsidRPr="00701945">
            <w:t>Florida</w:t>
          </w:r>
        </w:smartTag>
        <w:r w:rsidR="00C65CF9" w:rsidRPr="00701945">
          <w:t xml:space="preserve"> </w:t>
        </w:r>
        <w:smartTag w:uri="urn:schemas-microsoft-com:office:smarttags" w:element="PostalCode">
          <w:r w:rsidR="00C65CF9" w:rsidRPr="00701945">
            <w:t>32399-0850</w:t>
          </w:r>
        </w:smartTag>
      </w:smartTag>
    </w:p>
    <w:p w:rsidR="00C65CF9" w:rsidRPr="00701945" w:rsidRDefault="00C65CF9" w:rsidP="00C65CF9">
      <w:pPr>
        <w:ind w:left="720" w:firstLine="720"/>
        <w:jc w:val="both"/>
      </w:pPr>
      <w:r w:rsidRPr="00701945">
        <w:rPr>
          <w:u w:val="single"/>
        </w:rPr>
        <w:t xml:space="preserve">On behalf of the </w:t>
      </w:r>
      <w:smartTag w:uri="urn:schemas-microsoft-com:office:smarttags" w:element="place">
        <w:smartTag w:uri="urn:schemas-microsoft-com:office:smarttags" w:element="State">
          <w:r w:rsidRPr="00701945">
            <w:rPr>
              <w:u w:val="single"/>
            </w:rPr>
            <w:t>Florida</w:t>
          </w:r>
        </w:smartTag>
      </w:smartTag>
      <w:r w:rsidRPr="00701945">
        <w:rPr>
          <w:u w:val="single"/>
        </w:rPr>
        <w:t xml:space="preserve"> Public Service Commission</w:t>
      </w:r>
      <w:r>
        <w:rPr>
          <w:u w:val="single"/>
        </w:rPr>
        <w:t xml:space="preserve"> (Staff)</w:t>
      </w:r>
      <w:r w:rsidRPr="00701945">
        <w:t>.</w:t>
      </w:r>
    </w:p>
    <w:p w:rsidR="00C65CF9" w:rsidRPr="00701945" w:rsidRDefault="00C65CF9" w:rsidP="00C65CF9">
      <w:pPr>
        <w:jc w:val="both"/>
      </w:pPr>
    </w:p>
    <w:p w:rsidR="00C65CF9" w:rsidRPr="00E71005" w:rsidRDefault="00C65CF9" w:rsidP="00C65CF9">
      <w:pPr>
        <w:ind w:left="1440"/>
        <w:jc w:val="both"/>
      </w:pPr>
      <w:r w:rsidRPr="00E71005">
        <w:t>MARY ANNE HELTON, ESQUIRE,</w:t>
      </w:r>
      <w:r w:rsidR="00646025" w:rsidRPr="00E71005">
        <w:t xml:space="preserve"> Interim</w:t>
      </w:r>
      <w:r w:rsidRPr="00E71005">
        <w:t xml:space="preserve"> General Counsel, </w:t>
      </w:r>
      <w:smartTag w:uri="urn:schemas-microsoft-com:office:smarttags" w:element="State">
        <w:r w:rsidRPr="00E71005">
          <w:t>Florida</w:t>
        </w:r>
      </w:smartTag>
      <w:r w:rsidRPr="00E71005">
        <w:t xml:space="preserve"> Public Service Commission, </w:t>
      </w:r>
      <w:smartTag w:uri="urn:schemas-microsoft-com:office:smarttags" w:element="address">
        <w:smartTag w:uri="urn:schemas-microsoft-com:office:smarttags" w:element="Street">
          <w:r w:rsidRPr="00E71005">
            <w:t>2540 Shumard Oak Boulevard</w:t>
          </w:r>
        </w:smartTag>
        <w:r w:rsidRPr="00E71005">
          <w:t xml:space="preserve">, </w:t>
        </w:r>
        <w:smartTag w:uri="urn:schemas-microsoft-com:office:smarttags" w:element="City">
          <w:r w:rsidRPr="00E71005">
            <w:t>Tallahassee</w:t>
          </w:r>
        </w:smartTag>
        <w:r w:rsidRPr="00E71005">
          <w:t xml:space="preserve">, </w:t>
        </w:r>
        <w:smartTag w:uri="urn:schemas-microsoft-com:office:smarttags" w:element="State">
          <w:r w:rsidRPr="00E71005">
            <w:t>Florida</w:t>
          </w:r>
        </w:smartTag>
        <w:r w:rsidRPr="00E71005">
          <w:t xml:space="preserve"> </w:t>
        </w:r>
        <w:smartTag w:uri="urn:schemas-microsoft-com:office:smarttags" w:element="PostalCode">
          <w:r w:rsidRPr="00E71005">
            <w:t>32399-0850</w:t>
          </w:r>
        </w:smartTag>
      </w:smartTag>
    </w:p>
    <w:p w:rsidR="00D40BC5" w:rsidRDefault="00C65CF9" w:rsidP="00094F61">
      <w:pPr>
        <w:ind w:left="720" w:firstLine="720"/>
        <w:jc w:val="both"/>
      </w:pPr>
      <w:r w:rsidRPr="00E71005">
        <w:rPr>
          <w:u w:val="single"/>
        </w:rPr>
        <w:t xml:space="preserve">Advisor to the </w:t>
      </w:r>
      <w:smartTag w:uri="urn:schemas-microsoft-com:office:smarttags" w:element="place">
        <w:smartTag w:uri="urn:schemas-microsoft-com:office:smarttags" w:element="State">
          <w:r w:rsidRPr="00E71005">
            <w:rPr>
              <w:u w:val="single"/>
            </w:rPr>
            <w:t>Florida</w:t>
          </w:r>
        </w:smartTag>
      </w:smartTag>
      <w:r w:rsidRPr="00E71005">
        <w:rPr>
          <w:u w:val="single"/>
        </w:rPr>
        <w:t xml:space="preserve"> Public Service Commission</w:t>
      </w:r>
      <w:r w:rsidRPr="00E71005">
        <w:t>.</w:t>
      </w:r>
      <w:r w:rsidR="00D40BC5">
        <w:t xml:space="preserve">  </w:t>
      </w:r>
    </w:p>
    <w:p w:rsidR="00C65CF9" w:rsidRDefault="00C65CF9" w:rsidP="00C65CF9">
      <w:pPr>
        <w:jc w:val="both"/>
      </w:pPr>
    </w:p>
    <w:p w:rsidR="00C65CF9" w:rsidRPr="00701945" w:rsidRDefault="00C65CF9" w:rsidP="00C65CF9">
      <w:pPr>
        <w:jc w:val="both"/>
      </w:pPr>
    </w:p>
    <w:p w:rsidR="00C65CF9" w:rsidRPr="00A32DC5" w:rsidRDefault="00C65CF9" w:rsidP="00C65CF9">
      <w:pPr>
        <w:jc w:val="both"/>
        <w:rPr>
          <w:b/>
        </w:rPr>
      </w:pPr>
      <w:r w:rsidRPr="00A32DC5">
        <w:rPr>
          <w:b/>
        </w:rPr>
        <w:t>I.</w:t>
      </w:r>
      <w:r w:rsidRPr="00A32DC5">
        <w:rPr>
          <w:b/>
        </w:rPr>
        <w:tab/>
      </w:r>
      <w:r w:rsidRPr="00A32DC5">
        <w:rPr>
          <w:b/>
          <w:u w:val="single"/>
        </w:rPr>
        <w:t>CASE BACKGROUND</w:t>
      </w:r>
    </w:p>
    <w:p w:rsidR="00C65CF9" w:rsidRPr="00701945" w:rsidRDefault="00C65CF9" w:rsidP="00C65CF9">
      <w:pPr>
        <w:jc w:val="both"/>
      </w:pPr>
    </w:p>
    <w:p w:rsidR="00094F61" w:rsidRDefault="00094F61" w:rsidP="00094F61">
      <w:pPr>
        <w:ind w:firstLine="720"/>
        <w:jc w:val="both"/>
      </w:pPr>
      <w:r>
        <w:t xml:space="preserve">On May 9, 2025, pursuant to Section 403.537, Florida Statutes (F.S.), Chapter 120, F.S., and Rules 25-22.075, 25-22.076, and 28-106.201, Florida Administrative Code (F.A.C.), Duke Energy Florida, LLC (DEF or Utility) filed its Notice of Intent to File Petition for Transmission Line Need Determination. </w:t>
      </w:r>
      <w:r w:rsidR="00901785">
        <w:t xml:space="preserve"> Thereafter, </w:t>
      </w:r>
      <w:r>
        <w:t xml:space="preserve">DEF </w:t>
      </w:r>
      <w:r w:rsidR="00901785">
        <w:t xml:space="preserve">filed its </w:t>
      </w:r>
      <w:r>
        <w:t>Petition for Need Determination for the DeLand West</w:t>
      </w:r>
      <w:r w:rsidR="006735E8">
        <w:t xml:space="preserve"> </w:t>
      </w:r>
      <w:r w:rsidR="00E71005">
        <w:t>-</w:t>
      </w:r>
      <w:r w:rsidR="006735E8">
        <w:t xml:space="preserve"> </w:t>
      </w:r>
      <w:r>
        <w:t>Dona Vis</w:t>
      </w:r>
      <w:r w:rsidR="00E71005">
        <w:t>t</w:t>
      </w:r>
      <w:r>
        <w:t>a Transmissi</w:t>
      </w:r>
      <w:r w:rsidR="00901785">
        <w:t>on Line on June 9, 2025</w:t>
      </w:r>
      <w:r>
        <w:t>.</w:t>
      </w:r>
    </w:p>
    <w:p w:rsidR="00901785" w:rsidRDefault="00901785" w:rsidP="00094F61">
      <w:pPr>
        <w:ind w:firstLine="720"/>
        <w:jc w:val="both"/>
      </w:pPr>
    </w:p>
    <w:p w:rsidR="00901785" w:rsidRDefault="00901785" w:rsidP="00094F61">
      <w:pPr>
        <w:ind w:firstLine="720"/>
        <w:jc w:val="both"/>
        <w:rPr>
          <w:color w:val="FF0000"/>
        </w:rPr>
      </w:pPr>
      <w:r>
        <w:t xml:space="preserve">In this docket, the </w:t>
      </w:r>
      <w:r w:rsidR="002A0EFB">
        <w:t>Commission will consider</w:t>
      </w:r>
      <w:r>
        <w:t xml:space="preserve"> that need determination.  This matter has been scheduled for a formal administrati</w:t>
      </w:r>
      <w:r w:rsidR="00A10688">
        <w:t>ve hearing to be held on July 22</w:t>
      </w:r>
      <w:r>
        <w:t xml:space="preserve">, 2025.  Separate public hearings will be held before an Administrative Law Judge of the Division of Administrative Hearings to consider environmental and other impacts of the DeLand </w:t>
      </w:r>
      <w:r w:rsidR="00E71005">
        <w:t>West</w:t>
      </w:r>
      <w:r w:rsidR="006735E8">
        <w:t xml:space="preserve"> </w:t>
      </w:r>
      <w:r w:rsidR="00E71005">
        <w:t>-</w:t>
      </w:r>
      <w:r w:rsidR="006735E8">
        <w:t xml:space="preserve"> </w:t>
      </w:r>
      <w:r w:rsidR="00E71005">
        <w:t xml:space="preserve">Dona </w:t>
      </w:r>
      <w:r>
        <w:t xml:space="preserve">Vista 230 kV </w:t>
      </w:r>
      <w:r>
        <w:lastRenderedPageBreak/>
        <w:t xml:space="preserve">transmission line, as required by the Florida Electric Transmission Line Siting Act, Sections 403.52 – 403.5365, F.S. </w:t>
      </w:r>
    </w:p>
    <w:p w:rsidR="00C65CF9" w:rsidRDefault="00C65CF9" w:rsidP="00C65CF9">
      <w:pPr>
        <w:jc w:val="both"/>
      </w:pPr>
    </w:p>
    <w:p w:rsidR="00EF6117" w:rsidRDefault="00EF6117" w:rsidP="00C65CF9">
      <w:pPr>
        <w:jc w:val="both"/>
        <w:rPr>
          <w:b/>
        </w:rPr>
      </w:pPr>
    </w:p>
    <w:p w:rsidR="00C65CF9" w:rsidRPr="00A32DC5" w:rsidRDefault="00C65CF9" w:rsidP="00C65CF9">
      <w:pPr>
        <w:jc w:val="both"/>
        <w:rPr>
          <w:b/>
        </w:rPr>
      </w:pPr>
      <w:r w:rsidRPr="00A32DC5">
        <w:rPr>
          <w:b/>
        </w:rPr>
        <w:t>II.</w:t>
      </w:r>
      <w:r w:rsidRPr="00A32DC5">
        <w:rPr>
          <w:b/>
        </w:rPr>
        <w:tab/>
      </w:r>
      <w:r w:rsidRPr="00A32DC5">
        <w:rPr>
          <w:b/>
          <w:u w:val="single"/>
        </w:rPr>
        <w:t>CONDUCT OF PROCEEDINGS</w:t>
      </w:r>
    </w:p>
    <w:p w:rsidR="00C65CF9" w:rsidRPr="00701945" w:rsidRDefault="00C65CF9" w:rsidP="00C65CF9">
      <w:pPr>
        <w:jc w:val="both"/>
      </w:pPr>
    </w:p>
    <w:p w:rsidR="00C65CF9" w:rsidRPr="00701945" w:rsidRDefault="00C65CF9" w:rsidP="00C65CF9">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094F61" w:rsidRDefault="00094F61" w:rsidP="00C65CF9">
      <w:pPr>
        <w:jc w:val="both"/>
      </w:pPr>
    </w:p>
    <w:p w:rsidR="00EF6117" w:rsidRDefault="00EF6117" w:rsidP="00C65CF9">
      <w:pPr>
        <w:jc w:val="both"/>
        <w:rPr>
          <w:b/>
        </w:rPr>
      </w:pPr>
    </w:p>
    <w:p w:rsidR="00C65CF9" w:rsidRPr="00A32DC5" w:rsidRDefault="00C65CF9" w:rsidP="00C65CF9">
      <w:pPr>
        <w:jc w:val="both"/>
        <w:rPr>
          <w:b/>
        </w:rPr>
      </w:pPr>
      <w:smartTag w:uri="urn:schemas-microsoft-com:office:smarttags" w:element="stockticker">
        <w:r w:rsidRPr="00A32DC5">
          <w:rPr>
            <w:b/>
          </w:rPr>
          <w:t>III</w:t>
        </w:r>
      </w:smartTag>
      <w:r w:rsidRPr="00A32DC5">
        <w:rPr>
          <w:b/>
        </w:rPr>
        <w:t>.</w:t>
      </w:r>
      <w:r w:rsidRPr="00A32DC5">
        <w:rPr>
          <w:b/>
        </w:rPr>
        <w:tab/>
      </w:r>
      <w:r w:rsidRPr="00A32DC5">
        <w:rPr>
          <w:b/>
          <w:u w:val="single"/>
        </w:rPr>
        <w:t>JURISDICTION</w:t>
      </w:r>
    </w:p>
    <w:p w:rsidR="00C65CF9" w:rsidRPr="00701945" w:rsidRDefault="00C65CF9" w:rsidP="00C65CF9">
      <w:pPr>
        <w:jc w:val="both"/>
      </w:pPr>
    </w:p>
    <w:p w:rsidR="00C65CF9" w:rsidRPr="00701945" w:rsidRDefault="00C65CF9" w:rsidP="00C65CF9">
      <w:pPr>
        <w:jc w:val="both"/>
      </w:pPr>
      <w:r w:rsidRPr="00701945">
        <w:tab/>
        <w:t>This Commission is vested with jurisdiction over the subject matt</w:t>
      </w:r>
      <w:r w:rsidR="00901785">
        <w:t xml:space="preserve">er by Section 403.537, </w:t>
      </w:r>
      <w:r>
        <w:t>F.S</w:t>
      </w:r>
      <w:r w:rsidRPr="00701945">
        <w:t>.</w:t>
      </w:r>
      <w:r w:rsidR="00901785">
        <w:t xml:space="preserve"> </w:t>
      </w:r>
      <w:r w:rsidRPr="00701945">
        <w:t>This hearing will be governed by said</w:t>
      </w:r>
      <w:r w:rsidR="00901785">
        <w:t xml:space="preserve"> statute,</w:t>
      </w:r>
      <w:r w:rsidRPr="00701945">
        <w:t xml:space="preserve"> Chapter </w:t>
      </w:r>
      <w:r w:rsidR="00901785">
        <w:t xml:space="preserve">120, F.S., and Chapters </w:t>
      </w:r>
      <w:r>
        <w:t>25-6</w:t>
      </w:r>
      <w:r w:rsidR="00901785">
        <w:t xml:space="preserve">, 25-22, </w:t>
      </w:r>
      <w:r w:rsidRPr="00701945">
        <w:t xml:space="preserve">28-106, </w:t>
      </w:r>
      <w:r w:rsidR="00901785">
        <w:t xml:space="preserve">and 28-109, </w:t>
      </w:r>
      <w:r>
        <w:t>F.A.C., as well as any other applicable provisions of law</w:t>
      </w:r>
      <w:r w:rsidRPr="00701945">
        <w:t>.</w:t>
      </w:r>
    </w:p>
    <w:p w:rsidR="00C65CF9" w:rsidRDefault="00C65CF9" w:rsidP="00C65CF9">
      <w:pPr>
        <w:jc w:val="both"/>
      </w:pPr>
    </w:p>
    <w:p w:rsidR="00C65CF9" w:rsidRPr="00701945" w:rsidRDefault="00C65CF9" w:rsidP="00C65CF9">
      <w:pPr>
        <w:jc w:val="both"/>
      </w:pPr>
    </w:p>
    <w:p w:rsidR="00C65CF9" w:rsidRPr="00237584" w:rsidRDefault="00C65CF9" w:rsidP="00C65CF9">
      <w:pPr>
        <w:jc w:val="both"/>
        <w:rPr>
          <w:b/>
        </w:rPr>
      </w:pPr>
      <w:r w:rsidRPr="00237584">
        <w:rPr>
          <w:b/>
        </w:rPr>
        <w:t>IV.</w:t>
      </w:r>
      <w:r w:rsidRPr="00237584">
        <w:rPr>
          <w:b/>
        </w:rPr>
        <w:tab/>
      </w:r>
      <w:r w:rsidRPr="00237584">
        <w:rPr>
          <w:b/>
          <w:u w:val="single"/>
        </w:rPr>
        <w:t>PROCEDURE FOR HANDLING CONFIDENTIAL INFORMATION</w:t>
      </w:r>
    </w:p>
    <w:p w:rsidR="00C65CF9" w:rsidRPr="00237584" w:rsidRDefault="00C65CF9" w:rsidP="00C65CF9">
      <w:pPr>
        <w:jc w:val="both"/>
        <w:rPr>
          <w:b/>
        </w:rPr>
      </w:pPr>
    </w:p>
    <w:p w:rsidR="00C65CF9" w:rsidRDefault="00C65CF9" w:rsidP="00C65CF9">
      <w:pPr>
        <w:jc w:val="both"/>
      </w:pPr>
      <w:r w:rsidRPr="00701945">
        <w:tab/>
      </w:r>
      <w:r>
        <w:t>Information for which proprietary confidential business information status is requested</w:t>
      </w:r>
      <w:r w:rsidRPr="00A72918">
        <w:t xml:space="preserve"> pursuant to</w:t>
      </w:r>
      <w:r>
        <w:t xml:space="preserve"> Section</w:t>
      </w:r>
      <w:r w:rsidR="00901785">
        <w:t xml:space="preserve"> 366.093</w:t>
      </w:r>
      <w:r>
        <w:t xml:space="preserve">, </w:t>
      </w:r>
      <w:smartTag w:uri="urn:schemas:contacts" w:element="GivenName">
        <w:r>
          <w:t>F.S.</w:t>
        </w:r>
      </w:smartTag>
      <w:r w:rsidRPr="00A72918">
        <w:t xml:space="preserve">, and Rule 25-22.006, </w:t>
      </w:r>
      <w:r>
        <w:t>F.A.C.</w:t>
      </w:r>
      <w:r w:rsidRPr="00A72918">
        <w:t>,</w:t>
      </w:r>
      <w:r>
        <w:t xml:space="preserve">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901785" w:rsidRPr="00901785">
        <w:t>366.093</w:t>
      </w:r>
      <w:r>
        <w:t>, F.S.  T</w:t>
      </w:r>
      <w:r w:rsidRPr="00B2317F">
        <w:t>he Commission may determine that continued possession of the information is necessary for the Commission to conduct its business.</w:t>
      </w:r>
    </w:p>
    <w:p w:rsidR="00C65CF9" w:rsidRDefault="00C65CF9" w:rsidP="00C65CF9">
      <w:pPr>
        <w:jc w:val="both"/>
      </w:pPr>
    </w:p>
    <w:p w:rsidR="00C65CF9" w:rsidRDefault="00C65CF9" w:rsidP="00C65C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w:t>
      </w:r>
      <w:r w:rsidRPr="005555EC">
        <w:t>Section</w:t>
      </w:r>
      <w:r>
        <w:t xml:space="preserve"> </w:t>
      </w:r>
      <w:r w:rsidR="00901785" w:rsidRPr="00901785">
        <w:t>366.093</w:t>
      </w:r>
      <w:r>
        <w:t xml:space="preserve">, </w:t>
      </w:r>
      <w:smartTag w:uri="urn:schemas:contacts" w:element="GivenName">
        <w:r>
          <w:t>F.S.</w:t>
        </w:r>
      </w:smartTag>
      <w:r>
        <w:t xml:space="preserve">, to protect proprietary confidential business information from disclosure outside the proceeding.  Therefore, any party wishing to use any proprietary confidential business information, as that term is defined in Section </w:t>
      </w:r>
      <w:r w:rsidR="00AB4E67" w:rsidRPr="00AB4E67">
        <w:t>366.093</w:t>
      </w:r>
      <w:r>
        <w:t xml:space="preserve">, </w:t>
      </w:r>
      <w:smartTag w:uri="urn:schemas:contacts" w:element="GivenName">
        <w:r>
          <w:t>F.S.</w:t>
        </w:r>
      </w:smartTag>
      <w:r>
        <w:t>, at the hearing shall adhere to the following:</w:t>
      </w:r>
    </w:p>
    <w:p w:rsidR="00C65CF9" w:rsidRDefault="00C65CF9" w:rsidP="00C65C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5CF9" w:rsidRDefault="00C65CF9" w:rsidP="00C65CF9">
      <w:pPr>
        <w:spacing w:line="2" w:lineRule="exact"/>
        <w:jc w:val="both"/>
      </w:pPr>
    </w:p>
    <w:p w:rsidR="00C65CF9" w:rsidRDefault="00C65CF9" w:rsidP="00C65CF9">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C65CF9" w:rsidRDefault="00C65CF9" w:rsidP="00C65C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5CF9" w:rsidRDefault="00C65CF9" w:rsidP="00C65CF9">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C65CF9" w:rsidRDefault="00C65CF9" w:rsidP="00C65C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65CF9" w:rsidRDefault="00C65CF9" w:rsidP="00C65C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C65CF9" w:rsidRDefault="00C65CF9" w:rsidP="00C65CF9">
      <w:pPr>
        <w:jc w:val="both"/>
      </w:pPr>
    </w:p>
    <w:p w:rsidR="00C65CF9" w:rsidRDefault="00C65CF9" w:rsidP="00C65CF9">
      <w:pPr>
        <w:jc w:val="both"/>
      </w:pPr>
    </w:p>
    <w:p w:rsidR="00C65CF9" w:rsidRPr="00A32DC5" w:rsidRDefault="00C65CF9" w:rsidP="00C65CF9">
      <w:pPr>
        <w:jc w:val="both"/>
        <w:rPr>
          <w:b/>
        </w:rPr>
      </w:pPr>
      <w:r w:rsidRPr="00A32DC5">
        <w:rPr>
          <w:b/>
        </w:rPr>
        <w:t>V.</w:t>
      </w:r>
      <w:r w:rsidRPr="00A32DC5">
        <w:rPr>
          <w:b/>
        </w:rPr>
        <w:tab/>
      </w:r>
      <w:r w:rsidRPr="00A32DC5">
        <w:rPr>
          <w:b/>
          <w:u w:val="single"/>
        </w:rPr>
        <w:t xml:space="preserve">PREFILED TESTIMONY </w:t>
      </w:r>
      <w:smartTag w:uri="urn:schemas-microsoft-com:office:smarttags" w:element="stockticker">
        <w:r w:rsidRPr="00A32DC5">
          <w:rPr>
            <w:b/>
            <w:u w:val="single"/>
          </w:rPr>
          <w:t>AND</w:t>
        </w:r>
      </w:smartTag>
      <w:r w:rsidRPr="00A32DC5">
        <w:rPr>
          <w:b/>
          <w:u w:val="single"/>
        </w:rPr>
        <w:t xml:space="preserve"> EXHIBITS; WITNESSES</w:t>
      </w:r>
    </w:p>
    <w:p w:rsidR="00C65CF9" w:rsidRPr="00701945" w:rsidRDefault="00C65CF9" w:rsidP="00C65CF9">
      <w:pPr>
        <w:jc w:val="both"/>
      </w:pPr>
    </w:p>
    <w:p w:rsidR="00C65CF9" w:rsidRDefault="00C65CF9" w:rsidP="00C65CF9">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Upon insertion of a witness’ </w:t>
      </w:r>
      <w:r w:rsidRPr="00701945">
        <w:t xml:space="preserve">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rsidR="00C65CF9" w:rsidRDefault="00C65CF9" w:rsidP="00C65CF9">
      <w:pPr>
        <w:jc w:val="both"/>
      </w:pPr>
    </w:p>
    <w:p w:rsidR="00C65CF9" w:rsidRPr="00701945" w:rsidRDefault="00C65CF9" w:rsidP="00C65CF9">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C65CF9" w:rsidRPr="00701945" w:rsidRDefault="00C65CF9" w:rsidP="00C65CF9">
      <w:pPr>
        <w:jc w:val="both"/>
      </w:pPr>
    </w:p>
    <w:p w:rsidR="00C65CF9" w:rsidRPr="00701945" w:rsidRDefault="00C65CF9" w:rsidP="00C65CF9">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C65CF9" w:rsidRPr="00B75F84" w:rsidRDefault="00C65CF9" w:rsidP="00C65CF9">
      <w:pPr>
        <w:jc w:val="both"/>
        <w:rPr>
          <w:color w:val="000000"/>
        </w:rPr>
      </w:pPr>
    </w:p>
    <w:p w:rsidR="00C65CF9" w:rsidRPr="00B75F84" w:rsidRDefault="00C65CF9" w:rsidP="00C65CF9">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w:t>
      </w:r>
      <w:r>
        <w:rPr>
          <w:color w:val="000000"/>
        </w:rPr>
        <w:t>ed to indicate why that witness’</w:t>
      </w:r>
      <w:r w:rsidRPr="00B75F84">
        <w:rPr>
          <w:color w:val="000000"/>
        </w:rPr>
        <w:t xml:space="preserve"> direct testimony is adverse to its interests.</w:t>
      </w:r>
    </w:p>
    <w:p w:rsidR="00C65CF9" w:rsidRDefault="00C65CF9" w:rsidP="00C65CF9">
      <w:pPr>
        <w:jc w:val="both"/>
      </w:pPr>
    </w:p>
    <w:p w:rsidR="00AB4E67" w:rsidRDefault="00AB4E67" w:rsidP="00C65CF9">
      <w:pPr>
        <w:jc w:val="both"/>
      </w:pPr>
    </w:p>
    <w:p w:rsidR="00C65CF9" w:rsidRDefault="00C65CF9" w:rsidP="00C65CF9">
      <w:pPr>
        <w:jc w:val="both"/>
      </w:pPr>
    </w:p>
    <w:p w:rsidR="00D40BC5" w:rsidRDefault="00D40BC5" w:rsidP="00C65CF9">
      <w:pPr>
        <w:jc w:val="both"/>
      </w:pPr>
    </w:p>
    <w:p w:rsidR="00D40BC5" w:rsidRPr="00701945" w:rsidRDefault="00D40BC5" w:rsidP="00C65CF9">
      <w:pPr>
        <w:jc w:val="both"/>
      </w:pPr>
    </w:p>
    <w:p w:rsidR="00C65CF9" w:rsidRPr="00A32DC5" w:rsidRDefault="00C65CF9" w:rsidP="00C65CF9">
      <w:pPr>
        <w:jc w:val="both"/>
        <w:rPr>
          <w:b/>
        </w:rPr>
      </w:pPr>
      <w:r w:rsidRPr="00A32DC5">
        <w:rPr>
          <w:b/>
        </w:rPr>
        <w:lastRenderedPageBreak/>
        <w:t>VI.</w:t>
      </w:r>
      <w:r w:rsidRPr="00A32DC5">
        <w:rPr>
          <w:b/>
        </w:rPr>
        <w:tab/>
      </w:r>
      <w:r w:rsidRPr="00A32DC5">
        <w:rPr>
          <w:b/>
          <w:u w:val="single"/>
        </w:rPr>
        <w:t>ORDER OF WITNESSES</w:t>
      </w:r>
    </w:p>
    <w:p w:rsidR="00C65CF9" w:rsidRDefault="00C65CF9" w:rsidP="00C65CF9">
      <w:pPr>
        <w:jc w:val="both"/>
      </w:pPr>
    </w:p>
    <w:p w:rsidR="00C65CF9" w:rsidRDefault="00C65CF9" w:rsidP="00C65CF9">
      <w:pPr>
        <w:jc w:val="both"/>
      </w:pPr>
      <w:r>
        <w:tab/>
        <w:t>Each witness whose name is preceded by a plus sign (+) will present direct and rebuttal testimony together.</w:t>
      </w:r>
    </w:p>
    <w:p w:rsidR="00C65CF9" w:rsidRPr="00701945" w:rsidRDefault="00C65CF9" w:rsidP="00C65CF9">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C65CF9" w:rsidRPr="00701945" w:rsidTr="00007D39">
        <w:trPr>
          <w:cantSplit/>
          <w:trHeight w:val="362"/>
          <w:tblHeader/>
        </w:trPr>
        <w:tc>
          <w:tcPr>
            <w:tcW w:w="3507" w:type="dxa"/>
          </w:tcPr>
          <w:p w:rsidR="00C65CF9" w:rsidRPr="00701945" w:rsidRDefault="00C65CF9" w:rsidP="00007D39">
            <w:pPr>
              <w:jc w:val="both"/>
            </w:pPr>
            <w:r w:rsidRPr="00701945">
              <w:rPr>
                <w:u w:val="single"/>
              </w:rPr>
              <w:t>Witness</w:t>
            </w:r>
          </w:p>
        </w:tc>
        <w:tc>
          <w:tcPr>
            <w:tcW w:w="2511" w:type="dxa"/>
          </w:tcPr>
          <w:p w:rsidR="00C65CF9" w:rsidRPr="00701945" w:rsidRDefault="00C65CF9" w:rsidP="00007D39">
            <w:pPr>
              <w:jc w:val="center"/>
            </w:pPr>
            <w:r w:rsidRPr="00701945">
              <w:rPr>
                <w:u w:val="single"/>
              </w:rPr>
              <w:t>Proffered By</w:t>
            </w:r>
          </w:p>
        </w:tc>
        <w:tc>
          <w:tcPr>
            <w:tcW w:w="3546" w:type="dxa"/>
          </w:tcPr>
          <w:p w:rsidR="00C65CF9" w:rsidRPr="00701945" w:rsidRDefault="00C65CF9" w:rsidP="00007D39">
            <w:pPr>
              <w:jc w:val="both"/>
            </w:pPr>
            <w:r w:rsidRPr="00701945">
              <w:rPr>
                <w:u w:val="single"/>
              </w:rPr>
              <w:t>Issues #</w:t>
            </w:r>
          </w:p>
        </w:tc>
      </w:tr>
      <w:tr w:rsidR="00C65CF9" w:rsidRPr="00701945" w:rsidTr="00007D39">
        <w:trPr>
          <w:cantSplit/>
          <w:trHeight w:val="362"/>
        </w:trPr>
        <w:tc>
          <w:tcPr>
            <w:tcW w:w="3507" w:type="dxa"/>
          </w:tcPr>
          <w:p w:rsidR="00C65CF9" w:rsidRPr="00AC105C" w:rsidRDefault="00C65CF9" w:rsidP="00007D39">
            <w:pPr>
              <w:jc w:val="both"/>
              <w:rPr>
                <w:u w:val="single"/>
              </w:rPr>
            </w:pPr>
            <w:r w:rsidRPr="00AC105C">
              <w:tab/>
            </w:r>
            <w:r w:rsidRPr="00AC105C">
              <w:rPr>
                <w:u w:val="single"/>
              </w:rPr>
              <w:t>Direct</w:t>
            </w:r>
          </w:p>
        </w:tc>
        <w:tc>
          <w:tcPr>
            <w:tcW w:w="2511" w:type="dxa"/>
          </w:tcPr>
          <w:p w:rsidR="00C65CF9" w:rsidRPr="00701945" w:rsidRDefault="00C65CF9" w:rsidP="00007D39">
            <w:pPr>
              <w:jc w:val="center"/>
            </w:pPr>
          </w:p>
        </w:tc>
        <w:tc>
          <w:tcPr>
            <w:tcW w:w="3546" w:type="dxa"/>
          </w:tcPr>
          <w:p w:rsidR="00C65CF9" w:rsidRPr="00701945" w:rsidRDefault="00C65CF9" w:rsidP="00007D39"/>
        </w:tc>
      </w:tr>
      <w:tr w:rsidR="00C65CF9" w:rsidRPr="00701945" w:rsidTr="00007D39">
        <w:trPr>
          <w:cantSplit/>
          <w:trHeight w:val="382"/>
        </w:trPr>
        <w:tc>
          <w:tcPr>
            <w:tcW w:w="3507" w:type="dxa"/>
          </w:tcPr>
          <w:p w:rsidR="00C65CF9" w:rsidRPr="00701945" w:rsidRDefault="00094F61" w:rsidP="00007D39">
            <w:pPr>
              <w:jc w:val="both"/>
            </w:pPr>
            <w:r w:rsidRPr="00365A81">
              <w:t>Dave Rahman</w:t>
            </w:r>
          </w:p>
        </w:tc>
        <w:tc>
          <w:tcPr>
            <w:tcW w:w="2511" w:type="dxa"/>
          </w:tcPr>
          <w:p w:rsidR="00C65CF9" w:rsidRPr="00701945" w:rsidRDefault="00094F61" w:rsidP="00007D39">
            <w:pPr>
              <w:jc w:val="center"/>
            </w:pPr>
            <w:r>
              <w:t>DEF</w:t>
            </w:r>
          </w:p>
        </w:tc>
        <w:tc>
          <w:tcPr>
            <w:tcW w:w="3546" w:type="dxa"/>
          </w:tcPr>
          <w:p w:rsidR="00C65CF9" w:rsidRPr="00701945" w:rsidRDefault="00094F61" w:rsidP="00007D39">
            <w:r w:rsidRPr="00365A81">
              <w:t>1 - 4</w:t>
            </w:r>
          </w:p>
        </w:tc>
      </w:tr>
      <w:tr w:rsidR="00C65CF9" w:rsidRPr="00701945" w:rsidTr="00007D39">
        <w:trPr>
          <w:cantSplit/>
          <w:trHeight w:val="362"/>
        </w:trPr>
        <w:tc>
          <w:tcPr>
            <w:tcW w:w="3507" w:type="dxa"/>
          </w:tcPr>
          <w:p w:rsidR="00C65CF9" w:rsidRPr="00701945" w:rsidRDefault="00C65CF9" w:rsidP="00007D39">
            <w:pPr>
              <w:jc w:val="both"/>
            </w:pPr>
          </w:p>
        </w:tc>
        <w:tc>
          <w:tcPr>
            <w:tcW w:w="2511" w:type="dxa"/>
          </w:tcPr>
          <w:p w:rsidR="00C65CF9" w:rsidRPr="00701945" w:rsidRDefault="00C65CF9" w:rsidP="00007D39">
            <w:pPr>
              <w:jc w:val="center"/>
            </w:pPr>
          </w:p>
        </w:tc>
        <w:tc>
          <w:tcPr>
            <w:tcW w:w="3546" w:type="dxa"/>
          </w:tcPr>
          <w:p w:rsidR="00C65CF9" w:rsidRPr="00701945" w:rsidRDefault="00C65CF9" w:rsidP="00007D39"/>
        </w:tc>
      </w:tr>
    </w:tbl>
    <w:p w:rsidR="00C65CF9" w:rsidRPr="00A32DC5" w:rsidRDefault="00C65CF9" w:rsidP="00C65CF9">
      <w:pPr>
        <w:jc w:val="both"/>
        <w:rPr>
          <w:b/>
        </w:rPr>
      </w:pPr>
      <w:r w:rsidRPr="00A32DC5">
        <w:rPr>
          <w:b/>
        </w:rPr>
        <w:t>VII.</w:t>
      </w:r>
      <w:r w:rsidRPr="00A32DC5">
        <w:rPr>
          <w:b/>
        </w:rPr>
        <w:tab/>
      </w:r>
      <w:r w:rsidRPr="00A32DC5">
        <w:rPr>
          <w:b/>
          <w:u w:val="single"/>
        </w:rPr>
        <w:t>BASIC POSITIONS</w:t>
      </w:r>
    </w:p>
    <w:p w:rsidR="00C65CF9" w:rsidRPr="00701945" w:rsidRDefault="00C65CF9" w:rsidP="00C65CF9">
      <w:pPr>
        <w:jc w:val="both"/>
      </w:pPr>
    </w:p>
    <w:p w:rsidR="009136E4" w:rsidRPr="009777AD" w:rsidRDefault="009136E4" w:rsidP="009136E4">
      <w:pPr>
        <w:ind w:left="1440" w:hanging="1440"/>
        <w:jc w:val="both"/>
      </w:pPr>
      <w:r>
        <w:rPr>
          <w:b/>
          <w:bCs/>
        </w:rPr>
        <w:t>DEF</w:t>
      </w:r>
      <w:r w:rsidR="00C65CF9" w:rsidRPr="00701945">
        <w:rPr>
          <w:b/>
          <w:bCs/>
        </w:rPr>
        <w:t>:</w:t>
      </w:r>
      <w:r>
        <w:rPr>
          <w:b/>
          <w:bCs/>
        </w:rPr>
        <w:tab/>
      </w:r>
      <w:r w:rsidRPr="24A23DB7">
        <w:t>DEF submits that the proposed DeLand West</w:t>
      </w:r>
      <w:r w:rsidR="006735E8">
        <w:t xml:space="preserve"> </w:t>
      </w:r>
      <w:r w:rsidRPr="24A23DB7">
        <w:t>-</w:t>
      </w:r>
      <w:r w:rsidR="006735E8">
        <w:t xml:space="preserve"> </w:t>
      </w:r>
      <w:r w:rsidRPr="24A23DB7">
        <w:t>Dona Vista 230 kV transmission line is necessary to ensure the continued reliability and adequacy of the transmission system in Central Florida. The new 230 kV transmission line, which extends approximately 26.5 miles from DEF’s DeLand West Substation in Volusia County to DEF’s Dona Vista Substation in Lake County, is projected to be in service January 2030. This project is a key component in DEF’s long-term system planning and aims to (1) improve reliability for customers served by existing 69 kV circuits; (2) increase east-to-west power transfer capabilities; (3) relieve potential overloads and low voltage conditions; and (4) reduce line loading on existing circuits.</w:t>
      </w:r>
    </w:p>
    <w:p w:rsidR="009136E4" w:rsidRDefault="009136E4" w:rsidP="009136E4">
      <w:pPr>
        <w:jc w:val="both"/>
      </w:pPr>
      <w:r w:rsidRPr="009856E8">
        <w:tab/>
      </w:r>
    </w:p>
    <w:p w:rsidR="009136E4" w:rsidRDefault="009136E4" w:rsidP="009136E4">
      <w:pPr>
        <w:ind w:left="1440"/>
        <w:jc w:val="both"/>
      </w:pPr>
      <w:r w:rsidRPr="009856E8">
        <w:t>In addition to the</w:t>
      </w:r>
      <w:r w:rsidRPr="24A23DB7">
        <w:t xml:space="preserve"> proposed DeLand West</w:t>
      </w:r>
      <w:r w:rsidR="006735E8">
        <w:t xml:space="preserve"> </w:t>
      </w:r>
      <w:r w:rsidRPr="24A23DB7">
        <w:t>-</w:t>
      </w:r>
      <w:r w:rsidR="006735E8">
        <w:t xml:space="preserve"> </w:t>
      </w:r>
      <w:r w:rsidRPr="24A23DB7">
        <w:t>Dona Vista 230 kV transmission line project, DEF has evaluated four alternative projects for meeting the identified need and determined the proposed DeLand West</w:t>
      </w:r>
      <w:r w:rsidR="006735E8">
        <w:t xml:space="preserve"> </w:t>
      </w:r>
      <w:r w:rsidRPr="24A23DB7">
        <w:t>-</w:t>
      </w:r>
      <w:r w:rsidR="006735E8">
        <w:t xml:space="preserve"> </w:t>
      </w:r>
      <w:r w:rsidRPr="24A23DB7">
        <w:t>Dona Vista 230 kV transmission line project was the most efficient and cost-effective solution, having considered the demand for electricity, enhancing electric system reliability and integrity, and addressing the need for abundant, low-cost electrical energy to assure the economic well-being of the citizens of this state.</w:t>
      </w:r>
    </w:p>
    <w:p w:rsidR="009136E4" w:rsidRPr="009777AD" w:rsidRDefault="009136E4" w:rsidP="009136E4">
      <w:pPr>
        <w:ind w:left="1440"/>
        <w:jc w:val="both"/>
      </w:pPr>
    </w:p>
    <w:p w:rsidR="009136E4" w:rsidRPr="009777AD" w:rsidRDefault="009136E4" w:rsidP="009136E4">
      <w:pPr>
        <w:ind w:left="1440"/>
        <w:jc w:val="both"/>
      </w:pPr>
      <w:r w:rsidRPr="24A23DB7">
        <w:t>The Commission should approve DEF’s petition for determination of need for the DeLand West to Dona Vista 230 kV transmission line to preserve electric system reliability and integrity in the area and to maintain low-cost electrical energy for the economic well-being of the residents of Florida.</w:t>
      </w:r>
    </w:p>
    <w:p w:rsidR="00C65CF9" w:rsidRPr="00701945" w:rsidRDefault="00C65CF9" w:rsidP="00C65CF9">
      <w:pPr>
        <w:jc w:val="both"/>
      </w:pPr>
    </w:p>
    <w:p w:rsidR="00C65CF9" w:rsidRDefault="00C65CF9" w:rsidP="00C65CF9">
      <w:pPr>
        <w:ind w:left="1440" w:hanging="1440"/>
        <w:jc w:val="both"/>
      </w:pPr>
      <w:r w:rsidRPr="005D4B47">
        <w:rPr>
          <w:b/>
          <w:bCs/>
        </w:rPr>
        <w:t>STAFF</w:t>
      </w:r>
      <w:r w:rsidRPr="00701945">
        <w:rPr>
          <w:b/>
          <w:bCs/>
        </w:rPr>
        <w:t>:</w:t>
      </w:r>
      <w:r>
        <w:rPr>
          <w:b/>
          <w:bCs/>
        </w:rPr>
        <w:tab/>
      </w:r>
      <w:r>
        <w:t>Staff’</w:t>
      </w:r>
      <w:r w:rsidRPr="00701945">
        <w:t>s positions are preliminary and based on materials filed by the parties and on discovery.  The preliminary positions are offered to assist the parties in pr</w:t>
      </w:r>
      <w:r>
        <w:t>eparing for the hearing.  Staff’</w:t>
      </w:r>
      <w:r w:rsidRPr="00701945">
        <w:t xml:space="preserve">s final positions will be based upon all the evidence in the record and may differ from the preliminary positions.  </w:t>
      </w:r>
    </w:p>
    <w:p w:rsidR="00CA70DD" w:rsidRDefault="00CA70DD" w:rsidP="00C65CF9">
      <w:pPr>
        <w:ind w:left="1440" w:hanging="1440"/>
        <w:jc w:val="both"/>
      </w:pPr>
    </w:p>
    <w:p w:rsidR="00C65CF9" w:rsidRPr="00701945" w:rsidRDefault="00C65CF9" w:rsidP="00C65CF9">
      <w:pPr>
        <w:ind w:left="1440" w:hanging="1440"/>
        <w:jc w:val="both"/>
      </w:pPr>
    </w:p>
    <w:p w:rsidR="00C65CF9" w:rsidRPr="00A32DC5" w:rsidRDefault="00C65CF9" w:rsidP="00C65CF9">
      <w:pPr>
        <w:jc w:val="both"/>
        <w:rPr>
          <w:b/>
        </w:rPr>
      </w:pPr>
      <w:r w:rsidRPr="00A32DC5">
        <w:rPr>
          <w:b/>
        </w:rPr>
        <w:lastRenderedPageBreak/>
        <w:t>VIII.</w:t>
      </w:r>
      <w:r w:rsidRPr="00A32DC5">
        <w:rPr>
          <w:b/>
        </w:rPr>
        <w:tab/>
      </w:r>
      <w:r w:rsidRPr="00A32DC5">
        <w:rPr>
          <w:b/>
          <w:u w:val="single"/>
        </w:rPr>
        <w:t xml:space="preserve">ISSUES </w:t>
      </w:r>
      <w:smartTag w:uri="urn:schemas-microsoft-com:office:smarttags" w:element="stockticker">
        <w:r w:rsidRPr="00A32DC5">
          <w:rPr>
            <w:b/>
            <w:u w:val="single"/>
          </w:rPr>
          <w:t>AND</w:t>
        </w:r>
      </w:smartTag>
      <w:r w:rsidRPr="00A32DC5">
        <w:rPr>
          <w:b/>
          <w:u w:val="single"/>
        </w:rPr>
        <w:t xml:space="preserve"> POSITIONS</w:t>
      </w:r>
    </w:p>
    <w:p w:rsidR="00C65CF9" w:rsidRDefault="00C65CF9" w:rsidP="00C65CF9">
      <w:pPr>
        <w:jc w:val="both"/>
      </w:pPr>
    </w:p>
    <w:p w:rsidR="0035016C" w:rsidRDefault="0035016C" w:rsidP="00C65CF9">
      <w:pPr>
        <w:jc w:val="both"/>
      </w:pPr>
    </w:p>
    <w:p w:rsidR="00C65CF9" w:rsidRPr="00DD7F02" w:rsidRDefault="00C65CF9" w:rsidP="009136E4">
      <w:pPr>
        <w:ind w:left="1440" w:hanging="1440"/>
        <w:jc w:val="both"/>
        <w:rPr>
          <w:b/>
          <w:color w:val="FF0000"/>
        </w:rPr>
      </w:pPr>
      <w:r w:rsidRPr="005D4B47">
        <w:rPr>
          <w:b/>
          <w:bCs/>
        </w:rPr>
        <w:t>ISSUE 1</w:t>
      </w:r>
      <w:r w:rsidRPr="00701945">
        <w:rPr>
          <w:b/>
          <w:bCs/>
        </w:rPr>
        <w:t>:</w:t>
      </w:r>
      <w:r w:rsidRPr="00701945">
        <w:tab/>
      </w:r>
      <w:r w:rsidR="009136E4" w:rsidRPr="009136E4">
        <w:rPr>
          <w:b/>
        </w:rPr>
        <w:t>Is there a need for Duke Energy Florida, LLC’s proposed DeLand West</w:t>
      </w:r>
      <w:r w:rsidR="00D40BC5">
        <w:rPr>
          <w:b/>
        </w:rPr>
        <w:t xml:space="preserve"> </w:t>
      </w:r>
      <w:r w:rsidR="009136E4" w:rsidRPr="009136E4">
        <w:rPr>
          <w:b/>
        </w:rPr>
        <w:t>-</w:t>
      </w:r>
      <w:r w:rsidR="006735E8">
        <w:rPr>
          <w:b/>
        </w:rPr>
        <w:t xml:space="preserve"> </w:t>
      </w:r>
      <w:r w:rsidR="009136E4" w:rsidRPr="009136E4">
        <w:rPr>
          <w:b/>
        </w:rPr>
        <w:t>Dona Vista 230 kV transmission line, taking into account the need for electric system reliability and integrity, as prescribed in Section 403.537, Florida Statutes?</w:t>
      </w:r>
    </w:p>
    <w:p w:rsidR="00C65CF9" w:rsidRPr="00701945" w:rsidRDefault="00C65CF9" w:rsidP="00C65CF9">
      <w:pPr>
        <w:jc w:val="both"/>
      </w:pPr>
    </w:p>
    <w:p w:rsidR="00C65CF9" w:rsidRPr="005D4B47" w:rsidRDefault="009136E4" w:rsidP="00C65CF9">
      <w:pPr>
        <w:jc w:val="both"/>
      </w:pPr>
      <w:r>
        <w:rPr>
          <w:b/>
          <w:bCs/>
        </w:rPr>
        <w:t>DEF</w:t>
      </w:r>
      <w:r w:rsidR="00C65CF9" w:rsidRPr="005D4B47">
        <w:rPr>
          <w:b/>
          <w:bCs/>
        </w:rPr>
        <w:t>:</w:t>
      </w:r>
      <w:r w:rsidR="00C65CF9" w:rsidRPr="005D4B47">
        <w:tab/>
      </w:r>
      <w:r>
        <w:tab/>
      </w:r>
      <w:r w:rsidRPr="24A23DB7">
        <w:t>Yes, as demonstrated in DEF’s Petition, testimony, and exhibits.</w:t>
      </w:r>
    </w:p>
    <w:p w:rsidR="00C65CF9" w:rsidRPr="00701945" w:rsidRDefault="00C65CF9" w:rsidP="00C65CF9">
      <w:pPr>
        <w:jc w:val="both"/>
      </w:pPr>
    </w:p>
    <w:p w:rsidR="00C65CF9" w:rsidRPr="009136E4" w:rsidRDefault="00C65CF9" w:rsidP="00C65CF9">
      <w:pPr>
        <w:jc w:val="both"/>
        <w:rPr>
          <w:bCs/>
        </w:rPr>
      </w:pPr>
      <w:r w:rsidRPr="005D4B47">
        <w:rPr>
          <w:b/>
          <w:bCs/>
        </w:rPr>
        <w:t>STAFF:</w:t>
      </w:r>
      <w:r w:rsidRPr="005D4B47">
        <w:rPr>
          <w:b/>
          <w:bCs/>
        </w:rPr>
        <w:tab/>
      </w:r>
      <w:r w:rsidR="00621AAF">
        <w:rPr>
          <w:bCs/>
        </w:rPr>
        <w:t xml:space="preserve">Staff has no position at this time. </w:t>
      </w:r>
      <w:r w:rsidRPr="009136E4">
        <w:rPr>
          <w:bCs/>
        </w:rPr>
        <w:tab/>
      </w:r>
    </w:p>
    <w:p w:rsidR="00C65CF9" w:rsidRPr="009136E4" w:rsidRDefault="00C65CF9" w:rsidP="00C65CF9">
      <w:pPr>
        <w:jc w:val="both"/>
      </w:pPr>
    </w:p>
    <w:p w:rsidR="009136E4" w:rsidRDefault="009136E4" w:rsidP="00C65CF9">
      <w:pPr>
        <w:jc w:val="both"/>
      </w:pPr>
    </w:p>
    <w:p w:rsidR="009136E4" w:rsidRPr="009136E4" w:rsidRDefault="009136E4" w:rsidP="009136E4">
      <w:pPr>
        <w:ind w:left="1440" w:hanging="1440"/>
        <w:jc w:val="both"/>
        <w:rPr>
          <w:b/>
        </w:rPr>
      </w:pPr>
      <w:r w:rsidRPr="005D4B47">
        <w:rPr>
          <w:b/>
          <w:bCs/>
        </w:rPr>
        <w:t xml:space="preserve">ISSUE </w:t>
      </w:r>
      <w:r>
        <w:rPr>
          <w:b/>
          <w:bCs/>
        </w:rPr>
        <w:t>2</w:t>
      </w:r>
      <w:r w:rsidRPr="00701945">
        <w:rPr>
          <w:b/>
          <w:bCs/>
        </w:rPr>
        <w:t>:</w:t>
      </w:r>
      <w:r w:rsidRPr="00701945">
        <w:tab/>
      </w:r>
      <w:r w:rsidRPr="009136E4">
        <w:rPr>
          <w:b/>
        </w:rPr>
        <w:t>Is there a need for Duke Energy Florida, LLC’s proposed DeLand West</w:t>
      </w:r>
      <w:r w:rsidR="00D40BC5">
        <w:rPr>
          <w:b/>
        </w:rPr>
        <w:t xml:space="preserve"> </w:t>
      </w:r>
      <w:r w:rsidRPr="009136E4">
        <w:rPr>
          <w:b/>
        </w:rPr>
        <w:t>-Dona Vista 230 kV transmission line, taking into account the need for abundant, low cost electrical energy to assure the economic well-being of the citizens of the State, as prescribed in Section 403.537, Florida Statutes?</w:t>
      </w:r>
    </w:p>
    <w:p w:rsidR="009136E4" w:rsidRDefault="009136E4" w:rsidP="009136E4">
      <w:pPr>
        <w:ind w:left="1440" w:hanging="1440"/>
        <w:jc w:val="both"/>
      </w:pPr>
    </w:p>
    <w:p w:rsidR="009136E4" w:rsidRPr="005D4B47" w:rsidRDefault="009136E4" w:rsidP="009136E4">
      <w:pPr>
        <w:jc w:val="both"/>
      </w:pPr>
      <w:r>
        <w:rPr>
          <w:b/>
          <w:bCs/>
        </w:rPr>
        <w:t>DEF</w:t>
      </w:r>
      <w:r w:rsidRPr="005D4B47">
        <w:rPr>
          <w:b/>
          <w:bCs/>
        </w:rPr>
        <w:t>:</w:t>
      </w:r>
      <w:r w:rsidRPr="005D4B47">
        <w:tab/>
      </w:r>
      <w:r>
        <w:tab/>
      </w:r>
      <w:r w:rsidRPr="24A23DB7">
        <w:t>Yes, as demonstrated in DEF’s Petition, testimony, and exhibits.</w:t>
      </w:r>
    </w:p>
    <w:p w:rsidR="009136E4" w:rsidRPr="00701945" w:rsidRDefault="009136E4" w:rsidP="009136E4">
      <w:pPr>
        <w:jc w:val="both"/>
      </w:pPr>
    </w:p>
    <w:p w:rsidR="009136E4" w:rsidRPr="00621AAF" w:rsidRDefault="009136E4" w:rsidP="009136E4">
      <w:pPr>
        <w:ind w:left="1440" w:hanging="1440"/>
        <w:jc w:val="both"/>
        <w:rPr>
          <w:bCs/>
        </w:rPr>
      </w:pPr>
      <w:r w:rsidRPr="005D4B47">
        <w:rPr>
          <w:b/>
          <w:bCs/>
        </w:rPr>
        <w:t>STAFF:</w:t>
      </w:r>
      <w:r w:rsidR="00621AAF">
        <w:rPr>
          <w:b/>
          <w:bCs/>
        </w:rPr>
        <w:tab/>
      </w:r>
      <w:r w:rsidR="00621AAF">
        <w:rPr>
          <w:bCs/>
        </w:rPr>
        <w:t xml:space="preserve">Staff has no position at this time. </w:t>
      </w:r>
    </w:p>
    <w:p w:rsidR="009136E4" w:rsidRDefault="009136E4" w:rsidP="009136E4">
      <w:pPr>
        <w:ind w:left="1440" w:hanging="1440"/>
        <w:jc w:val="both"/>
        <w:rPr>
          <w:b/>
          <w:bCs/>
        </w:rPr>
      </w:pPr>
    </w:p>
    <w:p w:rsidR="00E71005" w:rsidRDefault="00E71005" w:rsidP="009136E4">
      <w:pPr>
        <w:ind w:left="1440" w:hanging="1440"/>
        <w:jc w:val="both"/>
        <w:rPr>
          <w:b/>
          <w:bCs/>
        </w:rPr>
      </w:pPr>
    </w:p>
    <w:p w:rsidR="009136E4" w:rsidRDefault="009136E4" w:rsidP="009136E4">
      <w:pPr>
        <w:ind w:left="1440" w:hanging="1440"/>
        <w:jc w:val="both"/>
      </w:pPr>
      <w:r w:rsidRPr="005D4B47">
        <w:rPr>
          <w:b/>
          <w:bCs/>
        </w:rPr>
        <w:t xml:space="preserve">ISSUE </w:t>
      </w:r>
      <w:r>
        <w:rPr>
          <w:b/>
          <w:bCs/>
        </w:rPr>
        <w:t>3</w:t>
      </w:r>
      <w:r w:rsidRPr="00701945">
        <w:rPr>
          <w:b/>
          <w:bCs/>
        </w:rPr>
        <w:t>:</w:t>
      </w:r>
      <w:r w:rsidRPr="00701945">
        <w:tab/>
      </w:r>
      <w:r w:rsidRPr="009136E4">
        <w:rPr>
          <w:b/>
        </w:rPr>
        <w:t>Are Duke Energy Florida, LLC’s Deland West Substation in Volusia County and its Dona Vista Substation in Lake County the appropriate starting and ending points for the proposed DeLand West</w:t>
      </w:r>
      <w:r w:rsidR="006735E8">
        <w:rPr>
          <w:b/>
        </w:rPr>
        <w:t xml:space="preserve"> </w:t>
      </w:r>
      <w:r w:rsidRPr="009136E4">
        <w:rPr>
          <w:b/>
        </w:rPr>
        <w:t>-</w:t>
      </w:r>
      <w:r w:rsidR="00D40BC5">
        <w:rPr>
          <w:b/>
        </w:rPr>
        <w:t xml:space="preserve"> </w:t>
      </w:r>
      <w:r w:rsidRPr="009136E4">
        <w:rPr>
          <w:b/>
        </w:rPr>
        <w:t>Dona Vista 230 kV transmission line?</w:t>
      </w:r>
    </w:p>
    <w:p w:rsidR="009136E4" w:rsidRDefault="009136E4" w:rsidP="009136E4">
      <w:pPr>
        <w:ind w:left="1440" w:hanging="1440"/>
        <w:jc w:val="both"/>
      </w:pPr>
    </w:p>
    <w:p w:rsidR="009136E4" w:rsidRPr="005D4B47" w:rsidRDefault="009136E4" w:rsidP="009136E4">
      <w:pPr>
        <w:ind w:left="1440" w:hanging="1440"/>
        <w:jc w:val="both"/>
      </w:pPr>
      <w:r>
        <w:rPr>
          <w:b/>
          <w:bCs/>
        </w:rPr>
        <w:t>DEF</w:t>
      </w:r>
      <w:r w:rsidRPr="005D4B47">
        <w:rPr>
          <w:b/>
          <w:bCs/>
        </w:rPr>
        <w:t>:</w:t>
      </w:r>
      <w:r w:rsidRPr="005D4B47">
        <w:tab/>
      </w:r>
      <w:r>
        <w:t>Yes.</w:t>
      </w:r>
    </w:p>
    <w:p w:rsidR="009136E4" w:rsidRPr="00701945" w:rsidRDefault="009136E4" w:rsidP="009136E4">
      <w:pPr>
        <w:jc w:val="both"/>
      </w:pPr>
    </w:p>
    <w:p w:rsidR="009136E4" w:rsidRPr="00621AAF" w:rsidRDefault="009136E4" w:rsidP="009136E4">
      <w:pPr>
        <w:ind w:left="1440" w:hanging="1440"/>
        <w:jc w:val="both"/>
        <w:rPr>
          <w:bCs/>
        </w:rPr>
      </w:pPr>
      <w:r w:rsidRPr="005D4B47">
        <w:rPr>
          <w:b/>
          <w:bCs/>
        </w:rPr>
        <w:t>STAFF:</w:t>
      </w:r>
      <w:r w:rsidR="00621AAF">
        <w:rPr>
          <w:b/>
          <w:bCs/>
        </w:rPr>
        <w:tab/>
      </w:r>
      <w:r w:rsidR="00621AAF" w:rsidRPr="00621AAF">
        <w:rPr>
          <w:bCs/>
        </w:rPr>
        <w:t xml:space="preserve">Staff has no position at this time. </w:t>
      </w:r>
    </w:p>
    <w:p w:rsidR="009136E4" w:rsidRPr="00621AAF" w:rsidRDefault="009136E4" w:rsidP="009136E4">
      <w:pPr>
        <w:ind w:left="1440" w:hanging="1440"/>
        <w:jc w:val="both"/>
        <w:rPr>
          <w:bCs/>
        </w:rPr>
      </w:pPr>
    </w:p>
    <w:p w:rsidR="009136E4" w:rsidRDefault="009136E4" w:rsidP="009136E4">
      <w:pPr>
        <w:ind w:left="1440" w:hanging="1440"/>
        <w:jc w:val="both"/>
      </w:pPr>
    </w:p>
    <w:p w:rsidR="009136E4" w:rsidRDefault="009136E4" w:rsidP="0035016C">
      <w:pPr>
        <w:ind w:left="1440" w:hanging="1440"/>
        <w:jc w:val="both"/>
        <w:rPr>
          <w:b/>
        </w:rPr>
      </w:pPr>
      <w:r w:rsidRPr="005D4B47">
        <w:rPr>
          <w:b/>
          <w:bCs/>
        </w:rPr>
        <w:t xml:space="preserve">ISSUE </w:t>
      </w:r>
      <w:r>
        <w:rPr>
          <w:b/>
          <w:bCs/>
        </w:rPr>
        <w:t>4</w:t>
      </w:r>
      <w:r w:rsidRPr="00701945">
        <w:rPr>
          <w:b/>
          <w:bCs/>
        </w:rPr>
        <w:t>:</w:t>
      </w:r>
      <w:r w:rsidRPr="00701945">
        <w:tab/>
      </w:r>
      <w:r w:rsidRPr="009136E4">
        <w:rPr>
          <w:b/>
        </w:rPr>
        <w:t>Should the Commission grant Duke Energy Florida, LLC</w:t>
      </w:r>
      <w:r w:rsidRPr="009136E4">
        <w:rPr>
          <w:rFonts w:hint="eastAsia"/>
          <w:b/>
        </w:rPr>
        <w:t>’</w:t>
      </w:r>
      <w:r w:rsidRPr="009136E4">
        <w:rPr>
          <w:b/>
        </w:rPr>
        <w:t>s petition for determination of need for the proposed Deland West</w:t>
      </w:r>
      <w:r w:rsidR="00D40BC5">
        <w:rPr>
          <w:b/>
        </w:rPr>
        <w:t xml:space="preserve"> </w:t>
      </w:r>
      <w:r w:rsidRPr="009136E4">
        <w:rPr>
          <w:b/>
        </w:rPr>
        <w:t>-</w:t>
      </w:r>
      <w:r w:rsidR="00D40BC5">
        <w:rPr>
          <w:b/>
        </w:rPr>
        <w:t xml:space="preserve"> </w:t>
      </w:r>
      <w:r w:rsidRPr="009136E4">
        <w:rPr>
          <w:b/>
        </w:rPr>
        <w:t>Dona Vista 230 kV transmission line project?</w:t>
      </w:r>
    </w:p>
    <w:p w:rsidR="007122BE" w:rsidRDefault="007122BE" w:rsidP="0035016C">
      <w:pPr>
        <w:ind w:left="1440" w:hanging="1440"/>
        <w:jc w:val="both"/>
      </w:pPr>
    </w:p>
    <w:p w:rsidR="009136E4" w:rsidRPr="005D4B47" w:rsidRDefault="009136E4" w:rsidP="009136E4">
      <w:pPr>
        <w:ind w:left="1440" w:hanging="1440"/>
        <w:jc w:val="both"/>
      </w:pPr>
      <w:r>
        <w:rPr>
          <w:b/>
          <w:bCs/>
        </w:rPr>
        <w:t>DEF</w:t>
      </w:r>
      <w:r w:rsidRPr="005D4B47">
        <w:rPr>
          <w:b/>
          <w:bCs/>
        </w:rPr>
        <w:t>:</w:t>
      </w:r>
      <w:r w:rsidRPr="005D4B47">
        <w:tab/>
      </w:r>
      <w:r w:rsidRPr="24A23DB7">
        <w:t>Yes, DEF satisfies the statutory elements for granting an affirmative determination of need for the proposed Deland West</w:t>
      </w:r>
      <w:r w:rsidR="00D40BC5">
        <w:t xml:space="preserve"> </w:t>
      </w:r>
      <w:r w:rsidRPr="24A23DB7">
        <w:t>-</w:t>
      </w:r>
      <w:r w:rsidR="00D40BC5">
        <w:t xml:space="preserve"> </w:t>
      </w:r>
      <w:r w:rsidRPr="24A23DB7">
        <w:t>Dona Vista 230 kV transmission line project pursuant to Section 403.537, Florida Statutes.</w:t>
      </w:r>
    </w:p>
    <w:p w:rsidR="009136E4" w:rsidRPr="00701945" w:rsidRDefault="009136E4" w:rsidP="009136E4">
      <w:pPr>
        <w:jc w:val="both"/>
      </w:pPr>
    </w:p>
    <w:p w:rsidR="009136E4" w:rsidRPr="00621AAF" w:rsidRDefault="009136E4" w:rsidP="009136E4">
      <w:pPr>
        <w:ind w:left="1440" w:hanging="1440"/>
        <w:jc w:val="both"/>
        <w:rPr>
          <w:bCs/>
        </w:rPr>
      </w:pPr>
      <w:r w:rsidRPr="005D4B47">
        <w:rPr>
          <w:b/>
          <w:bCs/>
        </w:rPr>
        <w:t>STAFF:</w:t>
      </w:r>
      <w:r w:rsidR="00621AAF">
        <w:rPr>
          <w:b/>
          <w:bCs/>
        </w:rPr>
        <w:tab/>
      </w:r>
      <w:r w:rsidR="00621AAF">
        <w:rPr>
          <w:bCs/>
        </w:rPr>
        <w:t xml:space="preserve">Staff has no position at this time. </w:t>
      </w:r>
    </w:p>
    <w:p w:rsidR="00AB4E67" w:rsidRDefault="00AB4E67" w:rsidP="009136E4">
      <w:pPr>
        <w:ind w:left="1440" w:hanging="1440"/>
        <w:jc w:val="both"/>
        <w:rPr>
          <w:b/>
          <w:bCs/>
        </w:rPr>
      </w:pPr>
    </w:p>
    <w:p w:rsidR="009136E4" w:rsidRDefault="009136E4" w:rsidP="00C65CF9">
      <w:pPr>
        <w:jc w:val="both"/>
      </w:pPr>
    </w:p>
    <w:p w:rsidR="00874970" w:rsidRDefault="00874970" w:rsidP="00C65CF9">
      <w:pPr>
        <w:jc w:val="both"/>
      </w:pPr>
    </w:p>
    <w:p w:rsidR="00AB4E67" w:rsidRDefault="00AB4E67" w:rsidP="00AB4E67">
      <w:pPr>
        <w:pStyle w:val="PositionBody"/>
        <w:ind w:left="0"/>
        <w:jc w:val="left"/>
      </w:pPr>
      <w:r w:rsidRPr="00DF1415">
        <w:rPr>
          <w:b/>
        </w:rPr>
        <w:lastRenderedPageBreak/>
        <w:t>ISSUE 5:</w:t>
      </w:r>
      <w:r>
        <w:tab/>
      </w:r>
      <w:r w:rsidRPr="00AB4E67">
        <w:rPr>
          <w:b/>
        </w:rPr>
        <w:t>Should this docket be closed?</w:t>
      </w:r>
    </w:p>
    <w:p w:rsidR="00124C57" w:rsidRPr="00621AAF" w:rsidRDefault="00AB4E67" w:rsidP="00124C57">
      <w:pPr>
        <w:pStyle w:val="IssueBody"/>
        <w:ind w:left="0"/>
        <w:rPr>
          <w:color w:val="FF0000"/>
        </w:rPr>
      </w:pPr>
      <w:r w:rsidRPr="00AB4E67">
        <w:rPr>
          <w:b/>
        </w:rPr>
        <w:t>DEF</w:t>
      </w:r>
      <w:r>
        <w:t>:</w:t>
      </w:r>
      <w:r>
        <w:tab/>
      </w:r>
      <w:r>
        <w:tab/>
      </w:r>
      <w:r w:rsidR="00124C57" w:rsidRPr="00874970">
        <w:t>Yes. This docket should be closed after the time for filing an appeal has run.</w:t>
      </w:r>
      <w:r w:rsidR="00621AAF">
        <w:t xml:space="preserve"> </w:t>
      </w:r>
    </w:p>
    <w:p w:rsidR="00AB4E67" w:rsidRDefault="00AB4E67" w:rsidP="00AB4E67">
      <w:pPr>
        <w:pStyle w:val="PositionBody"/>
        <w:ind w:left="0"/>
        <w:jc w:val="left"/>
      </w:pPr>
      <w:r>
        <w:rPr>
          <w:b/>
        </w:rPr>
        <w:t>STAFF</w:t>
      </w:r>
      <w:r w:rsidRPr="00011C26">
        <w:rPr>
          <w:b/>
        </w:rPr>
        <w:t>:</w:t>
      </w:r>
      <w:r>
        <w:tab/>
      </w:r>
      <w:r w:rsidR="00124C57">
        <w:t xml:space="preserve">Yes. This docket should be closed after the time for filing an appeal has run. </w:t>
      </w:r>
    </w:p>
    <w:p w:rsidR="00AB4E67" w:rsidRDefault="00AB4E67" w:rsidP="00C65CF9">
      <w:pPr>
        <w:jc w:val="both"/>
        <w:rPr>
          <w:b/>
        </w:rPr>
      </w:pPr>
    </w:p>
    <w:p w:rsidR="00C65CF9" w:rsidRPr="00A32DC5" w:rsidRDefault="00C65CF9" w:rsidP="00C65CF9">
      <w:pPr>
        <w:jc w:val="both"/>
        <w:rPr>
          <w:b/>
        </w:rPr>
      </w:pPr>
      <w:r w:rsidRPr="00A32DC5">
        <w:rPr>
          <w:b/>
        </w:rPr>
        <w:t>IX.</w:t>
      </w:r>
      <w:r w:rsidRPr="00A32DC5">
        <w:rPr>
          <w:b/>
        </w:rPr>
        <w:tab/>
      </w:r>
      <w:r w:rsidRPr="00A32DC5">
        <w:rPr>
          <w:b/>
          <w:u w:val="single"/>
        </w:rPr>
        <w:t>EXHIBIT LIST</w:t>
      </w:r>
    </w:p>
    <w:p w:rsidR="00C65CF9" w:rsidRPr="00701945" w:rsidRDefault="00C65CF9" w:rsidP="00C65CF9">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C65CF9" w:rsidRPr="001D21FB" w:rsidTr="00007D39">
        <w:trPr>
          <w:cantSplit/>
          <w:trHeight w:val="373"/>
          <w:tblHeader/>
        </w:trPr>
        <w:tc>
          <w:tcPr>
            <w:tcW w:w="3198" w:type="dxa"/>
          </w:tcPr>
          <w:p w:rsidR="00C65CF9" w:rsidRPr="001D21FB" w:rsidRDefault="00C65CF9" w:rsidP="00007D39">
            <w:pPr>
              <w:jc w:val="both"/>
            </w:pPr>
            <w:r w:rsidRPr="001D21FB">
              <w:rPr>
                <w:u w:val="single"/>
              </w:rPr>
              <w:t>Witness</w:t>
            </w:r>
          </w:p>
        </w:tc>
        <w:tc>
          <w:tcPr>
            <w:tcW w:w="1680" w:type="dxa"/>
          </w:tcPr>
          <w:p w:rsidR="00C65CF9" w:rsidRPr="001D21FB" w:rsidRDefault="00C65CF9" w:rsidP="001D21FB">
            <w:r w:rsidRPr="001D21FB">
              <w:rPr>
                <w:u w:val="single"/>
              </w:rPr>
              <w:t>Proffered By</w:t>
            </w:r>
          </w:p>
        </w:tc>
        <w:tc>
          <w:tcPr>
            <w:tcW w:w="1482" w:type="dxa"/>
          </w:tcPr>
          <w:p w:rsidR="00C65CF9" w:rsidRPr="001D21FB" w:rsidRDefault="001D21FB" w:rsidP="001D21FB">
            <w:pPr>
              <w:rPr>
                <w:u w:val="single"/>
              </w:rPr>
            </w:pPr>
            <w:r w:rsidRPr="001D21FB">
              <w:rPr>
                <w:u w:val="single"/>
              </w:rPr>
              <w:t>Exhibit</w:t>
            </w:r>
            <w:r w:rsidRPr="001D21FB">
              <w:rPr>
                <w:spacing w:val="20"/>
                <w:u w:val="single"/>
              </w:rPr>
              <w:t xml:space="preserve"> </w:t>
            </w:r>
            <w:r w:rsidRPr="001D21FB">
              <w:rPr>
                <w:spacing w:val="-10"/>
                <w:u w:val="single"/>
              </w:rPr>
              <w:t>#</w:t>
            </w:r>
          </w:p>
        </w:tc>
        <w:tc>
          <w:tcPr>
            <w:tcW w:w="3205" w:type="dxa"/>
          </w:tcPr>
          <w:p w:rsidR="00C65CF9" w:rsidRPr="001D21FB" w:rsidRDefault="00C65CF9" w:rsidP="00007D39">
            <w:pPr>
              <w:jc w:val="both"/>
            </w:pPr>
            <w:r w:rsidRPr="001D21FB">
              <w:rPr>
                <w:u w:val="single"/>
              </w:rPr>
              <w:t>Description</w:t>
            </w:r>
          </w:p>
        </w:tc>
      </w:tr>
      <w:tr w:rsidR="00C65CF9" w:rsidRPr="001D21FB" w:rsidTr="00007D39">
        <w:trPr>
          <w:cantSplit/>
          <w:trHeight w:val="353"/>
        </w:trPr>
        <w:tc>
          <w:tcPr>
            <w:tcW w:w="3198" w:type="dxa"/>
          </w:tcPr>
          <w:p w:rsidR="00C65CF9" w:rsidRPr="001D21FB" w:rsidRDefault="00C65CF9" w:rsidP="00007D39">
            <w:pPr>
              <w:jc w:val="both"/>
            </w:pPr>
            <w:r w:rsidRPr="001D21FB">
              <w:tab/>
            </w:r>
            <w:r w:rsidRPr="001D21FB">
              <w:rPr>
                <w:u w:val="single"/>
              </w:rPr>
              <w:t>Direct</w:t>
            </w:r>
          </w:p>
        </w:tc>
        <w:tc>
          <w:tcPr>
            <w:tcW w:w="1680" w:type="dxa"/>
          </w:tcPr>
          <w:p w:rsidR="00C65CF9" w:rsidRPr="001D21FB" w:rsidRDefault="00C65CF9" w:rsidP="001D21FB"/>
        </w:tc>
        <w:tc>
          <w:tcPr>
            <w:tcW w:w="1482" w:type="dxa"/>
          </w:tcPr>
          <w:p w:rsidR="00C65CF9" w:rsidRPr="001D21FB" w:rsidRDefault="00C65CF9" w:rsidP="001D21FB"/>
        </w:tc>
        <w:tc>
          <w:tcPr>
            <w:tcW w:w="3205" w:type="dxa"/>
          </w:tcPr>
          <w:p w:rsidR="00C65CF9" w:rsidRPr="001D21FB" w:rsidRDefault="00C65CF9" w:rsidP="00007D39"/>
        </w:tc>
      </w:tr>
      <w:tr w:rsidR="001D21FB" w:rsidRPr="001D21FB" w:rsidTr="001D21FB">
        <w:trPr>
          <w:cantSplit/>
          <w:trHeight w:val="481"/>
        </w:trPr>
        <w:tc>
          <w:tcPr>
            <w:tcW w:w="3198" w:type="dxa"/>
          </w:tcPr>
          <w:p w:rsidR="001D21FB" w:rsidRPr="001D21FB" w:rsidRDefault="001D21FB" w:rsidP="001D21FB">
            <w:pPr>
              <w:pStyle w:val="TableParagraph"/>
              <w:spacing w:before="14"/>
              <w:rPr>
                <w:sz w:val="24"/>
                <w:szCs w:val="24"/>
              </w:rPr>
            </w:pPr>
            <w:r w:rsidRPr="001D21FB">
              <w:rPr>
                <w:sz w:val="24"/>
                <w:szCs w:val="24"/>
              </w:rPr>
              <w:t>None</w:t>
            </w:r>
          </w:p>
        </w:tc>
        <w:tc>
          <w:tcPr>
            <w:tcW w:w="1680" w:type="dxa"/>
          </w:tcPr>
          <w:p w:rsidR="001D21FB" w:rsidRPr="001D21FB" w:rsidRDefault="001D21FB" w:rsidP="001D21FB">
            <w:pPr>
              <w:pStyle w:val="TableParagraph"/>
              <w:spacing w:before="14"/>
              <w:ind w:left="8"/>
              <w:rPr>
                <w:sz w:val="24"/>
                <w:szCs w:val="24"/>
              </w:rPr>
            </w:pPr>
            <w:r w:rsidRPr="001D21FB">
              <w:rPr>
                <w:spacing w:val="-5"/>
                <w:w w:val="105"/>
                <w:sz w:val="24"/>
                <w:szCs w:val="24"/>
              </w:rPr>
              <w:t>DEF</w:t>
            </w:r>
          </w:p>
        </w:tc>
        <w:tc>
          <w:tcPr>
            <w:tcW w:w="1482" w:type="dxa"/>
          </w:tcPr>
          <w:p w:rsidR="001D21FB" w:rsidRPr="001D21FB" w:rsidRDefault="001D21FB" w:rsidP="001D21FB">
            <w:pPr>
              <w:pStyle w:val="TableParagraph"/>
              <w:spacing w:before="14"/>
              <w:ind w:left="4" w:right="11"/>
              <w:rPr>
                <w:sz w:val="24"/>
                <w:szCs w:val="24"/>
              </w:rPr>
            </w:pPr>
            <w:r w:rsidRPr="001D21FB">
              <w:rPr>
                <w:sz w:val="24"/>
                <w:szCs w:val="24"/>
              </w:rPr>
              <w:t>None</w:t>
            </w:r>
          </w:p>
        </w:tc>
        <w:tc>
          <w:tcPr>
            <w:tcW w:w="3205" w:type="dxa"/>
          </w:tcPr>
          <w:p w:rsidR="001D21FB" w:rsidRPr="001D21FB" w:rsidRDefault="00621AAF" w:rsidP="001D21FB">
            <w:pPr>
              <w:pStyle w:val="TableParagraph"/>
              <w:spacing w:before="14" w:line="247" w:lineRule="auto"/>
              <w:ind w:left="102" w:right="139"/>
              <w:rPr>
                <w:sz w:val="24"/>
                <w:szCs w:val="24"/>
              </w:rPr>
            </w:pPr>
            <w:r>
              <w:rPr>
                <w:w w:val="105"/>
                <w:sz w:val="24"/>
                <w:szCs w:val="24"/>
              </w:rPr>
              <w:t>Notice</w:t>
            </w:r>
            <w:r w:rsidR="001D21FB" w:rsidRPr="001D21FB">
              <w:rPr>
                <w:w w:val="105"/>
                <w:sz w:val="24"/>
                <w:szCs w:val="24"/>
              </w:rPr>
              <w:t xml:space="preserve"> of Final Hearing and Affidavits of Publication</w:t>
            </w:r>
          </w:p>
        </w:tc>
      </w:tr>
      <w:tr w:rsidR="001D21FB" w:rsidRPr="001D21FB" w:rsidTr="00007D39">
        <w:trPr>
          <w:cantSplit/>
          <w:trHeight w:val="353"/>
        </w:trPr>
        <w:tc>
          <w:tcPr>
            <w:tcW w:w="3198" w:type="dxa"/>
          </w:tcPr>
          <w:p w:rsidR="001D21FB" w:rsidRPr="001D21FB" w:rsidRDefault="001D21FB" w:rsidP="001D21FB">
            <w:pPr>
              <w:pStyle w:val="TableParagraph"/>
              <w:spacing w:before="14"/>
              <w:rPr>
                <w:sz w:val="24"/>
                <w:szCs w:val="24"/>
              </w:rPr>
            </w:pPr>
            <w:r w:rsidRPr="001D21FB">
              <w:rPr>
                <w:w w:val="105"/>
                <w:sz w:val="24"/>
                <w:szCs w:val="24"/>
              </w:rPr>
              <w:t>Dave Rahman</w:t>
            </w:r>
          </w:p>
        </w:tc>
        <w:tc>
          <w:tcPr>
            <w:tcW w:w="1680" w:type="dxa"/>
          </w:tcPr>
          <w:p w:rsidR="001D21FB" w:rsidRPr="001D21FB" w:rsidRDefault="001D21FB" w:rsidP="001D21FB">
            <w:pPr>
              <w:pStyle w:val="TableParagraph"/>
              <w:spacing w:before="14"/>
              <w:ind w:left="8"/>
              <w:rPr>
                <w:spacing w:val="-5"/>
                <w:w w:val="105"/>
                <w:sz w:val="24"/>
                <w:szCs w:val="24"/>
              </w:rPr>
            </w:pPr>
            <w:r w:rsidRPr="001D21FB">
              <w:rPr>
                <w:spacing w:val="-5"/>
                <w:w w:val="105"/>
                <w:sz w:val="24"/>
                <w:szCs w:val="24"/>
              </w:rPr>
              <w:t>DEF</w:t>
            </w:r>
          </w:p>
        </w:tc>
        <w:tc>
          <w:tcPr>
            <w:tcW w:w="1482" w:type="dxa"/>
          </w:tcPr>
          <w:p w:rsidR="001D21FB" w:rsidRPr="001D21FB" w:rsidRDefault="001D21FB" w:rsidP="001D21FB">
            <w:pPr>
              <w:pStyle w:val="TableParagraph"/>
              <w:spacing w:before="14"/>
              <w:ind w:left="4" w:right="11"/>
              <w:rPr>
                <w:sz w:val="24"/>
                <w:szCs w:val="24"/>
              </w:rPr>
            </w:pPr>
            <w:r w:rsidRPr="001D21FB">
              <w:rPr>
                <w:sz w:val="24"/>
                <w:szCs w:val="24"/>
              </w:rPr>
              <w:t>None</w:t>
            </w:r>
          </w:p>
        </w:tc>
        <w:tc>
          <w:tcPr>
            <w:tcW w:w="3205" w:type="dxa"/>
          </w:tcPr>
          <w:p w:rsidR="001D21FB" w:rsidRPr="001D21FB" w:rsidRDefault="001D21FB" w:rsidP="001D21FB">
            <w:pPr>
              <w:pStyle w:val="TableParagraph"/>
              <w:spacing w:line="254" w:lineRule="auto"/>
              <w:ind w:left="102"/>
              <w:rPr>
                <w:sz w:val="24"/>
                <w:szCs w:val="24"/>
              </w:rPr>
            </w:pPr>
            <w:r w:rsidRPr="001D21FB">
              <w:rPr>
                <w:sz w:val="24"/>
                <w:szCs w:val="24"/>
              </w:rPr>
              <w:t>Appendix to the Petition to Determine Need for DeLand West – Dona Vista Transmission Line in Volusia and Lake Counties</w:t>
            </w:r>
          </w:p>
          <w:p w:rsidR="001D21FB" w:rsidRPr="001D21FB" w:rsidRDefault="001D21FB" w:rsidP="001D21FB">
            <w:pPr>
              <w:pStyle w:val="TableParagraph"/>
              <w:spacing w:before="14" w:line="247" w:lineRule="auto"/>
              <w:ind w:left="102" w:right="139"/>
              <w:rPr>
                <w:w w:val="105"/>
                <w:sz w:val="24"/>
                <w:szCs w:val="24"/>
              </w:rPr>
            </w:pPr>
            <w:r w:rsidRPr="001D21FB">
              <w:rPr>
                <w:b/>
                <w:color w:val="FF0000"/>
                <w:spacing w:val="-2"/>
                <w:w w:val="105"/>
                <w:sz w:val="24"/>
                <w:szCs w:val="24"/>
              </w:rPr>
              <w:t>CONFIDENTIAL</w:t>
            </w:r>
          </w:p>
        </w:tc>
      </w:tr>
      <w:tr w:rsidR="001D21FB" w:rsidRPr="001D21FB" w:rsidTr="00007D39">
        <w:trPr>
          <w:cantSplit/>
          <w:trHeight w:val="373"/>
        </w:trPr>
        <w:tc>
          <w:tcPr>
            <w:tcW w:w="3198" w:type="dxa"/>
          </w:tcPr>
          <w:p w:rsidR="001D21FB" w:rsidRPr="001D21FB" w:rsidRDefault="001D21FB" w:rsidP="001D21FB">
            <w:pPr>
              <w:pStyle w:val="TableParagraph"/>
              <w:spacing w:before="14"/>
              <w:rPr>
                <w:w w:val="105"/>
                <w:sz w:val="24"/>
                <w:szCs w:val="24"/>
              </w:rPr>
            </w:pPr>
            <w:r w:rsidRPr="001D21FB">
              <w:rPr>
                <w:w w:val="105"/>
                <w:sz w:val="24"/>
                <w:szCs w:val="24"/>
              </w:rPr>
              <w:t>Dave Rahman</w:t>
            </w:r>
          </w:p>
        </w:tc>
        <w:tc>
          <w:tcPr>
            <w:tcW w:w="1680" w:type="dxa"/>
          </w:tcPr>
          <w:p w:rsidR="001D21FB" w:rsidRPr="001D21FB" w:rsidRDefault="001D21FB" w:rsidP="001D21FB">
            <w:pPr>
              <w:pStyle w:val="TableParagraph"/>
              <w:spacing w:before="14"/>
              <w:ind w:left="8"/>
              <w:rPr>
                <w:spacing w:val="-5"/>
                <w:w w:val="105"/>
                <w:sz w:val="24"/>
                <w:szCs w:val="24"/>
              </w:rPr>
            </w:pPr>
            <w:r w:rsidRPr="001D21FB">
              <w:rPr>
                <w:spacing w:val="-5"/>
                <w:w w:val="105"/>
                <w:sz w:val="24"/>
                <w:szCs w:val="24"/>
              </w:rPr>
              <w:t>DEF</w:t>
            </w:r>
          </w:p>
        </w:tc>
        <w:tc>
          <w:tcPr>
            <w:tcW w:w="1482" w:type="dxa"/>
          </w:tcPr>
          <w:p w:rsidR="001D21FB" w:rsidRPr="001D21FB" w:rsidRDefault="001D21FB" w:rsidP="001D21FB">
            <w:pPr>
              <w:pStyle w:val="TableParagraph"/>
              <w:spacing w:before="14"/>
              <w:ind w:left="4" w:right="11"/>
              <w:rPr>
                <w:sz w:val="24"/>
                <w:szCs w:val="24"/>
              </w:rPr>
            </w:pPr>
            <w:r w:rsidRPr="001D21FB">
              <w:rPr>
                <w:sz w:val="24"/>
                <w:szCs w:val="24"/>
              </w:rPr>
              <w:t>DR-1</w:t>
            </w:r>
          </w:p>
        </w:tc>
        <w:tc>
          <w:tcPr>
            <w:tcW w:w="3205" w:type="dxa"/>
          </w:tcPr>
          <w:p w:rsidR="001D21FB" w:rsidRPr="001D21FB" w:rsidRDefault="001D21FB" w:rsidP="001D21FB">
            <w:pPr>
              <w:pStyle w:val="TableParagraph"/>
              <w:spacing w:line="254" w:lineRule="auto"/>
              <w:ind w:left="102"/>
              <w:rPr>
                <w:sz w:val="24"/>
                <w:szCs w:val="24"/>
              </w:rPr>
            </w:pPr>
            <w:r w:rsidRPr="001D21FB">
              <w:rPr>
                <w:w w:val="105"/>
                <w:sz w:val="24"/>
                <w:szCs w:val="24"/>
              </w:rPr>
              <w:t>DEF Electric Facilities Map (DEF general map)</w:t>
            </w:r>
          </w:p>
        </w:tc>
      </w:tr>
      <w:tr w:rsidR="001D21FB" w:rsidRPr="001D21FB" w:rsidTr="00007D39">
        <w:trPr>
          <w:cantSplit/>
          <w:trHeight w:val="353"/>
        </w:trPr>
        <w:tc>
          <w:tcPr>
            <w:tcW w:w="3198" w:type="dxa"/>
          </w:tcPr>
          <w:p w:rsidR="001D21FB" w:rsidRPr="001D21FB" w:rsidRDefault="001D21FB" w:rsidP="001D21FB">
            <w:pPr>
              <w:pStyle w:val="TableParagraph"/>
              <w:spacing w:before="14"/>
              <w:rPr>
                <w:w w:val="105"/>
                <w:sz w:val="24"/>
                <w:szCs w:val="24"/>
              </w:rPr>
            </w:pPr>
            <w:r w:rsidRPr="001D21FB">
              <w:rPr>
                <w:w w:val="105"/>
                <w:sz w:val="24"/>
                <w:szCs w:val="24"/>
              </w:rPr>
              <w:t>Dave Rahman</w:t>
            </w:r>
          </w:p>
        </w:tc>
        <w:tc>
          <w:tcPr>
            <w:tcW w:w="1680" w:type="dxa"/>
          </w:tcPr>
          <w:p w:rsidR="001D21FB" w:rsidRPr="001D21FB" w:rsidRDefault="001D21FB" w:rsidP="001D21FB">
            <w:pPr>
              <w:pStyle w:val="TableParagraph"/>
              <w:spacing w:before="14"/>
              <w:ind w:left="8"/>
              <w:rPr>
                <w:spacing w:val="-5"/>
                <w:w w:val="105"/>
                <w:sz w:val="24"/>
                <w:szCs w:val="24"/>
              </w:rPr>
            </w:pPr>
            <w:r w:rsidRPr="001D21FB">
              <w:rPr>
                <w:spacing w:val="-5"/>
                <w:w w:val="105"/>
                <w:sz w:val="24"/>
                <w:szCs w:val="24"/>
              </w:rPr>
              <w:t>DEF</w:t>
            </w:r>
          </w:p>
        </w:tc>
        <w:tc>
          <w:tcPr>
            <w:tcW w:w="1482" w:type="dxa"/>
          </w:tcPr>
          <w:p w:rsidR="001D21FB" w:rsidRPr="001D21FB" w:rsidRDefault="001D21FB" w:rsidP="001D21FB">
            <w:pPr>
              <w:pStyle w:val="TableParagraph"/>
              <w:spacing w:before="14"/>
              <w:ind w:left="4" w:right="11"/>
              <w:rPr>
                <w:sz w:val="24"/>
                <w:szCs w:val="24"/>
              </w:rPr>
            </w:pPr>
            <w:r w:rsidRPr="001D21FB">
              <w:rPr>
                <w:sz w:val="24"/>
                <w:szCs w:val="24"/>
              </w:rPr>
              <w:t>DR-2</w:t>
            </w:r>
          </w:p>
        </w:tc>
        <w:tc>
          <w:tcPr>
            <w:tcW w:w="3205" w:type="dxa"/>
          </w:tcPr>
          <w:p w:rsidR="001D21FB" w:rsidRPr="001D21FB" w:rsidRDefault="001D21FB" w:rsidP="001D21FB">
            <w:pPr>
              <w:pStyle w:val="TableParagraph"/>
              <w:spacing w:line="254" w:lineRule="auto"/>
              <w:ind w:left="102"/>
              <w:rPr>
                <w:w w:val="105"/>
                <w:sz w:val="24"/>
                <w:szCs w:val="24"/>
              </w:rPr>
            </w:pPr>
            <w:r w:rsidRPr="001D21FB">
              <w:rPr>
                <w:w w:val="105"/>
                <w:sz w:val="24"/>
                <w:szCs w:val="24"/>
              </w:rPr>
              <w:t>Deland West to Dona Vista Reliability Upgrade Project Map</w:t>
            </w:r>
          </w:p>
        </w:tc>
      </w:tr>
      <w:tr w:rsidR="001D21FB" w:rsidRPr="001D21FB" w:rsidTr="00007D39">
        <w:trPr>
          <w:cantSplit/>
          <w:trHeight w:val="353"/>
        </w:trPr>
        <w:tc>
          <w:tcPr>
            <w:tcW w:w="3198" w:type="dxa"/>
          </w:tcPr>
          <w:p w:rsidR="001D21FB" w:rsidRPr="001D21FB" w:rsidRDefault="001D21FB" w:rsidP="001D21FB">
            <w:pPr>
              <w:pStyle w:val="TableParagraph"/>
              <w:spacing w:before="14"/>
              <w:rPr>
                <w:w w:val="105"/>
                <w:sz w:val="24"/>
                <w:szCs w:val="24"/>
              </w:rPr>
            </w:pPr>
            <w:r w:rsidRPr="001D21FB">
              <w:rPr>
                <w:w w:val="105"/>
                <w:sz w:val="24"/>
                <w:szCs w:val="24"/>
              </w:rPr>
              <w:t>Dave Rahman</w:t>
            </w:r>
          </w:p>
        </w:tc>
        <w:tc>
          <w:tcPr>
            <w:tcW w:w="1680" w:type="dxa"/>
          </w:tcPr>
          <w:p w:rsidR="001D21FB" w:rsidRPr="001D21FB" w:rsidRDefault="001D21FB" w:rsidP="001D21FB">
            <w:pPr>
              <w:pStyle w:val="TableParagraph"/>
              <w:spacing w:before="14"/>
              <w:ind w:left="8"/>
              <w:rPr>
                <w:spacing w:val="-5"/>
                <w:w w:val="105"/>
                <w:sz w:val="24"/>
                <w:szCs w:val="24"/>
              </w:rPr>
            </w:pPr>
            <w:r w:rsidRPr="001D21FB">
              <w:rPr>
                <w:spacing w:val="-5"/>
                <w:w w:val="105"/>
                <w:sz w:val="24"/>
                <w:szCs w:val="24"/>
              </w:rPr>
              <w:t>DEF</w:t>
            </w:r>
          </w:p>
        </w:tc>
        <w:tc>
          <w:tcPr>
            <w:tcW w:w="1482" w:type="dxa"/>
          </w:tcPr>
          <w:p w:rsidR="001D21FB" w:rsidRPr="001D21FB" w:rsidRDefault="001D21FB" w:rsidP="001D21FB">
            <w:pPr>
              <w:pStyle w:val="TableParagraph"/>
              <w:spacing w:before="14"/>
              <w:ind w:left="4" w:right="11"/>
              <w:rPr>
                <w:sz w:val="24"/>
                <w:szCs w:val="24"/>
              </w:rPr>
            </w:pPr>
            <w:r w:rsidRPr="001D21FB">
              <w:rPr>
                <w:sz w:val="24"/>
                <w:szCs w:val="24"/>
              </w:rPr>
              <w:t>DR-3</w:t>
            </w:r>
          </w:p>
        </w:tc>
        <w:tc>
          <w:tcPr>
            <w:tcW w:w="3205" w:type="dxa"/>
          </w:tcPr>
          <w:p w:rsidR="001D21FB" w:rsidRPr="001D21FB" w:rsidRDefault="001D21FB" w:rsidP="001D21FB">
            <w:pPr>
              <w:pStyle w:val="TableParagraph"/>
              <w:spacing w:line="254" w:lineRule="auto"/>
              <w:ind w:left="102"/>
              <w:rPr>
                <w:w w:val="105"/>
                <w:sz w:val="24"/>
                <w:szCs w:val="24"/>
              </w:rPr>
            </w:pPr>
            <w:r w:rsidRPr="001D21FB">
              <w:rPr>
                <w:w w:val="105"/>
                <w:sz w:val="24"/>
                <w:szCs w:val="24"/>
              </w:rPr>
              <w:t>Schedules 3.1.1 and 3.2.1 of DEF’s Ten Year Site Plan, filed April 1, 2025</w:t>
            </w:r>
          </w:p>
        </w:tc>
      </w:tr>
      <w:tr w:rsidR="001D21FB" w:rsidRPr="001D21FB" w:rsidTr="00007D39">
        <w:trPr>
          <w:cantSplit/>
          <w:trHeight w:val="373"/>
        </w:trPr>
        <w:tc>
          <w:tcPr>
            <w:tcW w:w="3198" w:type="dxa"/>
          </w:tcPr>
          <w:p w:rsidR="001D21FB" w:rsidRPr="001D21FB" w:rsidRDefault="001D21FB" w:rsidP="001D21FB">
            <w:pPr>
              <w:pStyle w:val="TableParagraph"/>
              <w:spacing w:before="14"/>
              <w:rPr>
                <w:w w:val="105"/>
                <w:sz w:val="24"/>
                <w:szCs w:val="24"/>
              </w:rPr>
            </w:pPr>
            <w:r w:rsidRPr="001D21FB">
              <w:rPr>
                <w:w w:val="105"/>
                <w:sz w:val="24"/>
                <w:szCs w:val="24"/>
              </w:rPr>
              <w:t>Dave Rahman</w:t>
            </w:r>
          </w:p>
        </w:tc>
        <w:tc>
          <w:tcPr>
            <w:tcW w:w="1680" w:type="dxa"/>
          </w:tcPr>
          <w:p w:rsidR="001D21FB" w:rsidRPr="001D21FB" w:rsidRDefault="001D21FB" w:rsidP="001D21FB">
            <w:pPr>
              <w:pStyle w:val="TableParagraph"/>
              <w:spacing w:before="14"/>
              <w:ind w:left="8"/>
              <w:rPr>
                <w:spacing w:val="-5"/>
                <w:w w:val="105"/>
                <w:sz w:val="24"/>
                <w:szCs w:val="24"/>
              </w:rPr>
            </w:pPr>
            <w:r w:rsidRPr="001D21FB">
              <w:rPr>
                <w:spacing w:val="-5"/>
                <w:w w:val="105"/>
                <w:sz w:val="24"/>
                <w:szCs w:val="24"/>
              </w:rPr>
              <w:t>DEF</w:t>
            </w:r>
          </w:p>
        </w:tc>
        <w:tc>
          <w:tcPr>
            <w:tcW w:w="1482" w:type="dxa"/>
          </w:tcPr>
          <w:p w:rsidR="001D21FB" w:rsidRPr="001D21FB" w:rsidRDefault="001D21FB" w:rsidP="001D21FB">
            <w:pPr>
              <w:pStyle w:val="TableParagraph"/>
              <w:spacing w:before="14"/>
              <w:ind w:left="4" w:right="11"/>
              <w:rPr>
                <w:sz w:val="24"/>
                <w:szCs w:val="24"/>
              </w:rPr>
            </w:pPr>
            <w:r w:rsidRPr="001D21FB">
              <w:rPr>
                <w:sz w:val="24"/>
                <w:szCs w:val="24"/>
              </w:rPr>
              <w:t>DR-4</w:t>
            </w:r>
          </w:p>
        </w:tc>
        <w:tc>
          <w:tcPr>
            <w:tcW w:w="3205" w:type="dxa"/>
          </w:tcPr>
          <w:p w:rsidR="001D21FB" w:rsidRPr="001D21FB" w:rsidRDefault="001D21FB" w:rsidP="001D21FB">
            <w:pPr>
              <w:pStyle w:val="TableParagraph"/>
              <w:spacing w:before="9"/>
              <w:ind w:left="102"/>
              <w:rPr>
                <w:w w:val="105"/>
                <w:sz w:val="24"/>
                <w:szCs w:val="24"/>
              </w:rPr>
            </w:pPr>
            <w:r w:rsidRPr="001D21FB">
              <w:rPr>
                <w:w w:val="105"/>
                <w:sz w:val="24"/>
                <w:szCs w:val="24"/>
              </w:rPr>
              <w:t>Load Flow Summary Table</w:t>
            </w:r>
          </w:p>
          <w:p w:rsidR="001D21FB" w:rsidRPr="001D21FB" w:rsidRDefault="001D21FB" w:rsidP="001D21FB">
            <w:pPr>
              <w:pStyle w:val="TableParagraph"/>
              <w:spacing w:line="254" w:lineRule="auto"/>
              <w:ind w:left="102"/>
              <w:rPr>
                <w:w w:val="105"/>
                <w:sz w:val="24"/>
                <w:szCs w:val="24"/>
              </w:rPr>
            </w:pPr>
            <w:r w:rsidRPr="001D21FB">
              <w:rPr>
                <w:b/>
                <w:color w:val="FF0000"/>
                <w:spacing w:val="-2"/>
                <w:w w:val="105"/>
                <w:sz w:val="24"/>
                <w:szCs w:val="24"/>
              </w:rPr>
              <w:t>CONFIDENTIAL</w:t>
            </w:r>
          </w:p>
        </w:tc>
      </w:tr>
      <w:tr w:rsidR="001D21FB" w:rsidRPr="001D21FB" w:rsidTr="00007D39">
        <w:trPr>
          <w:cantSplit/>
          <w:trHeight w:val="353"/>
        </w:trPr>
        <w:tc>
          <w:tcPr>
            <w:tcW w:w="3198" w:type="dxa"/>
          </w:tcPr>
          <w:p w:rsidR="001D21FB" w:rsidRPr="001D21FB" w:rsidRDefault="001D21FB" w:rsidP="001D21FB">
            <w:pPr>
              <w:pStyle w:val="TableParagraph"/>
              <w:spacing w:before="14"/>
              <w:rPr>
                <w:w w:val="105"/>
                <w:sz w:val="24"/>
                <w:szCs w:val="24"/>
              </w:rPr>
            </w:pPr>
            <w:r w:rsidRPr="001D21FB">
              <w:rPr>
                <w:w w:val="105"/>
                <w:sz w:val="24"/>
                <w:szCs w:val="24"/>
              </w:rPr>
              <w:t>Dave Rahman</w:t>
            </w:r>
          </w:p>
        </w:tc>
        <w:tc>
          <w:tcPr>
            <w:tcW w:w="1680" w:type="dxa"/>
          </w:tcPr>
          <w:p w:rsidR="001D21FB" w:rsidRPr="001D21FB" w:rsidRDefault="001D21FB" w:rsidP="001D21FB">
            <w:pPr>
              <w:pStyle w:val="TableParagraph"/>
              <w:spacing w:before="14"/>
              <w:ind w:left="8"/>
              <w:rPr>
                <w:spacing w:val="-5"/>
                <w:w w:val="105"/>
                <w:sz w:val="24"/>
                <w:szCs w:val="24"/>
              </w:rPr>
            </w:pPr>
            <w:r w:rsidRPr="001D21FB">
              <w:rPr>
                <w:spacing w:val="-5"/>
                <w:w w:val="105"/>
                <w:sz w:val="24"/>
                <w:szCs w:val="24"/>
              </w:rPr>
              <w:t>DEF</w:t>
            </w:r>
          </w:p>
        </w:tc>
        <w:tc>
          <w:tcPr>
            <w:tcW w:w="1482" w:type="dxa"/>
          </w:tcPr>
          <w:p w:rsidR="001D21FB" w:rsidRPr="001D21FB" w:rsidRDefault="001D21FB" w:rsidP="001D21FB">
            <w:pPr>
              <w:pStyle w:val="TableParagraph"/>
              <w:spacing w:before="14"/>
              <w:ind w:left="4" w:right="11"/>
              <w:rPr>
                <w:sz w:val="24"/>
                <w:szCs w:val="24"/>
              </w:rPr>
            </w:pPr>
            <w:r w:rsidRPr="001D21FB">
              <w:rPr>
                <w:sz w:val="24"/>
                <w:szCs w:val="24"/>
              </w:rPr>
              <w:t>DR-5</w:t>
            </w:r>
          </w:p>
        </w:tc>
        <w:tc>
          <w:tcPr>
            <w:tcW w:w="3205" w:type="dxa"/>
          </w:tcPr>
          <w:p w:rsidR="001D21FB" w:rsidRPr="001D21FB" w:rsidRDefault="001D21FB" w:rsidP="001D21FB">
            <w:pPr>
              <w:pStyle w:val="TableParagraph"/>
              <w:spacing w:before="9"/>
              <w:ind w:left="102"/>
              <w:rPr>
                <w:w w:val="105"/>
                <w:sz w:val="24"/>
                <w:szCs w:val="24"/>
              </w:rPr>
            </w:pPr>
            <w:r w:rsidRPr="001D21FB">
              <w:rPr>
                <w:w w:val="105"/>
                <w:sz w:val="24"/>
                <w:szCs w:val="24"/>
              </w:rPr>
              <w:t>DEF Transmission Planning Criteria</w:t>
            </w:r>
          </w:p>
        </w:tc>
      </w:tr>
      <w:tr w:rsidR="001D21FB" w:rsidRPr="001D21FB" w:rsidTr="00007D39">
        <w:trPr>
          <w:cantSplit/>
          <w:trHeight w:val="373"/>
        </w:trPr>
        <w:tc>
          <w:tcPr>
            <w:tcW w:w="3198" w:type="dxa"/>
          </w:tcPr>
          <w:p w:rsidR="001D21FB" w:rsidRPr="001D21FB" w:rsidRDefault="001D21FB" w:rsidP="001D21FB">
            <w:pPr>
              <w:pStyle w:val="TableParagraph"/>
              <w:spacing w:before="14"/>
              <w:rPr>
                <w:w w:val="105"/>
                <w:sz w:val="24"/>
                <w:szCs w:val="24"/>
              </w:rPr>
            </w:pPr>
            <w:r w:rsidRPr="001D21FB">
              <w:rPr>
                <w:w w:val="105"/>
                <w:sz w:val="24"/>
                <w:szCs w:val="24"/>
              </w:rPr>
              <w:t>Dave Rahman</w:t>
            </w:r>
            <w:r w:rsidRPr="001D21FB">
              <w:rPr>
                <w:spacing w:val="-2"/>
                <w:w w:val="105"/>
                <w:sz w:val="24"/>
                <w:szCs w:val="24"/>
              </w:rPr>
              <w:t xml:space="preserve"> </w:t>
            </w:r>
          </w:p>
        </w:tc>
        <w:tc>
          <w:tcPr>
            <w:tcW w:w="1680" w:type="dxa"/>
          </w:tcPr>
          <w:p w:rsidR="001D21FB" w:rsidRPr="001D21FB" w:rsidRDefault="001D21FB" w:rsidP="00AB4E67">
            <w:pPr>
              <w:pStyle w:val="TableParagraph"/>
              <w:spacing w:before="14"/>
              <w:ind w:left="8"/>
              <w:rPr>
                <w:spacing w:val="-5"/>
                <w:w w:val="105"/>
                <w:sz w:val="24"/>
                <w:szCs w:val="24"/>
              </w:rPr>
            </w:pPr>
            <w:r w:rsidRPr="001D21FB">
              <w:rPr>
                <w:spacing w:val="-5"/>
                <w:w w:val="105"/>
                <w:sz w:val="24"/>
                <w:szCs w:val="24"/>
              </w:rPr>
              <w:t>DEF</w:t>
            </w:r>
          </w:p>
        </w:tc>
        <w:tc>
          <w:tcPr>
            <w:tcW w:w="1482" w:type="dxa"/>
          </w:tcPr>
          <w:p w:rsidR="001D21FB" w:rsidRPr="001D21FB" w:rsidRDefault="001D21FB" w:rsidP="00AB4E67">
            <w:pPr>
              <w:pStyle w:val="TableParagraph"/>
              <w:spacing w:before="14"/>
              <w:ind w:left="4" w:right="11"/>
              <w:rPr>
                <w:sz w:val="24"/>
                <w:szCs w:val="24"/>
              </w:rPr>
            </w:pPr>
            <w:r w:rsidRPr="001D21FB">
              <w:rPr>
                <w:sz w:val="24"/>
                <w:szCs w:val="24"/>
              </w:rPr>
              <w:t>DR-6</w:t>
            </w:r>
          </w:p>
        </w:tc>
        <w:tc>
          <w:tcPr>
            <w:tcW w:w="3205" w:type="dxa"/>
          </w:tcPr>
          <w:p w:rsidR="001D21FB" w:rsidRPr="001D21FB" w:rsidRDefault="001D21FB" w:rsidP="001D21FB">
            <w:pPr>
              <w:pStyle w:val="TableParagraph"/>
              <w:spacing w:line="252" w:lineRule="auto"/>
              <w:ind w:left="102" w:right="618"/>
              <w:rPr>
                <w:w w:val="105"/>
                <w:sz w:val="24"/>
                <w:szCs w:val="24"/>
              </w:rPr>
            </w:pPr>
            <w:r w:rsidRPr="001D21FB">
              <w:rPr>
                <w:w w:val="105"/>
                <w:sz w:val="24"/>
                <w:szCs w:val="24"/>
              </w:rPr>
              <w:t>Alternative Projects Load Flow Summary Table</w:t>
            </w:r>
          </w:p>
          <w:p w:rsidR="001D21FB" w:rsidRPr="001D21FB" w:rsidRDefault="001D21FB" w:rsidP="001D21FB">
            <w:pPr>
              <w:pStyle w:val="TableParagraph"/>
              <w:spacing w:before="9"/>
              <w:ind w:left="102"/>
              <w:rPr>
                <w:w w:val="105"/>
                <w:sz w:val="24"/>
                <w:szCs w:val="24"/>
              </w:rPr>
            </w:pPr>
            <w:r w:rsidRPr="001D21FB">
              <w:rPr>
                <w:b/>
                <w:color w:val="FF0000"/>
                <w:spacing w:val="-2"/>
                <w:w w:val="105"/>
                <w:sz w:val="24"/>
                <w:szCs w:val="24"/>
              </w:rPr>
              <w:t>CONFIDENTIAL</w:t>
            </w:r>
          </w:p>
        </w:tc>
      </w:tr>
      <w:tr w:rsidR="001D21FB" w:rsidRPr="001D21FB" w:rsidTr="00007D39">
        <w:trPr>
          <w:cantSplit/>
          <w:trHeight w:val="353"/>
        </w:trPr>
        <w:tc>
          <w:tcPr>
            <w:tcW w:w="3198" w:type="dxa"/>
          </w:tcPr>
          <w:p w:rsidR="001D21FB" w:rsidRPr="001D21FB" w:rsidRDefault="001D21FB" w:rsidP="001D21FB">
            <w:pPr>
              <w:pStyle w:val="TableParagraph"/>
              <w:spacing w:before="14"/>
              <w:rPr>
                <w:w w:val="105"/>
                <w:sz w:val="24"/>
                <w:szCs w:val="24"/>
              </w:rPr>
            </w:pPr>
            <w:r w:rsidRPr="001D21FB">
              <w:rPr>
                <w:w w:val="105"/>
                <w:sz w:val="24"/>
                <w:szCs w:val="24"/>
              </w:rPr>
              <w:lastRenderedPageBreak/>
              <w:t>Dave Rahman</w:t>
            </w:r>
          </w:p>
        </w:tc>
        <w:tc>
          <w:tcPr>
            <w:tcW w:w="1680" w:type="dxa"/>
          </w:tcPr>
          <w:p w:rsidR="001D21FB" w:rsidRPr="001D21FB" w:rsidRDefault="001D21FB" w:rsidP="00AB4E67">
            <w:pPr>
              <w:pStyle w:val="TableParagraph"/>
              <w:spacing w:before="14"/>
              <w:ind w:left="8"/>
              <w:rPr>
                <w:spacing w:val="-5"/>
                <w:w w:val="105"/>
                <w:sz w:val="24"/>
                <w:szCs w:val="24"/>
              </w:rPr>
            </w:pPr>
            <w:r w:rsidRPr="001D21FB">
              <w:rPr>
                <w:spacing w:val="-5"/>
                <w:w w:val="105"/>
                <w:sz w:val="24"/>
                <w:szCs w:val="24"/>
              </w:rPr>
              <w:t>DEF</w:t>
            </w:r>
          </w:p>
        </w:tc>
        <w:tc>
          <w:tcPr>
            <w:tcW w:w="1482" w:type="dxa"/>
          </w:tcPr>
          <w:p w:rsidR="001D21FB" w:rsidRPr="001D21FB" w:rsidRDefault="001D21FB" w:rsidP="00AB4E67">
            <w:pPr>
              <w:pStyle w:val="TableParagraph"/>
              <w:spacing w:before="14"/>
              <w:ind w:left="4" w:right="11"/>
              <w:rPr>
                <w:sz w:val="24"/>
                <w:szCs w:val="24"/>
              </w:rPr>
            </w:pPr>
            <w:r w:rsidRPr="001D21FB">
              <w:rPr>
                <w:sz w:val="24"/>
                <w:szCs w:val="24"/>
              </w:rPr>
              <w:t>DR-7</w:t>
            </w:r>
          </w:p>
        </w:tc>
        <w:tc>
          <w:tcPr>
            <w:tcW w:w="3205" w:type="dxa"/>
          </w:tcPr>
          <w:p w:rsidR="001D21FB" w:rsidRPr="001D21FB" w:rsidRDefault="001D21FB" w:rsidP="001D21FB">
            <w:pPr>
              <w:pStyle w:val="TableParagraph"/>
              <w:spacing w:before="14" w:line="247" w:lineRule="auto"/>
              <w:ind w:left="102" w:right="139"/>
              <w:rPr>
                <w:sz w:val="24"/>
                <w:szCs w:val="24"/>
              </w:rPr>
            </w:pPr>
            <w:r w:rsidRPr="001D21FB">
              <w:rPr>
                <w:sz w:val="24"/>
                <w:szCs w:val="24"/>
              </w:rPr>
              <w:t>DeLand West to Dona Vista 230 kV Line Project</w:t>
            </w:r>
          </w:p>
          <w:p w:rsidR="001D21FB" w:rsidRPr="001D21FB" w:rsidRDefault="001D21FB" w:rsidP="001D21FB">
            <w:pPr>
              <w:pStyle w:val="TableParagraph"/>
              <w:spacing w:line="252" w:lineRule="auto"/>
              <w:ind w:left="102" w:right="618"/>
              <w:rPr>
                <w:w w:val="105"/>
                <w:sz w:val="24"/>
                <w:szCs w:val="24"/>
              </w:rPr>
            </w:pPr>
            <w:r w:rsidRPr="001D21FB">
              <w:rPr>
                <w:sz w:val="24"/>
                <w:szCs w:val="24"/>
              </w:rPr>
              <w:t>Indicative Schedule of Licensing, Design, and Construction</w:t>
            </w:r>
          </w:p>
        </w:tc>
      </w:tr>
      <w:tr w:rsidR="001D21FB" w:rsidRPr="001D21FB" w:rsidTr="00007D39">
        <w:trPr>
          <w:cantSplit/>
          <w:trHeight w:val="353"/>
        </w:trPr>
        <w:tc>
          <w:tcPr>
            <w:tcW w:w="3198" w:type="dxa"/>
          </w:tcPr>
          <w:p w:rsidR="001D21FB" w:rsidRPr="001D21FB" w:rsidRDefault="001D21FB" w:rsidP="001D21FB">
            <w:pPr>
              <w:pStyle w:val="TableParagraph"/>
              <w:spacing w:before="14"/>
              <w:rPr>
                <w:w w:val="105"/>
                <w:sz w:val="24"/>
                <w:szCs w:val="24"/>
              </w:rPr>
            </w:pPr>
            <w:r w:rsidRPr="001D21FB">
              <w:rPr>
                <w:w w:val="105"/>
                <w:sz w:val="24"/>
                <w:szCs w:val="24"/>
              </w:rPr>
              <w:t>Dave Rahman</w:t>
            </w:r>
          </w:p>
        </w:tc>
        <w:tc>
          <w:tcPr>
            <w:tcW w:w="1680" w:type="dxa"/>
          </w:tcPr>
          <w:p w:rsidR="001D21FB" w:rsidRPr="001D21FB" w:rsidRDefault="001D21FB" w:rsidP="00AB4E67">
            <w:pPr>
              <w:pStyle w:val="TableParagraph"/>
              <w:spacing w:before="14"/>
              <w:ind w:left="8"/>
              <w:rPr>
                <w:spacing w:val="-5"/>
                <w:w w:val="105"/>
                <w:sz w:val="24"/>
                <w:szCs w:val="24"/>
              </w:rPr>
            </w:pPr>
            <w:r w:rsidRPr="001D21FB">
              <w:rPr>
                <w:spacing w:val="-5"/>
                <w:w w:val="105"/>
                <w:sz w:val="24"/>
                <w:szCs w:val="24"/>
              </w:rPr>
              <w:t>DEF</w:t>
            </w:r>
          </w:p>
        </w:tc>
        <w:tc>
          <w:tcPr>
            <w:tcW w:w="1482" w:type="dxa"/>
          </w:tcPr>
          <w:p w:rsidR="001D21FB" w:rsidRPr="001D21FB" w:rsidRDefault="001D21FB" w:rsidP="00AB4E67">
            <w:pPr>
              <w:pStyle w:val="TableParagraph"/>
              <w:spacing w:before="14"/>
              <w:ind w:left="4" w:right="11"/>
              <w:rPr>
                <w:sz w:val="24"/>
                <w:szCs w:val="24"/>
              </w:rPr>
            </w:pPr>
            <w:r w:rsidRPr="001D21FB">
              <w:rPr>
                <w:sz w:val="24"/>
                <w:szCs w:val="24"/>
              </w:rPr>
              <w:t>DR-8</w:t>
            </w:r>
          </w:p>
        </w:tc>
        <w:tc>
          <w:tcPr>
            <w:tcW w:w="3205" w:type="dxa"/>
          </w:tcPr>
          <w:p w:rsidR="001D21FB" w:rsidRPr="001D21FB" w:rsidRDefault="001D21FB" w:rsidP="001D21FB">
            <w:pPr>
              <w:pStyle w:val="TableParagraph"/>
              <w:spacing w:before="14" w:line="247" w:lineRule="auto"/>
              <w:ind w:left="102" w:right="139"/>
              <w:rPr>
                <w:sz w:val="24"/>
                <w:szCs w:val="24"/>
              </w:rPr>
            </w:pPr>
            <w:r w:rsidRPr="001D21FB">
              <w:rPr>
                <w:sz w:val="24"/>
                <w:szCs w:val="24"/>
              </w:rPr>
              <w:t>Project Decision Matrix</w:t>
            </w:r>
          </w:p>
        </w:tc>
      </w:tr>
      <w:tr w:rsidR="001D21FB" w:rsidRPr="001D21FB" w:rsidTr="00007D39">
        <w:trPr>
          <w:cantSplit/>
          <w:trHeight w:val="353"/>
        </w:trPr>
        <w:tc>
          <w:tcPr>
            <w:tcW w:w="3198" w:type="dxa"/>
          </w:tcPr>
          <w:p w:rsidR="001D21FB" w:rsidRPr="001D21FB" w:rsidRDefault="001D21FB" w:rsidP="00007D39">
            <w:pPr>
              <w:jc w:val="both"/>
            </w:pPr>
          </w:p>
        </w:tc>
        <w:tc>
          <w:tcPr>
            <w:tcW w:w="1680" w:type="dxa"/>
          </w:tcPr>
          <w:p w:rsidR="001D21FB" w:rsidRPr="001D21FB" w:rsidRDefault="001D21FB" w:rsidP="00007D39">
            <w:pPr>
              <w:jc w:val="center"/>
            </w:pPr>
          </w:p>
        </w:tc>
        <w:tc>
          <w:tcPr>
            <w:tcW w:w="1482" w:type="dxa"/>
          </w:tcPr>
          <w:p w:rsidR="001D21FB" w:rsidRPr="001D21FB" w:rsidRDefault="001D21FB" w:rsidP="00007D39">
            <w:pPr>
              <w:jc w:val="center"/>
            </w:pPr>
          </w:p>
        </w:tc>
        <w:tc>
          <w:tcPr>
            <w:tcW w:w="3205" w:type="dxa"/>
          </w:tcPr>
          <w:p w:rsidR="001D21FB" w:rsidRPr="001D21FB" w:rsidRDefault="001D21FB" w:rsidP="00007D39"/>
        </w:tc>
      </w:tr>
    </w:tbl>
    <w:p w:rsidR="00C65CF9" w:rsidRPr="00A32DC5" w:rsidRDefault="00C65CF9" w:rsidP="00C65CF9">
      <w:pPr>
        <w:jc w:val="both"/>
        <w:rPr>
          <w:b/>
        </w:rPr>
      </w:pPr>
      <w:r w:rsidRPr="00A32DC5">
        <w:rPr>
          <w:b/>
        </w:rPr>
        <w:t>X.</w:t>
      </w:r>
      <w:r w:rsidRPr="00A32DC5">
        <w:rPr>
          <w:b/>
        </w:rPr>
        <w:tab/>
      </w:r>
      <w:r w:rsidRPr="00A32DC5">
        <w:rPr>
          <w:b/>
          <w:u w:val="single"/>
        </w:rPr>
        <w:t>PROPOSED STIPULATIONS</w:t>
      </w:r>
    </w:p>
    <w:p w:rsidR="00C65CF9" w:rsidRDefault="00C65CF9" w:rsidP="00C65CF9">
      <w:pPr>
        <w:jc w:val="both"/>
      </w:pPr>
    </w:p>
    <w:p w:rsidR="00C65CF9" w:rsidRPr="00AB4E67" w:rsidRDefault="00C65CF9" w:rsidP="00C65CF9">
      <w:pPr>
        <w:ind w:firstLine="720"/>
        <w:jc w:val="both"/>
      </w:pPr>
      <w:r w:rsidRPr="00AB4E67">
        <w:t>There are no proposed stipulations at this time.</w:t>
      </w:r>
    </w:p>
    <w:p w:rsidR="00C65CF9" w:rsidRPr="00AB4E67" w:rsidRDefault="00C65CF9" w:rsidP="00C65CF9">
      <w:pPr>
        <w:jc w:val="both"/>
      </w:pPr>
    </w:p>
    <w:p w:rsidR="00C65CF9" w:rsidRPr="00A32DC5" w:rsidRDefault="00C65CF9" w:rsidP="00C65CF9">
      <w:pPr>
        <w:jc w:val="both"/>
        <w:rPr>
          <w:b/>
        </w:rPr>
      </w:pPr>
      <w:r w:rsidRPr="00A32DC5">
        <w:rPr>
          <w:b/>
        </w:rPr>
        <w:t>XI.</w:t>
      </w:r>
      <w:r w:rsidRPr="00A32DC5">
        <w:rPr>
          <w:b/>
        </w:rPr>
        <w:tab/>
      </w:r>
      <w:r w:rsidRPr="00A32DC5">
        <w:rPr>
          <w:b/>
          <w:u w:val="single"/>
        </w:rPr>
        <w:t>PENDING MOTIONS</w:t>
      </w:r>
    </w:p>
    <w:p w:rsidR="00C65CF9" w:rsidRPr="00701945" w:rsidRDefault="00C65CF9" w:rsidP="00C65CF9">
      <w:pPr>
        <w:jc w:val="both"/>
      </w:pPr>
    </w:p>
    <w:p w:rsidR="00C65CF9" w:rsidRPr="00AB4E67" w:rsidRDefault="00C65CF9" w:rsidP="00C65CF9">
      <w:pPr>
        <w:ind w:firstLine="720"/>
        <w:jc w:val="both"/>
      </w:pPr>
      <w:r w:rsidRPr="00AB4E67">
        <w:t>There are no pending motions at this time.</w:t>
      </w:r>
    </w:p>
    <w:p w:rsidR="00C65CF9" w:rsidRPr="00AB4E67" w:rsidRDefault="00C65CF9" w:rsidP="00C65CF9">
      <w:pPr>
        <w:jc w:val="both"/>
      </w:pPr>
    </w:p>
    <w:p w:rsidR="00C65CF9" w:rsidRPr="00A32DC5" w:rsidRDefault="00C65CF9" w:rsidP="00C65CF9">
      <w:pPr>
        <w:jc w:val="both"/>
        <w:rPr>
          <w:b/>
        </w:rPr>
      </w:pPr>
      <w:r w:rsidRPr="00A32DC5">
        <w:rPr>
          <w:b/>
        </w:rPr>
        <w:t>XII.</w:t>
      </w:r>
      <w:r w:rsidRPr="00A32DC5">
        <w:rPr>
          <w:b/>
        </w:rPr>
        <w:tab/>
      </w:r>
      <w:r w:rsidRPr="00A32DC5">
        <w:rPr>
          <w:b/>
          <w:u w:val="single"/>
        </w:rPr>
        <w:t>PENDING CONFIDENTIALITY MATTERS</w:t>
      </w:r>
    </w:p>
    <w:p w:rsidR="00C65CF9" w:rsidRDefault="00C65CF9" w:rsidP="00C65CF9">
      <w:pPr>
        <w:jc w:val="both"/>
      </w:pPr>
    </w:p>
    <w:p w:rsidR="00AB4E67" w:rsidRDefault="00AB4E67" w:rsidP="00AB4E67">
      <w:pPr>
        <w:ind w:firstLine="720"/>
        <w:jc w:val="both"/>
      </w:pPr>
      <w:r>
        <w:t>There are no pending requests</w:t>
      </w:r>
      <w:r w:rsidRPr="00AB4E67">
        <w:t xml:space="preserve"> at this time.</w:t>
      </w:r>
    </w:p>
    <w:p w:rsidR="00621AAF" w:rsidRDefault="00621AAF" w:rsidP="0035016C">
      <w:pPr>
        <w:jc w:val="both"/>
      </w:pPr>
    </w:p>
    <w:p w:rsidR="00C65CF9" w:rsidRPr="00A32DC5" w:rsidRDefault="00C65CF9" w:rsidP="00C65CF9">
      <w:pPr>
        <w:jc w:val="both"/>
        <w:rPr>
          <w:b/>
        </w:rPr>
      </w:pPr>
      <w:r w:rsidRPr="00A32DC5">
        <w:rPr>
          <w:b/>
        </w:rPr>
        <w:t>XIII.</w:t>
      </w:r>
      <w:r w:rsidRPr="00A32DC5">
        <w:rPr>
          <w:b/>
        </w:rPr>
        <w:tab/>
      </w:r>
      <w:r w:rsidRPr="00A32DC5">
        <w:rPr>
          <w:b/>
          <w:u w:val="single"/>
        </w:rPr>
        <w:t>POST-HEARING PROCEDURES</w:t>
      </w:r>
    </w:p>
    <w:p w:rsidR="00C65CF9" w:rsidRPr="00701945" w:rsidRDefault="00C65CF9" w:rsidP="00C65CF9">
      <w:pPr>
        <w:jc w:val="both"/>
      </w:pPr>
    </w:p>
    <w:p w:rsidR="00C65CF9" w:rsidRPr="00701945" w:rsidRDefault="00C65CF9" w:rsidP="00C65CF9">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w:t>
      </w:r>
      <w:r>
        <w:t xml:space="preserve"> in that statement.  If a party’</w:t>
      </w:r>
      <w:r w:rsidRPr="00701945">
        <w:t>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rsidR="00C65CF9" w:rsidRPr="00701945" w:rsidRDefault="00C65CF9" w:rsidP="00C65CF9">
      <w:pPr>
        <w:jc w:val="both"/>
      </w:pPr>
    </w:p>
    <w:p w:rsidR="00C65CF9" w:rsidRPr="00701945" w:rsidRDefault="00C65CF9" w:rsidP="00C65CF9">
      <w:pPr>
        <w:jc w:val="both"/>
      </w:pPr>
      <w:r w:rsidRPr="00701945">
        <w:tab/>
        <w:t xml:space="preserve">Pursuant to Rule 28-106.215, </w:t>
      </w:r>
      <w:r>
        <w:t>F.A.C., a party’</w:t>
      </w:r>
      <w:r w:rsidRPr="00701945">
        <w:t xml:space="preserve">s proposed findings of fact and conclusions of law, if any, statement of issues and positions, and brief, shall together total no more than </w:t>
      </w:r>
      <w:r w:rsidR="00AB4E67">
        <w:t>2</w:t>
      </w:r>
      <w:r>
        <w:t>0</w:t>
      </w:r>
      <w:r w:rsidR="00AB4E67">
        <w:t xml:space="preserve"> pages</w:t>
      </w:r>
      <w:r>
        <w:rPr>
          <w:color w:val="FF0000"/>
        </w:rPr>
        <w:t xml:space="preserve"> </w:t>
      </w:r>
      <w:r w:rsidRPr="00701945">
        <w:t>and shall be filed at the same time.</w:t>
      </w:r>
    </w:p>
    <w:p w:rsidR="00C65CF9" w:rsidRDefault="00C65CF9" w:rsidP="00C65CF9">
      <w:pPr>
        <w:jc w:val="both"/>
      </w:pPr>
    </w:p>
    <w:p w:rsidR="00C65CF9" w:rsidRPr="00A32DC5" w:rsidRDefault="00C65CF9" w:rsidP="00C65CF9">
      <w:pPr>
        <w:jc w:val="both"/>
        <w:rPr>
          <w:b/>
        </w:rPr>
      </w:pPr>
      <w:r w:rsidRPr="00A32DC5">
        <w:rPr>
          <w:b/>
        </w:rPr>
        <w:t>XIV.</w:t>
      </w:r>
      <w:r w:rsidRPr="00A32DC5">
        <w:rPr>
          <w:b/>
        </w:rPr>
        <w:tab/>
      </w:r>
      <w:r w:rsidRPr="00A32DC5">
        <w:rPr>
          <w:b/>
          <w:u w:val="single"/>
        </w:rPr>
        <w:t>RULINGS</w:t>
      </w:r>
    </w:p>
    <w:p w:rsidR="00C65CF9" w:rsidRPr="00701945" w:rsidRDefault="00C65CF9" w:rsidP="00C65CF9">
      <w:pPr>
        <w:jc w:val="both"/>
      </w:pPr>
    </w:p>
    <w:p w:rsidR="00C65CF9" w:rsidRDefault="00C65CF9" w:rsidP="00AB4E67">
      <w:pPr>
        <w:ind w:firstLine="720"/>
        <w:jc w:val="both"/>
      </w:pPr>
      <w:r w:rsidRPr="00701945">
        <w:t xml:space="preserve">Opening statements, if any, shall not exceed </w:t>
      </w:r>
      <w:r w:rsidR="00EF6117">
        <w:t>five</w:t>
      </w:r>
      <w:r w:rsidRPr="00701945">
        <w:t xml:space="preserve"> minutes per party.</w:t>
      </w:r>
      <w:r>
        <w:t xml:space="preserve">  </w:t>
      </w:r>
    </w:p>
    <w:p w:rsidR="00D40BC5" w:rsidRDefault="00D40BC5" w:rsidP="00AB4E67">
      <w:pPr>
        <w:ind w:firstLine="720"/>
        <w:jc w:val="both"/>
      </w:pPr>
    </w:p>
    <w:p w:rsidR="00D40BC5" w:rsidRDefault="00D40BC5" w:rsidP="00AB4E67">
      <w:pPr>
        <w:ind w:firstLine="720"/>
        <w:jc w:val="both"/>
      </w:pPr>
    </w:p>
    <w:p w:rsidR="00874970" w:rsidRDefault="00874970" w:rsidP="00AB4E67">
      <w:pPr>
        <w:ind w:firstLine="720"/>
        <w:jc w:val="both"/>
      </w:pPr>
    </w:p>
    <w:p w:rsidR="00874970" w:rsidRDefault="00874970" w:rsidP="00AB4E67">
      <w:pPr>
        <w:ind w:firstLine="720"/>
        <w:jc w:val="both"/>
      </w:pPr>
    </w:p>
    <w:p w:rsidR="00D40BC5" w:rsidRDefault="00D40BC5" w:rsidP="00AB4E67">
      <w:pPr>
        <w:ind w:firstLine="720"/>
        <w:jc w:val="both"/>
      </w:pPr>
    </w:p>
    <w:p w:rsidR="00C65CF9" w:rsidRPr="00701945" w:rsidRDefault="00C65CF9" w:rsidP="00C65CF9">
      <w:pPr>
        <w:jc w:val="both"/>
      </w:pPr>
      <w:r w:rsidRPr="00701945">
        <w:lastRenderedPageBreak/>
        <w:tab/>
        <w:t>It is therefore,</w:t>
      </w:r>
    </w:p>
    <w:p w:rsidR="00C65CF9" w:rsidRPr="00701945" w:rsidRDefault="00C65CF9" w:rsidP="00C65CF9">
      <w:pPr>
        <w:jc w:val="both"/>
      </w:pPr>
    </w:p>
    <w:p w:rsidR="00C65CF9" w:rsidRDefault="00C65CF9" w:rsidP="00C65CF9">
      <w:pPr>
        <w:jc w:val="both"/>
      </w:pPr>
      <w:r w:rsidRPr="00701945">
        <w:tab/>
        <w:t xml:space="preserve">ORDERED by Commissioner </w:t>
      </w:r>
      <w:r w:rsidR="00B26A81">
        <w:t>Art Graham</w:t>
      </w:r>
      <w:r w:rsidRPr="00701945">
        <w:t>, as Prehearing Officer, that this Prehearing Order shall govern the conduct of these proceedings as set forth above unless modified by the Commission.</w:t>
      </w:r>
    </w:p>
    <w:p w:rsidR="00B26A81" w:rsidRDefault="00B26A81" w:rsidP="00C65CF9">
      <w:pPr>
        <w:jc w:val="both"/>
      </w:pPr>
    </w:p>
    <w:p w:rsidR="00B26A81" w:rsidRDefault="00B26A81" w:rsidP="00B26A81">
      <w:pPr>
        <w:keepNext/>
        <w:keepLines/>
        <w:jc w:val="both"/>
      </w:pPr>
      <w:r>
        <w:tab/>
        <w:t xml:space="preserve">By ORDER of Commissioner Art Graham, as Prehearing Officer, this </w:t>
      </w:r>
      <w:bookmarkStart w:id="4" w:name="replaceDate"/>
      <w:bookmarkEnd w:id="4"/>
      <w:r w:rsidR="005414BE">
        <w:rPr>
          <w:u w:val="single"/>
        </w:rPr>
        <w:t>15th</w:t>
      </w:r>
      <w:r w:rsidR="005414BE">
        <w:t xml:space="preserve"> day of </w:t>
      </w:r>
      <w:r w:rsidR="005414BE">
        <w:rPr>
          <w:u w:val="single"/>
        </w:rPr>
        <w:t>July</w:t>
      </w:r>
      <w:r w:rsidR="005414BE">
        <w:t xml:space="preserve">, </w:t>
      </w:r>
      <w:r w:rsidR="005414BE">
        <w:rPr>
          <w:u w:val="single"/>
        </w:rPr>
        <w:t>2025</w:t>
      </w:r>
      <w:r w:rsidR="005414BE">
        <w:t>.</w:t>
      </w:r>
    </w:p>
    <w:p w:rsidR="005414BE" w:rsidRPr="005414BE" w:rsidRDefault="005414BE" w:rsidP="00B26A81">
      <w:pPr>
        <w:keepNext/>
        <w:keepLines/>
        <w:jc w:val="both"/>
      </w:pPr>
    </w:p>
    <w:p w:rsidR="00B26A81" w:rsidRDefault="00B26A81" w:rsidP="00B26A81">
      <w:pPr>
        <w:keepNext/>
        <w:keepLines/>
        <w:jc w:val="both"/>
      </w:pPr>
    </w:p>
    <w:p w:rsidR="00B26A81" w:rsidRDefault="00B26A81" w:rsidP="00B26A8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26A81" w:rsidTr="00B26A81">
        <w:tc>
          <w:tcPr>
            <w:tcW w:w="720" w:type="dxa"/>
            <w:shd w:val="clear" w:color="auto" w:fill="auto"/>
          </w:tcPr>
          <w:p w:rsidR="00B26A81" w:rsidRDefault="00B26A81" w:rsidP="00B26A81">
            <w:pPr>
              <w:keepNext/>
              <w:keepLines/>
              <w:jc w:val="both"/>
            </w:pPr>
            <w:bookmarkStart w:id="5" w:name="bkmrkSignature" w:colFirst="0" w:colLast="0"/>
          </w:p>
        </w:tc>
        <w:tc>
          <w:tcPr>
            <w:tcW w:w="4320" w:type="dxa"/>
            <w:tcBorders>
              <w:bottom w:val="single" w:sz="4" w:space="0" w:color="auto"/>
            </w:tcBorders>
            <w:shd w:val="clear" w:color="auto" w:fill="auto"/>
          </w:tcPr>
          <w:p w:rsidR="00B26A81" w:rsidRDefault="005414BE" w:rsidP="00B26A81">
            <w:pPr>
              <w:keepNext/>
              <w:keepLines/>
              <w:jc w:val="both"/>
            </w:pPr>
            <w:r>
              <w:t>/s/ Art Graham</w:t>
            </w:r>
            <w:bookmarkStart w:id="6" w:name="_GoBack"/>
            <w:bookmarkEnd w:id="6"/>
          </w:p>
        </w:tc>
      </w:tr>
      <w:bookmarkEnd w:id="5"/>
      <w:tr w:rsidR="00B26A81" w:rsidTr="00B26A81">
        <w:tc>
          <w:tcPr>
            <w:tcW w:w="720" w:type="dxa"/>
            <w:shd w:val="clear" w:color="auto" w:fill="auto"/>
          </w:tcPr>
          <w:p w:rsidR="00B26A81" w:rsidRDefault="00B26A81" w:rsidP="00B26A81">
            <w:pPr>
              <w:keepNext/>
              <w:keepLines/>
              <w:jc w:val="both"/>
            </w:pPr>
          </w:p>
        </w:tc>
        <w:tc>
          <w:tcPr>
            <w:tcW w:w="4320" w:type="dxa"/>
            <w:tcBorders>
              <w:top w:val="single" w:sz="4" w:space="0" w:color="auto"/>
            </w:tcBorders>
            <w:shd w:val="clear" w:color="auto" w:fill="auto"/>
          </w:tcPr>
          <w:p w:rsidR="00B26A81" w:rsidRDefault="00B26A81" w:rsidP="00B26A81">
            <w:pPr>
              <w:keepNext/>
              <w:keepLines/>
              <w:jc w:val="both"/>
            </w:pPr>
            <w:r>
              <w:t>ART GRAHAM</w:t>
            </w:r>
          </w:p>
          <w:p w:rsidR="00B26A81" w:rsidRDefault="00B26A81" w:rsidP="00B26A81">
            <w:pPr>
              <w:keepNext/>
              <w:keepLines/>
              <w:jc w:val="both"/>
            </w:pPr>
            <w:r>
              <w:t>Commissioner and Prehearing Officer</w:t>
            </w:r>
          </w:p>
        </w:tc>
      </w:tr>
    </w:tbl>
    <w:p w:rsidR="00B26A81" w:rsidRDefault="00B26A81" w:rsidP="00B26A81">
      <w:pPr>
        <w:pStyle w:val="OrderSigInfo"/>
        <w:keepNext/>
        <w:keepLines/>
      </w:pPr>
      <w:r>
        <w:t>Florida Public Service Commission</w:t>
      </w:r>
    </w:p>
    <w:p w:rsidR="00B26A81" w:rsidRDefault="00B26A81" w:rsidP="00B26A81">
      <w:pPr>
        <w:pStyle w:val="OrderSigInfo"/>
        <w:keepNext/>
        <w:keepLines/>
      </w:pPr>
      <w:r>
        <w:t>2540 Shumard Oak Boulevard</w:t>
      </w:r>
    </w:p>
    <w:p w:rsidR="00B26A81" w:rsidRDefault="00B26A81" w:rsidP="00B26A81">
      <w:pPr>
        <w:pStyle w:val="OrderSigInfo"/>
        <w:keepNext/>
        <w:keepLines/>
      </w:pPr>
      <w:r>
        <w:t>Tallahassee, Florida 32399</w:t>
      </w:r>
    </w:p>
    <w:p w:rsidR="00B26A81" w:rsidRDefault="00B26A81" w:rsidP="00B26A81">
      <w:pPr>
        <w:pStyle w:val="OrderSigInfo"/>
        <w:keepNext/>
        <w:keepLines/>
      </w:pPr>
      <w:r>
        <w:t>(850) 413</w:t>
      </w:r>
      <w:r>
        <w:noBreakHyphen/>
        <w:t>6770</w:t>
      </w:r>
    </w:p>
    <w:p w:rsidR="00B26A81" w:rsidRDefault="00B26A81" w:rsidP="00B26A81">
      <w:pPr>
        <w:pStyle w:val="OrderSigInfo"/>
        <w:keepNext/>
        <w:keepLines/>
      </w:pPr>
      <w:r>
        <w:t>www.floridapsc.com</w:t>
      </w:r>
    </w:p>
    <w:p w:rsidR="00B26A81" w:rsidRDefault="00B26A81" w:rsidP="00B26A81">
      <w:pPr>
        <w:pStyle w:val="OrderSigInfo"/>
        <w:keepNext/>
        <w:keepLines/>
      </w:pPr>
    </w:p>
    <w:p w:rsidR="00B26A81" w:rsidRDefault="00B26A81" w:rsidP="00B26A81">
      <w:pPr>
        <w:pStyle w:val="OrderSigInfo"/>
        <w:keepNext/>
        <w:keepLines/>
      </w:pPr>
      <w:r>
        <w:t>Copies furnished:  A copy of this document is provided to the parties of record at the time of issuance and, if applicable, interested persons.</w:t>
      </w:r>
    </w:p>
    <w:p w:rsidR="00B26A81" w:rsidRDefault="00B26A81" w:rsidP="00B26A81">
      <w:pPr>
        <w:pStyle w:val="OrderBody"/>
        <w:keepNext/>
        <w:keepLines/>
      </w:pPr>
    </w:p>
    <w:p w:rsidR="00B26A81" w:rsidRDefault="00B26A81" w:rsidP="00B26A81">
      <w:pPr>
        <w:keepNext/>
        <w:keepLines/>
        <w:jc w:val="both"/>
      </w:pPr>
    </w:p>
    <w:p w:rsidR="00B26A81" w:rsidRDefault="00B26A81" w:rsidP="00B26A81">
      <w:pPr>
        <w:keepNext/>
        <w:keepLines/>
        <w:jc w:val="both"/>
      </w:pPr>
      <w:r>
        <w:t>JLA</w:t>
      </w:r>
    </w:p>
    <w:p w:rsidR="00B26A81" w:rsidRDefault="00B26A81" w:rsidP="00B26A81">
      <w:pPr>
        <w:jc w:val="both"/>
      </w:pPr>
    </w:p>
    <w:p w:rsidR="00B26A81" w:rsidRDefault="00B26A81">
      <w:r>
        <w:br w:type="page"/>
      </w:r>
    </w:p>
    <w:p w:rsidR="00B26A81" w:rsidRDefault="00B26A81" w:rsidP="00B26A81">
      <w:pPr>
        <w:pStyle w:val="CenterUnderline"/>
      </w:pPr>
      <w:r>
        <w:lastRenderedPageBreak/>
        <w:t>NOTICE OF FURTHER PROCEEDINGS OR JUDICIAL REVIEW</w:t>
      </w:r>
    </w:p>
    <w:p w:rsidR="00B26A81" w:rsidRDefault="00B26A81" w:rsidP="00B26A81">
      <w:pPr>
        <w:pStyle w:val="CenterUnderline"/>
        <w:rPr>
          <w:u w:val="none"/>
        </w:rPr>
      </w:pPr>
    </w:p>
    <w:p w:rsidR="00B26A81" w:rsidRDefault="00B26A81" w:rsidP="00B26A8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26A81" w:rsidRDefault="00B26A81" w:rsidP="00B26A81">
      <w:pPr>
        <w:pStyle w:val="OrderBody"/>
      </w:pPr>
    </w:p>
    <w:p w:rsidR="00B26A81" w:rsidRDefault="00B26A81" w:rsidP="00B26A81">
      <w:pPr>
        <w:pStyle w:val="OrderBody"/>
      </w:pPr>
      <w:r>
        <w:tab/>
        <w:t>Mediation may be available on a case-by-case basis.  If mediation is conducted, it does not affect a substantially interested person's right to a hearing.</w:t>
      </w:r>
    </w:p>
    <w:p w:rsidR="00B26A81" w:rsidRDefault="00B26A81" w:rsidP="00B26A81">
      <w:pPr>
        <w:pStyle w:val="OrderBody"/>
      </w:pPr>
    </w:p>
    <w:p w:rsidR="00B26A81" w:rsidRDefault="00B26A81" w:rsidP="00B26A8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rsidP="00B26A81">
      <w:pPr>
        <w:pStyle w:val="CenterUnderline"/>
        <w:jc w:val="left"/>
      </w:pPr>
    </w:p>
    <w:sectPr w:rsidR="000B7A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CF9" w:rsidRDefault="00C65CF9">
      <w:r>
        <w:separator/>
      </w:r>
    </w:p>
  </w:endnote>
  <w:endnote w:type="continuationSeparator" w:id="0">
    <w:p w:rsidR="00C65CF9" w:rsidRDefault="00C6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CF9" w:rsidRDefault="00C65CF9">
      <w:r>
        <w:separator/>
      </w:r>
    </w:p>
  </w:footnote>
  <w:footnote w:type="continuationSeparator" w:id="0">
    <w:p w:rsidR="00C65CF9" w:rsidRDefault="00C6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6 ">
      <w:r w:rsidR="005414BE">
        <w:t>PSC-2025-0276-PHO-EI</w:t>
      </w:r>
    </w:fldSimple>
  </w:p>
  <w:p w:rsidR="00FA6EFD" w:rsidRDefault="00C65CF9">
    <w:pPr>
      <w:pStyle w:val="OrderHeader"/>
    </w:pPr>
    <w:bookmarkStart w:id="7" w:name="HeaderDocketNo"/>
    <w:bookmarkEnd w:id="7"/>
    <w:r>
      <w:t>DOCKET NO. 20250078-EI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414BE">
      <w:rPr>
        <w:rStyle w:val="PageNumber"/>
        <w:noProof/>
      </w:rPr>
      <w:t>8</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D7F2C"/>
    <w:multiLevelType w:val="hybridMultilevel"/>
    <w:tmpl w:val="3530DD92"/>
    <w:lvl w:ilvl="0" w:tplc="D1649330">
      <w:numFmt w:val="bullet"/>
      <w:lvlText w:val=""/>
      <w:lvlJc w:val="left"/>
      <w:pPr>
        <w:ind w:left="2100" w:hanging="361"/>
      </w:pPr>
      <w:rPr>
        <w:rFonts w:ascii="Symbol" w:eastAsia="Symbol" w:hAnsi="Symbol" w:cs="Symbol" w:hint="default"/>
        <w:b w:val="0"/>
        <w:bCs w:val="0"/>
        <w:i w:val="0"/>
        <w:iCs w:val="0"/>
        <w:spacing w:val="0"/>
        <w:w w:val="103"/>
        <w:sz w:val="23"/>
        <w:szCs w:val="23"/>
        <w:lang w:val="en-US" w:eastAsia="en-US" w:bidi="ar-SA"/>
      </w:rPr>
    </w:lvl>
    <w:lvl w:ilvl="1" w:tplc="2368B34A">
      <w:numFmt w:val="bullet"/>
      <w:lvlText w:val="•"/>
      <w:lvlJc w:val="left"/>
      <w:pPr>
        <w:ind w:left="3056" w:hanging="361"/>
      </w:pPr>
      <w:rPr>
        <w:rFonts w:hint="default"/>
        <w:lang w:val="en-US" w:eastAsia="en-US" w:bidi="ar-SA"/>
      </w:rPr>
    </w:lvl>
    <w:lvl w:ilvl="2" w:tplc="D376EA2E">
      <w:numFmt w:val="bullet"/>
      <w:lvlText w:val="•"/>
      <w:lvlJc w:val="left"/>
      <w:pPr>
        <w:ind w:left="4012" w:hanging="361"/>
      </w:pPr>
      <w:rPr>
        <w:rFonts w:hint="default"/>
        <w:lang w:val="en-US" w:eastAsia="en-US" w:bidi="ar-SA"/>
      </w:rPr>
    </w:lvl>
    <w:lvl w:ilvl="3" w:tplc="A71EBDE6">
      <w:numFmt w:val="bullet"/>
      <w:lvlText w:val="•"/>
      <w:lvlJc w:val="left"/>
      <w:pPr>
        <w:ind w:left="4968" w:hanging="361"/>
      </w:pPr>
      <w:rPr>
        <w:rFonts w:hint="default"/>
        <w:lang w:val="en-US" w:eastAsia="en-US" w:bidi="ar-SA"/>
      </w:rPr>
    </w:lvl>
    <w:lvl w:ilvl="4" w:tplc="BCC20DA8">
      <w:numFmt w:val="bullet"/>
      <w:lvlText w:val="•"/>
      <w:lvlJc w:val="left"/>
      <w:pPr>
        <w:ind w:left="5924" w:hanging="361"/>
      </w:pPr>
      <w:rPr>
        <w:rFonts w:hint="default"/>
        <w:lang w:val="en-US" w:eastAsia="en-US" w:bidi="ar-SA"/>
      </w:rPr>
    </w:lvl>
    <w:lvl w:ilvl="5" w:tplc="410E3D42">
      <w:numFmt w:val="bullet"/>
      <w:lvlText w:val="•"/>
      <w:lvlJc w:val="left"/>
      <w:pPr>
        <w:ind w:left="6880" w:hanging="361"/>
      </w:pPr>
      <w:rPr>
        <w:rFonts w:hint="default"/>
        <w:lang w:val="en-US" w:eastAsia="en-US" w:bidi="ar-SA"/>
      </w:rPr>
    </w:lvl>
    <w:lvl w:ilvl="6" w:tplc="983E2F0A">
      <w:numFmt w:val="bullet"/>
      <w:lvlText w:val="•"/>
      <w:lvlJc w:val="left"/>
      <w:pPr>
        <w:ind w:left="7836" w:hanging="361"/>
      </w:pPr>
      <w:rPr>
        <w:rFonts w:hint="default"/>
        <w:lang w:val="en-US" w:eastAsia="en-US" w:bidi="ar-SA"/>
      </w:rPr>
    </w:lvl>
    <w:lvl w:ilvl="7" w:tplc="15629828">
      <w:numFmt w:val="bullet"/>
      <w:lvlText w:val="•"/>
      <w:lvlJc w:val="left"/>
      <w:pPr>
        <w:ind w:left="8792" w:hanging="361"/>
      </w:pPr>
      <w:rPr>
        <w:rFonts w:hint="default"/>
        <w:lang w:val="en-US" w:eastAsia="en-US" w:bidi="ar-SA"/>
      </w:rPr>
    </w:lvl>
    <w:lvl w:ilvl="8" w:tplc="D496200E">
      <w:numFmt w:val="bullet"/>
      <w:lvlText w:val="•"/>
      <w:lvlJc w:val="left"/>
      <w:pPr>
        <w:ind w:left="9748" w:hanging="361"/>
      </w:pPr>
      <w:rPr>
        <w:rFonts w:hint="default"/>
        <w:lang w:val="en-US" w:eastAsia="en-US" w:bidi="ar-SA"/>
      </w:r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78-EI"/>
  </w:docVars>
  <w:rsids>
    <w:rsidRoot w:val="00C65CF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4F61"/>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4C57"/>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D21FB"/>
    <w:rsid w:val="001E0152"/>
    <w:rsid w:val="001E0FF5"/>
    <w:rsid w:val="001F0095"/>
    <w:rsid w:val="001F36B0"/>
    <w:rsid w:val="001F4CA3"/>
    <w:rsid w:val="001F59E0"/>
    <w:rsid w:val="002002ED"/>
    <w:rsid w:val="002044DD"/>
    <w:rsid w:val="002170E5"/>
    <w:rsid w:val="002179AC"/>
    <w:rsid w:val="00220D57"/>
    <w:rsid w:val="00223B99"/>
    <w:rsid w:val="002259B4"/>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0EFB"/>
    <w:rsid w:val="002A11AC"/>
    <w:rsid w:val="002A1B95"/>
    <w:rsid w:val="002A6F30"/>
    <w:rsid w:val="002A7884"/>
    <w:rsid w:val="002B3111"/>
    <w:rsid w:val="002C09F5"/>
    <w:rsid w:val="002C118E"/>
    <w:rsid w:val="002C2096"/>
    <w:rsid w:val="002C4EFF"/>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016C"/>
    <w:rsid w:val="00350E1B"/>
    <w:rsid w:val="00351C22"/>
    <w:rsid w:val="0035495B"/>
    <w:rsid w:val="00355A93"/>
    <w:rsid w:val="00360F30"/>
    <w:rsid w:val="00361522"/>
    <w:rsid w:val="0037196E"/>
    <w:rsid w:val="003744F5"/>
    <w:rsid w:val="00380DD2"/>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37EA"/>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414BE"/>
    <w:rsid w:val="005516D3"/>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1AAF"/>
    <w:rsid w:val="0062385D"/>
    <w:rsid w:val="0063168D"/>
    <w:rsid w:val="00635C79"/>
    <w:rsid w:val="006423A7"/>
    <w:rsid w:val="006455DF"/>
    <w:rsid w:val="00645AF6"/>
    <w:rsid w:val="00646025"/>
    <w:rsid w:val="00647025"/>
    <w:rsid w:val="0064730A"/>
    <w:rsid w:val="006507DA"/>
    <w:rsid w:val="006531A4"/>
    <w:rsid w:val="00655FC8"/>
    <w:rsid w:val="00660774"/>
    <w:rsid w:val="0066389A"/>
    <w:rsid w:val="0066495C"/>
    <w:rsid w:val="00665CC7"/>
    <w:rsid w:val="00672612"/>
    <w:rsid w:val="006735E8"/>
    <w:rsid w:val="00674ECC"/>
    <w:rsid w:val="00677F18"/>
    <w:rsid w:val="00693483"/>
    <w:rsid w:val="00696384"/>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22BE"/>
    <w:rsid w:val="00715275"/>
    <w:rsid w:val="007165C2"/>
    <w:rsid w:val="00721B44"/>
    <w:rsid w:val="007232A2"/>
    <w:rsid w:val="00726366"/>
    <w:rsid w:val="00731AB6"/>
    <w:rsid w:val="00733B6B"/>
    <w:rsid w:val="00740808"/>
    <w:rsid w:val="00740A1B"/>
    <w:rsid w:val="007467C4"/>
    <w:rsid w:val="00755702"/>
    <w:rsid w:val="0076170F"/>
    <w:rsid w:val="007661C8"/>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4970"/>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1785"/>
    <w:rsid w:val="009040EE"/>
    <w:rsid w:val="009057FD"/>
    <w:rsid w:val="00906FBA"/>
    <w:rsid w:val="009136E4"/>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2138"/>
    <w:rsid w:val="009F6AD2"/>
    <w:rsid w:val="009F7C1B"/>
    <w:rsid w:val="00A00B5B"/>
    <w:rsid w:val="00A00D8D"/>
    <w:rsid w:val="00A01BB6"/>
    <w:rsid w:val="00A10688"/>
    <w:rsid w:val="00A108A7"/>
    <w:rsid w:val="00A228DA"/>
    <w:rsid w:val="00A22B28"/>
    <w:rsid w:val="00A3351E"/>
    <w:rsid w:val="00A4303C"/>
    <w:rsid w:val="00A46CAF"/>
    <w:rsid w:val="00A470FD"/>
    <w:rsid w:val="00A50B5E"/>
    <w:rsid w:val="00A60E63"/>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B4E67"/>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26A81"/>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5CF9"/>
    <w:rsid w:val="00C66692"/>
    <w:rsid w:val="00C673B5"/>
    <w:rsid w:val="00C7063D"/>
    <w:rsid w:val="00C72339"/>
    <w:rsid w:val="00C820BC"/>
    <w:rsid w:val="00C830BC"/>
    <w:rsid w:val="00C8524D"/>
    <w:rsid w:val="00C90904"/>
    <w:rsid w:val="00C91123"/>
    <w:rsid w:val="00CA1595"/>
    <w:rsid w:val="00CA6CC2"/>
    <w:rsid w:val="00CA70DD"/>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0BC5"/>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16A3"/>
    <w:rsid w:val="00E71005"/>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25BF"/>
    <w:rsid w:val="00ED6A79"/>
    <w:rsid w:val="00EE17DF"/>
    <w:rsid w:val="00EF1482"/>
    <w:rsid w:val="00EF3B7E"/>
    <w:rsid w:val="00EF4621"/>
    <w:rsid w:val="00EF4D52"/>
    <w:rsid w:val="00EF6117"/>
    <w:rsid w:val="00EF6312"/>
    <w:rsid w:val="00F00C4B"/>
    <w:rsid w:val="00F038B0"/>
    <w:rsid w:val="00F05F34"/>
    <w:rsid w:val="00F22B27"/>
    <w:rsid w:val="00F234A7"/>
    <w:rsid w:val="00F25DC4"/>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stockticker"/>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C65CF9"/>
    <w:pPr>
      <w:autoSpaceDE w:val="0"/>
      <w:autoSpaceDN w:val="0"/>
      <w:adjustRightInd w:val="0"/>
      <w:ind w:left="1440"/>
    </w:pPr>
    <w:rPr>
      <w:sz w:val="24"/>
      <w:szCs w:val="24"/>
    </w:rPr>
  </w:style>
  <w:style w:type="paragraph" w:customStyle="1" w:styleId="TableParagraph">
    <w:name w:val="Table Paragraph"/>
    <w:basedOn w:val="Normal"/>
    <w:uiPriority w:val="1"/>
    <w:qFormat/>
    <w:rsid w:val="004437EA"/>
    <w:pPr>
      <w:widowControl w:val="0"/>
      <w:autoSpaceDE w:val="0"/>
      <w:autoSpaceDN w:val="0"/>
      <w:ind w:left="231"/>
    </w:pPr>
    <w:rPr>
      <w:sz w:val="22"/>
      <w:szCs w:val="22"/>
      <w:lang w:bidi="en-US"/>
    </w:rPr>
  </w:style>
  <w:style w:type="paragraph" w:styleId="ListParagraph">
    <w:name w:val="List Paragraph"/>
    <w:basedOn w:val="Normal"/>
    <w:uiPriority w:val="1"/>
    <w:qFormat/>
    <w:rsid w:val="00E516A3"/>
    <w:pPr>
      <w:widowControl w:val="0"/>
      <w:autoSpaceDE w:val="0"/>
      <w:autoSpaceDN w:val="0"/>
      <w:ind w:left="1560" w:right="718" w:hanging="720"/>
      <w:jc w:val="both"/>
    </w:pPr>
    <w:rPr>
      <w:sz w:val="22"/>
      <w:szCs w:val="22"/>
      <w:lang w:bidi="en-US"/>
    </w:rPr>
  </w:style>
  <w:style w:type="paragraph" w:customStyle="1" w:styleId="PositionBody">
    <w:name w:val="Position Body"/>
    <w:basedOn w:val="Normal"/>
    <w:rsid w:val="00AB4E67"/>
    <w:pPr>
      <w:spacing w:after="240"/>
      <w:ind w:left="1440"/>
      <w:jc w:val="both"/>
    </w:pPr>
    <w:rPr>
      <w:szCs w:val="20"/>
    </w:rPr>
  </w:style>
  <w:style w:type="paragraph" w:customStyle="1" w:styleId="IssueBody">
    <w:name w:val="Issue Body"/>
    <w:basedOn w:val="Normal"/>
    <w:rsid w:val="00124C57"/>
    <w:pPr>
      <w:spacing w:after="240"/>
      <w:ind w:left="1440"/>
      <w:jc w:val="both"/>
    </w:pPr>
    <w:rPr>
      <w:szCs w:val="20"/>
    </w:rPr>
  </w:style>
  <w:style w:type="paragraph" w:styleId="BalloonText">
    <w:name w:val="Balloon Text"/>
    <w:basedOn w:val="Normal"/>
    <w:link w:val="BalloonTextChar"/>
    <w:semiHidden/>
    <w:unhideWhenUsed/>
    <w:rsid w:val="005414BE"/>
    <w:rPr>
      <w:rFonts w:ascii="Segoe UI" w:hAnsi="Segoe UI" w:cs="Segoe UI"/>
      <w:sz w:val="18"/>
      <w:szCs w:val="18"/>
    </w:rPr>
  </w:style>
  <w:style w:type="character" w:customStyle="1" w:styleId="BalloonTextChar">
    <w:name w:val="Balloon Text Char"/>
    <w:basedOn w:val="DefaultParagraphFont"/>
    <w:link w:val="BalloonText"/>
    <w:semiHidden/>
    <w:rsid w:val="00541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9</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2025-07-15T15:51:00Z</dcterms:created>
  <dcterms:modified xsi:type="dcterms:W3CDTF">2025-07-15T16:12:00Z</dcterms:modified>
</cp:coreProperties>
</file>