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B1" w:rsidRDefault="002F1DB1" w:rsidP="002F1DB1">
      <w:pPr>
        <w:jc w:val="center"/>
        <w:rPr>
          <w:sz w:val="20"/>
          <w:szCs w:val="20"/>
          <w:u w:val="single"/>
        </w:rPr>
      </w:pPr>
      <w:r>
        <w:rPr>
          <w:sz w:val="20"/>
          <w:szCs w:val="20"/>
          <w:u w:val="single"/>
        </w:rPr>
        <w:t>FAR NOTICE OF PREHEARING AND HEARING</w:t>
      </w:r>
    </w:p>
    <w:p w:rsidR="002F1DB1" w:rsidRPr="00A97C05" w:rsidRDefault="002F1DB1" w:rsidP="002F1DB1">
      <w:pPr>
        <w:rPr>
          <w:sz w:val="20"/>
          <w:szCs w:val="20"/>
        </w:rPr>
      </w:pPr>
    </w:p>
    <w:p w:rsidR="002F1DB1" w:rsidRPr="00A97C05" w:rsidRDefault="00195BFE" w:rsidP="002F1DB1">
      <w:pPr>
        <w:rPr>
          <w:sz w:val="20"/>
          <w:szCs w:val="20"/>
        </w:rPr>
      </w:pPr>
      <w:hyperlink r:id="rId7" w:tgtFrame="department" w:tooltip="https://www.flrules.org/gateway/department.asp?id=25" w:history="1">
        <w:r w:rsidR="002F1DB1" w:rsidRPr="00A97C05">
          <w:rPr>
            <w:color w:val="0000FF"/>
            <w:sz w:val="20"/>
            <w:szCs w:val="20"/>
            <w:u w:val="single"/>
          </w:rPr>
          <w:t>PUBLIC SERVICE COMMISSION</w:t>
        </w:r>
      </w:hyperlink>
    </w:p>
    <w:p w:rsidR="0030077E" w:rsidRDefault="0030077E" w:rsidP="0030077E">
      <w:pPr>
        <w:jc w:val="both"/>
        <w:rPr>
          <w:sz w:val="20"/>
          <w:szCs w:val="20"/>
        </w:rPr>
      </w:pPr>
      <w:r>
        <w:rPr>
          <w:sz w:val="20"/>
          <w:szCs w:val="20"/>
        </w:rPr>
        <w:t>The FLORIDA PUBLIC SERVICE COMMISSION announces a prehearing conference and a hearing in the following docket</w:t>
      </w:r>
      <w:r w:rsidR="00E92358">
        <w:rPr>
          <w:sz w:val="20"/>
          <w:szCs w:val="20"/>
        </w:rPr>
        <w:t>s</w:t>
      </w:r>
      <w:r>
        <w:rPr>
          <w:sz w:val="20"/>
          <w:szCs w:val="20"/>
        </w:rPr>
        <w:t xml:space="preserve"> to which all persons are invited.</w:t>
      </w:r>
    </w:p>
    <w:p w:rsidR="0030077E" w:rsidRPr="00A2371B" w:rsidRDefault="0030077E" w:rsidP="0030077E">
      <w:pPr>
        <w:ind w:left="1425" w:hanging="1425"/>
        <w:jc w:val="both"/>
        <w:rPr>
          <w:color w:val="000000"/>
          <w:sz w:val="20"/>
          <w:szCs w:val="20"/>
        </w:rPr>
      </w:pPr>
      <w:r>
        <w:rPr>
          <w:sz w:val="20"/>
          <w:szCs w:val="20"/>
          <w:u w:val="single"/>
        </w:rPr>
        <w:t>DOCKET NO. AND TITLE:</w:t>
      </w:r>
      <w:r>
        <w:rPr>
          <w:sz w:val="20"/>
          <w:szCs w:val="20"/>
        </w:rPr>
        <w:tab/>
      </w:r>
    </w:p>
    <w:p w:rsidR="0030077E" w:rsidRDefault="001211BE" w:rsidP="0030077E">
      <w:pPr>
        <w:ind w:left="1425" w:hanging="1425"/>
        <w:jc w:val="both"/>
        <w:rPr>
          <w:sz w:val="20"/>
          <w:szCs w:val="20"/>
        </w:rPr>
      </w:pPr>
      <w:r>
        <w:rPr>
          <w:sz w:val="20"/>
          <w:szCs w:val="20"/>
        </w:rPr>
        <w:t>Docket No. 2025</w:t>
      </w:r>
      <w:r w:rsidR="0030077E">
        <w:rPr>
          <w:sz w:val="20"/>
          <w:szCs w:val="20"/>
        </w:rPr>
        <w:t xml:space="preserve">0001-EI - </w:t>
      </w:r>
      <w:r w:rsidR="0030077E" w:rsidRPr="00DA4B00">
        <w:rPr>
          <w:sz w:val="20"/>
          <w:szCs w:val="20"/>
        </w:rPr>
        <w:t xml:space="preserve">Fuel and purchased </w:t>
      </w:r>
      <w:r w:rsidR="0030077E">
        <w:rPr>
          <w:sz w:val="20"/>
          <w:szCs w:val="20"/>
        </w:rPr>
        <w:t xml:space="preserve">power cost recovery clause with </w:t>
      </w:r>
      <w:r w:rsidR="0030077E" w:rsidRPr="00DA4B00">
        <w:rPr>
          <w:sz w:val="20"/>
          <w:szCs w:val="20"/>
        </w:rPr>
        <w:t xml:space="preserve">generating performance incentive </w:t>
      </w:r>
    </w:p>
    <w:p w:rsidR="0030077E" w:rsidRDefault="0030077E" w:rsidP="0030077E">
      <w:pPr>
        <w:ind w:left="1425" w:hanging="1425"/>
        <w:jc w:val="both"/>
        <w:rPr>
          <w:sz w:val="20"/>
          <w:szCs w:val="20"/>
        </w:rPr>
      </w:pPr>
      <w:r w:rsidRPr="00DA4B00">
        <w:rPr>
          <w:sz w:val="20"/>
          <w:szCs w:val="20"/>
        </w:rPr>
        <w:t>factor.</w:t>
      </w:r>
    </w:p>
    <w:p w:rsidR="0030077E" w:rsidRDefault="0030077E" w:rsidP="0030077E">
      <w:pPr>
        <w:ind w:left="1425" w:hanging="1425"/>
        <w:jc w:val="both"/>
        <w:rPr>
          <w:sz w:val="20"/>
          <w:szCs w:val="20"/>
        </w:rPr>
      </w:pPr>
      <w:r>
        <w:rPr>
          <w:sz w:val="20"/>
          <w:szCs w:val="20"/>
        </w:rPr>
        <w:t>Docket No. 202</w:t>
      </w:r>
      <w:r w:rsidR="001211BE">
        <w:rPr>
          <w:sz w:val="20"/>
          <w:szCs w:val="20"/>
        </w:rPr>
        <w:t>5</w:t>
      </w:r>
      <w:r>
        <w:rPr>
          <w:sz w:val="20"/>
          <w:szCs w:val="20"/>
        </w:rPr>
        <w:t xml:space="preserve">0002-EG - </w:t>
      </w:r>
      <w:r w:rsidRPr="00DA4B00">
        <w:rPr>
          <w:sz w:val="20"/>
          <w:szCs w:val="20"/>
        </w:rPr>
        <w:t>Energy conservation cost recovery clause.</w:t>
      </w:r>
    </w:p>
    <w:p w:rsidR="0030077E" w:rsidRDefault="001211BE" w:rsidP="0030077E">
      <w:pPr>
        <w:ind w:left="1425" w:hanging="1425"/>
        <w:jc w:val="both"/>
        <w:rPr>
          <w:sz w:val="20"/>
          <w:szCs w:val="20"/>
        </w:rPr>
      </w:pPr>
      <w:r>
        <w:rPr>
          <w:sz w:val="20"/>
          <w:szCs w:val="20"/>
        </w:rPr>
        <w:t>Docket No. 2025</w:t>
      </w:r>
      <w:r w:rsidR="0030077E">
        <w:rPr>
          <w:sz w:val="20"/>
          <w:szCs w:val="20"/>
        </w:rPr>
        <w:t xml:space="preserve">0003-GU - </w:t>
      </w:r>
      <w:r w:rsidR="0030077E" w:rsidRPr="00DA4B00">
        <w:rPr>
          <w:sz w:val="20"/>
          <w:szCs w:val="20"/>
        </w:rPr>
        <w:t>Purchased gas adjustment (PGA) true-up.</w:t>
      </w:r>
    </w:p>
    <w:p w:rsidR="0030077E" w:rsidRDefault="001211BE" w:rsidP="0030077E">
      <w:pPr>
        <w:ind w:left="1425" w:hanging="1425"/>
        <w:jc w:val="both"/>
        <w:rPr>
          <w:sz w:val="20"/>
          <w:szCs w:val="20"/>
        </w:rPr>
      </w:pPr>
      <w:r>
        <w:rPr>
          <w:sz w:val="20"/>
          <w:szCs w:val="20"/>
        </w:rPr>
        <w:t>Docket No. 2025</w:t>
      </w:r>
      <w:r w:rsidR="0030077E">
        <w:rPr>
          <w:sz w:val="20"/>
          <w:szCs w:val="20"/>
        </w:rPr>
        <w:t xml:space="preserve">0004-GU - </w:t>
      </w:r>
      <w:r w:rsidR="0030077E" w:rsidRPr="00DA4B00">
        <w:rPr>
          <w:sz w:val="20"/>
          <w:szCs w:val="20"/>
        </w:rPr>
        <w:t>Natural gas conservation cost recovery.</w:t>
      </w:r>
    </w:p>
    <w:p w:rsidR="0030077E" w:rsidRDefault="001211BE" w:rsidP="0030077E">
      <w:pPr>
        <w:ind w:left="1425" w:hanging="1425"/>
        <w:jc w:val="both"/>
        <w:rPr>
          <w:sz w:val="20"/>
          <w:szCs w:val="20"/>
        </w:rPr>
      </w:pPr>
      <w:r>
        <w:rPr>
          <w:sz w:val="20"/>
          <w:szCs w:val="20"/>
        </w:rPr>
        <w:t>Docket No. 2025</w:t>
      </w:r>
      <w:r w:rsidR="0030077E">
        <w:rPr>
          <w:sz w:val="20"/>
          <w:szCs w:val="20"/>
        </w:rPr>
        <w:t xml:space="preserve">0007-EI - </w:t>
      </w:r>
      <w:r w:rsidR="0030077E" w:rsidRPr="00D55EC7">
        <w:rPr>
          <w:sz w:val="20"/>
          <w:szCs w:val="20"/>
        </w:rPr>
        <w:t>Environmental cost recovery clause.</w:t>
      </w:r>
    </w:p>
    <w:p w:rsidR="001211BE" w:rsidRDefault="001211BE" w:rsidP="0030077E">
      <w:pPr>
        <w:ind w:left="1425" w:hanging="1425"/>
        <w:jc w:val="both"/>
        <w:rPr>
          <w:sz w:val="20"/>
          <w:szCs w:val="20"/>
        </w:rPr>
      </w:pPr>
      <w:r>
        <w:rPr>
          <w:sz w:val="20"/>
          <w:szCs w:val="20"/>
        </w:rPr>
        <w:t>Docket No. 20250010-EI</w:t>
      </w:r>
      <w:r w:rsidR="002F376A">
        <w:rPr>
          <w:sz w:val="20"/>
          <w:szCs w:val="20"/>
        </w:rPr>
        <w:t xml:space="preserve"> – Storm protection plan cost recovery clause.</w:t>
      </w:r>
    </w:p>
    <w:p w:rsidR="0030077E" w:rsidRPr="00A2371B" w:rsidRDefault="0030077E" w:rsidP="0030077E">
      <w:pPr>
        <w:jc w:val="both"/>
        <w:rPr>
          <w:color w:val="000000"/>
          <w:sz w:val="20"/>
          <w:szCs w:val="20"/>
        </w:rPr>
      </w:pPr>
      <w:r>
        <w:rPr>
          <w:sz w:val="20"/>
          <w:szCs w:val="20"/>
          <w:u w:val="single"/>
        </w:rPr>
        <w:t>PREHEARING CONFERENCE DATE AND TIME:</w:t>
      </w:r>
      <w:r>
        <w:rPr>
          <w:sz w:val="20"/>
          <w:szCs w:val="20"/>
        </w:rPr>
        <w:t xml:space="preserve">  Tu</w:t>
      </w:r>
      <w:r w:rsidR="001211BE">
        <w:rPr>
          <w:sz w:val="20"/>
          <w:szCs w:val="20"/>
        </w:rPr>
        <w:t>esday, October 21</w:t>
      </w:r>
      <w:r>
        <w:rPr>
          <w:sz w:val="20"/>
          <w:szCs w:val="20"/>
        </w:rPr>
        <w:t>, 202</w:t>
      </w:r>
      <w:r w:rsidR="001211BE">
        <w:rPr>
          <w:sz w:val="20"/>
          <w:szCs w:val="20"/>
        </w:rPr>
        <w:t>5</w:t>
      </w:r>
      <w:r>
        <w:rPr>
          <w:sz w:val="20"/>
          <w:szCs w:val="20"/>
        </w:rPr>
        <w:t xml:space="preserve">, </w:t>
      </w:r>
      <w:r w:rsidR="00E92358">
        <w:rPr>
          <w:sz w:val="20"/>
          <w:szCs w:val="20"/>
        </w:rPr>
        <w:t xml:space="preserve">at </w:t>
      </w:r>
      <w:r w:rsidR="008E1ADC">
        <w:rPr>
          <w:sz w:val="20"/>
          <w:szCs w:val="20"/>
        </w:rPr>
        <w:t>9:30 a.m.</w:t>
      </w:r>
    </w:p>
    <w:p w:rsidR="0030077E" w:rsidRDefault="0030077E" w:rsidP="0030077E">
      <w:pPr>
        <w:jc w:val="both"/>
        <w:rPr>
          <w:sz w:val="20"/>
          <w:szCs w:val="20"/>
        </w:rPr>
      </w:pPr>
      <w:r>
        <w:rPr>
          <w:sz w:val="20"/>
          <w:szCs w:val="20"/>
          <w:u w:val="single"/>
        </w:rPr>
        <w:t>PLACE</w:t>
      </w:r>
      <w:r>
        <w:rPr>
          <w:sz w:val="20"/>
          <w:szCs w:val="20"/>
        </w:rPr>
        <w:t xml:space="preserve">:  Room 148, </w:t>
      </w:r>
      <w:smartTag w:uri="urn:schemas-microsoft-com:office:smarttags" w:element="place">
        <w:smartTag w:uri="urn:schemas-microsoft-com:office:smarttags" w:element="PlaceName">
          <w:r>
            <w:rPr>
              <w:sz w:val="20"/>
              <w:szCs w:val="20"/>
            </w:rPr>
            <w:t>Betty</w:t>
          </w:r>
        </w:smartTag>
        <w:r>
          <w:rPr>
            <w:sz w:val="20"/>
            <w:szCs w:val="20"/>
          </w:rPr>
          <w:t xml:space="preserve"> </w:t>
        </w:r>
        <w:smartTag w:uri="urn:schemas-microsoft-com:office:smarttags" w:element="PlaceName">
          <w:r>
            <w:rPr>
              <w:sz w:val="20"/>
              <w:szCs w:val="20"/>
            </w:rPr>
            <w:t>Easley</w:t>
          </w:r>
        </w:smartTag>
        <w:r>
          <w:rPr>
            <w:sz w:val="20"/>
            <w:szCs w:val="20"/>
          </w:rPr>
          <w:t xml:space="preserve"> </w:t>
        </w:r>
        <w:smartTag w:uri="urn:schemas-microsoft-com:office:smarttags" w:element="PlaceName">
          <w:r>
            <w:rPr>
              <w:sz w:val="20"/>
              <w:szCs w:val="20"/>
            </w:rPr>
            <w:t>Conference</w:t>
          </w:r>
        </w:smartTag>
        <w:r>
          <w:rPr>
            <w:sz w:val="20"/>
            <w:szCs w:val="20"/>
          </w:rPr>
          <w:t xml:space="preserve"> </w:t>
        </w:r>
        <w:smartTag w:uri="urn:schemas-microsoft-com:office:smarttags" w:element="PlaceType">
          <w:r>
            <w:rPr>
              <w:sz w:val="20"/>
              <w:szCs w:val="20"/>
            </w:rPr>
            <w:t>Center</w:t>
          </w:r>
        </w:smartTag>
      </w:smartTag>
      <w:r>
        <w:rPr>
          <w:sz w:val="20"/>
          <w:szCs w:val="20"/>
        </w:rPr>
        <w:t xml:space="preserve">, </w:t>
      </w:r>
      <w:smartTag w:uri="urn:schemas-microsoft-com:office:smarttags" w:element="address">
        <w:smartTag w:uri="urn:schemas-microsoft-com:office:smarttags" w:element="PostalCode">
          <w:r>
            <w:rPr>
              <w:sz w:val="20"/>
              <w:szCs w:val="20"/>
            </w:rPr>
            <w:t>4075 Esplanade Way</w:t>
          </w:r>
        </w:smartTag>
        <w:r>
          <w:rPr>
            <w:sz w:val="20"/>
            <w:szCs w:val="20"/>
          </w:rPr>
          <w:t xml:space="preserve">, </w:t>
        </w:r>
        <w:smartTag w:uri="urn:schemas-microsoft-com:office:smarttags" w:element="City">
          <w:r>
            <w:rPr>
              <w:sz w:val="20"/>
              <w:szCs w:val="20"/>
            </w:rPr>
            <w:t>Tallahassee</w:t>
          </w:r>
        </w:smartTag>
        <w:r>
          <w:rPr>
            <w:sz w:val="20"/>
            <w:szCs w:val="20"/>
          </w:rPr>
          <w:t xml:space="preserve">, </w:t>
        </w:r>
        <w:smartTag w:uri="urn:schemas-microsoft-com:office:smarttags" w:element="State">
          <w:r>
            <w:rPr>
              <w:sz w:val="20"/>
              <w:szCs w:val="20"/>
            </w:rPr>
            <w:t>Florida</w:t>
          </w:r>
        </w:smartTag>
      </w:smartTag>
      <w:r>
        <w:rPr>
          <w:sz w:val="20"/>
          <w:szCs w:val="20"/>
        </w:rPr>
        <w:t>.</w:t>
      </w:r>
    </w:p>
    <w:p w:rsidR="0030077E" w:rsidRDefault="0030077E" w:rsidP="0030077E">
      <w:pPr>
        <w:jc w:val="both"/>
        <w:rPr>
          <w:b/>
          <w:sz w:val="20"/>
          <w:szCs w:val="20"/>
        </w:rPr>
      </w:pPr>
      <w:r>
        <w:rPr>
          <w:sz w:val="20"/>
          <w:szCs w:val="20"/>
          <w:u w:val="single"/>
        </w:rPr>
        <w:t>GENERAL SUBJECT MATTER TO BE CONSIDERED AT THE PREHEARING</w:t>
      </w:r>
      <w:r>
        <w:rPr>
          <w:b/>
          <w:sz w:val="20"/>
          <w:szCs w:val="20"/>
        </w:rPr>
        <w:t>:</w:t>
      </w:r>
    </w:p>
    <w:p w:rsidR="0030077E" w:rsidRDefault="0030077E" w:rsidP="0030077E">
      <w:pPr>
        <w:jc w:val="both"/>
        <w:rPr>
          <w:sz w:val="20"/>
          <w:szCs w:val="20"/>
        </w:rPr>
      </w:pPr>
      <w:r>
        <w:rPr>
          <w:sz w:val="20"/>
          <w:szCs w:val="20"/>
        </w:rPr>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8E1ADC" w:rsidRDefault="0030077E" w:rsidP="008E1ADC">
      <w:pPr>
        <w:jc w:val="both"/>
        <w:rPr>
          <w:rFonts w:eastAsia="Calibri"/>
          <w:color w:val="282828"/>
          <w:sz w:val="20"/>
          <w:szCs w:val="20"/>
        </w:rPr>
      </w:pPr>
      <w:r>
        <w:rPr>
          <w:sz w:val="20"/>
          <w:szCs w:val="20"/>
          <w:u w:val="single"/>
        </w:rPr>
        <w:t>HEARING DATE AND TIME:</w:t>
      </w:r>
      <w:r>
        <w:rPr>
          <w:sz w:val="20"/>
          <w:szCs w:val="20"/>
        </w:rPr>
        <w:t xml:space="preserve">  </w:t>
      </w:r>
      <w:r w:rsidR="008E1ADC">
        <w:rPr>
          <w:sz w:val="20"/>
          <w:szCs w:val="20"/>
        </w:rPr>
        <w:t xml:space="preserve">Tuesday, November 4, 2025, </w:t>
      </w:r>
      <w:r w:rsidR="008E1ADC" w:rsidRPr="00AD67F1">
        <w:rPr>
          <w:sz w:val="20"/>
          <w:szCs w:val="20"/>
        </w:rPr>
        <w:t xml:space="preserve">immediately following the Internal Affairs meeting after the Commission’s regularly scheduled Agenda Conference which commences </w:t>
      </w:r>
      <w:r w:rsidR="008E1ADC">
        <w:rPr>
          <w:sz w:val="20"/>
          <w:szCs w:val="20"/>
        </w:rPr>
        <w:t xml:space="preserve">at </w:t>
      </w:r>
      <w:r w:rsidR="008E1ADC" w:rsidRPr="00EA6D3B">
        <w:rPr>
          <w:rFonts w:eastAsia="Calibri"/>
          <w:color w:val="3A3A3B"/>
          <w:sz w:val="20"/>
          <w:szCs w:val="20"/>
        </w:rPr>
        <w:t>9:3</w:t>
      </w:r>
      <w:r w:rsidR="008E1ADC" w:rsidRPr="00EA6D3B">
        <w:rPr>
          <w:rFonts w:eastAsia="Calibri"/>
          <w:color w:val="151515"/>
          <w:sz w:val="20"/>
          <w:szCs w:val="20"/>
        </w:rPr>
        <w:t xml:space="preserve">0 </w:t>
      </w:r>
      <w:r w:rsidR="008E1ADC" w:rsidRPr="00EA6D3B">
        <w:rPr>
          <w:rFonts w:eastAsia="Calibri"/>
          <w:color w:val="3A3A3B"/>
          <w:sz w:val="20"/>
          <w:szCs w:val="20"/>
        </w:rPr>
        <w:t>a.</w:t>
      </w:r>
      <w:r w:rsidR="008E1ADC" w:rsidRPr="00EA6D3B">
        <w:rPr>
          <w:rFonts w:eastAsia="Calibri"/>
          <w:color w:val="151515"/>
          <w:sz w:val="20"/>
          <w:szCs w:val="20"/>
        </w:rPr>
        <w:t xml:space="preserve">m. </w:t>
      </w:r>
      <w:r w:rsidR="008E1ADC">
        <w:rPr>
          <w:rFonts w:eastAsia="Calibri"/>
          <w:color w:val="282828"/>
          <w:sz w:val="20"/>
          <w:szCs w:val="20"/>
        </w:rPr>
        <w:t>November 5–7</w:t>
      </w:r>
      <w:r w:rsidR="008E1ADC" w:rsidRPr="00EA6D3B">
        <w:rPr>
          <w:rFonts w:eastAsia="Calibri"/>
          <w:color w:val="282828"/>
          <w:sz w:val="20"/>
          <w:szCs w:val="20"/>
        </w:rPr>
        <w:t>, 202</w:t>
      </w:r>
      <w:r w:rsidR="008E1ADC">
        <w:rPr>
          <w:rFonts w:eastAsia="Calibri"/>
          <w:color w:val="282828"/>
          <w:sz w:val="20"/>
          <w:szCs w:val="20"/>
        </w:rPr>
        <w:t>5,</w:t>
      </w:r>
      <w:r w:rsidR="008E1ADC" w:rsidRPr="00EA6D3B">
        <w:rPr>
          <w:rFonts w:eastAsia="Calibri"/>
          <w:color w:val="282828"/>
          <w:sz w:val="20"/>
          <w:szCs w:val="20"/>
        </w:rPr>
        <w:t xml:space="preserve"> have also been reserved for continuation of the hearing, if needed.</w:t>
      </w:r>
      <w:r w:rsidR="008E1ADC">
        <w:rPr>
          <w:rFonts w:eastAsia="Calibri"/>
          <w:color w:val="282828"/>
          <w:sz w:val="20"/>
          <w:szCs w:val="20"/>
        </w:rPr>
        <w:t xml:space="preserve"> </w:t>
      </w:r>
      <w:r w:rsidR="008E1ADC" w:rsidRPr="00EA6D3B">
        <w:rPr>
          <w:rFonts w:eastAsia="Calibri"/>
          <w:color w:val="282828"/>
          <w:sz w:val="20"/>
          <w:szCs w:val="20"/>
        </w:rPr>
        <w:t>The starting time of the next day’s session will be announced at the conclusion of the prior day. The hearing may be adjourned early if all testimony is concluded.</w:t>
      </w:r>
    </w:p>
    <w:p w:rsidR="0030077E" w:rsidRPr="00BA7EA9" w:rsidRDefault="0030077E" w:rsidP="0030077E">
      <w:pPr>
        <w:jc w:val="both"/>
        <w:rPr>
          <w:sz w:val="20"/>
          <w:szCs w:val="20"/>
        </w:rPr>
      </w:pPr>
      <w:r w:rsidRPr="00BA7EA9">
        <w:rPr>
          <w:sz w:val="20"/>
          <w:szCs w:val="20"/>
          <w:u w:val="single"/>
        </w:rPr>
        <w:t>PLACE</w:t>
      </w:r>
      <w:r>
        <w:rPr>
          <w:sz w:val="20"/>
          <w:szCs w:val="20"/>
        </w:rPr>
        <w:t xml:space="preserve">:  Room 148, </w:t>
      </w:r>
      <w:smartTag w:uri="urn:schemas-microsoft-com:office:smarttags" w:element="place">
        <w:smartTag w:uri="urn:schemas-microsoft-com:office:smarttags" w:element="PlaceName">
          <w:r>
            <w:rPr>
              <w:sz w:val="20"/>
              <w:szCs w:val="20"/>
            </w:rPr>
            <w:t>Betty</w:t>
          </w:r>
        </w:smartTag>
        <w:r>
          <w:rPr>
            <w:sz w:val="20"/>
            <w:szCs w:val="20"/>
          </w:rPr>
          <w:t xml:space="preserve"> </w:t>
        </w:r>
        <w:smartTag w:uri="urn:schemas-microsoft-com:office:smarttags" w:element="PlaceName">
          <w:r>
            <w:rPr>
              <w:sz w:val="20"/>
              <w:szCs w:val="20"/>
            </w:rPr>
            <w:t>Easley</w:t>
          </w:r>
        </w:smartTag>
        <w:r>
          <w:rPr>
            <w:sz w:val="20"/>
            <w:szCs w:val="20"/>
          </w:rPr>
          <w:t xml:space="preserve"> </w:t>
        </w:r>
        <w:smartTag w:uri="urn:schemas-microsoft-com:office:smarttags" w:element="PlaceName">
          <w:r>
            <w:rPr>
              <w:sz w:val="20"/>
              <w:szCs w:val="20"/>
            </w:rPr>
            <w:t>Conference</w:t>
          </w:r>
        </w:smartTag>
        <w:r>
          <w:rPr>
            <w:sz w:val="20"/>
            <w:szCs w:val="20"/>
          </w:rPr>
          <w:t xml:space="preserve"> </w:t>
        </w:r>
        <w:smartTag w:uri="urn:schemas-microsoft-com:office:smarttags" w:element="PlaceType">
          <w:r>
            <w:rPr>
              <w:sz w:val="20"/>
              <w:szCs w:val="20"/>
            </w:rPr>
            <w:t>Center</w:t>
          </w:r>
        </w:smartTag>
      </w:smartTag>
      <w:r>
        <w:rPr>
          <w:sz w:val="20"/>
          <w:szCs w:val="20"/>
        </w:rPr>
        <w:t xml:space="preserve">, </w:t>
      </w:r>
      <w:smartTag w:uri="urn:schemas-microsoft-com:office:smarttags" w:element="address">
        <w:smartTag w:uri="urn:schemas-microsoft-com:office:smarttags" w:element="Street">
          <w:smartTag w:uri="urn:schemas-microsoft-com:office:smarttags" w:element="PostalCode">
            <w:r>
              <w:rPr>
                <w:sz w:val="20"/>
                <w:szCs w:val="20"/>
              </w:rPr>
              <w:t>4075 Esplanade Way</w:t>
            </w:r>
          </w:smartTag>
        </w:smartTag>
        <w:r>
          <w:rPr>
            <w:sz w:val="20"/>
            <w:szCs w:val="20"/>
          </w:rPr>
          <w:t xml:space="preserve">, </w:t>
        </w:r>
        <w:smartTag w:uri="urn:schemas-microsoft-com:office:smarttags" w:element="City">
          <w:r>
            <w:rPr>
              <w:sz w:val="20"/>
              <w:szCs w:val="20"/>
            </w:rPr>
            <w:t>Tallahassee</w:t>
          </w:r>
        </w:smartTag>
        <w:r>
          <w:rPr>
            <w:sz w:val="20"/>
            <w:szCs w:val="20"/>
          </w:rPr>
          <w:t xml:space="preserve">, </w:t>
        </w:r>
        <w:smartTag w:uri="urn:schemas-microsoft-com:office:smarttags" w:element="State">
          <w:r>
            <w:rPr>
              <w:sz w:val="20"/>
              <w:szCs w:val="20"/>
            </w:rPr>
            <w:t>Florida</w:t>
          </w:r>
        </w:smartTag>
      </w:smartTag>
      <w:r>
        <w:rPr>
          <w:sz w:val="20"/>
          <w:szCs w:val="20"/>
        </w:rPr>
        <w:t>.</w:t>
      </w:r>
    </w:p>
    <w:p w:rsidR="0030077E" w:rsidRDefault="0030077E" w:rsidP="0030077E">
      <w:pPr>
        <w:jc w:val="both"/>
        <w:rPr>
          <w:b/>
          <w:sz w:val="20"/>
          <w:szCs w:val="20"/>
        </w:rPr>
      </w:pPr>
      <w:r>
        <w:rPr>
          <w:sz w:val="20"/>
          <w:szCs w:val="20"/>
          <w:u w:val="single"/>
        </w:rPr>
        <w:t>GENERAL SUBJECT MATTER TO BE CONSIDERED AT THE HEARING</w:t>
      </w:r>
      <w:r>
        <w:rPr>
          <w:b/>
          <w:sz w:val="20"/>
          <w:szCs w:val="20"/>
        </w:rPr>
        <w:t>:</w:t>
      </w:r>
    </w:p>
    <w:p w:rsidR="0030077E" w:rsidRDefault="0030077E" w:rsidP="0030077E">
      <w:pPr>
        <w:jc w:val="both"/>
        <w:rPr>
          <w:b/>
          <w:color w:val="FF0000"/>
          <w:sz w:val="20"/>
          <w:szCs w:val="20"/>
        </w:rPr>
      </w:pPr>
      <w:r>
        <w:rPr>
          <w:sz w:val="20"/>
          <w:szCs w:val="20"/>
        </w:rPr>
        <w:t>The purpose of this hearing shall be to receive testimony and exhibits relative to issues and subjects, including but not limited to, the following:</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Projected Levelized Fuel Adjustment Factors for all investor-owned electric utilities for the period January 20</w:t>
      </w:r>
      <w:r w:rsidR="001211BE">
        <w:rPr>
          <w:sz w:val="20"/>
          <w:szCs w:val="20"/>
        </w:rPr>
        <w:t>26</w:t>
      </w:r>
      <w:r w:rsidRPr="00443493">
        <w:rPr>
          <w:sz w:val="20"/>
          <w:szCs w:val="20"/>
        </w:rPr>
        <w:t xml:space="preserve"> through December 20</w:t>
      </w:r>
      <w:r w:rsidR="001211BE">
        <w:rPr>
          <w:sz w:val="20"/>
          <w:szCs w:val="20"/>
        </w:rPr>
        <w:t>26</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Estimated Fuel Adjustment True-Up Amounts for all investor-owned electric utilities for the period January 20</w:t>
      </w:r>
      <w:r w:rsidR="001211BE">
        <w:rPr>
          <w:sz w:val="20"/>
          <w:szCs w:val="20"/>
        </w:rPr>
        <w:t>25</w:t>
      </w:r>
      <w:r w:rsidRPr="00443493">
        <w:rPr>
          <w:sz w:val="20"/>
          <w:szCs w:val="20"/>
        </w:rPr>
        <w:t xml:space="preserve"> through December 20</w:t>
      </w:r>
      <w:r w:rsidR="001211BE">
        <w:rPr>
          <w:sz w:val="20"/>
          <w:szCs w:val="20"/>
        </w:rPr>
        <w:t>25</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Final Fuel Adjustment True-Up Amounts for all investor-owned electric utilities for the period January 20</w:t>
      </w:r>
      <w:r w:rsidR="001211BE">
        <w:rPr>
          <w:sz w:val="20"/>
          <w:szCs w:val="20"/>
        </w:rPr>
        <w:t>24</w:t>
      </w:r>
      <w:r w:rsidRPr="00443493">
        <w:rPr>
          <w:sz w:val="20"/>
          <w:szCs w:val="20"/>
        </w:rPr>
        <w:t xml:space="preserve"> through December 20</w:t>
      </w:r>
      <w:r w:rsidR="001211BE">
        <w:rPr>
          <w:sz w:val="20"/>
          <w:szCs w:val="20"/>
        </w:rPr>
        <w:t>24</w:t>
      </w:r>
      <w:r w:rsidRPr="00443493">
        <w:rPr>
          <w:sz w:val="20"/>
          <w:szCs w:val="20"/>
        </w:rPr>
        <w:t>, which are to be based on actual data for that period;</w:t>
      </w:r>
    </w:p>
    <w:p w:rsidR="0030077E" w:rsidRPr="00443493" w:rsidRDefault="0030077E" w:rsidP="0030077E">
      <w:pPr>
        <w:pStyle w:val="ListParagraph"/>
        <w:numPr>
          <w:ilvl w:val="0"/>
          <w:numId w:val="1"/>
        </w:numPr>
        <w:jc w:val="both"/>
        <w:rPr>
          <w:sz w:val="20"/>
          <w:szCs w:val="20"/>
        </w:rPr>
      </w:pPr>
      <w:r w:rsidRPr="00443493">
        <w:rPr>
          <w:sz w:val="20"/>
          <w:szCs w:val="20"/>
        </w:rPr>
        <w:t>Determination of Generating Performance Incentive Factor Targets and Ranges for the period January 20</w:t>
      </w:r>
      <w:r w:rsidR="001211BE">
        <w:rPr>
          <w:sz w:val="20"/>
          <w:szCs w:val="20"/>
        </w:rPr>
        <w:t>26</w:t>
      </w:r>
      <w:r w:rsidRPr="00443493">
        <w:rPr>
          <w:sz w:val="20"/>
          <w:szCs w:val="20"/>
        </w:rPr>
        <w:t xml:space="preserve"> through December 20</w:t>
      </w:r>
      <w:r w:rsidR="001211BE">
        <w:rPr>
          <w:sz w:val="20"/>
          <w:szCs w:val="20"/>
        </w:rPr>
        <w:t>26</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Generating Performance Incentive Factor Rewards and Penalties for the period January 20</w:t>
      </w:r>
      <w:r w:rsidR="001211BE">
        <w:rPr>
          <w:sz w:val="20"/>
          <w:szCs w:val="20"/>
        </w:rPr>
        <w:t>24</w:t>
      </w:r>
      <w:r w:rsidRPr="00443493">
        <w:rPr>
          <w:sz w:val="20"/>
          <w:szCs w:val="20"/>
        </w:rPr>
        <w:t xml:space="preserve"> through December 20</w:t>
      </w:r>
      <w:r w:rsidR="001211BE">
        <w:rPr>
          <w:sz w:val="20"/>
          <w:szCs w:val="20"/>
        </w:rPr>
        <w:t>24</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Projected Capacity Cost Recovery Factors for the period January 20</w:t>
      </w:r>
      <w:r w:rsidR="001211BE">
        <w:rPr>
          <w:sz w:val="20"/>
          <w:szCs w:val="20"/>
        </w:rPr>
        <w:t>26</w:t>
      </w:r>
      <w:r>
        <w:rPr>
          <w:sz w:val="20"/>
          <w:szCs w:val="20"/>
        </w:rPr>
        <w:t xml:space="preserve"> through December 20</w:t>
      </w:r>
      <w:r w:rsidR="001211BE">
        <w:rPr>
          <w:sz w:val="20"/>
          <w:szCs w:val="20"/>
        </w:rPr>
        <w:t>26</w:t>
      </w:r>
      <w:r w:rsidRPr="00443493">
        <w:rPr>
          <w:sz w:val="20"/>
          <w:szCs w:val="20"/>
        </w:rPr>
        <w:t>, including nuclear costs;</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Estimated Capacity Cost Recovery True-Up Amounts for the period January 20</w:t>
      </w:r>
      <w:r w:rsidR="001211BE">
        <w:rPr>
          <w:sz w:val="20"/>
          <w:szCs w:val="20"/>
        </w:rPr>
        <w:t>25</w:t>
      </w:r>
      <w:r w:rsidRPr="00443493">
        <w:rPr>
          <w:sz w:val="20"/>
          <w:szCs w:val="20"/>
        </w:rPr>
        <w:t xml:space="preserve"> through December 20</w:t>
      </w:r>
      <w:r w:rsidR="001211BE">
        <w:rPr>
          <w:sz w:val="20"/>
          <w:szCs w:val="20"/>
        </w:rPr>
        <w:t>25</w:t>
      </w:r>
      <w:r w:rsidRPr="00443493">
        <w:rPr>
          <w:sz w:val="20"/>
          <w:szCs w:val="20"/>
        </w:rPr>
        <w:t>, including nuclear costs;</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Final Capacity Cost Recovery True-Up Amounts for the period January 20</w:t>
      </w:r>
      <w:r w:rsidR="001211BE">
        <w:rPr>
          <w:sz w:val="20"/>
          <w:szCs w:val="20"/>
        </w:rPr>
        <w:t>24</w:t>
      </w:r>
      <w:r w:rsidRPr="00443493">
        <w:rPr>
          <w:sz w:val="20"/>
          <w:szCs w:val="20"/>
        </w:rPr>
        <w:t xml:space="preserve"> through December 20</w:t>
      </w:r>
      <w:r w:rsidR="001211BE">
        <w:rPr>
          <w:sz w:val="20"/>
          <w:szCs w:val="20"/>
        </w:rPr>
        <w:t>24</w:t>
      </w:r>
      <w:r w:rsidRPr="00443493">
        <w:rPr>
          <w:sz w:val="20"/>
          <w:szCs w:val="20"/>
        </w:rPr>
        <w:t>, which are to be based on actual data for that period;</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Projected Conservation Cost Recovery Factors for certain investor-owned electric and gas utilities for the period January 20</w:t>
      </w:r>
      <w:r w:rsidR="001211BE">
        <w:rPr>
          <w:sz w:val="20"/>
          <w:szCs w:val="20"/>
        </w:rPr>
        <w:t>26</w:t>
      </w:r>
      <w:r w:rsidRPr="00443493">
        <w:rPr>
          <w:sz w:val="20"/>
          <w:szCs w:val="20"/>
        </w:rPr>
        <w:t xml:space="preserve"> through December 20</w:t>
      </w:r>
      <w:r w:rsidR="001211BE">
        <w:rPr>
          <w:sz w:val="20"/>
          <w:szCs w:val="20"/>
        </w:rPr>
        <w:t>26</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Conservation Actual/Estimated True-Up Amounts for certain investor-owned electric and gas utilities for the period January 20</w:t>
      </w:r>
      <w:r w:rsidR="001211BE">
        <w:rPr>
          <w:sz w:val="20"/>
          <w:szCs w:val="20"/>
        </w:rPr>
        <w:t>25</w:t>
      </w:r>
      <w:r w:rsidRPr="00443493">
        <w:rPr>
          <w:sz w:val="20"/>
          <w:szCs w:val="20"/>
        </w:rPr>
        <w:t xml:space="preserve"> through December 20</w:t>
      </w:r>
      <w:r w:rsidR="001211BE">
        <w:rPr>
          <w:sz w:val="20"/>
          <w:szCs w:val="20"/>
        </w:rPr>
        <w:t>25</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Final Conservation True-Up Amounts for the period January 20</w:t>
      </w:r>
      <w:r w:rsidR="001211BE">
        <w:rPr>
          <w:sz w:val="20"/>
          <w:szCs w:val="20"/>
        </w:rPr>
        <w:t>24</w:t>
      </w:r>
      <w:r w:rsidRPr="00443493">
        <w:rPr>
          <w:sz w:val="20"/>
          <w:szCs w:val="20"/>
        </w:rPr>
        <w:t xml:space="preserve"> through December 20</w:t>
      </w:r>
      <w:r w:rsidR="001211BE">
        <w:rPr>
          <w:sz w:val="20"/>
          <w:szCs w:val="20"/>
        </w:rPr>
        <w:t>24</w:t>
      </w:r>
      <w:r w:rsidRPr="00443493">
        <w:rPr>
          <w:sz w:val="20"/>
          <w:szCs w:val="20"/>
        </w:rPr>
        <w:t xml:space="preserve"> for certain investor-owned electric and gas utilities, which are to be based on actual data for that period;</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projected Purchased Gas Adjustment Cost Recovery Factors for the period January 20</w:t>
      </w:r>
      <w:r w:rsidR="001211BE">
        <w:rPr>
          <w:sz w:val="20"/>
          <w:szCs w:val="20"/>
        </w:rPr>
        <w:t>26</w:t>
      </w:r>
      <w:r w:rsidRPr="00443493">
        <w:rPr>
          <w:sz w:val="20"/>
          <w:szCs w:val="20"/>
        </w:rPr>
        <w:t xml:space="preserve"> through December 20</w:t>
      </w:r>
      <w:r w:rsidR="001211BE">
        <w:rPr>
          <w:sz w:val="20"/>
          <w:szCs w:val="20"/>
        </w:rPr>
        <w:t>26</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Actual/Estimated Purchased Gas True-Up Amounts for the period January 20</w:t>
      </w:r>
      <w:r w:rsidR="001211BE">
        <w:rPr>
          <w:sz w:val="20"/>
          <w:szCs w:val="20"/>
        </w:rPr>
        <w:t>25</w:t>
      </w:r>
      <w:r w:rsidRPr="00443493">
        <w:rPr>
          <w:sz w:val="20"/>
          <w:szCs w:val="20"/>
        </w:rPr>
        <w:t xml:space="preserve"> through December 20</w:t>
      </w:r>
      <w:r w:rsidR="001211BE">
        <w:rPr>
          <w:sz w:val="20"/>
          <w:szCs w:val="20"/>
        </w:rPr>
        <w:t>25</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lastRenderedPageBreak/>
        <w:t>Determination of the Final Purchased Gas True-Up Amounts for the period January 20</w:t>
      </w:r>
      <w:r w:rsidR="001211BE">
        <w:rPr>
          <w:sz w:val="20"/>
          <w:szCs w:val="20"/>
        </w:rPr>
        <w:t>25</w:t>
      </w:r>
      <w:r w:rsidRPr="00443493">
        <w:rPr>
          <w:sz w:val="20"/>
          <w:szCs w:val="20"/>
        </w:rPr>
        <w:t xml:space="preserve"> through December 20</w:t>
      </w:r>
      <w:r w:rsidR="001211BE">
        <w:rPr>
          <w:sz w:val="20"/>
          <w:szCs w:val="20"/>
        </w:rPr>
        <w:t>25</w:t>
      </w:r>
      <w:r w:rsidRPr="00443493">
        <w:rPr>
          <w:sz w:val="20"/>
          <w:szCs w:val="20"/>
        </w:rPr>
        <w:t>, which are to be based on actual date for that period;</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Projected Environmental Cost Recovery Factors for the period January 20</w:t>
      </w:r>
      <w:r w:rsidR="001211BE">
        <w:rPr>
          <w:sz w:val="20"/>
          <w:szCs w:val="20"/>
        </w:rPr>
        <w:t>26</w:t>
      </w:r>
      <w:r w:rsidRPr="00443493">
        <w:rPr>
          <w:sz w:val="20"/>
          <w:szCs w:val="20"/>
        </w:rPr>
        <w:t xml:space="preserve"> through December 20</w:t>
      </w:r>
      <w:r w:rsidR="001211BE">
        <w:rPr>
          <w:sz w:val="20"/>
          <w:szCs w:val="20"/>
        </w:rPr>
        <w:t>26</w:t>
      </w:r>
      <w:r w:rsidRPr="00443493">
        <w:rPr>
          <w:sz w:val="20"/>
          <w:szCs w:val="20"/>
        </w:rPr>
        <w:t>;</w:t>
      </w:r>
    </w:p>
    <w:p w:rsidR="0030077E" w:rsidRPr="00443493" w:rsidRDefault="0030077E" w:rsidP="0030077E">
      <w:pPr>
        <w:pStyle w:val="ListParagraph"/>
        <w:numPr>
          <w:ilvl w:val="0"/>
          <w:numId w:val="1"/>
        </w:numPr>
        <w:jc w:val="both"/>
        <w:rPr>
          <w:sz w:val="20"/>
          <w:szCs w:val="20"/>
        </w:rPr>
      </w:pPr>
      <w:r w:rsidRPr="00443493">
        <w:rPr>
          <w:sz w:val="20"/>
          <w:szCs w:val="20"/>
        </w:rPr>
        <w:t>Determination of the Actual/Estimated Environmental Cost Recovery True-Up Amounts for the period January 20</w:t>
      </w:r>
      <w:r w:rsidR="001211BE">
        <w:rPr>
          <w:sz w:val="20"/>
          <w:szCs w:val="20"/>
        </w:rPr>
        <w:t>25</w:t>
      </w:r>
      <w:r w:rsidRPr="00443493">
        <w:rPr>
          <w:sz w:val="20"/>
          <w:szCs w:val="20"/>
        </w:rPr>
        <w:t xml:space="preserve"> through December 20</w:t>
      </w:r>
      <w:r w:rsidR="001211BE">
        <w:rPr>
          <w:sz w:val="20"/>
          <w:szCs w:val="20"/>
        </w:rPr>
        <w:t>25</w:t>
      </w:r>
      <w:r w:rsidR="000428CB">
        <w:rPr>
          <w:sz w:val="20"/>
          <w:szCs w:val="20"/>
        </w:rPr>
        <w:t>;</w:t>
      </w:r>
    </w:p>
    <w:p w:rsidR="0030077E" w:rsidRDefault="0030077E" w:rsidP="0030077E">
      <w:pPr>
        <w:pStyle w:val="ListParagraph"/>
        <w:numPr>
          <w:ilvl w:val="0"/>
          <w:numId w:val="1"/>
        </w:numPr>
        <w:jc w:val="both"/>
        <w:rPr>
          <w:sz w:val="20"/>
          <w:szCs w:val="20"/>
        </w:rPr>
      </w:pPr>
      <w:r w:rsidRPr="00443493">
        <w:rPr>
          <w:sz w:val="20"/>
          <w:szCs w:val="20"/>
        </w:rPr>
        <w:t>Determination of the Final Environmental Cost Recovery True-Up Amounts for the period January 20</w:t>
      </w:r>
      <w:r w:rsidR="001211BE">
        <w:rPr>
          <w:sz w:val="20"/>
          <w:szCs w:val="20"/>
        </w:rPr>
        <w:t>24</w:t>
      </w:r>
      <w:r w:rsidRPr="00443493">
        <w:rPr>
          <w:sz w:val="20"/>
          <w:szCs w:val="20"/>
        </w:rPr>
        <w:t xml:space="preserve"> through December 20</w:t>
      </w:r>
      <w:r w:rsidR="001211BE">
        <w:rPr>
          <w:sz w:val="20"/>
          <w:szCs w:val="20"/>
        </w:rPr>
        <w:t>24</w:t>
      </w:r>
      <w:r w:rsidRPr="00443493">
        <w:rPr>
          <w:sz w:val="20"/>
          <w:szCs w:val="20"/>
        </w:rPr>
        <w:t>, which are to be based</w:t>
      </w:r>
      <w:r w:rsidR="000428CB">
        <w:rPr>
          <w:sz w:val="20"/>
          <w:szCs w:val="20"/>
        </w:rPr>
        <w:t xml:space="preserve"> on actual data for that period;</w:t>
      </w:r>
    </w:p>
    <w:p w:rsidR="000428CB" w:rsidRPr="000428CB" w:rsidRDefault="000428CB" w:rsidP="0030077E">
      <w:pPr>
        <w:pStyle w:val="ListParagraph"/>
        <w:numPr>
          <w:ilvl w:val="0"/>
          <w:numId w:val="1"/>
        </w:numPr>
        <w:jc w:val="both"/>
        <w:rPr>
          <w:sz w:val="20"/>
          <w:szCs w:val="20"/>
        </w:rPr>
      </w:pPr>
      <w:r w:rsidRPr="008A2A7D">
        <w:rPr>
          <w:bCs/>
          <w:sz w:val="20"/>
          <w:szCs w:val="20"/>
        </w:rPr>
        <w:t>Determination of the projected Storm Protection Plan jurisdictional cost recovery amounts for the period Jan</w:t>
      </w:r>
      <w:r>
        <w:rPr>
          <w:bCs/>
          <w:sz w:val="20"/>
          <w:szCs w:val="20"/>
        </w:rPr>
        <w:t>uary 2026 through December 2026</w:t>
      </w:r>
      <w:r w:rsidR="00E871F1">
        <w:rPr>
          <w:bCs/>
          <w:sz w:val="20"/>
          <w:szCs w:val="20"/>
        </w:rPr>
        <w:t>;</w:t>
      </w:r>
    </w:p>
    <w:p w:rsidR="000428CB" w:rsidRPr="000428CB" w:rsidRDefault="000428CB" w:rsidP="0030077E">
      <w:pPr>
        <w:pStyle w:val="ListParagraph"/>
        <w:numPr>
          <w:ilvl w:val="0"/>
          <w:numId w:val="1"/>
        </w:numPr>
        <w:jc w:val="both"/>
        <w:rPr>
          <w:sz w:val="20"/>
          <w:szCs w:val="20"/>
        </w:rPr>
      </w:pPr>
      <w:r w:rsidRPr="008A2A7D">
        <w:rPr>
          <w:bCs/>
          <w:sz w:val="20"/>
          <w:szCs w:val="20"/>
        </w:rPr>
        <w:t>Determination of the actual/estimated Storm Protection Plan jurisdictional cost recovery true-up amounts for the period Jan</w:t>
      </w:r>
      <w:r>
        <w:rPr>
          <w:bCs/>
          <w:sz w:val="20"/>
          <w:szCs w:val="20"/>
        </w:rPr>
        <w:t>uary 2025 through December 2025; and</w:t>
      </w:r>
    </w:p>
    <w:p w:rsidR="000428CB" w:rsidRPr="00443493" w:rsidRDefault="000428CB" w:rsidP="0030077E">
      <w:pPr>
        <w:pStyle w:val="ListParagraph"/>
        <w:numPr>
          <w:ilvl w:val="0"/>
          <w:numId w:val="1"/>
        </w:numPr>
        <w:jc w:val="both"/>
        <w:rPr>
          <w:sz w:val="20"/>
          <w:szCs w:val="20"/>
        </w:rPr>
      </w:pPr>
      <w:r w:rsidRPr="008A2A7D">
        <w:rPr>
          <w:bCs/>
          <w:sz w:val="20"/>
          <w:szCs w:val="20"/>
        </w:rPr>
        <w:t>Determination of the final Storm Protection Plan jurisdictional cost recovery true-up amo</w:t>
      </w:r>
      <w:r w:rsidR="00E2142F">
        <w:rPr>
          <w:bCs/>
          <w:sz w:val="20"/>
          <w:szCs w:val="20"/>
        </w:rPr>
        <w:t>unts for the period January 2024</w:t>
      </w:r>
      <w:r w:rsidRPr="008A2A7D">
        <w:rPr>
          <w:bCs/>
          <w:sz w:val="20"/>
          <w:szCs w:val="20"/>
        </w:rPr>
        <w:t xml:space="preserve"> through December 20</w:t>
      </w:r>
      <w:r w:rsidR="00E2142F">
        <w:rPr>
          <w:bCs/>
          <w:sz w:val="20"/>
          <w:szCs w:val="20"/>
        </w:rPr>
        <w:t>24</w:t>
      </w:r>
      <w:r>
        <w:rPr>
          <w:bCs/>
          <w:sz w:val="20"/>
          <w:szCs w:val="20"/>
        </w:rPr>
        <w:t>.</w:t>
      </w:r>
    </w:p>
    <w:p w:rsidR="0030077E" w:rsidRDefault="0030077E" w:rsidP="0030077E">
      <w:pPr>
        <w:jc w:val="both"/>
        <w:rPr>
          <w:sz w:val="20"/>
          <w:szCs w:val="20"/>
        </w:rPr>
      </w:pPr>
      <w:r>
        <w:rPr>
          <w:sz w:val="20"/>
          <w:szCs w:val="20"/>
        </w:rPr>
        <w:t xml:space="preserve">The purpose of this hearing is also to consider any motions or other matters that may be pending at the time of the hearing.  The Commission may rule on any such motions from the bench or may take the matters under advisement. </w:t>
      </w:r>
    </w:p>
    <w:p w:rsidR="0030077E" w:rsidRDefault="0030077E" w:rsidP="0030077E">
      <w:pPr>
        <w:jc w:val="both"/>
        <w:rPr>
          <w:sz w:val="20"/>
          <w:szCs w:val="20"/>
        </w:rPr>
      </w:pPr>
      <w:r>
        <w:rPr>
          <w:sz w:val="20"/>
          <w:szCs w:val="20"/>
        </w:rPr>
        <w:t>All witnesses shall be subject to cross-examination at the conclusion of their testimony. The hearing will be governed by the provisions of Chapters 366 and 120, Florida Statutes, and Chapters 25-22 and 28-106, Florida Administrative Code.</w:t>
      </w:r>
    </w:p>
    <w:p w:rsidR="008E1ADC" w:rsidRDefault="0030077E" w:rsidP="008E1ADC">
      <w:pPr>
        <w:jc w:val="both"/>
        <w:rPr>
          <w:sz w:val="20"/>
          <w:szCs w:val="20"/>
        </w:rPr>
      </w:pPr>
      <w:r>
        <w:rPr>
          <w:sz w:val="20"/>
          <w:szCs w:val="20"/>
        </w:rPr>
        <w:t xml:space="preserve">Interested persons may request to be listed as an interested person for these dockets, in which case they will receive notices and orders published and issued in these dockets. Such requests should be made to: Florida Public Service Commission, Office of the Commission Clerk, 2540 Shumard Oak Boulevard, Tallahassee, FL 32399-0850, </w:t>
      </w:r>
      <w:r w:rsidR="008E1ADC">
        <w:rPr>
          <w:sz w:val="20"/>
          <w:szCs w:val="20"/>
        </w:rPr>
        <w:t>or by telephone to (850) 413-6770.</w:t>
      </w:r>
    </w:p>
    <w:p w:rsidR="0030077E" w:rsidRPr="00C10B5B" w:rsidRDefault="0030077E" w:rsidP="0030077E">
      <w:pPr>
        <w:jc w:val="both"/>
        <w:rPr>
          <w:sz w:val="20"/>
          <w:szCs w:val="20"/>
          <w:u w:val="single"/>
        </w:rPr>
      </w:pPr>
      <w:r w:rsidRPr="00C10B5B">
        <w:rPr>
          <w:sz w:val="20"/>
          <w:szCs w:val="20"/>
          <w:u w:val="single"/>
        </w:rPr>
        <w:t xml:space="preserve">EMERGENCY CANCELLATION OF </w:t>
      </w:r>
      <w:r>
        <w:rPr>
          <w:sz w:val="20"/>
          <w:szCs w:val="20"/>
          <w:u w:val="single"/>
        </w:rPr>
        <w:t>HEARING</w:t>
      </w:r>
    </w:p>
    <w:p w:rsidR="0030077E" w:rsidRPr="00456F54" w:rsidRDefault="0030077E" w:rsidP="0030077E">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w:t>
      </w:r>
      <w:r>
        <w:rPr>
          <w:sz w:val="20"/>
          <w:szCs w:val="20"/>
        </w:rPr>
        <w:t>florida</w:t>
      </w:r>
      <w:r w:rsidRPr="00A03670">
        <w:rPr>
          <w:sz w:val="20"/>
          <w:szCs w:val="20"/>
        </w:rPr>
        <w:t>psc.</w:t>
      </w:r>
      <w:r>
        <w:rPr>
          <w:sz w:val="20"/>
          <w:szCs w:val="20"/>
        </w:rPr>
        <w:t>com</w:t>
      </w:r>
      <w:r w:rsidRPr="00A03670">
        <w:rPr>
          <w:sz w:val="20"/>
          <w:szCs w:val="20"/>
        </w:rPr>
        <w:t>) under the Hot Topics link found on the home page.  Cancellation can also be confirmed by calling the Office of the General Counsel at 850-413-6199.</w:t>
      </w:r>
    </w:p>
    <w:p w:rsidR="0030077E" w:rsidRDefault="0030077E" w:rsidP="0030077E">
      <w:pPr>
        <w:jc w:val="both"/>
        <w:rPr>
          <w:sz w:val="20"/>
          <w:szCs w:val="20"/>
        </w:rPr>
      </w:pPr>
      <w:r w:rsidRPr="00314B85">
        <w:rPr>
          <w:sz w:val="20"/>
          <w:szCs w:val="20"/>
        </w:rPr>
        <w:t xml:space="preserve">A copy of the agenda may be obtained by contacting: </w:t>
      </w:r>
      <w:r>
        <w:rPr>
          <w:sz w:val="20"/>
          <w:szCs w:val="20"/>
        </w:rPr>
        <w:t xml:space="preserve">Jacob Imig at 850-413-6738 or </w:t>
      </w:r>
      <w:hyperlink r:id="rId8" w:history="1">
        <w:r w:rsidRPr="009632E2">
          <w:rPr>
            <w:rStyle w:val="Hyperlink"/>
            <w:sz w:val="20"/>
            <w:szCs w:val="20"/>
          </w:rPr>
          <w:t>jimig@psc.state.fl.us</w:t>
        </w:r>
      </w:hyperlink>
      <w:r>
        <w:rPr>
          <w:sz w:val="20"/>
          <w:szCs w:val="20"/>
        </w:rPr>
        <w:t xml:space="preserve">. </w:t>
      </w:r>
    </w:p>
    <w:p w:rsidR="0030077E" w:rsidRPr="00F73B79" w:rsidRDefault="0030077E" w:rsidP="0030077E">
      <w:pPr>
        <w:jc w:val="both"/>
        <w:rPr>
          <w:noProof/>
          <w:sz w:val="20"/>
          <w:szCs w:val="20"/>
        </w:rPr>
      </w:pPr>
      <w:r w:rsidRPr="00F73B79">
        <w:rPr>
          <w:noProof/>
          <w:sz w:val="20"/>
          <w:szCs w:val="20"/>
        </w:rPr>
        <w:t xml:space="preserve">In accordance with the Americans with Disabilities Act, persons needing a special accommodation to participate at this proceeding should contact the Office of Commission Clerk no later than </w:t>
      </w:r>
      <w:r w:rsidRPr="00F73B79">
        <w:rPr>
          <w:rStyle w:val="Strong"/>
          <w:b w:val="0"/>
          <w:noProof/>
          <w:sz w:val="20"/>
          <w:szCs w:val="20"/>
        </w:rPr>
        <w:t>five</w:t>
      </w:r>
      <w:r w:rsidRPr="00F73B79">
        <w:rPr>
          <w:b/>
          <w:noProof/>
          <w:sz w:val="20"/>
          <w:szCs w:val="20"/>
        </w:rPr>
        <w:t xml:space="preserve"> </w:t>
      </w:r>
      <w:r w:rsidRPr="00F73B79">
        <w:rPr>
          <w:noProof/>
          <w:sz w:val="20"/>
          <w:szCs w:val="20"/>
        </w:rPr>
        <w:t>days prior to th</w:t>
      </w:r>
      <w:r>
        <w:rPr>
          <w:noProof/>
          <w:sz w:val="20"/>
          <w:szCs w:val="20"/>
        </w:rPr>
        <w:t>e hearing</w:t>
      </w:r>
      <w:r w:rsidRPr="00F73B79">
        <w:rPr>
          <w:noProof/>
          <w:sz w:val="20"/>
          <w:szCs w:val="20"/>
        </w:rPr>
        <w:t xml:space="preserve"> at 2540 Shumard Oak Boulevard, Tallahassee, Florida 32399-0850 or (850) 413-6770 (Florida Relay Service, 1-800-955-8770 Voice or 1-800-955-8771 TDD).</w:t>
      </w:r>
      <w:r>
        <w:rPr>
          <w:noProof/>
          <w:sz w:val="20"/>
          <w:szCs w:val="20"/>
        </w:rPr>
        <w:t xml:space="preserve">  </w:t>
      </w:r>
      <w:r w:rsidRPr="0064649E">
        <w:rPr>
          <w:noProof/>
          <w:sz w:val="20"/>
          <w:szCs w:val="20"/>
        </w:rPr>
        <w:t>Assistive Listening Devices are available upon request from the Office of Commission Clerk, Gerald L. Gunter Building, Room 152.</w:t>
      </w:r>
    </w:p>
    <w:p w:rsidR="00EA47EB" w:rsidRDefault="00EA47EB"/>
    <w:p w:rsidR="006F42AE" w:rsidRPr="00195BFE" w:rsidRDefault="00195BFE">
      <w:pPr>
        <w:rPr>
          <w:sz w:val="20"/>
          <w:szCs w:val="20"/>
        </w:rPr>
      </w:pPr>
      <w:r w:rsidRPr="00195BFE">
        <w:rPr>
          <w:sz w:val="20"/>
          <w:szCs w:val="20"/>
        </w:rPr>
        <w:fldChar w:fldCharType="begin"/>
      </w:r>
      <w:r w:rsidRPr="00195BFE">
        <w:rPr>
          <w:sz w:val="20"/>
          <w:szCs w:val="20"/>
        </w:rPr>
        <w:instrText xml:space="preserve"> FILENAME  \p  \* MERGEFORMAT </w:instrText>
      </w:r>
      <w:r w:rsidRPr="00195BFE">
        <w:rPr>
          <w:sz w:val="20"/>
          <w:szCs w:val="20"/>
        </w:rPr>
        <w:fldChar w:fldCharType="separate"/>
      </w:r>
      <w:r w:rsidRPr="00195BFE">
        <w:rPr>
          <w:noProof/>
          <w:sz w:val="20"/>
          <w:szCs w:val="20"/>
        </w:rPr>
        <w:t>I:\FAR\250001-7.docx</w:t>
      </w:r>
      <w:r w:rsidRPr="00195BFE">
        <w:rPr>
          <w:sz w:val="20"/>
          <w:szCs w:val="20"/>
        </w:rPr>
        <w:fldChar w:fldCharType="end"/>
      </w:r>
      <w:bookmarkStart w:id="0" w:name="_GoBack"/>
      <w:bookmarkEnd w:id="0"/>
    </w:p>
    <w:sectPr w:rsidR="006F42AE" w:rsidRPr="00195B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AE" w:rsidRDefault="006F42AE" w:rsidP="006F42AE">
      <w:r>
        <w:separator/>
      </w:r>
    </w:p>
  </w:endnote>
  <w:endnote w:type="continuationSeparator" w:id="0">
    <w:p w:rsidR="006F42AE" w:rsidRDefault="006F42AE" w:rsidP="006F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2AE" w:rsidRDefault="006F42AE">
    <w:pPr>
      <w:pStyle w:val="Footer"/>
    </w:pPr>
    <w:r w:rsidRPr="006F42AE">
      <w:t>https://flrules.org/agency/noticeHome.asp?string=30092909&amp;iid=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AE" w:rsidRDefault="006F42AE" w:rsidP="006F42AE">
      <w:r>
        <w:separator/>
      </w:r>
    </w:p>
  </w:footnote>
  <w:footnote w:type="continuationSeparator" w:id="0">
    <w:p w:rsidR="006F42AE" w:rsidRDefault="006F42AE" w:rsidP="006F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81E3F"/>
    <w:multiLevelType w:val="hybridMultilevel"/>
    <w:tmpl w:val="3DF0A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7E"/>
    <w:rsid w:val="0003722C"/>
    <w:rsid w:val="00041704"/>
    <w:rsid w:val="000428CB"/>
    <w:rsid w:val="00103CC0"/>
    <w:rsid w:val="001211BE"/>
    <w:rsid w:val="00195BFE"/>
    <w:rsid w:val="002F1DB1"/>
    <w:rsid w:val="002F376A"/>
    <w:rsid w:val="0030077E"/>
    <w:rsid w:val="00444E8D"/>
    <w:rsid w:val="006F42AE"/>
    <w:rsid w:val="00735765"/>
    <w:rsid w:val="0077453D"/>
    <w:rsid w:val="00791D7E"/>
    <w:rsid w:val="008B1106"/>
    <w:rsid w:val="008E1ADC"/>
    <w:rsid w:val="009C7220"/>
    <w:rsid w:val="00A50EF4"/>
    <w:rsid w:val="00AB220E"/>
    <w:rsid w:val="00B255A6"/>
    <w:rsid w:val="00C4520C"/>
    <w:rsid w:val="00C76B87"/>
    <w:rsid w:val="00E1532C"/>
    <w:rsid w:val="00E2142F"/>
    <w:rsid w:val="00E853EC"/>
    <w:rsid w:val="00E871F1"/>
    <w:rsid w:val="00E92358"/>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919175F-7786-4D62-8C6F-995E7DED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0077E"/>
    <w:rPr>
      <w:b/>
      <w:bCs/>
    </w:rPr>
  </w:style>
  <w:style w:type="paragraph" w:styleId="ListParagraph">
    <w:name w:val="List Paragraph"/>
    <w:basedOn w:val="Normal"/>
    <w:uiPriority w:val="34"/>
    <w:qFormat/>
    <w:rsid w:val="0030077E"/>
    <w:pPr>
      <w:ind w:left="720"/>
      <w:contextualSpacing/>
    </w:pPr>
  </w:style>
  <w:style w:type="character" w:styleId="Hyperlink">
    <w:name w:val="Hyperlink"/>
    <w:uiPriority w:val="99"/>
    <w:unhideWhenUsed/>
    <w:rsid w:val="0030077E"/>
    <w:rPr>
      <w:color w:val="0563C1"/>
      <w:u w:val="single"/>
    </w:rPr>
  </w:style>
  <w:style w:type="paragraph" w:styleId="BalloonText">
    <w:name w:val="Balloon Text"/>
    <w:basedOn w:val="Normal"/>
    <w:link w:val="BalloonTextChar"/>
    <w:uiPriority w:val="99"/>
    <w:semiHidden/>
    <w:unhideWhenUsed/>
    <w:rsid w:val="002F1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B1"/>
    <w:rPr>
      <w:rFonts w:ascii="Segoe UI" w:eastAsia="Times New Roman" w:hAnsi="Segoe UI" w:cs="Segoe UI"/>
      <w:sz w:val="18"/>
      <w:szCs w:val="18"/>
    </w:rPr>
  </w:style>
  <w:style w:type="paragraph" w:styleId="Header">
    <w:name w:val="header"/>
    <w:basedOn w:val="Normal"/>
    <w:link w:val="HeaderChar"/>
    <w:uiPriority w:val="99"/>
    <w:unhideWhenUsed/>
    <w:rsid w:val="006F42AE"/>
    <w:pPr>
      <w:tabs>
        <w:tab w:val="center" w:pos="4680"/>
        <w:tab w:val="right" w:pos="9360"/>
      </w:tabs>
    </w:pPr>
  </w:style>
  <w:style w:type="character" w:customStyle="1" w:styleId="HeaderChar">
    <w:name w:val="Header Char"/>
    <w:basedOn w:val="DefaultParagraphFont"/>
    <w:link w:val="Header"/>
    <w:uiPriority w:val="99"/>
    <w:rsid w:val="006F42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42AE"/>
    <w:pPr>
      <w:tabs>
        <w:tab w:val="center" w:pos="4680"/>
        <w:tab w:val="right" w:pos="9360"/>
      </w:tabs>
    </w:pPr>
  </w:style>
  <w:style w:type="character" w:customStyle="1" w:styleId="FooterChar">
    <w:name w:val="Footer Char"/>
    <w:basedOn w:val="DefaultParagraphFont"/>
    <w:link w:val="Footer"/>
    <w:uiPriority w:val="99"/>
    <w:rsid w:val="006F42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ig@psc.state.fl.us"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6167</Characters>
  <Application>Microsoft Office Word</Application>
  <DocSecurity>0</DocSecurity>
  <Lines>93</Lines>
  <Paragraphs>55</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Imig</dc:creator>
  <cp:keywords/>
  <dc:description/>
  <cp:lastModifiedBy>Tiffany Brown</cp:lastModifiedBy>
  <cp:revision>3</cp:revision>
  <cp:lastPrinted>2025-10-09T11:45:00Z</cp:lastPrinted>
  <dcterms:created xsi:type="dcterms:W3CDTF">2025-10-10T15:38:00Z</dcterms:created>
  <dcterms:modified xsi:type="dcterms:W3CDTF">2025-10-10T15:40:00Z</dcterms:modified>
</cp:coreProperties>
</file>